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2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CHƯƠNG TRÌNH MÔN HỌC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88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Tên học phần: Tiếng Hàn dọc 3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88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Mã học phần: MII 19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40" w:line="288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Thời gian môn học: 90 giờ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(Li thuyết: 30 giờ; Thực hành, thảo luận, bài tập: 56 giờ;</w:t>
        <w:br/>
        <w:t>Kiếm tra: 04 giờ)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Vị trí, tính chất môn học: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/. Vị trí: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Môn học thuộc chương trình các môn học chuyên ngành trong chương trình đào</w:t>
        <w:br/>
        <w:t>tạo ngành tiếng Hàn Ọuổc hệ Cao đắng.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63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Tính chất: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Đây là một học phần cần thiết và quan trọng, nâng cao kĩ năng đọc, hiếu và</w:t>
        <w:br/>
        <w:t>sử dụng các cấu trúc ngữ pháp tiếng Hàn Quốc trình độ nâng cao.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430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 môn học: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Ị. về kiến thức: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Hiểu và biết cách sứ dụng ngữ pháp, cấu trúc câu trong tiếng Hàn. Đọc</w:t>
        <w:br/>
        <w:t>hiểu và tìm ra những ý chính để tóm tắt nội dung văn bán bằng tiếng Hàn.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Vê kĩ nàng: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Nâng cao kì năng đọc và hiêu ngữ pháp, câu ưủc câu ữong tiêng Hàn, rèn</w:t>
        <w:br/>
        <w:t>luyện cho sinh viên ý thức tự giác trong học tập và yêu thích môn tiếng Hàn.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Vê nâng lực tự chủ và trách nhiệm: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Chủ động, tự giác đọc, hiêu ngữ pháp, câu trúc</w:t>
        <w:br/>
        <w:t>câu trong tiếng Hàn.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536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 học phần: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1. Nội dung tổng quát và phân bổ thời gian:</w:t>
      </w:r>
    </w:p>
    <w:tbl>
      <w:tblPr>
        <w:tblOverlap w:val="never"/>
        <w:jc w:val="center"/>
        <w:tblLayout w:type="fixed"/>
      </w:tblPr>
      <w:tblGrid>
        <w:gridCol w:w="715"/>
        <w:gridCol w:w="4339"/>
        <w:gridCol w:w="989"/>
        <w:gridCol w:w="1008"/>
        <w:gridCol w:w="1574"/>
        <w:gridCol w:w="1003"/>
      </w:tblGrid>
      <w:tr>
        <w:trPr>
          <w:trHeight w:val="374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STT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Tên chưoìig, mục</w:t>
            </w:r>
          </w:p>
        </w:tc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Thời gian (giờ)</w:t>
            </w:r>
          </w:p>
        </w:tc>
      </w:tr>
      <w:tr>
        <w:trPr>
          <w:trHeight w:val="109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Tổng</w:t>
            </w:r>
          </w:p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Số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Lí</w:t>
              <w:br/>
              <w:t>thuyết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hành,</w:t>
              <w:br/>
              <w:t>thào luận,</w:t>
              <w:br/>
              <w:t>bài tập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Kiêm</w:t>
              <w:br/>
              <w:t>tra</w:t>
            </w:r>
          </w:p>
        </w:tc>
      </w:tr>
      <w:tr>
        <w:trPr>
          <w:trHeight w:val="129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I.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360" w:lineRule="exact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Bài 1: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>한국 사람과 떡</w:t>
            </w:r>
          </w:p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Đánh Teok truyền thổng trong tư</w:t>
              <w:br/>
              <w:t>tướng người Hàn Quốc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Đài 2: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 xml:space="preserve">요가 배우기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Học Yoga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Đài 3: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>자원 봉사</w:t>
            </w:r>
          </w:p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Hoạt động tình nguyện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27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360" w:lineRule="exact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Bài 4: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>한의원에서의 신기한 경험</w:t>
            </w:r>
          </w:p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18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Trãi nghiệm thú vị tại trung tâm y</w:t>
              <w:br/>
              <w:t>học phương Đông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Đài 5: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 xml:space="preserve">건강보험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Báo hiểm y tế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9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Đài 6: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>혼자 떠 나는여 형</w:t>
            </w:r>
          </w:p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Đi du lịch một mình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19" w:left="1371" w:right="866" w:bottom="906" w:header="691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3799840</wp:posOffset>
              </wp:positionH>
              <wp:positionV relativeFrom="page">
                <wp:posOffset>10177145</wp:posOffset>
              </wp:positionV>
              <wp:extent cx="204470" cy="11303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4470" cy="11303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137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19999999999999pt;margin-top:801.35000000000002pt;width:16.100000000000001pt;height:8.9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2"/>
      <w:numFmt w:val="upperRoman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2"/>
      <w:numFmt w:val="decimal"/>
      <w:lvlText w:val="%1.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6">
    <w:name w:val="页眉或页脚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0">
    <w:name w:val="其他_"/>
    <w:basedOn w:val="DefaultParagraphFont"/>
    <w:link w:val="Styl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3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5">
    <w:name w:val="页眉或页脚 (2)"/>
    <w:basedOn w:val="Normal"/>
    <w:link w:val="CharStyle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9">
    <w:name w:val="其他"/>
    <w:basedOn w:val="Normal"/>
    <w:link w:val="CharStyle10"/>
    <w:pPr>
      <w:widowControl w:val="0"/>
      <w:shd w:val="clear" w:color="auto" w:fill="FFFFFF"/>
      <w:spacing w:line="293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