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430" w:val="left"/>
        </w:tabs>
        <w:bidi w:val="0"/>
        <w:spacing w:before="0" w:after="0" w:line="293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Phưoìig pháp và nội dung đánh giá: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34" w:val="left"/>
        </w:tabs>
        <w:bidi w:val="0"/>
        <w:spacing w:before="0" w:after="0" w:line="293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Phương pháp: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2" w:val="left"/>
        </w:tabs>
        <w:bidi w:val="0"/>
        <w:spacing w:before="0" w:after="0" w:line="293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Đánh giá người học thông qua các hình thức kiểm tra/ứii lý thuyết bàng phương pháp</w:t>
        <w:br/>
        <w:t>thi viêt tự luận/trăc nghiêm theo quy định cùa quy chê kiêm tra, thi, xét công nhận tôt</w:t>
        <w:br/>
        <w:t>nghiệp quy định trong Thông tư sổ 09/2017/TT-BLĐTBXH ngày 13 tháng 3 năm 2017</w:t>
        <w:br/>
        <w:t xml:space="preserve">của Bộ Lao động </w:t>
      </w:r>
      <w:r>
        <w:rPr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-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Thương binh và Xà hội.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7" w:val="left"/>
        </w:tabs>
        <w:bidi w:val="0"/>
        <w:spacing w:before="0" w:after="0" w:line="293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Yêu cầu các đầu điểm kiếm tra bao gồm: điểm ktra thường xuyên hệ số 1; điểm ktra</w:t>
        <w:br/>
        <w:t>định kỳ hệ số 2; điếm thi hết môn học theo phương pháp thi viết tự luận/trắc nghiệm.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7" w:val="left"/>
        </w:tabs>
        <w:bidi w:val="0"/>
        <w:spacing w:before="0" w:after="0" w:line="293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Các câu hói đánh giá đối với người học cần thiết kế ở các mức độ khó/dề để phân loại</w:t>
        <w:br/>
        <w:t>được nâng lực người học phủ hợp.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</w:tabs>
        <w:bidi w:val="0"/>
        <w:spacing w:before="0" w:after="0" w:line="293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 đánh giá: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2" w:val="left"/>
        </w:tabs>
        <w:bidi w:val="0"/>
        <w:spacing w:before="0" w:after="0" w:line="293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Kiến thức: Thông qua các chủ điểm và bài thực hành, sinh viên được luyện tập và phát</w:t>
      </w:r>
    </w:p>
    <w:p>
      <w:pPr>
        <w:pStyle w:val="Style8"/>
        <w:keepNext w:val="0"/>
        <w:keepLines w:val="0"/>
        <w:widowControl w:val="0"/>
        <w:shd w:val="clear" w:color="auto" w:fill="auto"/>
        <w:tabs>
          <w:tab w:pos="5450" w:val="left"/>
          <w:tab w:pos="8057" w:val="left"/>
          <w:tab w:pos="9127" w:val="left"/>
        </w:tabs>
        <w:bidi w:val="0"/>
        <w:spacing w:before="0" w:after="0" w:line="240" w:lineRule="auto"/>
        <w:ind w:right="0" w:firstLine="0"/>
        <w:jc w:val="left"/>
      </w:pP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ko-KR" w:eastAsia="ko-KR" w:bidi="ko-KR"/>
        </w:rPr>
        <w:t>%</w:t>
        <w:tab/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vi-VN" w:eastAsia="vi-VN" w:bidi="vi-VN"/>
        </w:rPr>
        <w:t>__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ab/>
        <w:t>•••X</w:t>
        <w:tab/>
      </w:r>
      <w:r>
        <w:rPr>
          <w:color w:val="000000"/>
          <w:spacing w:val="0"/>
          <w:w w:val="100"/>
          <w:position w:val="0"/>
          <w:shd w:val="clear" w:color="auto" w:fill="auto"/>
          <w:vertAlign w:val="subscript"/>
          <w:lang w:val="vi-VN" w:eastAsia="vi-VN" w:bidi="vi-VN"/>
        </w:rPr>
        <w:t>s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triên kĩ năng đọc hiêu và sử dụng thông tin vê các lĩnh vực khác nhau của đời sông kinh</w:t>
        <w:br/>
        <w:t>tế, văn hóa, xà hội bằng tiếng Hàn.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Kĩ năng: Sứ dụng các cấu trúc càu và ngữ pháp tiếng Hàn trong những tình huống cụ</w:t>
        <w:br/>
        <w:t>thể được lồng ghép ưong các chủ đề của bài học.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31" w:val="left"/>
        </w:tabs>
        <w:bidi w:val="0"/>
        <w:spacing w:before="0" w:after="0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Hướng dẫn chương trình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1. Phạm vi áp dụng chương trình: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Môn học được sứ dụng đê giảng dạy cho ngành Tiêng Hàn, trình độ đào tạo Cao đăng.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2.1 lưỡng dan vê phương pháp dạy </w:t>
      </w:r>
      <w:r>
        <w:rPr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-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học môn học: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58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Đối với giảng viên: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Vận dụng linh hoạt các phương pháp dạy học tích cực như nêu vấn đề, thào luận</w:t>
        <w:br/>
        <w:t>nhóm, đóng vai, diễn giáng, thuyết ưình các nội dung chinh có minh họa bằng hình ảnh,</w:t>
        <w:br/>
        <w:t>tài liệu phát tay, thực hành...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2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Tồ chức dạy </w:t>
      </w:r>
      <w:r>
        <w:rPr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-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học tích cực lấy người học làm trung tâm, nhàm tăng cường sự tham gia</w:t>
        <w:br/>
        <w:t>sinh động của người học bằng việc nêu vấn đề để sinh vi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z w:val="22"/>
          <w:szCs w:val="22"/>
          <w:shd w:val="clear" w:color="auto" w:fill="auto"/>
          <w:lang w:val="ko-KR" w:eastAsia="ko-KR" w:bidi="ko-KR"/>
        </w:rPr>
        <w:t>玄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 thào luận, đặt câu hói, gợi ý,</w:t>
        <w:br/>
        <w:t>khuyến khích sinh viên suy nghĩ, trao đổi; Kiểm tra kiến thức người học bằng hoi vấn</w:t>
        <w:br/>
        <w:t>đáp, viết tự luận/ưắc nghiệm qua các hình thức giải đáp các thắc mắc của sinh viên, làm</w:t>
        <w:br/>
        <w:t>bài tập giãi quyết tình huống;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6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Giáng viên giáng dạy với sự hồ trợ của các phương tiện, học liệu, giáo cụ ưực quan</w:t>
        <w:br/>
        <w:t>sinh động có thẻ sử dụng kết hợp máy vi tính, máy đèn chiếu, áp dụng các loại giáo án</w:t>
        <w:br/>
        <w:t>điện tứ đè giúp người học tiếp thu kiến thức trọng tâm.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mồi bài học giáng viên cần giao cho người học các câu hỏi ôn tập, bài tập tự học,</w:t>
        <w:br/>
        <w:t>tự nghiên cứu ngoài giờ cỏ hướng dần...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Đối với người học: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Tập trung lắng nghe và quan sát các hoạt động cùa giảng viên, huy động tư duy thu</w:t>
        <w:br/>
        <w:t>nhận và chuyên hóa kiến thức, tham gia hoạt động thào luận nhóm, thực hiện kỹ năng</w:t>
        <w:br/>
        <w:t>giao tiếp làm bài tập về nhà theo hướng dần cùa giáng viên.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Tài liệu cần tham khảo: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1)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Dạc tiếng Hàn 3,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Viện giáo dục nghiên cứu ngôn ngữ, Trường Đại học Yonsei, NXB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26" w:left="1370" w:right="1007" w:bottom="994" w:header="698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3801745</wp:posOffset>
              </wp:positionH>
              <wp:positionV relativeFrom="page">
                <wp:posOffset>10191115</wp:posOffset>
              </wp:positionV>
              <wp:extent cx="186055" cy="10668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86055" cy="10668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pacing w:val="0"/>
                              <w:w w:val="100"/>
                              <w:position w:val="0"/>
                              <w:shd w:val="clear" w:color="auto" w:fill="auto"/>
                              <w:lang w:val="vi-VN" w:eastAsia="vi-VN" w:bidi="vi-VN"/>
                            </w:rPr>
                            <w:t>141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9.35000000000002pt;margin-top:802.45000000000005pt;width:14.65pt;height:8.40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vi-VN" w:eastAsia="vi-VN" w:bidi="vi-VN"/>
                      </w:rPr>
                      <w:t>141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5"/>
      <w:numFmt w:val="upperRoman"/>
      <w:lvlText w:val="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ko-KR" w:eastAsia="ko-KR" w:bidi="ko-KR"/>
      </w:rPr>
    </w:lvl>
  </w:abstractNum>
  <w:abstractNum w:abstractNumId="6">
    <w:multiLevelType w:val="multilevel"/>
    <w:lvl w:ilvl="0">
      <w:start w:val="1"/>
      <w:numFmt w:val="lowerLetter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6">
    <w:name w:val="页眉或页脚 (2)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9">
    <w:name w:val="正文文本 (2)_"/>
    <w:basedOn w:val="DefaultParagraphFont"/>
    <w:link w:val="Styl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90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5">
    <w:name w:val="页眉或页脚 (2)"/>
    <w:basedOn w:val="Normal"/>
    <w:link w:val="CharStyle6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8">
    <w:name w:val="正文文本 (2)"/>
    <w:basedOn w:val="Normal"/>
    <w:link w:val="CharStyle9"/>
    <w:pPr>
      <w:widowControl w:val="0"/>
      <w:shd w:val="clear" w:color="auto" w:fill="FFFFFF"/>
      <w:ind w:left="486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