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 xmlns:w15="http://schemas.microsoft.com/office/word/2012/wordml" mc:Ignorable="w15">
  <w:body>
    <w:p>
      <w:pPr>
        <w:pStyle w:val="Style2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pos="368" w:val="left"/>
        </w:tabs>
        <w:bidi w:val="0"/>
        <w:spacing w:before="0" w:line="240" w:lineRule="auto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vi-VN" w:eastAsia="vi-VN" w:bidi="vi-VN"/>
        </w:rPr>
        <w:t>Phòng học chuyên môn/nhà xưởng: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/>
        <w:jc w:val="left"/>
      </w:pPr>
      <w:r>
        <w:rPr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ja-JP" w:eastAsia="ja-JP" w:bidi="ja-JP"/>
        </w:rPr>
        <w:t>-</w:t>
      </w:r>
      <w:r>
        <w:rPr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vi-VN" w:eastAsia="vi-VN" w:bidi="vi-VN"/>
        </w:rPr>
        <w:t>Phòng học</w:t>
      </w:r>
    </w:p>
    <w:p>
      <w:pPr>
        <w:pStyle w:val="Style2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pos="735" w:val="left"/>
        </w:tabs>
        <w:bidi w:val="0"/>
        <w:spacing w:before="0" w:line="240" w:lineRule="auto"/>
        <w:ind w:left="0" w:right="0"/>
        <w:jc w:val="left"/>
      </w:pPr>
      <w:r>
        <w:rPr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vi-VN" w:eastAsia="vi-VN" w:bidi="vi-VN"/>
        </w:rPr>
        <w:t>Phòng thực hành nghe nhìn.</w:t>
      </w:r>
    </w:p>
    <w:p>
      <w:pPr>
        <w:pStyle w:val="Style2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pos="382" w:val="left"/>
        </w:tabs>
        <w:bidi w:val="0"/>
        <w:spacing w:before="0" w:line="240" w:lineRule="auto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vi-VN" w:eastAsia="vi-VN" w:bidi="vi-VN"/>
        </w:rPr>
        <w:t>Trang thiết bị máy móc:</w:t>
      </w:r>
    </w:p>
    <w:p>
      <w:pPr>
        <w:pStyle w:val="Style2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pos="735" w:val="left"/>
        </w:tabs>
        <w:bidi w:val="0"/>
        <w:spacing w:before="0" w:line="240" w:lineRule="auto"/>
        <w:ind w:left="0" w:right="0"/>
        <w:jc w:val="left"/>
      </w:pPr>
      <w:r>
        <w:rPr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vi-VN" w:eastAsia="vi-VN" w:bidi="vi-VN"/>
        </w:rPr>
        <w:t>Hệ thống loa, máy chiếu</w:t>
      </w:r>
    </w:p>
    <w:p>
      <w:pPr>
        <w:pStyle w:val="Style2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pos="387" w:val="left"/>
        </w:tabs>
        <w:bidi w:val="0"/>
        <w:spacing w:before="0" w:after="0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vi-VN" w:eastAsia="vi-VN" w:bidi="vi-VN"/>
        </w:rPr>
        <w:t>Học liệu, dụng cụ, nguyên vật liệu:</w:t>
      </w:r>
    </w:p>
    <w:p>
      <w:pPr>
        <w:pStyle w:val="Style2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pos="735" w:val="left"/>
        </w:tabs>
        <w:bidi w:val="0"/>
        <w:spacing w:before="0" w:after="0"/>
        <w:ind w:left="0" w:right="0"/>
        <w:jc w:val="left"/>
      </w:pPr>
      <w:r>
        <w:rPr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vi-VN" w:eastAsia="vi-VN" w:bidi="vi-VN"/>
        </w:rPr>
        <w:t>Tài liệu bắt buộc, tài liệu tham khảo</w:t>
      </w:r>
    </w:p>
    <w:p>
      <w:pPr>
        <w:pStyle w:val="Style2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pos="735" w:val="left"/>
        </w:tabs>
        <w:bidi w:val="0"/>
        <w:spacing w:before="0" w:after="0"/>
        <w:ind w:left="0" w:right="0"/>
        <w:jc w:val="left"/>
      </w:pPr>
      <w:r>
        <w:rPr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vi-VN" w:eastAsia="vi-VN" w:bidi="vi-VN"/>
        </w:rPr>
        <w:t>Bút, viết, tập ghi chép.</w:t>
      </w:r>
    </w:p>
    <w:p>
      <w:pPr>
        <w:pStyle w:val="Style2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pos="735" w:val="left"/>
        </w:tabs>
        <w:bidi w:val="0"/>
        <w:spacing w:before="0" w:after="0"/>
        <w:ind w:left="0" w:right="0"/>
        <w:jc w:val="left"/>
      </w:pPr>
      <w:r>
        <w:rPr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vi-VN" w:eastAsia="vi-VN" w:bidi="vi-VN"/>
        </w:rPr>
        <w:t>Các dụng cụ khác hỗ trợ cho từng loại bài tập</w:t>
      </w:r>
    </w:p>
    <w:p>
      <w:pPr>
        <w:pStyle w:val="Style2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pos="387" w:val="left"/>
        </w:tabs>
        <w:bidi w:val="0"/>
        <w:spacing w:before="0" w:after="0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vi-VN" w:eastAsia="vi-VN" w:bidi="vi-VN"/>
        </w:rPr>
        <w:t>Các điều kiện khác: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/>
        <w:ind w:left="0" w:right="0" w:firstLine="560"/>
        <w:jc w:val="left"/>
      </w:pPr>
      <w:r>
        <w:rPr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ja-JP" w:eastAsia="ja-JP" w:bidi="ja-JP"/>
        </w:rPr>
        <w:t>-</w:t>
      </w:r>
      <w:r>
        <w:rPr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vi-VN" w:eastAsia="vi-VN" w:bidi="vi-VN"/>
        </w:rPr>
        <w:t>Yêu cầu đối với sinh viên: Chuẩn bị bài học tại nhà theo yêu cầu của giảng viên;</w:t>
        <w:br/>
        <w:t>Tích cực, chủ động tham gia quá trình dạy học trên lớp; Làm bài tập về nhà do giảng viên</w:t>
        <w:br/>
      </w:r>
      <w:r>
        <w:rPr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vi-VN" w:eastAsia="vi-VN" w:bidi="vi-VN"/>
        </w:rPr>
        <w:t>chỉ đinh; Tự rèn luyện, phát huy Iiăng lực tự học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340"/>
        <w:ind w:left="0" w:right="0" w:firstLine="560"/>
        <w:jc w:val="left"/>
      </w:pPr>
      <w:r>
        <w:rPr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ja-JP" w:eastAsia="ja-JP" w:bidi="ja-JP"/>
        </w:rPr>
        <w:t>-</w:t>
      </w:r>
      <w:r>
        <w:rPr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vi-VN" w:eastAsia="vi-VN" w:bidi="vi-VN"/>
        </w:rPr>
        <w:t xml:space="preserve">Sinh viên phải tham dự tối thiểu </w:t>
      </w:r>
      <w:r>
        <w:rPr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ja-JP" w:eastAsia="ja-JP" w:bidi="ja-JP"/>
        </w:rPr>
        <w:t xml:space="preserve">80% </w:t>
      </w:r>
      <w:r>
        <w:rPr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vi-VN" w:eastAsia="vi-VN" w:bidi="vi-VN"/>
        </w:rPr>
        <w:t>số tiết, nghỉ học phải xin phép và có lý do</w:t>
        <w:br/>
        <w:t xml:space="preserve">chúih đáiig. Sinh viên vắng mặt quá </w:t>
      </w:r>
      <w:r>
        <w:rPr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ja-JP" w:eastAsia="ja-JP" w:bidi="ja-JP"/>
        </w:rPr>
        <w:t xml:space="preserve">20% </w:t>
      </w:r>
      <w:r>
        <w:rPr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vi-VN" w:eastAsia="vi-VN" w:bidi="vi-VN"/>
        </w:rPr>
        <w:t xml:space="preserve">sổ tiết sẽ bị cấm thi và nhậi! </w:t>
      </w:r>
      <w:r>
        <w:rPr>
          <w:rFonts w:ascii="MS Gothic" w:eastAsia="MS Gothic" w:hAnsi="MS Gothic" w:cs="MS Gothic"/>
          <w:color w:val="000000"/>
          <w:spacing w:val="0"/>
          <w:w w:val="100"/>
          <w:position w:val="0"/>
          <w:sz w:val="22"/>
          <w:szCs w:val="22"/>
          <w:shd w:val="clear" w:color="auto" w:fill="auto"/>
          <w:lang w:val="ja-JP" w:eastAsia="ja-JP" w:bidi="ja-JP"/>
        </w:rPr>
        <w:t xml:space="preserve">〇 </w:t>
      </w:r>
      <w:r>
        <w:rPr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vi-VN" w:eastAsia="vi-VN" w:bidi="vi-VN"/>
        </w:rPr>
        <w:t>điểm cho kỳ thi</w:t>
        <w:br/>
        <w:t>cuối kỳ.</w:t>
      </w:r>
    </w:p>
    <w:p>
      <w:pPr>
        <w:pStyle w:val="Style6"/>
        <w:keepNext w:val="0"/>
        <w:keepLines w:val="0"/>
        <w:widowControl w:val="0"/>
        <w:shd w:val="clear" w:color="auto" w:fill="auto"/>
        <w:bidi w:val="0"/>
        <w:spacing w:before="0" w:after="8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vi-VN" w:eastAsia="vi-VN" w:bidi="vi-VN"/>
        </w:rPr>
        <w:t>VII. ĐẢNH GIÁ HỌC PHẢN:</w:t>
      </w:r>
    </w:p>
    <w:p>
      <w:pPr>
        <w:pStyle w:val="Style6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vi-VN" w:eastAsia="vi-VN" w:bidi="vi-VN"/>
        </w:rPr>
        <w:t>1.Đánh giá quá trình:</w:t>
      </w:r>
    </w:p>
    <w:tbl>
      <w:tblPr>
        <w:tblOverlap w:val="never"/>
        <w:jc w:val="center"/>
        <w:tblLayout w:type="fixed"/>
      </w:tblPr>
      <w:tblGrid>
        <w:gridCol w:w="2870"/>
        <w:gridCol w:w="2712"/>
        <w:gridCol w:w="1886"/>
        <w:gridCol w:w="1824"/>
      </w:tblGrid>
      <w:tr>
        <w:trPr>
          <w:trHeight w:val="466" w:hRule="exact"/>
        </w:trPr>
        <w:tc>
          <w:tcPr>
            <w:tcBorders/>
            <w:shd w:val="clear" w:color="auto" w:fill="0370BE"/>
            <w:vAlign w:val="top"/>
          </w:tcPr>
          <w:p>
            <w:pPr>
              <w:pStyle w:val="Style8"/>
              <w:keepNext w:val="0"/>
              <w:keepLines w:val="0"/>
              <w:widowControl w:val="0"/>
              <w:pBdr>
                <w:top w:val="single" w:sz="0" w:space="0" w:color="0270BF"/>
                <w:left w:val="single" w:sz="0" w:space="0" w:color="0270BF"/>
                <w:bottom w:val="single" w:sz="0" w:space="0" w:color="0270BF"/>
                <w:right w:val="single" w:sz="0" w:space="0" w:color="0270BF"/>
              </w:pBdr>
              <w:shd w:val="clear" w:color="auto" w:fill="0270BF"/>
              <w:bidi w:val="0"/>
              <w:spacing w:before="80" w:after="0" w:line="240" w:lineRule="auto"/>
              <w:ind w:left="0" w:right="0" w:firstLine="0"/>
              <w:jc w:val="left"/>
            </w:pPr>
            <w:r>
              <w:rPr>
                <w:b/>
                <w:bCs/>
                <w:color w:val="FFFFFF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Hình thức</w:t>
            </w:r>
          </w:p>
        </w:tc>
        <w:tc>
          <w:tcPr>
            <w:tcBorders/>
            <w:shd w:val="clear" w:color="auto" w:fill="0370BE"/>
            <w:vAlign w:val="top"/>
          </w:tcPr>
          <w:p>
            <w:pPr>
              <w:pStyle w:val="Style8"/>
              <w:keepNext w:val="0"/>
              <w:keepLines w:val="0"/>
              <w:widowControl w:val="0"/>
              <w:pBdr>
                <w:top w:val="single" w:sz="0" w:space="0" w:color="0270BE"/>
                <w:left w:val="single" w:sz="0" w:space="0" w:color="0270BE"/>
                <w:bottom w:val="single" w:sz="0" w:space="0" w:color="0270BE"/>
                <w:right w:val="single" w:sz="0" w:space="0" w:color="0270BE"/>
              </w:pBdr>
              <w:shd w:val="clear" w:color="auto" w:fill="0270BE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b/>
                <w:bCs/>
                <w:color w:val="FFFFFF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số lần</w:t>
            </w:r>
          </w:p>
        </w:tc>
        <w:tc>
          <w:tcPr>
            <w:tcBorders/>
            <w:shd w:val="clear" w:color="auto" w:fill="0370BE"/>
            <w:vAlign w:val="top"/>
          </w:tcPr>
          <w:p>
            <w:pPr>
              <w:pStyle w:val="Style8"/>
              <w:keepNext w:val="0"/>
              <w:keepLines w:val="0"/>
              <w:widowControl w:val="0"/>
              <w:pBdr>
                <w:top w:val="single" w:sz="0" w:space="0" w:color="036EBB"/>
                <w:left w:val="single" w:sz="0" w:space="0" w:color="036EBB"/>
                <w:bottom w:val="single" w:sz="0" w:space="0" w:color="036EBB"/>
                <w:right w:val="single" w:sz="0" w:space="0" w:color="036EBB"/>
              </w:pBdr>
              <w:shd w:val="clear" w:color="auto" w:fill="036EBB"/>
              <w:bidi w:val="0"/>
              <w:spacing w:before="0" w:after="0" w:line="240" w:lineRule="auto"/>
              <w:ind w:left="80" w:right="0" w:firstLine="0"/>
              <w:jc w:val="center"/>
            </w:pPr>
            <w:r>
              <w:rPr>
                <w:b/>
                <w:bCs/>
                <w:color w:val="FFFFFF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 xml:space="preserve">Trọng số </w:t>
            </w:r>
            <w:r>
              <w:rPr>
                <w:b/>
                <w:bCs/>
                <w:color w:val="FFFFFF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ja-JP" w:eastAsia="ja-JP" w:bidi="ja-JP"/>
              </w:rPr>
              <w:t>(%)</w:t>
            </w:r>
          </w:p>
        </w:tc>
        <w:tc>
          <w:tcPr>
            <w:tcBorders/>
            <w:shd w:val="clear" w:color="auto" w:fill="0370BE"/>
            <w:vAlign w:val="top"/>
          </w:tcPr>
          <w:p>
            <w:pPr>
              <w:pStyle w:val="Style8"/>
              <w:keepNext w:val="0"/>
              <w:keepLines w:val="0"/>
              <w:widowControl w:val="0"/>
              <w:pBdr>
                <w:top w:val="single" w:sz="0" w:space="0" w:color="0370BE"/>
                <w:left w:val="single" w:sz="0" w:space="0" w:color="0370BE"/>
                <w:bottom w:val="single" w:sz="0" w:space="0" w:color="0370BE"/>
                <w:right w:val="single" w:sz="0" w:space="0" w:color="0370BE"/>
              </w:pBdr>
              <w:shd w:val="clear" w:color="auto" w:fill="0370BE"/>
              <w:bidi w:val="0"/>
              <w:spacing w:before="80" w:after="0" w:line="240" w:lineRule="auto"/>
              <w:ind w:left="0" w:right="0" w:firstLine="0"/>
              <w:jc w:val="left"/>
            </w:pPr>
            <w:r>
              <w:rPr>
                <w:b/>
                <w:bCs/>
                <w:color w:val="FFFFFF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Ghi chú</w:t>
            </w:r>
          </w:p>
        </w:tc>
      </w:tr>
      <w:tr>
        <w:trPr>
          <w:trHeight w:val="442" w:hRule="exact"/>
        </w:trPr>
        <w:tc>
          <w:tcPr>
            <w:tcBorders>
              <w:left w:val="single" w:sz="4"/>
            </w:tcBorders>
            <w:shd w:val="clear" w:color="auto" w:fill="FFFFFF"/>
            <w:vAlign w:val="top"/>
          </w:tcPr>
          <w:p>
            <w:pPr>
              <w:pStyle w:val="Style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Chuyên cần</w:t>
            </w:r>
          </w:p>
        </w:tc>
        <w:tc>
          <w:tcPr>
            <w:tcBorders>
              <w:left w:val="single" w:sz="4"/>
            </w:tcBorders>
            <w:shd w:val="clear" w:color="auto" w:fill="FFFFFF"/>
            <w:vAlign w:val="center"/>
          </w:tcPr>
          <w:p>
            <w:pPr>
              <w:pStyle w:val="Style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1</w:t>
            </w:r>
          </w:p>
        </w:tc>
        <w:tc>
          <w:tcPr>
            <w:tcBorders>
              <w:left w:val="single" w:sz="4"/>
            </w:tcBorders>
            <w:shd w:val="clear" w:color="auto" w:fill="FFFFFF"/>
            <w:vAlign w:val="center"/>
          </w:tcPr>
          <w:p>
            <w:pPr>
              <w:pStyle w:val="Style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ja-JP" w:eastAsia="ja-JP" w:bidi="ja-JP"/>
              </w:rPr>
              <w:t>10%</w:t>
            </w:r>
          </w:p>
        </w:tc>
        <w:tc>
          <w:tcPr>
            <w:tcBorders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456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Tự luận + Trắc nghiệm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1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ja-JP" w:eastAsia="ja-JP" w:bidi="ja-JP"/>
              </w:rPr>
              <w:t>30%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Thi giữa kỳ</w:t>
            </w:r>
          </w:p>
        </w:tc>
      </w:tr>
    </w:tbl>
    <w:p>
      <w:pPr>
        <w:widowControl w:val="0"/>
        <w:spacing w:after="339" w:line="1" w:lineRule="exact"/>
      </w:pPr>
    </w:p>
    <w:p>
      <w:pPr>
        <w:pStyle w:val="Style6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vi-VN" w:eastAsia="vi-VN" w:bidi="vi-VN"/>
        </w:rPr>
        <w:t>2. Thi kết thúc học phần:</w:t>
      </w:r>
    </w:p>
    <w:tbl>
      <w:tblPr>
        <w:tblOverlap w:val="never"/>
        <w:jc w:val="center"/>
        <w:tblLayout w:type="fixed"/>
      </w:tblPr>
      <w:tblGrid>
        <w:gridCol w:w="2102"/>
        <w:gridCol w:w="2410"/>
        <w:gridCol w:w="1891"/>
        <w:gridCol w:w="3274"/>
      </w:tblGrid>
      <w:tr>
        <w:trPr>
          <w:trHeight w:val="466" w:hRule="exact"/>
        </w:trPr>
        <w:tc>
          <w:tcPr>
            <w:tcBorders/>
            <w:shd w:val="clear" w:color="auto" w:fill="0370BE"/>
            <w:vAlign w:val="top"/>
          </w:tcPr>
          <w:p>
            <w:pPr>
              <w:pStyle w:val="Style8"/>
              <w:keepNext w:val="0"/>
              <w:keepLines w:val="0"/>
              <w:widowControl w:val="0"/>
              <w:pBdr>
                <w:top w:val="single" w:sz="0" w:space="0" w:color="0370BE"/>
                <w:left w:val="single" w:sz="0" w:space="0" w:color="0370BE"/>
                <w:bottom w:val="single" w:sz="0" w:space="0" w:color="0370BE"/>
                <w:right w:val="single" w:sz="0" w:space="0" w:color="0370BE"/>
              </w:pBdr>
              <w:shd w:val="clear" w:color="auto" w:fill="0370BE"/>
              <w:bidi w:val="0"/>
              <w:spacing w:before="80" w:after="0" w:line="240" w:lineRule="auto"/>
              <w:ind w:left="0" w:right="0" w:firstLine="280"/>
              <w:jc w:val="left"/>
            </w:pPr>
            <w:r>
              <w:rPr>
                <w:b/>
                <w:bCs/>
                <w:color w:val="FFFFFF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Hình thức thi</w:t>
            </w:r>
          </w:p>
        </w:tc>
        <w:tc>
          <w:tcPr>
            <w:tcBorders/>
            <w:shd w:val="clear" w:color="auto" w:fill="0370BE"/>
            <w:vAlign w:val="top"/>
          </w:tcPr>
          <w:p>
            <w:pPr>
              <w:pStyle w:val="Style8"/>
              <w:keepNext w:val="0"/>
              <w:keepLines w:val="0"/>
              <w:widowControl w:val="0"/>
              <w:pBdr>
                <w:top w:val="single" w:sz="0" w:space="0" w:color="0370BE"/>
                <w:left w:val="single" w:sz="0" w:space="0" w:color="0370BE"/>
                <w:bottom w:val="single" w:sz="0" w:space="0" w:color="0370BE"/>
                <w:right w:val="single" w:sz="0" w:space="0" w:color="0370BE"/>
              </w:pBdr>
              <w:shd w:val="clear" w:color="auto" w:fill="0370BE"/>
              <w:bidi w:val="0"/>
              <w:spacing w:before="80" w:after="0" w:line="240" w:lineRule="auto"/>
              <w:ind w:left="0" w:right="0" w:firstLine="0"/>
              <w:jc w:val="center"/>
            </w:pPr>
            <w:r>
              <w:rPr>
                <w:b/>
                <w:bCs/>
                <w:color w:val="FFFFFF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Thời lượng (phút)</w:t>
            </w:r>
          </w:p>
        </w:tc>
        <w:tc>
          <w:tcPr>
            <w:tcBorders/>
            <w:shd w:val="clear" w:color="auto" w:fill="0370BE"/>
            <w:vAlign w:val="top"/>
          </w:tcPr>
          <w:p>
            <w:pPr>
              <w:pStyle w:val="Style8"/>
              <w:keepNext w:val="0"/>
              <w:keepLines w:val="0"/>
              <w:widowControl w:val="0"/>
              <w:pBdr>
                <w:top w:val="single" w:sz="0" w:space="0" w:color="0370BE"/>
                <w:left w:val="single" w:sz="0" w:space="0" w:color="0370BE"/>
                <w:bottom w:val="single" w:sz="0" w:space="0" w:color="0370BE"/>
                <w:right w:val="single" w:sz="0" w:space="0" w:color="0370BE"/>
              </w:pBdr>
              <w:shd w:val="clear" w:color="auto" w:fill="0370BE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color w:val="FFFFFF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 xml:space="preserve">Trọng sổ </w:t>
            </w:r>
            <w:r>
              <w:rPr>
                <w:b/>
                <w:bCs/>
                <w:color w:val="FFFFFF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ja-JP" w:eastAsia="ja-JP" w:bidi="ja-JP"/>
              </w:rPr>
              <w:t>(%)</w:t>
            </w:r>
          </w:p>
        </w:tc>
        <w:tc>
          <w:tcPr>
            <w:tcBorders/>
            <w:shd w:val="clear" w:color="auto" w:fill="0370BE"/>
            <w:vAlign w:val="top"/>
          </w:tcPr>
          <w:p>
            <w:pPr>
              <w:pStyle w:val="Style8"/>
              <w:keepNext w:val="0"/>
              <w:keepLines w:val="0"/>
              <w:widowControl w:val="0"/>
              <w:pBdr>
                <w:top w:val="single" w:sz="0" w:space="0" w:color="0270BF"/>
                <w:left w:val="single" w:sz="0" w:space="0" w:color="0270BF"/>
                <w:bottom w:val="single" w:sz="0" w:space="0" w:color="0270BF"/>
                <w:right w:val="single" w:sz="0" w:space="0" w:color="0270BF"/>
              </w:pBdr>
              <w:shd w:val="clear" w:color="auto" w:fill="0270BF"/>
              <w:bidi w:val="0"/>
              <w:spacing w:before="80" w:after="0" w:line="240" w:lineRule="auto"/>
              <w:ind w:left="0" w:right="0" w:firstLine="0"/>
              <w:jc w:val="center"/>
            </w:pPr>
            <w:r>
              <w:rPr>
                <w:b/>
                <w:bCs/>
                <w:color w:val="FFFFFF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Ghi chú</w:t>
            </w:r>
          </w:p>
        </w:tc>
      </w:tr>
      <w:tr>
        <w:trPr>
          <w:trHeight w:val="773" w:hRule="exact"/>
        </w:trPr>
        <w:tc>
          <w:tcPr>
            <w:tcBorders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26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Tự luận 4</w:t>
            </w: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ja-JP" w:eastAsia="ja-JP" w:bidi="ja-JP"/>
              </w:rPr>
              <w:t xml:space="preserve">- </w:t>
            </w: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trắc</w:t>
              <w:br/>
              <w:t>nghiệm</w:t>
            </w:r>
          </w:p>
        </w:tc>
        <w:tc>
          <w:tcPr>
            <w:tcBorders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60 phút</w:t>
            </w:r>
          </w:p>
        </w:tc>
        <w:tc>
          <w:tcPr>
            <w:tcBorders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ja-JP" w:eastAsia="ja-JP" w:bidi="ja-JP"/>
              </w:rPr>
              <w:t>60%</w:t>
            </w:r>
          </w:p>
        </w:tc>
        <w:tc>
          <w:tcPr>
            <w:tcBorders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26" w:lineRule="auto"/>
              <w:ind w:left="0" w:right="0" w:firstLine="0"/>
              <w:jc w:val="center"/>
            </w:pPr>
            <w:r>
              <w:rPr>
                <w:i/>
                <w:iCs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Sinh viên thi cuối kỳ sử dụng</w:t>
              <w:br/>
              <w:t>bút mực phù hợp với quy chế</w:t>
            </w:r>
          </w:p>
        </w:tc>
      </w:tr>
    </w:tbl>
    <w:p>
      <w:pPr>
        <w:widowControl w:val="0"/>
        <w:spacing w:after="339" w:line="1" w:lineRule="exact"/>
      </w:pP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 w:line="326" w:lineRule="auto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vi-VN" w:eastAsia="vi-VN" w:bidi="vi-VN"/>
        </w:rPr>
        <w:t>VHI. HƯỚNG DẪN THựC HIỆN: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 w:line="326" w:lineRule="auto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vi-VN" w:eastAsia="vi-VN" w:bidi="vi-VN"/>
        </w:rPr>
        <w:t>1.về phương pháp giảng dạy, học tập: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line="326" w:lineRule="auto"/>
        <w:ind w:left="720" w:right="0" w:hanging="340"/>
        <w:jc w:val="left"/>
      </w:pPr>
      <w:r>
        <w:rPr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vi-VN" w:eastAsia="vi-VN" w:bidi="vi-VN"/>
        </w:rPr>
        <w:t>• Phương pháp giảng dạy hiện đại, lấy sinh viên làm trọng tâm, tổ chức các hoạt</w:t>
        <w:br/>
        <w:t>động Iihóm để sinh viên chủ động thảo luận các chủ đề viết, suy luận và sắp xếp ý</w:t>
        <w:br/>
        <w:t>tưởng, tổ chức các hoạt động dạy kỹ năng viết tích hợp với các kỹ năng khác.</w:t>
      </w:r>
    </w:p>
    <w:sectPr>
      <w:footnotePr>
        <w:pos w:val="pageBottom"/>
        <w:numFmt w:val="decimal"/>
        <w:numRestart w:val="continuous"/>
      </w:footnotePr>
      <w:pgSz w:w="12240" w:h="15840"/>
      <w:pgMar w:top="1438" w:left="1396" w:right="961" w:bottom="1438" w:header="1010" w:footer="1010" w:gutter="0"/>
      <w:pgNumType w:start="1"/>
      <w:cols w:space="720"/>
      <w:noEndnote/>
      <w:rtlGutter w:val="0"/>
      <w:docGrid w:linePitch="360"/>
    </w:sectPr>
  </w:body>
</w:document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abstractNum w:abstractNumId="0">
    <w:multiLevelType w:val="multilevel"/>
    <w:lvl w:ilvl="0">
      <w:start w:val="1"/>
      <w:numFmt w:val="decimal"/>
      <w:lvlText w:val="%1.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vi-VN" w:eastAsia="vi-VN" w:bidi="vi-VN"/>
      </w:rPr>
    </w:lvl>
  </w:abstractNum>
  <w:abstractNum w:abstractNumId="2">
    <w:multiLevelType w:val="multilevel"/>
    <w:lvl w:ilvl="0">
      <w:start w:val="1"/>
      <w:numFmt w:val="bullet"/>
      <w:lvlText w:val="-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ja-JP" w:eastAsia="ja-JP" w:bidi="ja-JP"/>
      </w:rPr>
    </w:lvl>
  </w:abstractNum>
  <w:num w:numId="1">
    <w:abstractNumId w:val="0"/>
  </w:num>
  <w:num w:numId="3">
    <w:abstractNumId w:val="2"/>
  </w:num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zoom w:val="fullPage"/>
  <w:drawingGridHorizontalSpacing w:val="181"/>
  <w:drawingGridVerticalSpacing w:val="181"/>
  <w:displayHorizontalDrawingGridEvery w:val="1"/>
  <w:displayVerticalDrawingGridEvery w:val="1"/>
  <w:characterSpacingControl w:val="compressPunctuation"/>
  <w:footnotePr>
    <w:pos w:val="pageBottom"/>
    <w:numFmt w:val="decimal"/>
    <w:numRestart w:val="continuous"/>
    <w:footnote w:id="0"/>
    <w:footnote w:id="1"/>
  </w:footnotePr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docDefaults>
    <w:rPrDefault>
      <w:rPr>
        <w:rFonts w:ascii="Microsoft JhengHei Light" w:eastAsia="Microsoft JhengHei Light" w:hAnsi="Microsoft JhengHei Light" w:cs="Microsoft JhengHei Light"/>
        <w:sz w:val="24"/>
        <w:szCs w:val="24"/>
        <w:lang w:val="vi-VN" w:eastAsia="vi-VN" w:bidi="vi-VN"/>
      </w:rPr>
    </w:rPrDefault>
    <w:pPrDefault>
      <w:pPr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</w:pPrDefault>
  </w:docDefaults>
  <w:style w:type="paragraph" w:default="1" w:styleId="Normal">
    <w:name w:val="Normal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Microsoft JhengHei Light" w:eastAsia="Microsoft JhengHei Light" w:hAnsi="Microsoft JhengHei Light" w:cs="Microsoft JhengHei Light"/>
      <w:color w:val="000000"/>
      <w:spacing w:val="0"/>
      <w:w w:val="100"/>
      <w:position w:val="0"/>
      <w:sz w:val="24"/>
      <w:szCs w:val="24"/>
      <w:shd w:val="clear" w:color="auto" w:fill="auto"/>
      <w:lang w:val="vi-VN" w:eastAsia="vi-VN" w:bidi="vi-VN"/>
    </w:rPr>
  </w:style>
  <w:style w:type="character" w:default="1" w:styleId="DefaultParagraphFont">
    <w:name w:val="Default Paragraph Font"/>
    <w:rPr>
      <w:rFonts w:ascii="Microsoft JhengHei Light" w:eastAsia="Microsoft JhengHei Light" w:hAnsi="Microsoft JhengHei Light" w:cs="Microsoft JhengHei Light"/>
      <w:color w:val="000000"/>
      <w:spacing w:val="0"/>
      <w:w w:val="100"/>
      <w:position w:val="0"/>
      <w:sz w:val="24"/>
      <w:szCs w:val="24"/>
      <w:shd w:val="clear" w:color="auto" w:fill="auto"/>
      <w:lang w:val="vi-VN" w:eastAsia="vi-VN" w:bidi="vi-VN"/>
    </w:rPr>
  </w:style>
  <w:style w:type="character" w:customStyle="1" w:styleId="CharStyle3">
    <w:name w:val="正文文本_"/>
    <w:basedOn w:val="DefaultParagraphFont"/>
    <w:link w:val="Style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CharStyle7">
    <w:name w:val="表格标题_"/>
    <w:basedOn w:val="DefaultParagraphFont"/>
    <w:link w:val="Style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CharStyle9">
    <w:name w:val="其他_"/>
    <w:basedOn w:val="DefaultParagraphFont"/>
    <w:link w:val="Style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Style2">
    <w:name w:val="正文文本"/>
    <w:basedOn w:val="Normal"/>
    <w:link w:val="CharStyle3"/>
    <w:pPr>
      <w:widowControl w:val="0"/>
      <w:shd w:val="clear" w:color="auto" w:fill="FFFFFF"/>
      <w:spacing w:after="80" w:line="329" w:lineRule="auto"/>
      <w:ind w:firstLine="380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Style6">
    <w:name w:val="表格标题"/>
    <w:basedOn w:val="Normal"/>
    <w:link w:val="CharStyle7"/>
    <w:pPr>
      <w:widowControl w:val="0"/>
      <w:shd w:val="clear" w:color="auto" w:fill="FFFFFF"/>
      <w:spacing w:after="40"/>
    </w:pPr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paragraph" w:customStyle="1" w:styleId="Style8">
    <w:name w:val="其他"/>
    <w:basedOn w:val="Normal"/>
    <w:link w:val="CharStyle9"/>
    <w:pPr>
      <w:widowControl w:val="0"/>
      <w:shd w:val="clear" w:color="auto" w:fill="FFFFFF"/>
      <w:spacing w:after="80" w:line="329" w:lineRule="auto"/>
      <w:ind w:firstLine="380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/Relationships>
</file>