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60" w:line="240" w:lineRule="auto"/>
        <w:ind w:left="0" w:right="0" w:firstLine="760"/>
        <w:jc w:val="left"/>
      </w:pPr>
      <w: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3961765</wp:posOffset>
                </wp:positionH>
                <wp:positionV relativeFrom="paragraph">
                  <wp:posOffset>12700</wp:posOffset>
                </wp:positionV>
                <wp:extent cx="3221990" cy="429895"/>
                <wp:wrapSquare wrapText="bothSides"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3221990" cy="42989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6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shd w:val="clear" w:color="auto" w:fill="auto"/>
                                <w:lang w:val="vi-VN" w:eastAsia="vi-VN" w:bidi="vi-VN"/>
                              </w:rPr>
                              <w:t>CỘNG HÒA XÃ HỘI CHỦ NGHĨA VIỆT NAM</w:t>
                            </w:r>
                          </w:p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shd w:val="clear" w:color="auto" w:fill="auto"/>
                                <w:lang w:val="vi-VN" w:eastAsia="vi-VN" w:bidi="vi-VN"/>
                              </w:rPr>
                              <w:t xml:space="preserve">Độc lập </w:t>
                            </w:r>
                            <w:r>
                              <w:rPr>
                                <w:rFonts w:ascii="MS Gothic" w:eastAsia="MS Gothic" w:hAnsi="MS Gothic" w:cs="MS Gothic"/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  <w:shd w:val="clear" w:color="auto" w:fill="auto"/>
                                <w:lang w:val="ja-JP" w:eastAsia="ja-JP" w:bidi="ja-JP"/>
                              </w:rPr>
                              <w:t xml:space="preserve">一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shd w:val="clear" w:color="auto" w:fill="auto"/>
                                <w:lang w:val="vi-VN" w:eastAsia="vi-VN" w:bidi="vi-VN"/>
                              </w:rPr>
                              <w:t xml:space="preserve">Tự do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shd w:val="clear" w:color="auto" w:fill="auto"/>
                                <w:lang w:val="ja-JP" w:eastAsia="ja-JP" w:bidi="ja-JP"/>
                              </w:rPr>
                              <w:t xml:space="preserve">-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shd w:val="clear" w:color="auto" w:fill="auto"/>
                                <w:lang w:val="vi-VN" w:eastAsia="vi-VN" w:bidi="vi-VN"/>
                              </w:rPr>
                              <w:t>Hạnh phúc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311.94999999999999pt;margin-top:1.pt;width:253.69999999999999pt;height:33.850000000000001pt;z-index:-125829375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60" w:line="240" w:lineRule="auto"/>
                        <w:ind w:left="0" w:right="0" w:firstLine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shd w:val="clear" w:color="auto" w:fill="auto"/>
                          <w:lang w:val="vi-VN" w:eastAsia="vi-VN" w:bidi="vi-VN"/>
                        </w:rPr>
                        <w:t>CỘNG HÒA XÃ HỘI CHỦ NGHĨA VIỆT NAM</w:t>
                      </w:r>
                    </w:p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shd w:val="clear" w:color="auto" w:fill="auto"/>
                          <w:lang w:val="vi-VN" w:eastAsia="vi-VN" w:bidi="vi-VN"/>
                        </w:rPr>
                        <w:t xml:space="preserve">Độc lập </w:t>
                      </w:r>
                      <w:r>
                        <w:rPr>
                          <w:rFonts w:ascii="MS Gothic" w:eastAsia="MS Gothic" w:hAnsi="MS Gothic" w:cs="MS Gothic"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  <w:shd w:val="clear" w:color="auto" w:fill="auto"/>
                          <w:lang w:val="ja-JP" w:eastAsia="ja-JP" w:bidi="ja-JP"/>
                        </w:rPr>
                        <w:t xml:space="preserve">一 </w:t>
                      </w: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shd w:val="clear" w:color="auto" w:fill="auto"/>
                          <w:lang w:val="vi-VN" w:eastAsia="vi-VN" w:bidi="vi-VN"/>
                        </w:rPr>
                        <w:t xml:space="preserve">Tự do </w:t>
                      </w: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shd w:val="clear" w:color="auto" w:fill="auto"/>
                          <w:lang w:val="ja-JP" w:eastAsia="ja-JP" w:bidi="ja-JP"/>
                        </w:rPr>
                        <w:t xml:space="preserve">- </w:t>
                      </w: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shd w:val="clear" w:color="auto" w:fill="auto"/>
                          <w:lang w:val="vi-VN" w:eastAsia="vi-VN" w:bidi="vi-VN"/>
                        </w:rPr>
                        <w:t>Hạnh phúc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UỶ BAN NHÂN DÂN TP.HCM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420" w:line="240" w:lineRule="auto"/>
        <w:ind w:left="0" w:right="0" w:firstLine="860"/>
        <w:jc w:val="left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TRƯỜNG CĐCN THỦ ĐỨC</w:t>
      </w:r>
    </w:p>
    <w:p>
      <w:pPr>
        <w:pStyle w:val="Style6"/>
        <w:keepNext w:val="0"/>
        <w:keepLines w:val="0"/>
        <w:widowControl w:val="0"/>
        <w:shd w:val="clear" w:color="auto" w:fill="auto"/>
        <w:bidi w:val="0"/>
        <w:spacing w:before="0" w:line="240" w:lineRule="auto"/>
        <w:ind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CHƯƠNG TRÌNH CHI TIẾT HỌC PHẦN</w:t>
      </w:r>
    </w:p>
    <w:tbl>
      <w:tblPr>
        <w:tblOverlap w:val="never"/>
        <w:jc w:val="right"/>
        <w:tblLayout w:type="fixed"/>
      </w:tblPr>
      <w:tblGrid>
        <w:gridCol w:w="2702"/>
        <w:gridCol w:w="5323"/>
      </w:tblGrid>
      <w:tr>
        <w:trPr>
          <w:trHeight w:val="518" w:hRule="exact"/>
        </w:trPr>
        <w:tc>
          <w:tcPr>
            <w:tcBorders/>
            <w:shd w:val="clear" w:color="auto" w:fill="FFFFFF"/>
            <w:vAlign w:val="bottom"/>
          </w:tcPr>
          <w:p>
            <w:pPr>
              <w:pStyle w:val="Style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color w:val="478697"/>
                <w:spacing w:val="0"/>
                <w:w w:val="100"/>
                <w:position w:val="0"/>
                <w:sz w:val="14"/>
                <w:szCs w:val="14"/>
                <w:shd w:val="clear" w:color="auto" w:fill="auto"/>
                <w:lang w:val="vi-VN" w:eastAsia="vi-VN" w:bidi="vi-VN"/>
              </w:rPr>
              <w:t>ISO 9001:2008</w:t>
            </w:r>
          </w:p>
        </w:tc>
        <w:tc>
          <w:tcPr>
            <w:tcBorders/>
            <w:shd w:val="clear" w:color="auto" w:fill="FFFFFF"/>
            <w:vAlign w:val="top"/>
          </w:tcPr>
          <w:p>
            <w:pPr>
              <w:pStyle w:val="Style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NGÀNH: TIÉNG NHẬT</w:t>
            </w:r>
          </w:p>
        </w:tc>
      </w:tr>
    </w:tbl>
    <w:p>
      <w:pPr>
        <w:widowControl w:val="0"/>
        <w:spacing w:after="619" w:line="1" w:lineRule="exact"/>
      </w:pP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54" w:val="left"/>
        </w:tabs>
        <w:bidi w:val="0"/>
        <w:spacing w:before="0" w:after="0" w:line="300" w:lineRule="auto"/>
        <w:ind w:left="0" w:right="0" w:firstLine="0"/>
        <w:jc w:val="left"/>
        <w:rPr>
          <w:sz w:val="26"/>
          <w:szCs w:val="26"/>
        </w:rPr>
      </w:pPr>
      <w:r>
        <w:rPr>
          <w:b/>
          <w:bCs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vi-VN" w:eastAsia="vi-VN" w:bidi="vi-VN"/>
        </w:rPr>
        <w:t>THÔNG TIN CHUNG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732" w:val="left"/>
        </w:tabs>
        <w:bidi w:val="0"/>
        <w:spacing w:before="0" w:after="0"/>
        <w:ind w:left="0" w:right="0" w:firstLine="38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Tên học phần: Ngữ pháp tiếng Nhật 2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732" w:val="left"/>
        </w:tabs>
        <w:bidi w:val="0"/>
        <w:spacing w:before="0" w:after="0"/>
        <w:ind w:left="0" w:right="0" w:firstLine="38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Mã học phần: CSK1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ja-JP" w:eastAsia="ja-JP" w:bidi="ja-JP"/>
        </w:rPr>
        <w:t>30012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38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ja-JP" w:eastAsia="ja-JP" w:bidi="ja-JP"/>
        </w:rPr>
        <w:t>-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Trinh độ: Cao đẳng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732" w:val="left"/>
        </w:tabs>
        <w:bidi w:val="0"/>
        <w:spacing w:before="0" w:after="0"/>
        <w:ind w:left="0" w:right="0" w:firstLine="38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Áp dụng cho chuyên ngành: Tiếng Nhật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38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ja-JP" w:eastAsia="ja-JP" w:bidi="ja-JP"/>
        </w:rPr>
        <w:t>-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Số tín chỉ: 3 (Lý thuyết:1;Thực hành: 2)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38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ja-JP" w:eastAsia="ja-JP" w:bidi="ja-JP"/>
        </w:rPr>
        <w:t>-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Số giờ: 75 (Lý thuyết:15; Thực hành: 60)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732" w:val="left"/>
        </w:tabs>
        <w:bidi w:val="0"/>
        <w:spacing w:before="0" w:after="0"/>
        <w:ind w:left="0" w:right="0" w:firstLine="38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Loại học phần: Bắt buộc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732" w:val="left"/>
        </w:tabs>
        <w:bidi w:val="0"/>
        <w:spacing w:before="0" w:after="0"/>
        <w:ind w:left="0" w:right="0" w:firstLine="38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Môn học tnróc: Ngữ pháp tiếng Nhật 1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732" w:val="left"/>
        </w:tabs>
        <w:bidi w:val="0"/>
        <w:spacing w:before="0" w:after="0"/>
        <w:ind w:left="0" w:right="0" w:firstLine="38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Điều kiện tiên quyết: Không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450" w:val="left"/>
        </w:tabs>
        <w:bidi w:val="0"/>
        <w:spacing w:before="0" w:after="0" w:line="300" w:lineRule="auto"/>
        <w:ind w:left="0" w:right="0" w:firstLine="0"/>
        <w:jc w:val="left"/>
        <w:rPr>
          <w:sz w:val="26"/>
          <w:szCs w:val="26"/>
        </w:rPr>
      </w:pPr>
      <w:r>
        <w:rPr>
          <w:b/>
          <w:bCs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vi-VN" w:eastAsia="vi-VN" w:bidi="vi-VN"/>
        </w:rPr>
        <w:t>PHÂN BÔ THỜI LƯỢNG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732" w:val="left"/>
        </w:tabs>
        <w:bidi w:val="0"/>
        <w:spacing w:before="0" w:after="0"/>
        <w:ind w:left="0" w:right="0" w:firstLine="38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Lý thuyết:15 giờ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732" w:val="left"/>
        </w:tabs>
        <w:bidi w:val="0"/>
        <w:spacing w:before="0" w:after="0"/>
        <w:ind w:left="0" w:right="0" w:firstLine="38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Thực hành, Thảo luận, thí nghiệm, Bài tập: 60 giờ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732" w:val="left"/>
        </w:tabs>
        <w:bidi w:val="0"/>
        <w:spacing w:before="0" w:after="0"/>
        <w:ind w:left="0" w:right="0" w:firstLine="38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Tự học, tự nghiên cứu: 60 giờ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300" w:lineRule="auto"/>
        <w:ind w:left="0" w:right="0" w:firstLine="0"/>
        <w:jc w:val="left"/>
        <w:rPr>
          <w:sz w:val="26"/>
          <w:szCs w:val="26"/>
        </w:rPr>
      </w:pPr>
      <w:r>
        <w:rPr>
          <w:b/>
          <w:bCs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vi-VN" w:eastAsia="vi-VN" w:bidi="vi-VN"/>
        </w:rPr>
        <w:t>IH. VỊ TRÍ, TÍNH CHẤT CỦA HỌC PHẦN: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73" w:val="left"/>
        </w:tabs>
        <w:bidi w:val="0"/>
        <w:spacing w:before="0" w:after="0" w:line="300" w:lineRule="auto"/>
        <w:ind w:left="0" w:right="0" w:firstLine="0"/>
        <w:jc w:val="both"/>
        <w:rPr>
          <w:sz w:val="26"/>
          <w:szCs w:val="26"/>
        </w:rPr>
      </w:pPr>
      <w:r>
        <w:rPr>
          <w:b/>
          <w:bCs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vi-VN" w:eastAsia="vi-VN" w:bidi="vi-VN"/>
        </w:rPr>
        <w:t>Vị trí: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732" w:val="left"/>
        </w:tabs>
        <w:bidi w:val="0"/>
        <w:spacing w:before="0" w:after="0"/>
        <w:ind w:left="0" w:right="0" w:firstLine="38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Học phần được tổ chức giảng dạy vào học kỳ thứ 2 của chương trinh.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87" w:val="left"/>
        </w:tabs>
        <w:bidi w:val="0"/>
        <w:spacing w:before="0" w:after="0" w:line="300" w:lineRule="auto"/>
        <w:ind w:left="0" w:right="0" w:firstLine="0"/>
        <w:jc w:val="left"/>
        <w:rPr>
          <w:sz w:val="26"/>
          <w:szCs w:val="26"/>
        </w:rPr>
      </w:pPr>
      <w:r>
        <w:rPr>
          <w:b/>
          <w:bCs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vi-VN" w:eastAsia="vi-VN" w:bidi="vi-VN"/>
        </w:rPr>
        <w:t>Tính chất: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732" w:val="left"/>
        </w:tabs>
        <w:bidi w:val="0"/>
        <w:spacing w:before="0" w:after="0"/>
        <w:ind w:left="38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Hgc phần Ngữ pháp tiếng Nhật 2 giúp sinh viên biết cách chia động từ ở các dạng</w:t>
        <w:br/>
        <w:t>thể như: thể te, thể nai, thể ta, thể khả năng... từ đó, sinh viên có thể làm quen với kiểu</w:t>
        <w:br/>
        <w:t>văn thông thường và áp dụng chính xác từng tình huống ngữ pháp và tìnig đối tượng</w:t>
        <w:br/>
        <w:t>trong đàm thoại. Ớ học phần này, sinh viên sẽ viết và thực hành nlìũng mâu câu khá</w:t>
        <w:br/>
        <w:t>phức tạp hơn để diễn đạt rõ ý muốn thể hiện trong những tinh huống gặp phải khi giao</w:t>
        <w:br/>
        <w:t>tiếp.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300" w:lineRule="auto"/>
        <w:ind w:left="0" w:right="0" w:firstLine="0"/>
        <w:jc w:val="left"/>
        <w:rPr>
          <w:sz w:val="26"/>
          <w:szCs w:val="26"/>
        </w:rPr>
      </w:pPr>
      <w:r>
        <w:rPr>
          <w:b/>
          <w:bCs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vi-VN" w:eastAsia="vi-VN" w:bidi="vi-VN"/>
        </w:rPr>
        <w:t>IV. MỤC TIÊU CỦA HỌC PHẦN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60" w:line="300" w:lineRule="auto"/>
        <w:ind w:left="0" w:right="0" w:firstLine="0"/>
        <w:jc w:val="left"/>
        <w:rPr>
          <w:sz w:val="26"/>
          <w:szCs w:val="26"/>
        </w:rPr>
      </w:pPr>
      <w:r>
        <w:rPr>
          <w:b/>
          <w:bCs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vi-VN" w:eastAsia="vi-VN" w:bidi="vi-VN"/>
        </w:rPr>
        <w:t>1.Kiến thức:</w:t>
      </w:r>
    </w:p>
    <w:sectPr>
      <w:footnotePr>
        <w:pos w:val="pageBottom"/>
        <w:numFmt w:val="decimal"/>
        <w:numRestart w:val="continuous"/>
      </w:footnotePr>
      <w:pgSz w:w="12240" w:h="15840"/>
      <w:pgMar w:top="1425" w:left="1391" w:right="1388" w:bottom="1425" w:header="997" w:footer="997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upperRoman"/>
      <w:lvlText w:val="%1.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2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ja-JP" w:eastAsia="ja-JP" w:bidi="ja-JP"/>
      </w:rPr>
    </w:lvl>
  </w:abstractNum>
  <w:abstractNum w:abstractNumId="4">
    <w:multiLevelType w:val="multilevel"/>
    <w:lvl w:ilvl="0">
      <w:start w:val="1"/>
      <w:numFmt w:val="bullet"/>
      <w:lvlText w:val="・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6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正文文本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harStyle7">
    <w:name w:val="正文文本 (2)_"/>
    <w:basedOn w:val="DefaultParagraphFont"/>
    <w:link w:val="Styl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CharStyle9">
    <w:name w:val="其他_"/>
    <w:basedOn w:val="DefaultParagraphFont"/>
    <w:link w:val="Styl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Style2">
    <w:name w:val="正文文本"/>
    <w:basedOn w:val="Normal"/>
    <w:link w:val="CharStyle3"/>
    <w:pPr>
      <w:widowControl w:val="0"/>
      <w:shd w:val="clear" w:color="auto" w:fill="FFFFFF"/>
      <w:spacing w:line="324" w:lineRule="auto"/>
      <w:ind w:firstLine="19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Style6">
    <w:name w:val="正文文本 (2)"/>
    <w:basedOn w:val="Normal"/>
    <w:link w:val="CharStyle7"/>
    <w:pPr>
      <w:widowControl w:val="0"/>
      <w:shd w:val="clear" w:color="auto" w:fill="FFFFFF"/>
      <w:spacing w:after="60"/>
      <w:ind w:left="3280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paragraph" w:customStyle="1" w:styleId="Style8">
    <w:name w:val="其他"/>
    <w:basedOn w:val="Normal"/>
    <w:link w:val="CharStyle9"/>
    <w:pPr>
      <w:widowControl w:val="0"/>
      <w:shd w:val="clear" w:color="auto" w:fill="FFFFFF"/>
      <w:spacing w:line="324" w:lineRule="auto"/>
      <w:ind w:firstLine="19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