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360" w:line="326" w:lineRule="auto"/>
        <w:ind w:left="0" w:right="0" w:firstLine="56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ja-JP" w:eastAsia="ja-JP" w:bidi="ja-JP"/>
        </w:rPr>
        <w:t>-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 xml:space="preserve">Sinh viên phải tham dự tối thiểu 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ja-JP" w:eastAsia="ja-JP" w:bidi="ja-JP"/>
        </w:rPr>
        <w:t xml:space="preserve">80% 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sổ tiết, nghỉ học phải xin phép và có lý do</w:t>
        <w:br/>
        <w:t xml:space="preserve">chính đáng. Sinh viên vắng mặt quá 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ja-JP" w:eastAsia="ja-JP" w:bidi="ja-JP"/>
        </w:rPr>
        <w:t xml:space="preserve">20% 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 xml:space="preserve">số tiết sẽ bị cấm thi và nhận </w:t>
      </w:r>
      <w:r>
        <w:rPr>
          <w:rFonts w:ascii="MS Gothic" w:eastAsia="MS Gothic" w:hAnsi="MS Gothic" w:cs="MS Gothic"/>
          <w:color w:val="000000"/>
          <w:spacing w:val="0"/>
          <w:w w:val="100"/>
          <w:position w:val="0"/>
          <w:sz w:val="22"/>
          <w:szCs w:val="22"/>
          <w:shd w:val="clear" w:color="auto" w:fill="auto"/>
          <w:lang w:val="ja-JP" w:eastAsia="ja-JP" w:bidi="ja-JP"/>
        </w:rPr>
        <w:t xml:space="preserve">〇 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điểm cho kỳ thi</w:t>
        <w:br/>
        <w:t>cuối ky.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326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VII. ĐÁNH GIÁ HỌC PHẦN:</w:t>
      </w:r>
    </w:p>
    <w:p>
      <w:pPr>
        <w:pStyle w:val="Style6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1.Đánh giá quá trình:</w:t>
      </w:r>
    </w:p>
    <w:tbl>
      <w:tblPr>
        <w:tblOverlap w:val="never"/>
        <w:jc w:val="center"/>
        <w:tblLayout w:type="fixed"/>
      </w:tblPr>
      <w:tblGrid>
        <w:gridCol w:w="2875"/>
        <w:gridCol w:w="2707"/>
        <w:gridCol w:w="1891"/>
        <w:gridCol w:w="1824"/>
      </w:tblGrid>
      <w:tr>
        <w:trPr>
          <w:trHeight w:val="470" w:hRule="exact"/>
        </w:trPr>
        <w:tc>
          <w:tcPr>
            <w:tcBorders/>
            <w:shd w:val="clear" w:color="auto" w:fill="036FBC"/>
            <w:vAlign w:val="top"/>
          </w:tcPr>
          <w:p>
            <w:pPr>
              <w:pStyle w:val="Style8"/>
              <w:keepNext w:val="0"/>
              <w:keepLines w:val="0"/>
              <w:widowControl w:val="0"/>
              <w:pBdr>
                <w:top w:val="single" w:sz="0" w:space="0" w:color="0270BE"/>
                <w:left w:val="single" w:sz="0" w:space="0" w:color="0270BE"/>
                <w:bottom w:val="single" w:sz="0" w:space="0" w:color="0270BE"/>
                <w:right w:val="single" w:sz="0" w:space="0" w:color="0270BE"/>
              </w:pBdr>
              <w:shd w:val="clear" w:color="auto" w:fill="0270BE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b/>
                <w:bCs/>
                <w:color w:val="FFFFFF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Hình thức</w:t>
            </w:r>
          </w:p>
        </w:tc>
        <w:tc>
          <w:tcPr>
            <w:tcBorders/>
            <w:shd w:val="clear" w:color="auto" w:fill="036FBC"/>
            <w:vAlign w:val="top"/>
          </w:tcPr>
          <w:p>
            <w:pPr>
              <w:pStyle w:val="Style8"/>
              <w:keepNext w:val="0"/>
              <w:keepLines w:val="0"/>
              <w:widowControl w:val="0"/>
              <w:pBdr>
                <w:top w:val="single" w:sz="0" w:space="0" w:color="0270BE"/>
                <w:left w:val="single" w:sz="0" w:space="0" w:color="0270BE"/>
                <w:bottom w:val="single" w:sz="0" w:space="0" w:color="0270BE"/>
                <w:right w:val="single" w:sz="0" w:space="0" w:color="0270BE"/>
              </w:pBdr>
              <w:shd w:val="clear" w:color="auto" w:fill="0270BE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color w:val="FFFFFF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SỐ iần</w:t>
            </w:r>
          </w:p>
        </w:tc>
        <w:tc>
          <w:tcPr>
            <w:tcBorders/>
            <w:shd w:val="clear" w:color="auto" w:fill="036FBC"/>
            <w:vAlign w:val="top"/>
          </w:tcPr>
          <w:p>
            <w:pPr>
              <w:pStyle w:val="Style8"/>
              <w:keepNext w:val="0"/>
              <w:keepLines w:val="0"/>
              <w:widowControl w:val="0"/>
              <w:pBdr>
                <w:top w:val="single" w:sz="0" w:space="0" w:color="046EBB"/>
                <w:left w:val="single" w:sz="0" w:space="0" w:color="046EBB"/>
                <w:bottom w:val="single" w:sz="0" w:space="0" w:color="046EBB"/>
                <w:right w:val="single" w:sz="0" w:space="0" w:color="046EBB"/>
              </w:pBdr>
              <w:shd w:val="clear" w:color="auto" w:fill="046EBB"/>
              <w:bidi w:val="0"/>
              <w:spacing w:before="0" w:after="0" w:line="240" w:lineRule="auto"/>
              <w:ind w:left="80" w:right="0" w:firstLine="0"/>
              <w:jc w:val="center"/>
            </w:pPr>
            <w:r>
              <w:rPr>
                <w:b/>
                <w:bCs/>
                <w:color w:val="FFFFFF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Trọng số </w:t>
            </w:r>
            <w:r>
              <w:rPr>
                <w:b/>
                <w:bCs/>
                <w:color w:val="FFFFFF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(%)</w:t>
            </w:r>
          </w:p>
        </w:tc>
        <w:tc>
          <w:tcPr>
            <w:tcBorders/>
            <w:shd w:val="clear" w:color="auto" w:fill="036FBC"/>
            <w:vAlign w:val="top"/>
          </w:tcPr>
          <w:p>
            <w:pPr>
              <w:pStyle w:val="Style8"/>
              <w:keepNext w:val="0"/>
              <w:keepLines w:val="0"/>
              <w:widowControl w:val="0"/>
              <w:pBdr>
                <w:top w:val="single" w:sz="0" w:space="0" w:color="036EBC"/>
                <w:left w:val="single" w:sz="0" w:space="0" w:color="036EBC"/>
                <w:bottom w:val="single" w:sz="0" w:space="0" w:color="036EBC"/>
                <w:right w:val="single" w:sz="0" w:space="0" w:color="036EBC"/>
              </w:pBdr>
              <w:shd w:val="clear" w:color="auto" w:fill="036EBC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color w:val="FFFFFF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Ghi chú</w:t>
            </w:r>
          </w:p>
        </w:tc>
      </w:tr>
      <w:tr>
        <w:trPr>
          <w:trHeight w:val="442" w:hRule="exact"/>
        </w:trPr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>
              <w:pStyle w:val="Style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Chuyên cần</w:t>
            </w:r>
          </w:p>
        </w:tc>
        <w:tc>
          <w:tcPr>
            <w:tcBorders>
              <w:left w:val="single" w:sz="4"/>
            </w:tcBorders>
            <w:shd w:val="clear" w:color="auto" w:fill="FFFFFF"/>
            <w:vAlign w:val="center"/>
          </w:tcPr>
          <w:p>
            <w:pPr>
              <w:pStyle w:val="Style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</w:t>
            </w:r>
          </w:p>
        </w:tc>
        <w:tc>
          <w:tcPr>
            <w:tcBorders>
              <w:left w:val="single" w:sz="4"/>
            </w:tcBorders>
            <w:shd w:val="clear" w:color="auto" w:fill="FFFFFF"/>
            <w:vAlign w:val="center"/>
          </w:tcPr>
          <w:p>
            <w:pPr>
              <w:pStyle w:val="Style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10%</w:t>
            </w:r>
          </w:p>
        </w:tc>
        <w:tc>
          <w:tcPr>
            <w:tcBorders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5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Tự luận + Trắc nghiệm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30%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Thi giữa kỳ</w:t>
            </w:r>
          </w:p>
        </w:tc>
      </w:tr>
    </w:tbl>
    <w:p>
      <w:pPr>
        <w:widowControl w:val="0"/>
        <w:spacing w:after="359" w:line="1" w:lineRule="exact"/>
      </w:pPr>
    </w:p>
    <w:p>
      <w:pPr>
        <w:pStyle w:val="Style6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2・ Thi kết thúc học phần:</w:t>
      </w:r>
    </w:p>
    <w:tbl>
      <w:tblPr>
        <w:tblOverlap w:val="never"/>
        <w:jc w:val="center"/>
        <w:tblLayout w:type="fixed"/>
      </w:tblPr>
      <w:tblGrid>
        <w:gridCol w:w="2107"/>
        <w:gridCol w:w="2438"/>
        <w:gridCol w:w="1891"/>
        <w:gridCol w:w="3523"/>
      </w:tblGrid>
      <w:tr>
        <w:trPr>
          <w:trHeight w:val="470" w:hRule="exact"/>
        </w:trPr>
        <w:tc>
          <w:tcPr>
            <w:tcBorders/>
            <w:shd w:val="clear" w:color="auto" w:fill="036FBC"/>
            <w:vAlign w:val="top"/>
          </w:tcPr>
          <w:p>
            <w:pPr>
              <w:pStyle w:val="Style8"/>
              <w:keepNext w:val="0"/>
              <w:keepLines w:val="0"/>
              <w:widowControl w:val="0"/>
              <w:pBdr>
                <w:top w:val="single" w:sz="0" w:space="0" w:color="046EBB"/>
                <w:left w:val="single" w:sz="0" w:space="0" w:color="046EBB"/>
                <w:bottom w:val="single" w:sz="0" w:space="0" w:color="046EBB"/>
                <w:right w:val="single" w:sz="0" w:space="0" w:color="046EBB"/>
              </w:pBdr>
              <w:shd w:val="clear" w:color="auto" w:fill="046EBB"/>
              <w:bidi w:val="0"/>
              <w:spacing w:before="80" w:after="0" w:line="240" w:lineRule="auto"/>
              <w:ind w:left="0" w:right="0" w:firstLine="300"/>
              <w:jc w:val="left"/>
            </w:pPr>
            <w:r>
              <w:rPr>
                <w:b/>
                <w:bCs/>
                <w:color w:val="FFFFFF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Hình thức thi</w:t>
            </w:r>
          </w:p>
        </w:tc>
        <w:tc>
          <w:tcPr>
            <w:tcBorders/>
            <w:shd w:val="clear" w:color="auto" w:fill="036FBC"/>
            <w:vAlign w:val="top"/>
          </w:tcPr>
          <w:p>
            <w:pPr>
              <w:pStyle w:val="Style8"/>
              <w:keepNext w:val="0"/>
              <w:keepLines w:val="0"/>
              <w:widowControl w:val="0"/>
              <w:pBdr>
                <w:top w:val="single" w:sz="0" w:space="0" w:color="056DBB"/>
                <w:left w:val="single" w:sz="0" w:space="0" w:color="056DBB"/>
                <w:bottom w:val="single" w:sz="0" w:space="0" w:color="056DBB"/>
                <w:right w:val="single" w:sz="0" w:space="0" w:color="056DBB"/>
              </w:pBdr>
              <w:shd w:val="clear" w:color="auto" w:fill="056DBB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FFFFFF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Thời lượng (phút)</w:t>
            </w:r>
          </w:p>
        </w:tc>
        <w:tc>
          <w:tcPr>
            <w:tcBorders/>
            <w:shd w:val="clear" w:color="auto" w:fill="036FBC"/>
            <w:vAlign w:val="top"/>
          </w:tcPr>
          <w:p>
            <w:pPr>
              <w:pStyle w:val="Style8"/>
              <w:keepNext w:val="0"/>
              <w:keepLines w:val="0"/>
              <w:widowControl w:val="0"/>
              <w:pBdr>
                <w:top w:val="single" w:sz="0" w:space="0" w:color="056EBB"/>
                <w:left w:val="single" w:sz="0" w:space="0" w:color="056EBB"/>
                <w:bottom w:val="single" w:sz="0" w:space="0" w:color="056EBB"/>
                <w:right w:val="single" w:sz="0" w:space="0" w:color="056EBB"/>
              </w:pBdr>
              <w:shd w:val="clear" w:color="auto" w:fill="056EBB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FFFFFF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Trọng số </w:t>
            </w:r>
            <w:r>
              <w:rPr>
                <w:b/>
                <w:bCs/>
                <w:color w:val="FFFFFF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(%)</w:t>
            </w:r>
          </w:p>
        </w:tc>
        <w:tc>
          <w:tcPr>
            <w:tcBorders/>
            <w:shd w:val="clear" w:color="auto" w:fill="036FBC"/>
            <w:vAlign w:val="top"/>
          </w:tcPr>
          <w:p>
            <w:pPr>
              <w:pStyle w:val="Style8"/>
              <w:keepNext w:val="0"/>
              <w:keepLines w:val="0"/>
              <w:widowControl w:val="0"/>
              <w:pBdr>
                <w:top w:val="single" w:sz="0" w:space="0" w:color="0270BE"/>
                <w:left w:val="single" w:sz="0" w:space="0" w:color="0270BE"/>
                <w:bottom w:val="single" w:sz="0" w:space="0" w:color="0270BE"/>
                <w:right w:val="single" w:sz="0" w:space="0" w:color="0270BE"/>
              </w:pBdr>
              <w:shd w:val="clear" w:color="auto" w:fill="0270BE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FFFFFF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Ghi chú</w:t>
            </w:r>
          </w:p>
        </w:tc>
      </w:tr>
      <w:tr>
        <w:trPr>
          <w:trHeight w:val="778" w:hRule="exact"/>
        </w:trPr>
        <w:tc>
          <w:tcPr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6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Tự luận + ưắc</w:t>
              <w:br/>
              <w:t>nghiệm</w:t>
            </w:r>
          </w:p>
        </w:tc>
        <w:tc>
          <w:tcPr>
            <w:tcBorders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60 phút</w:t>
            </w:r>
          </w:p>
        </w:tc>
        <w:tc>
          <w:tcPr>
            <w:tcBorders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60%</w:t>
            </w:r>
          </w:p>
        </w:tc>
        <w:tc>
          <w:tcPr>
            <w:tcBorders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i/>
                <w:iCs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Sinh viên thi cuối kỳ sử dụng</w:t>
              <w:br/>
              <w:t>hút mực phù hợp với quy chế</w:t>
            </w:r>
          </w:p>
        </w:tc>
      </w:tr>
    </w:tbl>
    <w:p>
      <w:pPr>
        <w:widowControl w:val="0"/>
        <w:spacing w:after="359" w:line="1" w:lineRule="exact"/>
      </w:pP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VHI. HƯỚNG DẪN THựC HIỆN: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1・ V</w:t>
      </w:r>
      <w:r>
        <w:rPr>
          <w:rFonts w:ascii="MS Gothic" w:eastAsia="MS Gothic" w:hAnsi="MS Gothic" w:cs="MS Gothic"/>
          <w:color w:val="000000"/>
          <w:spacing w:val="0"/>
          <w:w w:val="100"/>
          <w:position w:val="0"/>
          <w:sz w:val="26"/>
          <w:szCs w:val="26"/>
          <w:shd w:val="clear" w:color="auto" w:fill="auto"/>
          <w:lang w:val="ja-JP" w:eastAsia="ja-JP" w:bidi="ja-JP"/>
        </w:rPr>
        <w:t xml:space="preserve">右 </w:t>
      </w: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phưong pháp giảng dạy, học tập: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ja-JP" w:eastAsia="ja-JP" w:bidi="ja-JP"/>
        </w:rPr>
        <w:t>-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Phương pháp giảng tổ chức các hoạt động nhóm để sinh viên chủ động thảo luận các</w:t>
        <w:br/>
        <w:t>chủ đề viết, suy luận và sắp xếp ý tưởng, tổ chức các hoạt động dạy kỹ năng viết tích hợp</w:t>
        <w:br/>
        <w:t>với các kỹ lìăng khác.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ja-JP" w:eastAsia="ja-JP" w:bidi="ja-JP"/>
        </w:rPr>
        <w:t>-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Thường xuyên kiểm tra, đáiih giá quá trinh tiếp thu của sinh vien.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2・ Những trọng tâm cần chú ý: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110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• Rèn luyện kỹ năiig của sinh viên theo định hướng kỳ thi Jlpt hoặc Nat-test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3・ Các lưu ý khác: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302" w:lineRule="auto"/>
        <w:ind w:left="5180" w:right="0" w:firstLine="0"/>
        <w:jc w:val="left"/>
        <w:rPr>
          <w:sz w:val="26"/>
          <w:szCs w:val="26"/>
        </w:rPr>
      </w:pPr>
      <w:r>
        <w:rPr>
          <w:i/>
          <w:iCs/>
          <w:color w:val="000000"/>
          <w:spacing w:val="0"/>
          <w:w w:val="100"/>
          <w:position w:val="0"/>
          <w:sz w:val="26"/>
          <w:szCs w:val="26"/>
          <w:shd w:val="clear" w:color="auto" w:fill="auto"/>
          <w:lang w:val="vi-VN" w:eastAsia="vi-VN" w:bidi="vi-VN"/>
        </w:rPr>
        <w:t>Tp.HCM, ngày tháng năm 20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pos="5491" w:val="left"/>
        </w:tabs>
        <w:bidi w:val="0"/>
        <w:spacing w:before="0" w:after="1460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HIỆU TRƯỞNG</w:t>
        <w:tab/>
        <w:t>TRƯỞNG KHOA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360" w:line="240" w:lineRule="auto"/>
        <w:ind w:left="650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Phạm Minh Trung</w:t>
      </w:r>
    </w:p>
    <w:sectPr>
      <w:footnotePr>
        <w:pos w:val="pageBottom"/>
        <w:numFmt w:val="decimal"/>
        <w:numRestart w:val="continuous"/>
      </w:footnotePr>
      <w:pgSz w:w="12240" w:h="15840"/>
      <w:pgMar w:top="1429" w:left="1394" w:right="680" w:bottom="1429" w:header="1001" w:footer="1001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default="1" w:styleId="DefaultParagraphFont">
    <w:name w:val="Default Paragraph Font"/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customStyle="1" w:styleId="CharStyle3">
    <w:name w:val="正文文本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harStyle7">
    <w:name w:val="表格标题_"/>
    <w:basedOn w:val="DefaultParagraphFont"/>
    <w:link w:val="Style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CharStyle9">
    <w:name w:val="其他_"/>
    <w:basedOn w:val="DefaultParagraphFont"/>
    <w:link w:val="Styl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Style2">
    <w:name w:val="正文文本"/>
    <w:basedOn w:val="Normal"/>
    <w:link w:val="CharStyle3"/>
    <w:pPr>
      <w:widowControl w:val="0"/>
      <w:shd w:val="clear" w:color="auto" w:fill="FFFFFF"/>
      <w:spacing w:line="329" w:lineRule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Style6">
    <w:name w:val="表格标题"/>
    <w:basedOn w:val="Normal"/>
    <w:link w:val="CharStyle7"/>
    <w:pPr>
      <w:widowControl w:val="0"/>
      <w:shd w:val="clear" w:color="auto" w:fill="FFFFFF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Style8">
    <w:name w:val="其他"/>
    <w:basedOn w:val="Normal"/>
    <w:link w:val="CharStyle9"/>
    <w:pPr>
      <w:widowControl w:val="0"/>
      <w:shd w:val="clear" w:color="auto" w:fill="FFFFFF"/>
      <w:spacing w:line="329" w:lineRule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