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50" w:val="left"/>
        </w:tabs>
        <w:bidi w:val="0"/>
        <w:spacing w:before="0" w:after="0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Ngừ pháp-e B|| u] 77}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50" w:val="left"/>
        </w:tabs>
        <w:bidi w:val="0"/>
        <w:spacing w:before="0" w:after="0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Từ vựng đồ vật ưong nhà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50" w:val="left"/>
        </w:tabs>
        <w:bidi w:val="0"/>
        <w:spacing w:before="0" w:after="0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Các động từ liên quan làm việc trong nhà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522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Diều kiện thực hiện môn học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4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Phòng học lý thuyết/thực hành: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Đu diện tích và cỏ đu bàn ghế cho người học; giáng viên giáng dạy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68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Trang thiết bị máy móc: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hệ thống đèn đu ánh sáng;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báng, bút báng.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Có trang thiết bị máy vi tinh, máy chiếu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Projector.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đú học liệu, tài liệu tham khao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68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Các điều kiện khác: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Giáng viên giang dạy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LT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-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TH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môn học: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bằng tốt nghiệp cao đăng, đại học đủng chuyên ngành trớ lên;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trình độ ngoại ngữ ờ trình độ B ướ lên;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kiến thức tin học trình độ B trờ lên.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kiến thức và kỹ năng giảng dạy môn học;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chứng chi nghiệp vụ sư phạm giang dạy đại học và cao đăng.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522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Phương pháp và nội dung dánh giá: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34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Phương pháp: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Đánh giá người học thông qua các hình thức kiêm tra/thi lý thuyết bang phương pháp</w:t>
        <w:br/>
        <w:t>thi viết tự luận/trắc nghiệm theo quy định của quy chế kiểm tra, thi, xét công nhận tốt</w:t>
        <w:br/>
        <w:t>nghiệp quy định trong Thông tư số 09/2017/TT-BLĐTBXH ngày 13 tháng 3 năm 2017</w:t>
        <w:br/>
        <w:t>cùa Bộ Lao động - Thương binh và Xã hội.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Yêu cầu các đầu diêm kiêm tra bao gồm: điểm ktra thường xuyên hệ số 1; điểm ktra</w:t>
        <w:br/>
        <w:t>định kỳ hệ sổ 2; điềm thi hết môn học theo phương pháp thi viết tự luận/trắc nghiệm.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Các câu hỏi đánh giá đối với người học cần thiết kế ớ các mức độ khó/dẻ đê phân loại</w:t>
        <w:br/>
        <w:t>được năng lực người học phù hợp.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 đánh giá: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Kiến thức: Sinh viên được đánh giá qua bài viết, kiêm tra vấn đáp trực tiếp hoặc trắc</w:t>
        <w:br/>
        <w:t>nghiệm đạt được các nội dung cùa 10 bài học.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 w:line="31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Kĩ năng: Sinh viên được đánh giá về khả năng giao tiếp; hỏi, đáp các nội dung theo</w:t>
        <w:br/>
        <w:t>các chu điểm từ vựng đã học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541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Ilưóng dẩn chương trình</w:t>
      </w:r>
    </w:p>
    <w:p>
      <w:pPr>
        <w:pStyle w:val="Style2"/>
        <w:keepNext w:val="0"/>
        <w:keepLines w:val="0"/>
        <w:widowControl w:val="0"/>
        <w:numPr>
          <w:ilvl w:val="0"/>
          <w:numId w:val="11"/>
        </w:numPr>
        <w:shd w:val="clear" w:color="auto" w:fill="auto"/>
        <w:tabs>
          <w:tab w:pos="339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Phạm vi áp dụng chương trình: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0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Môn học được sử dụng đế giang dạy cho ngành Tiếng Hàn, trình độ đào tạo Cao đẳng.</w:t>
      </w:r>
    </w:p>
    <w:p>
      <w:pPr>
        <w:pStyle w:val="Style2"/>
        <w:keepNext w:val="0"/>
        <w:keepLines w:val="0"/>
        <w:widowControl w:val="0"/>
        <w:numPr>
          <w:ilvl w:val="0"/>
          <w:numId w:val="11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Hướng dần về phương pháp dạy - học môn học: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a. Đối với giáng viên: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39" w:left="1367" w:right="1010" w:bottom="1139" w:header="711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3803015</wp:posOffset>
              </wp:positionH>
              <wp:positionV relativeFrom="page">
                <wp:posOffset>10187305</wp:posOffset>
              </wp:positionV>
              <wp:extent cx="201295" cy="103505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01295" cy="10350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vi-VN" w:eastAsia="vi-VN" w:bidi="vi-VN"/>
                            </w:rPr>
                            <w:t>100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9.44999999999999pt;margin-top:802.14999999999998pt;width:15.85pt;height:8.1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vi-VN" w:eastAsia="vi-VN" w:bidi="vi-VN"/>
                      </w:rPr>
                      <w:t>100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4"/>
      <w:numFmt w:val="decimal"/>
      <w:lvlText w:val="2.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4"/>
      <w:numFmt w:val="upperRoman"/>
      <w:lvlText w:val="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8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1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页眉或页脚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88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页眉或页脚 (2)"/>
    <w:basedOn w:val="Normal"/>
    <w:link w:val="CharStyle5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