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B56" w:rsidRDefault="007F2B56">
      <w:pPr>
        <w:rPr>
          <w:sz w:val="26"/>
          <w:szCs w:val="26"/>
        </w:rPr>
      </w:pPr>
      <w:r>
        <w:rPr>
          <w:noProof/>
        </w:rPr>
        <mc:AlternateContent>
          <mc:Choice Requires="wps">
            <w:drawing>
              <wp:anchor distT="0" distB="0" distL="114300" distR="114300" simplePos="0" relativeHeight="251660288" behindDoc="0" locked="0" layoutInCell="1" allowOverlap="1" wp14:anchorId="5D39833A" wp14:editId="026C2642">
                <wp:simplePos x="0" y="0"/>
                <wp:positionH relativeFrom="margin">
                  <wp:posOffset>387985</wp:posOffset>
                </wp:positionH>
                <wp:positionV relativeFrom="paragraph">
                  <wp:posOffset>142223</wp:posOffset>
                </wp:positionV>
                <wp:extent cx="5700257" cy="1070919"/>
                <wp:effectExtent l="0" t="0" r="0" b="0"/>
                <wp:wrapNone/>
                <wp:docPr id="1" name="Text Box 1"/>
                <wp:cNvGraphicFramePr/>
                <a:graphic xmlns:a="http://schemas.openxmlformats.org/drawingml/2006/main">
                  <a:graphicData uri="http://schemas.microsoft.com/office/word/2010/wordprocessingShape">
                    <wps:wsp>
                      <wps:cNvSpPr txBox="1"/>
                      <wps:spPr>
                        <a:xfrm>
                          <a:off x="0" y="0"/>
                          <a:ext cx="5700257" cy="1070919"/>
                        </a:xfrm>
                        <a:prstGeom prst="rect">
                          <a:avLst/>
                        </a:prstGeom>
                        <a:noFill/>
                        <a:ln>
                          <a:noFill/>
                        </a:ln>
                      </wps:spPr>
                      <wps:txbx>
                        <w:txbxContent>
                          <w:p w:rsidR="007F2B56" w:rsidRPr="007F2B56" w:rsidRDefault="007F2B56" w:rsidP="007F2B56">
                            <w:pPr>
                              <w:jc w:val="center"/>
                              <w:rPr>
                                <w:color w:val="5B9BD5" w:themeColor="accent1"/>
                                <w:sz w:val="60"/>
                                <w:szCs w:val="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F2B56">
                              <w:rPr>
                                <w:color w:val="5B9BD5" w:themeColor="accent1"/>
                                <w:sz w:val="60"/>
                                <w:szCs w:val="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Việt Nam có khả năng </w:t>
                            </w:r>
                          </w:p>
                          <w:p w:rsidR="007F2B56" w:rsidRPr="007F2B56" w:rsidRDefault="007F2B56" w:rsidP="007F2B56">
                            <w:pPr>
                              <w:jc w:val="center"/>
                              <w:rPr>
                                <w:color w:val="5B9BD5" w:themeColor="accent1"/>
                                <w:sz w:val="60"/>
                                <w:szCs w:val="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F2B56">
                              <w:rPr>
                                <w:color w:val="5B9BD5" w:themeColor="accent1"/>
                                <w:sz w:val="60"/>
                                <w:szCs w:val="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xảy ra động đất không?</w:t>
                            </w:r>
                          </w:p>
                        </w:txbxContent>
                      </wps:txbx>
                      <wps:bodyPr rot="0" spcFirstLastPara="0" vertOverflow="overflow" horzOverflow="overflow" vert="horz" wrap="square" lIns="91440" tIns="45720" rIns="91440" bIns="45720" numCol="1" spcCol="0" rtlCol="0" fromWordArt="0" anchor="t" anchorCtr="0" forceAA="0" compatLnSpc="1">
                        <a:prstTxWarp prst="textCurveDown">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39833A" id="_x0000_t202" coordsize="21600,21600" o:spt="202" path="m,l,21600r21600,l21600,xe">
                <v:stroke joinstyle="miter"/>
                <v:path gradientshapeok="t" o:connecttype="rect"/>
              </v:shapetype>
              <v:shape id="Text Box 1" o:spid="_x0000_s1026" type="#_x0000_t202" style="position:absolute;margin-left:30.55pt;margin-top:11.2pt;width:448.85pt;height:84.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" filled="f" stroked="f">
                <v:fill o:detectmouseclick="t"/>
                <v:textbox>
                  <w:txbxContent>
                    <w:p w:rsidR="007F2B56" w:rsidRPr="007F2B56" w:rsidRDefault="007F2B56" w:rsidP="007F2B56">
                      <w:pPr>
                        <w:jc w:val="center"/>
                        <w:rPr>
                          <w:color w:val="5B9BD5" w:themeColor="accent1"/>
                          <w:sz w:val="60"/>
                          <w:szCs w:val="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F2B56">
                        <w:rPr>
                          <w:color w:val="5B9BD5" w:themeColor="accent1"/>
                          <w:sz w:val="60"/>
                          <w:szCs w:val="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Việt Nam có khả năng </w:t>
                      </w:r>
                    </w:p>
                    <w:p w:rsidR="007F2B56" w:rsidRPr="007F2B56" w:rsidRDefault="007F2B56" w:rsidP="007F2B56">
                      <w:pPr>
                        <w:jc w:val="center"/>
                        <w:rPr>
                          <w:color w:val="5B9BD5" w:themeColor="accent1"/>
                          <w:sz w:val="60"/>
                          <w:szCs w:val="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F2B56">
                        <w:rPr>
                          <w:color w:val="5B9BD5" w:themeColor="accent1"/>
                          <w:sz w:val="60"/>
                          <w:szCs w:val="6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xảy ra động đất không?</w:t>
                      </w:r>
                    </w:p>
                  </w:txbxContent>
                </v:textbox>
                <w10:wrap anchorx="margin"/>
              </v:shape>
            </w:pict>
          </mc:Fallback>
        </mc:AlternateContent>
      </w:r>
    </w:p>
    <w:p w:rsidR="007F2B56" w:rsidRDefault="007F2B56">
      <w:pPr>
        <w:rPr>
          <w:sz w:val="26"/>
          <w:szCs w:val="26"/>
        </w:rPr>
      </w:pPr>
    </w:p>
    <w:p w:rsidR="0047181E" w:rsidRDefault="0047181E">
      <w:pPr>
        <w:rPr>
          <w:sz w:val="26"/>
          <w:szCs w:val="26"/>
        </w:rPr>
      </w:pPr>
    </w:p>
    <w:p w:rsidR="0047181E" w:rsidRDefault="0047181E">
      <w:pPr>
        <w:rPr>
          <w:sz w:val="26"/>
          <w:szCs w:val="26"/>
        </w:rPr>
      </w:pPr>
    </w:p>
    <w:p w:rsidR="0047181E" w:rsidRDefault="0047181E">
      <w:pPr>
        <w:rPr>
          <w:sz w:val="26"/>
          <w:szCs w:val="26"/>
        </w:rPr>
        <w:sectPr w:rsidR="0047181E" w:rsidSect="0047181E">
          <w:pgSz w:w="11907" w:h="16840" w:code="9"/>
          <w:pgMar w:top="1134" w:right="1134" w:bottom="1134" w:left="1134" w:header="720" w:footer="720" w:gutter="0"/>
          <w:cols w:space="720"/>
          <w:docGrid w:linePitch="360"/>
        </w:sectPr>
      </w:pPr>
    </w:p>
    <w:p w:rsidR="0047181E" w:rsidRPr="0047181E" w:rsidRDefault="0047181E" w:rsidP="0047181E">
      <w:pPr>
        <w:keepNext/>
        <w:framePr w:dropCap="drop" w:lines="3" w:wrap="around" w:vAnchor="text" w:hAnchor="text" w:x="120"/>
        <w:pBdr>
          <w:top w:val="single" w:sz="4" w:space="1" w:color="auto"/>
          <w:left w:val="single" w:sz="4" w:space="4" w:color="auto"/>
          <w:bottom w:val="single" w:sz="4" w:space="1" w:color="auto"/>
          <w:right w:val="single" w:sz="4" w:space="4" w:color="auto"/>
        </w:pBdr>
        <w:shd w:val="pct30" w:color="auto" w:fill="auto"/>
        <w:spacing w:after="0" w:line="907" w:lineRule="exact"/>
        <w:jc w:val="both"/>
        <w:textAlignment w:val="baseline"/>
        <w:rPr>
          <w:position w:val="-10"/>
          <w:sz w:val="119"/>
          <w:szCs w:val="26"/>
        </w:rPr>
      </w:pPr>
      <w:r w:rsidRPr="0047181E">
        <w:rPr>
          <w:position w:val="-10"/>
          <w:sz w:val="119"/>
          <w:szCs w:val="26"/>
        </w:rPr>
        <w:t>Đ</w:t>
      </w:r>
    </w:p>
    <w:p w:rsidR="00D50851" w:rsidRDefault="00D50851" w:rsidP="0047181E">
      <w:pPr>
        <w:jc w:val="both"/>
        <w:rPr>
          <w:sz w:val="26"/>
          <w:szCs w:val="26"/>
        </w:rPr>
      </w:pPr>
      <w:r>
        <w:rPr>
          <w:sz w:val="26"/>
          <w:szCs w:val="26"/>
        </w:rPr>
        <w:t xml:space="preserve">ộng đất trên thế giới thường tập trung ở 2 đối: đới vòng quanh Thái Bình dương và đới từ Địa Trung hải qua </w:t>
      </w:r>
      <w:r w:rsidRPr="007F2B56">
        <w:rPr>
          <w:b/>
          <w:strike/>
          <w:sz w:val="26"/>
          <w:szCs w:val="26"/>
        </w:rPr>
        <w:t>Hymalaia</w:t>
      </w:r>
      <w:r>
        <w:rPr>
          <w:sz w:val="26"/>
          <w:szCs w:val="26"/>
        </w:rPr>
        <w:t xml:space="preserve"> vòng xuống Malaxia. Hai đới này cũng lài nơi tập trung nhiều núi lửa đã tắt và đang hoạt động. Ở </w:t>
      </w:r>
      <w:r w:rsidRPr="00DC674C">
        <w:rPr>
          <w:sz w:val="26"/>
          <w:szCs w:val="26"/>
          <w:highlight w:val="darkGreen"/>
        </w:rPr>
        <w:t>Việt Nam</w:t>
      </w:r>
      <w:r>
        <w:rPr>
          <w:sz w:val="26"/>
          <w:szCs w:val="26"/>
        </w:rPr>
        <w:t xml:space="preserve">, động đất chủ yếu tập trung ở phía đông bắc trũng Hà Nội, dọc theo </w:t>
      </w:r>
      <w:r>
        <w:rPr>
          <w:sz w:val="26"/>
          <w:szCs w:val="26"/>
        </w:rPr>
        <w:lastRenderedPageBreak/>
        <w:t>sông Hồng, sông Chảy, sông Đà, sông Mã…, ven biển Nam Trung bộ.</w:t>
      </w:r>
    </w:p>
    <w:p w:rsidR="0047181E" w:rsidRPr="005C026F" w:rsidRDefault="0047181E" w:rsidP="0047181E">
      <w:pPr>
        <w:keepNext/>
        <w:framePr w:dropCap="drop" w:lines="2" w:wrap="around" w:vAnchor="text" w:hAnchor="text" w:x="120"/>
        <w:pBdr>
          <w:top w:val="single" w:sz="4" w:space="1" w:color="auto"/>
          <w:left w:val="single" w:sz="4" w:space="4" w:color="auto"/>
          <w:bottom w:val="single" w:sz="4" w:space="1" w:color="auto"/>
          <w:right w:val="single" w:sz="4" w:space="4" w:color="auto"/>
        </w:pBdr>
        <w:shd w:val="thinHorzCross" w:color="auto" w:fill="auto"/>
        <w:spacing w:after="0" w:line="585" w:lineRule="exact"/>
        <w:jc w:val="both"/>
        <w:textAlignment w:val="baseline"/>
        <w:rPr>
          <w:rFonts w:ascii=".VnBodoniH" w:hAnsi=".VnBodoniH"/>
          <w:position w:val="-3"/>
          <w:sz w:val="69"/>
          <w:szCs w:val="26"/>
        </w:rPr>
      </w:pPr>
      <w:r w:rsidRPr="005C026F">
        <w:rPr>
          <w:rFonts w:ascii=".VnBodoniH" w:hAnsi=".VnBodoniH"/>
          <w:position w:val="-3"/>
          <w:sz w:val="69"/>
          <w:szCs w:val="26"/>
        </w:rPr>
        <w:t>N</w:t>
      </w:r>
    </w:p>
    <w:p w:rsidR="00D50851" w:rsidRDefault="00D50851" w:rsidP="0047181E">
      <w:pPr>
        <w:jc w:val="both"/>
        <w:rPr>
          <w:sz w:val="26"/>
          <w:szCs w:val="26"/>
        </w:rPr>
      </w:pPr>
      <w:r>
        <w:rPr>
          <w:sz w:val="26"/>
          <w:szCs w:val="26"/>
        </w:rPr>
        <w:t xml:space="preserve">ăm 2004, Viện Vật lý địa cầu đã lập bản đồ về khả năng động đất ở Việt Nam. Nhiều thành phố lớn ở Việt Nam kể cả Hà Nội và thành phố </w:t>
      </w:r>
      <w:r w:rsidRPr="007F2B56">
        <w:rPr>
          <w:b/>
          <w:color w:val="70AD47"/>
          <w:spacing w:val="10"/>
          <w:sz w:val="26"/>
          <w:szCs w:val="2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Hồ Chí Minh</w:t>
      </w:r>
      <w:r>
        <w:rPr>
          <w:sz w:val="26"/>
          <w:szCs w:val="26"/>
        </w:rPr>
        <w:t xml:space="preserve"> hoàn toàn có thể có nguy cơ động đất (Hà Nội có nguy cơ động </w:t>
      </w:r>
      <w:r>
        <w:rPr>
          <w:sz w:val="26"/>
          <w:szCs w:val="26"/>
        </w:rPr>
        <w:lastRenderedPageBreak/>
        <w:t>đất lớn hơn TP Hồ Chí Minh, tuy mấy năm gần đây chưa ghi nhận trận động đất nào mạnh nào, mà chỉ thấy dư chấn. TP Hồ Chí Minh ít nguy cơ hơn nhưng vì nền đất yếu nên rất dễ bị tổn thương).</w:t>
      </w:r>
    </w:p>
    <w:p w:rsidR="00D50851" w:rsidRDefault="00DC674C" w:rsidP="00DC674C">
      <w:pPr>
        <w:shd w:val="clear" w:color="auto" w:fill="808080" w:themeFill="background1" w:themeFillShade="80"/>
        <w:jc w:val="center"/>
        <w:rPr>
          <w:sz w:val="26"/>
          <w:szCs w:val="26"/>
        </w:rPr>
      </w:pPr>
      <w:r>
        <w:rPr>
          <w:noProof/>
          <w:sz w:val="26"/>
          <w:szCs w:val="26"/>
        </w:rPr>
        <w:drawing>
          <wp:anchor distT="0" distB="0" distL="114300" distR="114300" simplePos="0" relativeHeight="251658240" behindDoc="1" locked="0" layoutInCell="1" allowOverlap="1" wp14:anchorId="0B60600F" wp14:editId="0B51D5C7">
            <wp:simplePos x="0" y="0"/>
            <wp:positionH relativeFrom="margin">
              <wp:align>right</wp:align>
            </wp:positionH>
            <wp:positionV relativeFrom="paragraph">
              <wp:posOffset>269875</wp:posOffset>
            </wp:positionV>
            <wp:extent cx="1729740" cy="650240"/>
            <wp:effectExtent l="0" t="0" r="3810" b="0"/>
            <wp:wrapThrough wrapText="bothSides">
              <wp:wrapPolygon edited="0">
                <wp:start x="0" y="0"/>
                <wp:lineTo x="0" y="20883"/>
                <wp:lineTo x="21410" y="20883"/>
                <wp:lineTo x="2141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u-hi[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9740" cy="650240"/>
                    </a:xfrm>
                    <a:prstGeom prst="rect">
                      <a:avLst/>
                    </a:prstGeom>
                  </pic:spPr>
                </pic:pic>
              </a:graphicData>
            </a:graphic>
            <wp14:sizeRelH relativeFrom="page">
              <wp14:pctWidth>0</wp14:pctWidth>
            </wp14:sizeRelH>
            <wp14:sizeRelV relativeFrom="page">
              <wp14:pctHeight>0</wp14:pctHeight>
            </wp14:sizeRelV>
          </wp:anchor>
        </w:drawing>
      </w:r>
      <w:r w:rsidR="00D50851">
        <w:rPr>
          <w:sz w:val="26"/>
          <w:szCs w:val="26"/>
        </w:rPr>
        <w:t>Song H</w:t>
      </w:r>
      <w:r w:rsidR="0047181E">
        <w:rPr>
          <w:sz w:val="26"/>
          <w:szCs w:val="26"/>
        </w:rPr>
        <w:t>à</w:t>
      </w:r>
    </w:p>
    <w:p w:rsidR="0047181E" w:rsidRDefault="0047181E" w:rsidP="00DC674C">
      <w:pPr>
        <w:shd w:val="clear" w:color="auto" w:fill="808080" w:themeFill="background1" w:themeFillShade="80"/>
        <w:rPr>
          <w:sz w:val="26"/>
          <w:szCs w:val="26"/>
        </w:rPr>
        <w:sectPr w:rsidR="0047181E" w:rsidSect="0047181E">
          <w:type w:val="continuous"/>
          <w:pgSz w:w="11907" w:h="16840" w:code="9"/>
          <w:pgMar w:top="1134" w:right="1134" w:bottom="1134" w:left="1134" w:header="720" w:footer="720" w:gutter="0"/>
          <w:cols w:num="3" w:sep="1" w:space="720"/>
          <w:docGrid w:linePitch="360"/>
        </w:sectPr>
      </w:pPr>
      <w:bookmarkStart w:id="0" w:name="_GoBack"/>
      <w:bookmarkEnd w:id="0"/>
    </w:p>
    <w:p w:rsidR="0047181E" w:rsidRDefault="0047181E">
      <w:pPr>
        <w:rPr>
          <w:sz w:val="26"/>
          <w:szCs w:val="26"/>
        </w:rPr>
      </w:pPr>
    </w:p>
    <w:tbl>
      <w:tblPr>
        <w:tblStyle w:val="TableGrid"/>
        <w:tblW w:w="0" w:type="auto"/>
        <w:tblLook w:val="04A0" w:firstRow="1" w:lastRow="0" w:firstColumn="1" w:lastColumn="0" w:noHBand="0" w:noVBand="1"/>
      </w:tblPr>
      <w:tblGrid>
        <w:gridCol w:w="5054"/>
        <w:gridCol w:w="2241"/>
        <w:gridCol w:w="2254"/>
      </w:tblGrid>
      <w:tr w:rsidR="00BD3F0C" w:rsidTr="00DC674C">
        <w:tc>
          <w:tcPr>
            <w:tcW w:w="9629" w:type="dxa"/>
            <w:gridSpan w:val="3"/>
            <w:tcBorders>
              <w:top w:val="thinThickSmallGap" w:sz="24" w:space="0" w:color="auto"/>
              <w:left w:val="thickThinSmallGap" w:sz="24" w:space="0" w:color="auto"/>
              <w:right w:val="thickThinSmallGap" w:sz="24" w:space="0" w:color="auto"/>
            </w:tcBorders>
            <w:shd w:val="clear" w:color="auto" w:fill="595959" w:themeFill="text1" w:themeFillTint="A6"/>
          </w:tcPr>
          <w:p w:rsidR="00BD3F0C" w:rsidRDefault="00BD3F0C" w:rsidP="00BD3F0C">
            <w:pPr>
              <w:jc w:val="center"/>
              <w:rPr>
                <w:sz w:val="26"/>
                <w:szCs w:val="26"/>
              </w:rPr>
            </w:pPr>
            <w:r>
              <w:rPr>
                <w:sz w:val="26"/>
                <w:szCs w:val="26"/>
              </w:rPr>
              <w:t>Các dịch vụ khác</w:t>
            </w:r>
          </w:p>
        </w:tc>
      </w:tr>
      <w:tr w:rsidR="00BD3F0C" w:rsidTr="00DC674C">
        <w:tc>
          <w:tcPr>
            <w:tcW w:w="5098" w:type="dxa"/>
            <w:vMerge w:val="restart"/>
            <w:tcBorders>
              <w:left w:val="thickThinSmallGap" w:sz="24" w:space="0" w:color="auto"/>
            </w:tcBorders>
          </w:tcPr>
          <w:p w:rsidR="00BD3F0C" w:rsidRDefault="00BD3F0C" w:rsidP="00DC674C">
            <w:pPr>
              <w:tabs>
                <w:tab w:val="left" w:pos="557"/>
                <w:tab w:val="right" w:leader="dot" w:pos="4657"/>
              </w:tabs>
              <w:rPr>
                <w:sz w:val="26"/>
                <w:szCs w:val="26"/>
              </w:rPr>
            </w:pPr>
            <w:r>
              <w:rPr>
                <w:sz w:val="26"/>
                <w:szCs w:val="26"/>
              </w:rPr>
              <w:sym w:font="Wingdings" w:char="F040"/>
            </w:r>
            <w:r w:rsidR="00DC674C">
              <w:rPr>
                <w:sz w:val="26"/>
                <w:szCs w:val="26"/>
              </w:rPr>
              <w:t xml:space="preserve"> </w:t>
            </w:r>
            <w:r>
              <w:rPr>
                <w:sz w:val="26"/>
                <w:szCs w:val="26"/>
              </w:rPr>
              <w:t>Đăng kí tên vùng riêng(USD)</w:t>
            </w:r>
            <w:r w:rsidR="00DC674C">
              <w:rPr>
                <w:sz w:val="26"/>
                <w:szCs w:val="26"/>
              </w:rPr>
              <w:tab/>
            </w:r>
          </w:p>
          <w:p w:rsidR="00DC674C" w:rsidRDefault="00DC674C" w:rsidP="00DC674C">
            <w:pPr>
              <w:tabs>
                <w:tab w:val="left" w:pos="557"/>
                <w:tab w:val="right" w:leader="dot" w:pos="4657"/>
              </w:tabs>
              <w:rPr>
                <w:sz w:val="26"/>
                <w:szCs w:val="26"/>
              </w:rPr>
            </w:pPr>
            <w:r>
              <w:rPr>
                <w:sz w:val="26"/>
                <w:szCs w:val="26"/>
              </w:rPr>
              <w:sym w:font="Wingdings" w:char="F040"/>
            </w:r>
            <w:r>
              <w:rPr>
                <w:sz w:val="26"/>
                <w:szCs w:val="26"/>
              </w:rPr>
              <w:t xml:space="preserve"> Quét ảnh (USD/ ảnh) </w:t>
            </w:r>
            <w:r>
              <w:rPr>
                <w:sz w:val="26"/>
                <w:szCs w:val="26"/>
              </w:rPr>
              <w:tab/>
            </w:r>
          </w:p>
          <w:p w:rsidR="00DC674C" w:rsidRDefault="00DC674C" w:rsidP="00DC674C">
            <w:pPr>
              <w:tabs>
                <w:tab w:val="left" w:pos="557"/>
                <w:tab w:val="right" w:leader="dot" w:pos="4657"/>
              </w:tabs>
              <w:rPr>
                <w:sz w:val="26"/>
                <w:szCs w:val="26"/>
              </w:rPr>
            </w:pPr>
            <w:r>
              <w:rPr>
                <w:sz w:val="26"/>
                <w:szCs w:val="26"/>
              </w:rPr>
              <w:sym w:font="Wingdings" w:char="F040"/>
            </w:r>
            <w:r>
              <w:rPr>
                <w:sz w:val="26"/>
                <w:szCs w:val="26"/>
              </w:rPr>
              <w:t xml:space="preserve"> Tạo biểu tượng (USD/ Biểu tượng) </w:t>
            </w:r>
            <w:r>
              <w:rPr>
                <w:sz w:val="26"/>
                <w:szCs w:val="26"/>
              </w:rPr>
              <w:tab/>
            </w:r>
          </w:p>
          <w:p w:rsidR="00BD3F0C" w:rsidRDefault="00DC674C" w:rsidP="00DC674C">
            <w:pPr>
              <w:tabs>
                <w:tab w:val="left" w:pos="557"/>
                <w:tab w:val="right" w:leader="dot" w:pos="4657"/>
              </w:tabs>
              <w:rPr>
                <w:sz w:val="26"/>
                <w:szCs w:val="26"/>
              </w:rPr>
            </w:pPr>
            <w:r>
              <w:rPr>
                <w:sz w:val="26"/>
                <w:szCs w:val="26"/>
              </w:rPr>
              <w:sym w:font="Wingdings" w:char="F040"/>
            </w:r>
            <w:r>
              <w:rPr>
                <w:sz w:val="26"/>
                <w:szCs w:val="26"/>
              </w:rPr>
              <w:t xml:space="preserve"> Thiết kế bảng quảng cáo </w:t>
            </w:r>
            <w:r>
              <w:rPr>
                <w:sz w:val="26"/>
                <w:szCs w:val="26"/>
              </w:rPr>
              <w:tab/>
            </w:r>
          </w:p>
        </w:tc>
        <w:tc>
          <w:tcPr>
            <w:tcW w:w="4531" w:type="dxa"/>
            <w:gridSpan w:val="2"/>
            <w:tcBorders>
              <w:right w:val="thickThinSmallGap" w:sz="24" w:space="0" w:color="auto"/>
            </w:tcBorders>
          </w:tcPr>
          <w:p w:rsidR="00BD3F0C" w:rsidRDefault="00BD3F0C" w:rsidP="00BD3F0C">
            <w:pPr>
              <w:jc w:val="center"/>
              <w:rPr>
                <w:sz w:val="26"/>
                <w:szCs w:val="26"/>
              </w:rPr>
            </w:pPr>
            <w:r>
              <w:rPr>
                <w:sz w:val="26"/>
                <w:szCs w:val="26"/>
              </w:rPr>
              <w:t>Theo quy định của tổng cục Bưu điện</w:t>
            </w:r>
          </w:p>
        </w:tc>
      </w:tr>
      <w:tr w:rsidR="00BD3F0C" w:rsidTr="00DC674C">
        <w:tc>
          <w:tcPr>
            <w:tcW w:w="5098" w:type="dxa"/>
            <w:vMerge/>
            <w:tcBorders>
              <w:left w:val="thickThinSmallGap" w:sz="24" w:space="0" w:color="auto"/>
            </w:tcBorders>
          </w:tcPr>
          <w:p w:rsidR="00BD3F0C" w:rsidRDefault="00BD3F0C">
            <w:pPr>
              <w:rPr>
                <w:sz w:val="26"/>
                <w:szCs w:val="26"/>
              </w:rPr>
            </w:pPr>
          </w:p>
        </w:tc>
        <w:tc>
          <w:tcPr>
            <w:tcW w:w="2268" w:type="dxa"/>
          </w:tcPr>
          <w:p w:rsidR="00BD3F0C" w:rsidRDefault="00BD3F0C" w:rsidP="00BD3F0C">
            <w:pPr>
              <w:jc w:val="center"/>
              <w:rPr>
                <w:sz w:val="26"/>
                <w:szCs w:val="26"/>
              </w:rPr>
            </w:pPr>
            <w:r>
              <w:rPr>
                <w:sz w:val="26"/>
                <w:szCs w:val="26"/>
              </w:rPr>
              <w:t>25</w:t>
            </w:r>
          </w:p>
        </w:tc>
        <w:tc>
          <w:tcPr>
            <w:tcW w:w="2263" w:type="dxa"/>
            <w:vMerge w:val="restart"/>
            <w:tcBorders>
              <w:right w:val="thickThinSmallGap" w:sz="24" w:space="0" w:color="auto"/>
            </w:tcBorders>
            <w:textDirection w:val="btLr"/>
          </w:tcPr>
          <w:p w:rsidR="00DC674C" w:rsidRPr="00DC674C" w:rsidRDefault="00DC674C" w:rsidP="00DC674C">
            <w:pPr>
              <w:ind w:left="113" w:right="113"/>
              <w:jc w:val="center"/>
              <w:rPr>
                <w:b/>
                <w:sz w:val="26"/>
                <w:szCs w:val="26"/>
              </w:rPr>
            </w:pPr>
          </w:p>
          <w:p w:rsidR="00DC674C" w:rsidRPr="00DC674C" w:rsidRDefault="00DC674C" w:rsidP="00DC674C">
            <w:pPr>
              <w:ind w:left="113" w:right="113"/>
              <w:jc w:val="center"/>
              <w:rPr>
                <w:b/>
                <w:sz w:val="26"/>
                <w:szCs w:val="26"/>
              </w:rPr>
            </w:pPr>
          </w:p>
          <w:p w:rsidR="00BD3F0C" w:rsidRPr="00DC674C" w:rsidRDefault="00DC674C" w:rsidP="00DC674C">
            <w:pPr>
              <w:ind w:left="113" w:right="113"/>
              <w:jc w:val="center"/>
              <w:rPr>
                <w:b/>
                <w:sz w:val="26"/>
                <w:szCs w:val="26"/>
              </w:rPr>
            </w:pPr>
            <w:r w:rsidRPr="00DC674C">
              <w:rPr>
                <w:b/>
                <w:sz w:val="26"/>
                <w:szCs w:val="26"/>
              </w:rPr>
              <w:t>25</w:t>
            </w:r>
          </w:p>
          <w:p w:rsidR="00DC674C" w:rsidRPr="00DC674C" w:rsidRDefault="00DC674C" w:rsidP="00DC674C">
            <w:pPr>
              <w:ind w:left="113" w:right="113"/>
              <w:jc w:val="center"/>
              <w:rPr>
                <w:b/>
                <w:sz w:val="26"/>
                <w:szCs w:val="26"/>
              </w:rPr>
            </w:pPr>
            <w:r w:rsidRPr="00DC674C">
              <w:rPr>
                <w:b/>
                <w:sz w:val="26"/>
                <w:szCs w:val="26"/>
              </w:rPr>
              <w:t>52</w:t>
            </w:r>
          </w:p>
          <w:p w:rsidR="00DC674C" w:rsidRPr="00DC674C" w:rsidRDefault="00DC674C" w:rsidP="00DC674C">
            <w:pPr>
              <w:ind w:left="113" w:right="113"/>
              <w:jc w:val="center"/>
              <w:rPr>
                <w:b/>
                <w:sz w:val="26"/>
                <w:szCs w:val="26"/>
              </w:rPr>
            </w:pPr>
            <w:r w:rsidRPr="00DC674C">
              <w:rPr>
                <w:b/>
                <w:sz w:val="26"/>
                <w:szCs w:val="26"/>
              </w:rPr>
              <w:t>100</w:t>
            </w:r>
          </w:p>
        </w:tc>
      </w:tr>
      <w:tr w:rsidR="00BD3F0C" w:rsidTr="00DC674C">
        <w:tc>
          <w:tcPr>
            <w:tcW w:w="5098" w:type="dxa"/>
            <w:vMerge/>
            <w:tcBorders>
              <w:left w:val="thickThinSmallGap" w:sz="24" w:space="0" w:color="auto"/>
            </w:tcBorders>
          </w:tcPr>
          <w:p w:rsidR="00BD3F0C" w:rsidRDefault="00BD3F0C">
            <w:pPr>
              <w:rPr>
                <w:sz w:val="26"/>
                <w:szCs w:val="26"/>
              </w:rPr>
            </w:pPr>
          </w:p>
        </w:tc>
        <w:tc>
          <w:tcPr>
            <w:tcW w:w="2268" w:type="dxa"/>
          </w:tcPr>
          <w:p w:rsidR="00BD3F0C" w:rsidRDefault="00BD3F0C" w:rsidP="00BD3F0C">
            <w:pPr>
              <w:jc w:val="center"/>
              <w:rPr>
                <w:sz w:val="26"/>
                <w:szCs w:val="26"/>
              </w:rPr>
            </w:pPr>
            <w:r>
              <w:rPr>
                <w:sz w:val="26"/>
                <w:szCs w:val="26"/>
              </w:rPr>
              <w:t>25</w:t>
            </w:r>
          </w:p>
        </w:tc>
        <w:tc>
          <w:tcPr>
            <w:tcW w:w="2263" w:type="dxa"/>
            <w:vMerge/>
            <w:tcBorders>
              <w:right w:val="thickThinSmallGap" w:sz="24" w:space="0" w:color="auto"/>
            </w:tcBorders>
          </w:tcPr>
          <w:p w:rsidR="00BD3F0C" w:rsidRDefault="00BD3F0C">
            <w:pPr>
              <w:rPr>
                <w:sz w:val="26"/>
                <w:szCs w:val="26"/>
              </w:rPr>
            </w:pPr>
          </w:p>
        </w:tc>
      </w:tr>
      <w:tr w:rsidR="00BD3F0C" w:rsidTr="00DC674C">
        <w:tc>
          <w:tcPr>
            <w:tcW w:w="5098" w:type="dxa"/>
            <w:vMerge/>
            <w:tcBorders>
              <w:left w:val="thickThinSmallGap" w:sz="24" w:space="0" w:color="auto"/>
            </w:tcBorders>
          </w:tcPr>
          <w:p w:rsidR="00BD3F0C" w:rsidRDefault="00BD3F0C">
            <w:pPr>
              <w:rPr>
                <w:sz w:val="26"/>
                <w:szCs w:val="26"/>
              </w:rPr>
            </w:pPr>
          </w:p>
        </w:tc>
        <w:tc>
          <w:tcPr>
            <w:tcW w:w="2268" w:type="dxa"/>
          </w:tcPr>
          <w:p w:rsidR="00BD3F0C" w:rsidRDefault="00BD3F0C" w:rsidP="00BD3F0C">
            <w:pPr>
              <w:jc w:val="center"/>
              <w:rPr>
                <w:sz w:val="26"/>
                <w:szCs w:val="26"/>
              </w:rPr>
            </w:pPr>
            <w:r>
              <w:rPr>
                <w:sz w:val="26"/>
                <w:szCs w:val="26"/>
              </w:rPr>
              <w:t>100</w:t>
            </w:r>
          </w:p>
        </w:tc>
        <w:tc>
          <w:tcPr>
            <w:tcW w:w="2263" w:type="dxa"/>
            <w:vMerge/>
            <w:tcBorders>
              <w:right w:val="thickThinSmallGap" w:sz="24" w:space="0" w:color="auto"/>
            </w:tcBorders>
          </w:tcPr>
          <w:p w:rsidR="00BD3F0C" w:rsidRDefault="00BD3F0C">
            <w:pPr>
              <w:rPr>
                <w:sz w:val="26"/>
                <w:szCs w:val="26"/>
              </w:rPr>
            </w:pPr>
          </w:p>
        </w:tc>
      </w:tr>
      <w:tr w:rsidR="00BD3F0C" w:rsidTr="00DC674C">
        <w:tc>
          <w:tcPr>
            <w:tcW w:w="9629" w:type="dxa"/>
            <w:gridSpan w:val="3"/>
            <w:tcBorders>
              <w:left w:val="thickThinSmallGap" w:sz="24" w:space="0" w:color="auto"/>
              <w:bottom w:val="thickThinSmallGap" w:sz="24" w:space="0" w:color="auto"/>
              <w:right w:val="thickThinSmallGap" w:sz="24" w:space="0" w:color="auto"/>
            </w:tcBorders>
            <w:shd w:val="clear" w:color="auto" w:fill="595959" w:themeFill="text1" w:themeFillTint="A6"/>
          </w:tcPr>
          <w:p w:rsidR="00BD3F0C" w:rsidRDefault="00BD3F0C" w:rsidP="00BD3F0C">
            <w:pPr>
              <w:jc w:val="center"/>
              <w:rPr>
                <w:sz w:val="26"/>
                <w:szCs w:val="26"/>
              </w:rPr>
            </w:pPr>
            <w:r>
              <w:rPr>
                <w:sz w:val="26"/>
                <w:szCs w:val="26"/>
              </w:rPr>
              <w:t>Lệ phí này không bao gồm phí viễn thông</w:t>
            </w:r>
          </w:p>
        </w:tc>
      </w:tr>
    </w:tbl>
    <w:p w:rsidR="0047181E" w:rsidRPr="00D50851" w:rsidRDefault="0047181E">
      <w:pPr>
        <w:rPr>
          <w:sz w:val="26"/>
          <w:szCs w:val="26"/>
        </w:rPr>
      </w:pPr>
    </w:p>
    <w:sectPr w:rsidR="0047181E" w:rsidRPr="00D50851" w:rsidSect="0047181E">
      <w:type w:val="continuous"/>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VnBodoniH">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89F"/>
    <w:rsid w:val="001E5E50"/>
    <w:rsid w:val="0047181E"/>
    <w:rsid w:val="004D3F2B"/>
    <w:rsid w:val="0056589F"/>
    <w:rsid w:val="005C026F"/>
    <w:rsid w:val="007F2B56"/>
    <w:rsid w:val="00834E78"/>
    <w:rsid w:val="00BD3F0C"/>
    <w:rsid w:val="00D50851"/>
    <w:rsid w:val="00DC6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5B473"/>
  <w15:chartTrackingRefBased/>
  <w15:docId w15:val="{7D965182-257A-44B2-B014-C93A10FF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4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3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DF65E-DE48-40C5-AFC2-AA6E1AC88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 STREAM</dc:creator>
  <cp:keywords/>
  <dc:description/>
  <cp:lastModifiedBy>LIVE STREAM</cp:lastModifiedBy>
  <cp:revision>5</cp:revision>
  <dcterms:created xsi:type="dcterms:W3CDTF">2021-04-27T08:08:00Z</dcterms:created>
  <dcterms:modified xsi:type="dcterms:W3CDTF">2021-04-27T08:41:00Z</dcterms:modified>
</cp:coreProperties>
</file>