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5B7E" w:rsidRPr="00816392" w:rsidRDefault="00605B7E" w:rsidP="00605B7E">
      <w:pPr>
        <w:shd w:val="clear" w:color="auto" w:fill="FFFFFF"/>
        <w:spacing w:after="150" w:line="240" w:lineRule="auto"/>
        <w:jc w:val="both"/>
        <w:outlineLvl w:val="0"/>
        <w:rPr>
          <w:rFonts w:eastAsia="Times New Roman" w:cs="Times New Roman"/>
          <w:b/>
          <w:bCs/>
          <w:color w:val="000000"/>
          <w:kern w:val="36"/>
          <w:sz w:val="26"/>
          <w:szCs w:val="26"/>
        </w:rPr>
      </w:pPr>
      <w:r w:rsidRPr="00816392">
        <w:rPr>
          <w:rFonts w:eastAsia="Times New Roman" w:cs="Times New Roman"/>
          <w:b/>
          <w:bCs/>
          <w:color w:val="000000"/>
          <w:kern w:val="36"/>
          <w:sz w:val="26"/>
          <w:szCs w:val="26"/>
        </w:rPr>
        <w:t>Một số luận điểm mới về phát triển nền kinh tế thị trường định hướng xã hội chủ nghĩa ở nước ta hiện nay</w:t>
      </w:r>
    </w:p>
    <w:p w:rsidR="00605B7E" w:rsidRPr="00816392" w:rsidRDefault="00816392" w:rsidP="00605B7E">
      <w:pPr>
        <w:shd w:val="clear" w:color="auto" w:fill="FFFFFF"/>
        <w:spacing w:after="0" w:line="240" w:lineRule="auto"/>
        <w:ind w:left="-1200" w:right="-1200"/>
        <w:jc w:val="both"/>
        <w:textAlignment w:val="center"/>
        <w:rPr>
          <w:rFonts w:eastAsia="Times New Roman" w:cs="Times New Roman"/>
          <w:color w:val="000000"/>
          <w:sz w:val="26"/>
          <w:szCs w:val="26"/>
        </w:rPr>
      </w:pPr>
      <w:hyperlink r:id="rId4" w:history="1">
        <w:r w:rsidR="00605B7E" w:rsidRPr="00816392">
          <w:rPr>
            <w:rFonts w:eastAsia="Times New Roman" w:cs="Times New Roman"/>
            <w:b/>
            <w:bCs/>
            <w:color w:val="0B6436"/>
            <w:sz w:val="26"/>
            <w:szCs w:val="26"/>
            <w:u w:val="single"/>
          </w:rPr>
          <w:t>GS. TS. Nguyễn Xuân Thắng</w:t>
        </w:r>
      </w:hyperlink>
    </w:p>
    <w:p w:rsidR="00605B7E" w:rsidRPr="00816392" w:rsidRDefault="00605B7E" w:rsidP="00605B7E">
      <w:pPr>
        <w:shd w:val="clear" w:color="auto" w:fill="FFFFFF"/>
        <w:spacing w:after="0" w:line="240" w:lineRule="auto"/>
        <w:jc w:val="both"/>
        <w:textAlignment w:val="center"/>
        <w:rPr>
          <w:rFonts w:eastAsia="Times New Roman" w:cs="Times New Roman"/>
          <w:color w:val="000000"/>
          <w:sz w:val="26"/>
          <w:szCs w:val="26"/>
        </w:rPr>
      </w:pPr>
      <w:r w:rsidRPr="00816392">
        <w:rPr>
          <w:rFonts w:eastAsia="Times New Roman" w:cs="Times New Roman"/>
          <w:color w:val="000000"/>
          <w:sz w:val="26"/>
          <w:szCs w:val="26"/>
        </w:rPr>
        <w:t> 02:00 06/04/2017 </w:t>
      </w:r>
    </w:p>
    <w:p w:rsidR="00605B7E" w:rsidRPr="00816392" w:rsidRDefault="00605B7E" w:rsidP="00605B7E">
      <w:pPr>
        <w:shd w:val="clear" w:color="auto" w:fill="FFFFFF"/>
        <w:spacing w:before="300" w:after="150" w:line="240" w:lineRule="auto"/>
        <w:jc w:val="both"/>
        <w:outlineLvl w:val="1"/>
        <w:rPr>
          <w:rFonts w:eastAsia="Times New Roman" w:cs="Times New Roman"/>
          <w:iCs/>
          <w:color w:val="000000"/>
          <w:sz w:val="26"/>
          <w:szCs w:val="26"/>
        </w:rPr>
      </w:pPr>
      <w:r w:rsidRPr="00816392">
        <w:rPr>
          <w:rFonts w:eastAsia="Times New Roman" w:cs="Times New Roman"/>
          <w:iCs/>
          <w:color w:val="000000"/>
          <w:sz w:val="26"/>
          <w:szCs w:val="26"/>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605B7E" w:rsidRPr="00816392" w:rsidRDefault="00816392" w:rsidP="00605B7E">
      <w:pPr>
        <w:shd w:val="clear" w:color="auto" w:fill="FFFFFF"/>
        <w:spacing w:after="75" w:line="240" w:lineRule="auto"/>
        <w:jc w:val="both"/>
        <w:outlineLvl w:val="3"/>
        <w:rPr>
          <w:rFonts w:eastAsia="Times New Roman" w:cs="Times New Roman"/>
          <w:b/>
          <w:bCs/>
          <w:color w:val="000000"/>
          <w:sz w:val="26"/>
          <w:szCs w:val="26"/>
        </w:rPr>
      </w:pPr>
      <w:hyperlink r:id="rId5" w:tooltip="Kinh nghiệm quốc tế về xây dựng pháp luật cạnh tranh" w:history="1">
        <w:r w:rsidR="00605B7E" w:rsidRPr="00816392">
          <w:rPr>
            <w:rFonts w:eastAsia="Times New Roman" w:cs="Times New Roman"/>
            <w:b/>
            <w:bCs/>
            <w:color w:val="000000"/>
            <w:sz w:val="26"/>
            <w:szCs w:val="26"/>
          </w:rPr>
          <w:t>Kinh nghiệm quốc tế về xây dựng pháp luật cạnh tranh</w:t>
        </w:r>
      </w:hyperlink>
    </w:p>
    <w:p w:rsidR="00605B7E" w:rsidRPr="00816392" w:rsidRDefault="00816392" w:rsidP="00605B7E">
      <w:pPr>
        <w:shd w:val="clear" w:color="auto" w:fill="FFFFFF"/>
        <w:spacing w:after="75" w:line="240" w:lineRule="auto"/>
        <w:jc w:val="both"/>
        <w:outlineLvl w:val="3"/>
        <w:rPr>
          <w:rFonts w:eastAsia="Times New Roman" w:cs="Times New Roman"/>
          <w:b/>
          <w:bCs/>
          <w:color w:val="000000"/>
          <w:sz w:val="26"/>
          <w:szCs w:val="26"/>
        </w:rPr>
      </w:pPr>
      <w:hyperlink r:id="rId6" w:tooltip="Hoàn thiện thể chế kinh tế thị trường định hướng xã hội chủ nghĩa" w:history="1">
        <w:r w:rsidR="00605B7E" w:rsidRPr="00816392">
          <w:rPr>
            <w:rFonts w:eastAsia="Times New Roman" w:cs="Times New Roman"/>
            <w:b/>
            <w:bCs/>
            <w:color w:val="000000"/>
            <w:sz w:val="26"/>
            <w:szCs w:val="26"/>
          </w:rPr>
          <w:t>Hoàn thiện thể chế kinh tế thị trường định hướng xã hội chủ nghĩa</w:t>
        </w:r>
      </w:hyperlink>
    </w:p>
    <w:p w:rsidR="00605B7E" w:rsidRPr="00816392" w:rsidRDefault="00816392" w:rsidP="00605B7E">
      <w:pPr>
        <w:shd w:val="clear" w:color="auto" w:fill="FFFFFF"/>
        <w:spacing w:after="150" w:line="240" w:lineRule="auto"/>
        <w:jc w:val="both"/>
        <w:outlineLvl w:val="3"/>
        <w:rPr>
          <w:rFonts w:eastAsia="Times New Roman" w:cs="Times New Roman"/>
          <w:b/>
          <w:bCs/>
          <w:color w:val="000000"/>
          <w:sz w:val="26"/>
          <w:szCs w:val="26"/>
        </w:rPr>
      </w:pPr>
      <w:hyperlink r:id="rId7" w:tooltip="Đổi mới mô hình tăng trưởng, nâng cao sức cạnh tranh của nền kinh tế " w:history="1">
        <w:r w:rsidR="00605B7E" w:rsidRPr="00816392">
          <w:rPr>
            <w:rFonts w:eastAsia="Times New Roman" w:cs="Times New Roman"/>
            <w:b/>
            <w:bCs/>
            <w:color w:val="000000"/>
            <w:sz w:val="26"/>
            <w:szCs w:val="26"/>
          </w:rPr>
          <w:t>Đổi mới mô hình tăng trưởng, nâng cao sức cạnh tranh của nền kinh tế</w:t>
        </w:r>
      </w:hyperlink>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Dù không phải là một cơ chế hoàn hảo, song kinh tế thị trường vẫn chứng tỏ là một cơ chế huy động, phân bổ nguồn lực, thúc đẩy sáng tạo và phát triển được coi là ưu thế nhất hiện nay.</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Một quốc gia dựa trên nền tảng thị trường để phát triển kinh tế có thể chưa chắc thành công, song một quốc gia không có nền kinh tế thị trường chắc chắn sẽ không thể phát triển trong dài hạn.Tự thân kinh tế thị trường không đưa đến chủ nghĩa xã hội, nhưng muốn xây dựng CNXH thành công dứt khoát phải phát triển kinh tế thị trường.  </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Kinh tế thị trường định hướng XHCN ở nước ta là một mô hình hoàn toàn mới, chưa có tiền lệ trong lịch sử và thời gian phát triển vừa tròn 30 năm. Do vậy, phát triển kinh tế thị trường định hướng XHCN là một quá trình hoàn thiện, đổi mới và sáng tạo không ngừng trong nhận thức, tư duy lý luận và thực tiễn.</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Các Văn kiện Đại hội Đảng lần thứ XII đã kế thừa, làm rõ và thể hiện bước phát triển mới trên nhiều luận điểm quan trọng, trong đó có những luận điểm lần đầu tiên được đề cập.</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iCs/>
          <w:color w:val="000000"/>
          <w:sz w:val="26"/>
          <w:szCs w:val="26"/>
        </w:rPr>
        <w:t>Thứ nhất, nền kinh tế thị trường định hướng XHCN nước ta là nền kinh tế vận hành đầy đủ, đồng bộ theo các quy luật của kinh tế thị trường.</w:t>
      </w:r>
      <w:r w:rsidRPr="00816392">
        <w:rPr>
          <w:rFonts w:eastAsia="Times New Roman" w:cs="Times New Roman"/>
          <w:color w:val="000000"/>
          <w:sz w:val="26"/>
          <w:szCs w:val="26"/>
        </w:rPr>
        <w:t> Đây là luận điểm đã được đề cập trước đây nhưng lần này được Đảng ta khẳng định rõ và cụ thể hơn, bởi lẽ, trên thực tế, nền kinh tế nước ta đang từng bước được công nhận là nền kinh tế thị trường và đến năm 2018, sẽ được các thành viên WTO công nhận là nền kinh tế thị trường đầy đủ.</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Điều đó cũng có nghĩa là nền kinh tế của chúng ta không khác biệt mà mang đầy đủ các đặc trưng phổ biến của kinh tế thị trường, như: tự do kinh doanh và cạnh tranh; mở cửa và hướng tới tự do hóa; đa dạng hóa các hình thức sở hữu; lấy quy luật giá trị và quan hệ cung cầu để xác định giá cả; đề cao tinh thần khởi nghiệp; coi cạnh tranh là động lực phát triển; phân bổ nguồn lực phát triển và xử lý những yếu kém nội tại của nền kinh tế theo các nguyên tắc của thị trường; v.v..</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Thực tiễn phát triển của đất nước ta cũng đã minh chứng sinh động rằng: không vận hành đầy đủ và đồng bộ các quy luật của kinh tế thị trường, chúng ta không thể giải phóng sức sản xuất, phát triển và hội nhập quốc tế thành công.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iCs/>
          <w:color w:val="000000"/>
          <w:sz w:val="26"/>
          <w:szCs w:val="26"/>
        </w:rPr>
        <w:lastRenderedPageBreak/>
        <w:t>Thứ hai, nền kinh tế thị trường định hướng XHCN của nước ta là nền kinh tế thị trường hiện đại và hội nhập quốc tế.</w:t>
      </w:r>
      <w:r w:rsidRPr="00816392">
        <w:rPr>
          <w:rFonts w:eastAsia="Times New Roman" w:cs="Times New Roman"/>
          <w:color w:val="000000"/>
          <w:sz w:val="26"/>
          <w:szCs w:val="26"/>
        </w:rPr>
        <w:t> Đây là luận điểm lần đầu tiên Đảng ta khẳng định trong văn kiện nhưng rất cần thiết và phù hợp với thực tiễn phát triển của đất nước hiện nay, phản ánh tiến trình hội nhập quốc tế sâu, rộng trên nhiều cấp độ; đưa nền kinh tế Việt Nam trở thành một bộ phận hữu cơ của nền kinh tế thị trường thế giới.</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Nhấn mạnh tính hiện đại và hội nhập của nền kinh tế là sự khẳng định việc tuân thủ các chuẩn mực chung của thế giới để phát triển, thực hiện tự do hóa trong các lĩnh vực thương mại, đầu tư, tài chính, dịch vụ, lao động kỹ năng, v.v.. và quan trọng hơn, là phải tuân thủ các cam kết quốc tế đã ký, nỗ lực cải cách thể chế kinh tế bên trong, đáp ứng các tiêu chí để được công nhận là nền kinh tế thị trường đầy đủ.</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Thuộc tính mới này của nền kinh tế đặt ra cho chúng ta yêu cầu phải tiếp tục hoàn thiện thể chế phát triển; đổi mới mô hình tăng trưởng, cơ cấu lại nền kinh tế nhằm nâng cao năng suất, chất lượng, hiệu quả; phát triển nhanh và bền vững; tham gia vào chuỗi giá trị và mạng sản xuất toàn cầu; phát triển kinh tế tri thức, chú trọng đổi mới sáng tạo trên nền tảng khoa học - công nghệ hiện đại; thiết lập các thị trường yếu tố sản xuất, hàng hóa và dịch vụ hiệu quả; phát triển hệ thống an sinh và phúc lợi xã hội tiên tiến; thúc đẩy và hoàn thiện những chuẩn mực văn minh trong sản xuất và tiêu dùng...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iCs/>
          <w:color w:val="000000"/>
          <w:sz w:val="26"/>
          <w:szCs w:val="26"/>
        </w:rPr>
        <w:t>Thứ ba, thị trường đóng vai trò chủ yếu trong huy động và phân bổ có hiệu quả các nguồn lực phát triển; là động lực chủ yếu để giải phóng sức sản xuất</w:t>
      </w:r>
      <w:r w:rsidRPr="00816392">
        <w:rPr>
          <w:rFonts w:eastAsia="Times New Roman" w:cs="Times New Roman"/>
          <w:color w:val="000000"/>
          <w:sz w:val="26"/>
          <w:szCs w:val="26"/>
        </w:rPr>
        <w:t>. Chúng ta đã vận hành nền kinh tế theo nguyên lý này trên thực tế nhưng đây cũng là luận điểm lần đầu được đề cập, khẳng định trong văn kiện chính thức.</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Trong giai đoạn vừa qua, sự phát triển mạnh khu vực kinh tế tư nhân, khu vực FDI, cổ phần hóa doanh nghiệp nhà nước, phát triển thị trường chứng khoán, xã hội hóa dịch vụ công, triển khai đối tác công - tư một cách sáng tạo trong xây dựng cơ bản và phát triển kết cấu hạ tầng, v.v.. đã góp phần giải phóng sức sản xuất và mọi tiềm năng phát triển trong và ngoài nước.</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Điều kiện cơ bản để huy động và phân bổ có hiệu quả các nguồn lực phát triển là bảo đảm tự do kinh doanh và thúc đẩy cạnh tranh; thiết lập và hoàn thiện cơ chế thị trường lành mạnh, minh bạch; phát triển đầy đủ, đồng bộ và vận hành thông suốt các loại thị trường; các chủ thể thị trường cạnh tranh bình đẳng; đặc biệt cần có sự bình đẳng trong cơ hội đầu tư, sản xuất và kinh doanh đối với mọi chủ thể kinh tế, không phân biệt đối xử với cá nhân hay tập thể, doanh nghiệp tư nhân hay doanh nghiệp nhà nước.</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Thị trường cũng chính là cơ chế chủ yếu thực hiện phân phối các thành quả của tăng trưởng kinh tế, trong đó thu nhập của mỗi người được hình thành trên cơ sở và phù hợp với kết quả lao động cũng như mức đóng góp về các nguồn lực trong quá trình tạo ra của cải xã hội. Đây là những tiền đề quan trọng để mọi chủ thể xã hội phát huy năng lực và sức sáng tạo, làm giàu cho chính mình và làm giàu cho xã hội.</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iCs/>
          <w:color w:val="000000"/>
          <w:sz w:val="26"/>
          <w:szCs w:val="26"/>
        </w:rPr>
        <w:t>Thứ tư, Đảng ta khẳng định mạnh mẽ hơn vai trò của kinh tế tư nhân giai đoạn trước, ta đã coi “kinh tế tư nhân là một trong các động lực của nền kinh tế”, lần này Đảng ta khẳng định và dứt khoát hơn, coi “kinh tế tư nhân là động lực quan trọng của nền kinh tế”.</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Nhận thức về kinh tế tư nhân là động lực quan trọng xuất phát từ thực tiễn phát triển hết sức sinh động của nền kinh tế đất nước. Trong những năm qua, hàng trăm nghìn doanh nghiệp tư nhân đã làm nên sự phát triển năng động của nền kinh tế, góp phần quan trọng tạo việc làm, nâng cao thu nhập của người dân, mạnh dạn đột phá và đi đầu trong nhiều lĩnh vực sản xuất - kinh doanh mới.</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Trong quá trình hội nhập, nhiều doanh nghiệp tư nhân đã vươn ra bên ngoài và khẳng định thương hiệu của mình trên thị trường thế giới. Lực lượng doanh nhân Việt Nam đông đảo, rộng khắp, ở mọi loại hình và quy mô, đang có tiếng nói và vai trò ngày càng quan trọng trong các quyết sách phát triển đất nước.</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 xml:space="preserve">Do đó, tạo mọi điều kiện thuận lợi cho khu vực tư nhân phát triển cũng chính là tạo điều kiện để giải phóng các nguồn lực phát triển trong xã hội, để nền kinh tế thị trường phát huy tối đa các tiềm năng to lớn của nó. </w:t>
      </w:r>
      <w:r w:rsidRPr="00816392">
        <w:rPr>
          <w:rFonts w:eastAsia="Times New Roman" w:cs="Times New Roman"/>
          <w:color w:val="000000"/>
          <w:sz w:val="26"/>
          <w:szCs w:val="26"/>
        </w:rPr>
        <w:lastRenderedPageBreak/>
        <w:t>Luận điểm này chắc chắn là nguồn cổ vũ tinh thần khởi nghiệp, đổi mới và sáng tạo, tạo sức sống và đột phá phát triển mạnh mẽ đất nước ta trong giai đoạn mới.</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Cần nhấn mạnh rằng, việc xác định kinh tế nhà nước giữ vai trò chủ đạo và kinh tế tư nhân là động lực quan trọng trong nền kinh tế hoàn toàn không hàm ý sự phân biệt đối xử, mà với ý nghĩa là tùy thuộc vào chức năng của mỗi thành phần kinh tế để xác định vai trò của chúng.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Kinh tế nhà nước với các nguồn lực, công cụ, chính sách của mình chủ đạo trong việc định hướng và điều tiết nền kinh tế, đảm bảo các cân đối lớn cho nền kinh tế, kiểm soát các nguồn tài nguyên chiến lược, phát triển các kết cấu  hạ tầng và dịch vụ công có vốn đầu tư lớn, luân chuyển chậm, lợi nhuận không cao, rất cần thiết cho nền kinh tế - xã hội nhưng khu vực tư nhân không sẵn sàng đảm nhận; các lĩnh vực quốc phòng - an ninh, một số hoạt động đầu tư mạo hiểm...</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Về thực chất, kinh tế nhà nước luôn có vị trí quan trọng trong các nền kinh tế thị trường hiện đại, ví dụ: các nền kinh tế khu vực Nodic, như Nauy, luôn có khu vực kinh tế nhà nước lớn, rất mạnh và hiệu quả, nhất là trong các ngành dầu khí, hàng hải và viễn thông.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Cũng bởi vậy, nhiều nhà kinh tế nổi tiếng thế giới cảnh báo rằng, phải nâng cao hiệu quả của khu vực kinh tế nhà nước song đừng vì tính kém hiệu quả của khu vực này, nhất là của một số doanh nghiệp nhà nước, trong một số ngành, lĩnh vực và ở một số thời điểm mà trượt sang tư tưởng cực đoan, phủ nhận vai trò kinh tế nhà nước nói chung và doanh nghiệp nhà nước nói riêng; họ không ủng hộ độc quyền nhà nước trong kinh doanh, nhưng luôn cảnh báo rằng sẽ là vô cùng nguy hiểm nếu điều đó dẫn tới độc quyền tư nhân.</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Rõ ràng, Đảng ta tiếp tục xác định kinh tế nhà nước giữ vai trò chủ đạo với nội hàm mới, phù hợp với Cương lĩnh xây dựng đất nước (sửa đổi, bổ sung năm 2011) và Hiến pháp nước Cộng hòa XHCN Việt Nam (sửa đổi năm 2013) là hoàn toàn hợp lý và cần thiết.</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iCs/>
          <w:color w:val="000000"/>
          <w:sz w:val="26"/>
          <w:szCs w:val="26"/>
        </w:rPr>
        <w:t>Thứ năm, các nguồn lực nhà nước được phân bổ theo chiến lược, quy hoạch, kế hoạch, chính sách phát triển nhưng phải phù hợp với cơ chế thị trường.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Ở trình độ phát triển chưa cao như nền kinh tế nước ta, Nhà nước đóng vai trò quan trọng đối với phát triển kinh tế - xã hội. Nhà nước sử dụng các nguồn lực của mình, cùng các công cụ, chính sách để định hướng và điều tiết nền kinh tế, thúc đẩy sản xuất kinh doanh, thực hiện tiến bộ, công bằng xã hội và bảo vệ môi trường.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Trong điều kiện hiện nay, việc phân bổ các nguồn lực của Nhà nước không thể theo ý muốn chủ quan, bất chấp quy hoạch và kế hoạch phát triển, mà phải theo các tín hiệu tích cực của thị trường, đảm bảo sự minh bạch và có hiệu quả.</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Đây là luận điểm đặt ra yêu cầu phải đoạn tuyệt dứt khoát với cơ chế bao cấp, “xin - cho”; là định hướng quan trọng để xử lý các vấn đề về đầu tư dàn trải, lãng phí và kém hiệu quả trong sử dụng các nguồn lực phát triển của Nhà nước và xã hội. Điều này đòi hỏi phải tiếp tục đẩy nhanh các tiến trình cơ cấu lại đầu tư công, doanh nghiệp nhà nước và ngân sách nhà nước phù hợp với cơ chế thị trường; chú trọng xử lý vấn đề nợ xấu và nợ công.</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Nhà nước phải chuyển từ vai trò can thiệp trực tiếp sang hỗ trợ, tạo thuận lợi hóa và quản lý phát triển, trong đó chú trọng bảo đảm ổn định kinh tế vĩ mô, tạo lập các cơ hội kinh doanh và khởi nghiệp; thiết lập khuôn khổ pháp luật, chính sách và bộ máy thực thi  nhằm đảm bảo các loại thị trường liên tục được hoàn thiện, hoạt động minh bạch, hiệu quả và cạnh tranh công bằng. Có thể nói, tuân thủ và tôn trọng các quy luật của kinh tế thị trường trở thành tư tưởng xuyên suốt trong tổ chức và quản trị phát triển nền kinh tế nước ta hiện nay. </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lastRenderedPageBreak/>
        <w:t>Kinh tế thị trường định hướng XHCN là mô hình kinh tế tổng quát của nước ta. Định hướng XHCN và kinh tế thị trường là một chỉnh thể thống nhất.</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Phát triển nền kinh tế thị trường có sự quản lý của Nhà nước pháp quyền XHXN, do Đảng Cộng sản Việt Nam lãnh đạo, vì lợi ích của đại đa số nhân dân, hướng vào con người, vì con người, lấy con người làm trung tâm của sự phát triển, mọi người được tham gia và mọi người được hưởng lợi. Đây cũng chính là thuộc tính nhân văn của nền kinh tế, đặc trưng riêng có của nền kinh tế thị trường định hướng XHCN Việt Nam.</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Định hướng XHCN được thể hiện trên nhiều phương diện: thứ nhất,ngay trong mục tiêu phát triển, đó là: xây dựng thành công CNXH,phát triển xã hội và con người Việt Nam, thực hiện “dân giàu, nước mạnh, dân chủ, công bằng, văn minh”;thứ hai, trong phương thức phát triển, đó là việc phát triển nền kinh tế nhiều hình thức sở hữu, nhiều thành phần kinh tế, trong đó kinh tế nhà nước giữ vai trò chủ đạo để khắc phục những hạn chế, khuyết tật và thất bại của thị trường, đảm bảo thực hiện thành công các mục tiêu kinh tế - xã hội; thứ ba, trong phương thức phân phối, đó là việc Nhà nước thực hiện tiến bộ, công bằng xã hội trong từng bước và từng chính sách phát triển; hoàn thiện chế độ phân phối chủ yếu theo hiệu quả kinh tế, đồng thời thông qua phúc lợi xã hội, thực hiện chế độ bảo hiểm xã hội đối với toàn dân, đặc biệt quan tâm và hỗ trợ người nghèo, những nhóm xã hội yếu thế, dễ bị tổn thương; và thứ tư, trong phương thức quản trị và quản lý nền kinh tế, đó là việc thực hiện dân chủ hóa trong đời sống kinh tế; phát huy vai trò làm chủ của nhân dân trong phát triển kinh tế - xã hội; đảm bảo vai trò quản lý nền kinh tế của Nhà nước pháp quyền XHCN dưới sự lãnh đạo của Đảng Cộng sản Việt Nam.</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Nhấn mạnh các luận điểm mới để chúng ta có nhận thức đúng và có niềm tin vào đường lối tiếp tục đổi mới của Đảng ta. Để triển khai thực hiện thắng lợi và đưa Nghị quyết Đại hội XII đi vào cuộc sống, đòi hỏi chúng ta phải có những giải pháp đồng bộ, sáng tạo; đặc biệt phải có quyết tâm chính trị cao và hành động quyết liệt, cụ thể, bám sát thực tiễn hết sức sinh động của đất nước ta, ở từng thời điểm, từng địa phương và trong từng lĩnh vực phát triển.</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Ba đột phá chiến lược và ba trọng tâm trong tái cơ cấu nền kinh tế gắn với đổi mới mô hình tăng trưởng mà Đảng ta đề ra trong nhiệm kỳ trước vẫn còn nguyên giá trị.</w:t>
      </w:r>
    </w:p>
    <w:p w:rsidR="00605B7E" w:rsidRPr="00816392" w:rsidRDefault="00605B7E" w:rsidP="00605B7E">
      <w:pPr>
        <w:shd w:val="clear" w:color="auto" w:fill="FFFFFF"/>
        <w:spacing w:after="225" w:line="240" w:lineRule="auto"/>
        <w:jc w:val="both"/>
        <w:rPr>
          <w:rFonts w:eastAsia="Times New Roman" w:cs="Times New Roman"/>
          <w:color w:val="000000"/>
          <w:sz w:val="26"/>
          <w:szCs w:val="26"/>
        </w:rPr>
      </w:pPr>
      <w:r w:rsidRPr="00816392">
        <w:rPr>
          <w:rFonts w:eastAsia="Times New Roman" w:cs="Times New Roman"/>
          <w:color w:val="000000"/>
          <w:sz w:val="26"/>
          <w:szCs w:val="26"/>
        </w:rPr>
        <w:t>Chúng ta cần thống nhất rằng, bối cảnh mới đang đem lại cho đất nước nhiều cơ hội phát triển lớn song mới chỉ là tiềm năng; trong khi nhiều thách thức là hiện hữu, nhất là trong quá trình hội nhập quốc tế ngày càng sâu, rộng và với những yếu kém đang tồn tại trong nền kinh tế.</w:t>
      </w:r>
    </w:p>
    <w:p w:rsidR="00605B7E" w:rsidRPr="00816392" w:rsidRDefault="00605B7E" w:rsidP="00605B7E">
      <w:pPr>
        <w:shd w:val="clear" w:color="auto" w:fill="FFFFFF"/>
        <w:spacing w:line="240" w:lineRule="auto"/>
        <w:jc w:val="both"/>
        <w:rPr>
          <w:rFonts w:eastAsia="Times New Roman" w:cs="Times New Roman"/>
          <w:color w:val="000000"/>
          <w:sz w:val="26"/>
          <w:szCs w:val="26"/>
        </w:rPr>
      </w:pPr>
      <w:r w:rsidRPr="00816392">
        <w:rPr>
          <w:rFonts w:eastAsia="Times New Roman" w:cs="Times New Roman"/>
          <w:color w:val="000000"/>
          <w:sz w:val="26"/>
          <w:szCs w:val="26"/>
        </w:rPr>
        <w:t>Để tận dụng được các cơ hội, vượt qua thách thức, biến thách thức thành cơ hội vì sự cường thịnh của đất nước, chúng ta kiên định con đường đã chọn: phát triển kinh tế thị trường định hướng XHCN nhằm xây dựng thành công CNXH Việt Nam“dân giàu, nước mạnh, dân chủ, công bằng, văn minh”.</w:t>
      </w:r>
    </w:p>
    <w:p w:rsidR="00605B7E" w:rsidRPr="00816392" w:rsidRDefault="00605B7E" w:rsidP="00605B7E">
      <w:pPr>
        <w:shd w:val="clear" w:color="auto" w:fill="FFFFFF"/>
        <w:spacing w:before="300" w:after="300" w:line="240" w:lineRule="auto"/>
        <w:jc w:val="both"/>
        <w:rPr>
          <w:rFonts w:eastAsia="Times New Roman" w:cs="Times New Roman"/>
          <w:iCs/>
          <w:color w:val="000000"/>
          <w:sz w:val="26"/>
          <w:szCs w:val="26"/>
        </w:rPr>
      </w:pPr>
      <w:r w:rsidRPr="00816392">
        <w:rPr>
          <w:rFonts w:eastAsia="Times New Roman" w:cs="Times New Roman"/>
          <w:iCs/>
          <w:color w:val="000000"/>
          <w:sz w:val="26"/>
          <w:szCs w:val="26"/>
        </w:rPr>
        <w:t>Theo Tạp chí Lý luận chính trị số 8-2016</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b/>
          <w:bCs/>
          <w:color w:val="000000"/>
          <w:sz w:val="26"/>
          <w:szCs w:val="26"/>
        </w:rPr>
        <w:t>KỲ 1: VAI TRÒ CỦA CÔNG NGHIỆP CHẾ BIẾN, CHẾ TẠO TRONG NỀN KINH TẾ</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Công nghiệp chế biến, chế tạo đã chứng minh được tầm quan trọng trong quá trình công nghiệp hóa và phát triển kinh tế, từ sự trỗi dậy của Anh trong thế kỷ XIX, đến sự trỗi dậy của Mỹ, Đức, Nhật Bản vào giữa thế kỷ XX, hay các nước công nghiệp mới vào nửa cuối thế kỷ XX và gần đây là Trung Quốc. Sự thành công của các quốc gia này trong quá trình công nghiệp hóa, trở thành nước có thu nhập cao là bằng chứng cho thấy công nghiệp chế biến, chế tạo là con đường phát triển, là chìa khóa để tạo nên sự thịnh vượng của mỗi quốc gia.</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i/>
          <w:iCs/>
          <w:color w:val="000000"/>
          <w:sz w:val="26"/>
          <w:szCs w:val="26"/>
        </w:rPr>
        <w:lastRenderedPageBreak/>
        <w:t>Sự thành công của các quốc gia trong quá trình công nghiệp hóa, trở thành nước có thu nhập cao là bằng chứng cho thấy công nghiệp chế biến, chế tạo là con đường phát triển, là chìa khóa để tạo nên sự thịnh vượng của mỗi quốc gia.</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b/>
          <w:bCs/>
          <w:color w:val="000000"/>
          <w:sz w:val="26"/>
          <w:szCs w:val="26"/>
        </w:rPr>
        <w:t>ĐÓNG GÓP CỦA CÔNG NGHIỆP CHẾ BIẾN, CHẾ TẠO TRONG GDP VÀ TẠO VIỆC LÀM</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Tổng sản phẩm quốc nội (GDP) của một quốc gia được cấu thành từ các hoạt động kinh tế khác nhau, thường được chia thành 3 khu vực kinh tế chính là nông nghiệp, công nghiệp - xây dựng và dịch vụ. Nông nghiệp, công nghiệp - xây dựng là hai khu vực tạo ra của cải, vật chất hữu hình và khu vực dịch vụ tạo ra các sản phẩm vô hình. Các sản phẩm vô hình và hữu hình có mối liên hệ mật thiết với nhau theo chuỗi giá trị và tất cả đều mang lại giá trị cho nền kinh tế. Chuỗi giá trị là chuỗi của các hoạt động mà một sản phẩm phải đi qua tuần tự các hoạt động đó để chuyển hóa từ một ý tưởng thành một sản phẩm cụ thể và tại mỗi hoạt động sản phẩm đó đi qua, giá trị của sản phẩm được tăng thêm.</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Chuỗi giá trị thường bắt đầu từ hoạt động nghiên cứu phát triển, đến thiết kế sản phẩm, sản xuất, ma-két-ting, phân phối và dịch vụ sau bán hàng. Hoạt động sản xuất ở giữa, đóng vai trò kết nối các hoạt động ở hai đầu của chuỗi - chủ yếu là các hoạt động của khu vực dịch vụ. Hoạt động sản xuất mặc dù là khâu tạo ra giá trị gia tăng thấp nhất trong chuỗi, nhưng không thể thiếu, bởi nếu thiếu công đoạn sản xuất sẽ không tạo nên được một chuỗi giá trị hoàn chỉnh. Ngày nay, nhờ hội nhập kinh tế và toàn cầu hóa, chuỗi giá trị vượt ra ngoài phạm vi lãnh thổ của một nước để trở thành chuỗi giá trị toàn cầu. Các công đoạn sản xuất thâm dụng lao động, mang lại giá trị gia tăng thấp được dịch chuyển sang các nước đang phát triển để tận dụng lợi thế về chi phí nhân công và lợi thế so sánh của các nước này. Mặc dù được dịch chuyển ra nước ngoài, nhưng hoạt động sản xuất của các chuỗi này vẫn hoàn toàn phụ thuộc vào những doanh nghiệp đầu chuỗi, chủ sở hữu của các sản phẩm dịch vụ tạo ra từ các hoạt động nghiên cứu phát triển, hệ thống phân phối, thương hiệu sản phẩm... đặt tại các nước công nghiệp phát triển.</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Hoạt động sản xuất cung cấp một nền tảng quan trọng cho việc học hỏi và phát triển kỹ năng, đổi mới sáng tạo, gắn liền với hoạt động nghiên cứu phát triển. Các nước công nghiệp phát triển cũng chính là nơi sản sinh ra những ý tưởng và phát minh, sáng chế mới, những ngành công nghiệp quan trọng đối với tương lai kinh tế của đất nước, bao gồm các vật liệu tiên tiến, công nghệ sinh học, công nghệ na-no và các thiết bị cơ khí chính xác. Sự ra đời của các công nghệ mang tính đột phá cũng đều xuất phát từ các ngành công nghiệp chế biến, chế tạo (CBCT), là nền tảng của các cuộc cách mạng công nghiệp. Thế giới ngày nay đã trải qua bốn cuộc cách mạng công nghiệp, mỗi cuộc cách mạng đều được khởi xướng từ sự thay đổi có tính đột phá về công nghệ sản xuất. Nếu như các phát minh, sáng chế liên quan đến cơ khí, chế tạo là nền tảng cho cuộc Cách mạng công nghiệp lần thứ nhất và thứ hai thì những phát minh, sáng chế về điện tử, cơ điện tử là nền tảng cho cuộc Cách mạng công nghiệp lần thứ ba, thứ tư gần đây. Các tập đoàn đa quốc gia, các doanh nghiệp đầu chuỗi trong các ngành công nghiệp CBCT là những người đi đầu trong việc tạo ra các công nghệ này và các tập đoàn này đa phần thuộc về các nước có ngành công nghiệp phát triển.</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xml:space="preserve">Khu vực công nghiệp bao gồm 4 ngành chính là khai khoáng, công nghiệp CBCT, sản xuất phân phối điện - khí, và cấp thoát nước, trong đó công nghiệp CBCT đóng vai trò chủ đạo, tạo ra giá trị gia tăng lớn nhất cho khu vực công nghiệp. Ở các nước công nghiệp, dù là nước đã phát triển từ lâu hay mới nổi, trong suốt 20 năm qua, công nghiệp CBCT vẫn luôn đóng góp khoảng 20% trong GDP. Năm 2019, khu vực sản xuất CBCT của Trung Quốc chiếm 27,1% GDP; Hàn Quốc: 25,3%; Thái Lan: 25,3%; Ma-lai-xi-a: 21,5%; Nhật Bản: 20,7%; Xin-ga-po: 19,8% và Đức: 19,4%, trong khi </w:t>
      </w:r>
      <w:r w:rsidRPr="00816392">
        <w:rPr>
          <w:rFonts w:ascii="Arial" w:eastAsia="Times New Roman" w:hAnsi="Arial" w:cs="Arial"/>
          <w:color w:val="000000"/>
          <w:sz w:val="26"/>
          <w:szCs w:val="26"/>
        </w:rPr>
        <w:lastRenderedPageBreak/>
        <w:t>Việt Nam mới chỉ đạt 16,5%. Bên cạnh đó, các cơ sở sản xuất, công nghiệp CBCT của các nước phát triển đã được dịch chuyển ra nước ngoài nhờ toàn cầu hóa và phân công lao động quốc tế thông qua dòng vốn đầu tư nước ngoài, do vậy trên thực tế, năng lực công nghiệp CBCT các quốc gia này có thể còn lớn hơn nhiều.</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Xét về mức độ đóng góp vào GDP của các ngành kinh tế, số liệu thống kê từ năm 2010 đến nay cho thấy, cơ cấu nền kinh tế Việt Nam đang có sự chuyển đổi tích cực theo hướng công nghiệp hóa, với sự giảm dần của nông nghiệp và tăng dần của công nghiệp và dịch vụ. Bốn ngành có đóng góp lớn nhất cho nền kinh tế gồm CBCT, nông nghiệp, bán buôn, bán lẻ, và khoáng sản. Các ngành còn lại đều có mức đóng góp dưới 5%. Như vậy có thể thấy, công nghiệp CBCT đã đóng vai trò động lực cho phát triển của nền kinh tế trong thời gian vừa qua (Xem hình 1).</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noProof/>
          <w:color w:val="000000"/>
          <w:sz w:val="26"/>
          <w:szCs w:val="26"/>
        </w:rPr>
        <w:drawing>
          <wp:inline distT="0" distB="0" distL="0" distR="0">
            <wp:extent cx="5238750" cy="3457575"/>
            <wp:effectExtent l="0" t="0" r="0" b="9525"/>
            <wp:docPr id="7" name="Picture 7" descr="https://moit.gov.vn/documents/2102328/0/khcn_14.jpg/469aab74-76a4-417a-bc55-ee2bd7e36b38?t=1603686479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oit.gov.vn/documents/2102328/0/khcn_14.jpg/469aab74-76a4-417a-bc55-ee2bd7e36b38?t=16036864796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8750" cy="3457575"/>
                    </a:xfrm>
                    <a:prstGeom prst="rect">
                      <a:avLst/>
                    </a:prstGeom>
                    <a:noFill/>
                    <a:ln>
                      <a:noFill/>
                    </a:ln>
                  </pic:spPr>
                </pic:pic>
              </a:graphicData>
            </a:graphic>
          </wp:inline>
        </w:drawing>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Công nghiệp CBCT cũng là nguồn cung việc làm dài hạn và thu nhập ổn định. Hầu hết các công việc trực tiếp hoặc gián tiếp đều phụ thuộc vào sản xuất. Trước đây, nhờ phục hồi các ngành công nghiệp CBCT mà nước Mỹ trong những năm 1920, 1930 có thể cung cấp hàng chục triệu việc làm mới, vượt qua cuộc đại suy thoái và nhanh chóng trở thành cường quốc thế giới. Năm 2019, tại Trung Quốc, 28,2% việc làm được tạo ra từ ngành công nghiệp CBCT; tại Đức là 26,8%; Nhật Bản: 24,3%; Hàn Quốc: 24,8%; Ma-lai-xi-a: 27,2%; Thái Lan: 23,4%; Việt Nam: 25,8%. Gần đây, nhận thức được tầm quan trọng của các ngành sản xuất, CBCT trong tăng trưởng kinh tế và tạo việc làm, Chính phủ Mỹ đã triển khai nhiều biện pháp mạnh để đưa hoạt động sản xuất quay trở lại đất nước.</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xml:space="preserve">Xét về góc độ tạo việc làm của các ngành kinh tế, số liệu thống kê từ năm 2010 đến nay cho thấy, thay đổi về cơ cấu kinh tế đã dẫn đến những thay đổi về cơ cấu lao động, với sự giảm sút đáng kể của lao động làm việc trong ngành nông nghiệp, từ 49,5% (năm 2010) xuống còn 37,7% (năm 2018) và sự gia tăng của lao động làm việc trong ngành công nghiệp và dịch vụ. Ngành công nghiệp CBCT đã cho thấy vai trò chủ đạo của mình trong việc hấp thụ lao động dịch chuyển từ khu vực nông nghiệp, với tỷ trọng lao động tăng từ 13,5% lên 17,9%; tiếp theo là ngành dịch vụ bán buôn, bán lẻ với tỷ trọng lao động tăng từ 11,3% lên 13,5% trong cùng giai đoạn. Các ngành còn lại đều có tỷ trọng lao động chưa đến 10%. Như vậy, hơn 60% lao động cả nước đang làm </w:t>
      </w:r>
      <w:r w:rsidRPr="00816392">
        <w:rPr>
          <w:rFonts w:ascii="Arial" w:eastAsia="Times New Roman" w:hAnsi="Arial" w:cs="Arial"/>
          <w:color w:val="000000"/>
          <w:sz w:val="26"/>
          <w:szCs w:val="26"/>
        </w:rPr>
        <w:lastRenderedPageBreak/>
        <w:t>việc ở 3 ngành kinh tế chính là nông nghiệp, công nghiệp CBCT và dịch vụ bán buôn, bán lẻ. Với xu hướng giảm dần lao động trong ngành nông nghiệp, trong giai đoạn tới, ngành công nghiệp CBCT và dịch vụ bán buôn, bán lẻ sẽ phải tạo thêm nhiều việc làm hơn nữa để đáp ứng nhu cầu việc làm của xã hội (Xem hình 2).</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noProof/>
          <w:color w:val="000000"/>
          <w:sz w:val="26"/>
          <w:szCs w:val="26"/>
        </w:rPr>
        <w:drawing>
          <wp:inline distT="0" distB="0" distL="0" distR="0">
            <wp:extent cx="5238750" cy="3590925"/>
            <wp:effectExtent l="0" t="0" r="0" b="9525"/>
            <wp:docPr id="6" name="Picture 6" descr="https://moit.gov.vn/documents/2102328/0/khcn_15.jpg/c3609fd8-98b1-4af7-8abd-cd1045164276?t=160368651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oit.gov.vn/documents/2102328/0/khcn_15.jpg/c3609fd8-98b1-4af7-8abd-cd1045164276?t=16036865122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590925"/>
                    </a:xfrm>
                    <a:prstGeom prst="rect">
                      <a:avLst/>
                    </a:prstGeom>
                    <a:noFill/>
                    <a:ln>
                      <a:noFill/>
                    </a:ln>
                  </pic:spPr>
                </pic:pic>
              </a:graphicData>
            </a:graphic>
          </wp:inline>
        </w:drawing>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Việt Nam đang trong thời kỳ dân số vàng, với dân số ở độ tuổi lao động chiếm trên 50% tổng dân số, đây vừa là nguồn lực cho phát triển, vừa là áp lực tạo việc làm đối với nền kinh tế. Công nghiệp CBCT là ngành tạo việc làm chủ yếu cho nền kinh tế, nhưng trong nội bộ ngành CBCT, vai trò của mỗi ngành cấp 2 cũng khác nhau. May mặc, da giày và chế biến thực phẩm vẫn là các ngành tạo việc làm chính cho nền kinh tế, với tốc độ tăng trưởng về lao động bình quân giai đoạn 2014 - 2017 đạt 6%. Điện tử thời gian gần đây nổi lên như một ngành thâm dụng lao động, tạo việc làm chủ yếu, với tốc độ tăng trưởng việc làm trong cùng giai đoạn đạt 21%. Các ngành khác, như cao-su - nhựa, cơ khí, ô-tô cũng có xu hướng tăng nhu cầu lao động, phù hợp với sự dịch chuyển cơ cấu công nghiệp, với tốc độ tăng trưởng bình quân trên 8% (Xem hình 3).</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noProof/>
          <w:color w:val="000000"/>
          <w:sz w:val="26"/>
          <w:szCs w:val="26"/>
        </w:rPr>
        <w:lastRenderedPageBreak/>
        <w:drawing>
          <wp:inline distT="0" distB="0" distL="0" distR="0">
            <wp:extent cx="5238750" cy="3524250"/>
            <wp:effectExtent l="0" t="0" r="0" b="0"/>
            <wp:docPr id="5" name="Picture 5" descr="https://moit.gov.vn/documents/2102328/0/khcn_16.jpg/df37d4cc-a29b-4ced-82b0-7e0a65b3807f?t=1603686546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moit.gov.vn/documents/2102328/0/khcn_16.jpg/df37d4cc-a29b-4ced-82b0-7e0a65b3807f?t=160368654607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3524250"/>
                    </a:xfrm>
                    <a:prstGeom prst="rect">
                      <a:avLst/>
                    </a:prstGeom>
                    <a:noFill/>
                    <a:ln>
                      <a:noFill/>
                    </a:ln>
                  </pic:spPr>
                </pic:pic>
              </a:graphicData>
            </a:graphic>
          </wp:inline>
        </w:drawing>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Để tận dụng cơ hội trong thời kỳ dân số vàng một cách hiệu quả, ngoài việc tạo ra nhiều việc làm đáp ứng nhu cầu của người lao động, cũng cần chú ý đến chất lượng việc làm, tức là những việc làm tạo ra năng suất và thu nhập cao, bởi đây mới là yếu tố góp phần thúc đẩy tăng trưởng kinh tế, đưa đất nước từ nước thu nhập trung bình lên nước thu nhập cao. Nếu chỉ tập trung vào tăng trưởng về lượng, phát triển các ngành thâm dụng lao động để giải quyết việc làm mà không chú trọng đến chất lượng việc làm, chuyển dịch cơ cấu trong nội ngành công nghiệp CBCT từ các ngành thâm dụng lao động, năng suất thấp sang các ngành thâm dụng vốn và công nghệ, có năng suất cao hơn, thì khi hết thời kỳ dân số vàng, nguồn lao động trở nên khan hiếm, dân số già hóa, đất nước phải đối mặt với nguy cơ “chưa giàu đã già” và mắc bẫy thu nhập trung bình.</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i/>
          <w:iCs/>
          <w:color w:val="000000"/>
          <w:sz w:val="26"/>
          <w:szCs w:val="26"/>
        </w:rPr>
        <w:t>Để tận dụng cơ hội trong thời kỳ dân số vàng một cách hiệu quả, cần chú ý đến chất lượng việc làm, tức là những việc làm tạo ra năng suất và thu nhập cao (Trong ảnh: Lao động trẻ có trình độ cao làm việc trong Nhà máy sản xuất ô tô VinFast)</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Như vậy, mục tiêu tạo việc làm nếu chỉ dựa vào cơ cấu việc làm trong ngành CBCT thì sẽ không thực sự hiệu quả, bởi vì các ngành thâm dụng lao động, như dệt may và giày dép tạo ra nhiều việc làm nhất nhưng lại có năng suất lao động thấp nhất. Điều này phản ánh đúng thực trạng của ngành dệt may, da giày Việt Nam đang phụ thuộc nhiều vào các doanh nghiệp nước ngoài. Các công đoạn tạo ra giá trị gia tăng cao đều do các doanh nghiệp nước ngoài nắm giữ, doanh nghiệp trong nước chỉ làm gia công cho các sản phẩm thương hiệu nước ngoài, thực hiện công đoạn sản xuất tạo ra giá trị gia tăng thấp nhất trong chuỗi giá trị. Một số ngành công nghiệp mới nổi, như điện tử, hóa chất, máy móc, thiết bị, ô-tô tăng quy mô về lao động nhưng vẫn giữ được tăng trưởng năng suất ổn định, cho thấy ngành CBCT Việt Nam đang có sự thay đổi cơ cấu theo chiều hướng tốt hơn, cần được thúc đẩy mạnh mẽ hơn trong thời gian tới (Xem hình 4).</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noProof/>
          <w:color w:val="000000"/>
          <w:sz w:val="26"/>
          <w:szCs w:val="26"/>
        </w:rPr>
        <w:lastRenderedPageBreak/>
        <w:drawing>
          <wp:inline distT="0" distB="0" distL="0" distR="0">
            <wp:extent cx="5238750" cy="3295650"/>
            <wp:effectExtent l="0" t="0" r="0" b="0"/>
            <wp:docPr id="3" name="Picture 3" descr="https://moit.gov.vn/documents/2102328/0/khcn_17.jpg/a340a96e-a7ea-4e44-a968-8f087abf5217?t=160368659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oit.gov.vn/documents/2102328/0/khcn_17.jpg/a340a96e-a7ea-4e44-a968-8f087abf5217?t=160368659213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0" cy="3295650"/>
                    </a:xfrm>
                    <a:prstGeom prst="rect">
                      <a:avLst/>
                    </a:prstGeom>
                    <a:noFill/>
                    <a:ln>
                      <a:noFill/>
                    </a:ln>
                  </pic:spPr>
                </pic:pic>
              </a:graphicData>
            </a:graphic>
          </wp:inline>
        </w:drawing>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b/>
          <w:bCs/>
          <w:color w:val="000000"/>
          <w:sz w:val="26"/>
          <w:szCs w:val="26"/>
        </w:rPr>
        <w:t>CÔNG NGHIỆP CHẾ BIẾN, CHẾ TẠO VÀ MỤC TIÊU TRỞ THÀNH NƯỚC CÔNG NGHIỆP HIỆN ĐẠI</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Với đà tăng trưởng của ngành công nghiệp CBCT như hiện nay, trong vài năm tới, Việt Nam sẽ có thể gia nhập nhóm các nước công nghiệp mới nổi theo tiêu chí phân loại của Tổ chức Phát triển công nghiệp Liên hợp quốc (UNIDO). UNIDO coi giá trị gia tăng của ngành CBCT (MVA) bình quân đầu người là một chỉ số chính, phản ánh trình độ phát triển của sản xuất công nghiệp trong mối quan hệ với quy mô dân số của một quốc gia. Khái niệm này đã được sử dụng thống nhất liên tục trong chuỗi Báo cáo Phát triển công nghiệp xuất bản hằng năm của UNIDO. Đúc kết từ quá trình phát triển của các quốc gia trên thế giới, UNIDO chỉ ra rằng, tỷ lệ MVA trong GDP sẽ không tăng lên nữa khi đạt đến một ngưỡng nhất định - là khi quốc gia đó đã đạt tới công nghiệp hóa ở mức cao nhất. GDP bình quân đầu người lúc này được ước tính khoảng 13.000 USD (sức mua tương đương - PPP, 2010) và MVA duy trì ở tỷ lệ khoảng 20%. Trong thống kê của UNIDO, một nền kinh tế được coi là đã công nghiệp hóa nếu MVA bình quân đầu người sau điều chỉnh vượt mức 2.500 USD (PPP, 2010).</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Một quốc gia được xếp hạng là “nền kinh tế công nghiệp mới nổi” nếu quốc gia đó đã có những thành tựu đáng kể về công nghiệp hóa và có MVA bình quân đầu người sau điều chỉnh nằm trong khoảng từ 1.000 USD đến 2.500 USD, hoặc GDP bình quân đầu người từ khoảng 10.000 USD đến 20.000 USD. Một tiêu chí nữa đã được đưa vào định nghĩa để bổ sung vào danh sách một số nền kinh tế đóng góp lớn cho sản xuất công nghiệp toàn cầu. Về tuyệt đối, các quốc gia này có đầy đủ các tiêu chí trên của một nền kinh tế công nghiệp mới nổi, nhưng về tương đối, do quy mô dân số lớn nên chưa đạt được mức MVA bình quân đầu người như các quốc gia khác. Vì vậy, danh sách này có bao gồm cả các công xưởng lớn của thế giới (đóng góp 0,5% hoặc nhiều hơn MVA toàn cầu), như Ấn Độ và Trung Quốc. Bảng phân loại quốc gia dựa trên trình độ công nghiệp hóa bao gồm 4 nhóm chính, với các ngưỡng thống kê và tiêu chí cụ thể như sau (xem Bảng 1):</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noProof/>
          <w:color w:val="000000"/>
          <w:sz w:val="26"/>
          <w:szCs w:val="26"/>
        </w:rPr>
        <w:lastRenderedPageBreak/>
        <w:drawing>
          <wp:inline distT="0" distB="0" distL="0" distR="0">
            <wp:extent cx="5238750" cy="1571625"/>
            <wp:effectExtent l="0" t="0" r="0" b="9525"/>
            <wp:docPr id="2" name="Picture 2" descr="https://moit.gov.vn/documents/2102328/0/khcn_18.jpg/95761d51-700e-4d1a-a775-9f5ddfc864be?t=1603686679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moit.gov.vn/documents/2102328/0/khcn_18.jpg/95761d51-700e-4d1a-a775-9f5ddfc864be?t=16036866798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8750" cy="1571625"/>
                    </a:xfrm>
                    <a:prstGeom prst="rect">
                      <a:avLst/>
                    </a:prstGeom>
                    <a:noFill/>
                    <a:ln>
                      <a:noFill/>
                    </a:ln>
                  </pic:spPr>
                </pic:pic>
              </a:graphicData>
            </a:graphic>
          </wp:inline>
        </w:drawing>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Hiện nay, Việt Nam đang được xếp vào nhóm các nền kinh tế đang phát triển, với MVA bình quân đầu người sau điều chỉnh sắp đạt đến ngưỡng 1.000 USD. Nếu duy trì tốc độ tăng trưởng MVA cao, trên 8% như thời gian vừa qua, dự kiến trong vòng từ 5 đến 7 năm tới, Việt Nam sẽ đạt tiêu chí để gia nhập nhóm các nền kinh tế công nghiệp mới nổi theo tiêu chí phân loại của UNIDO.</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b/>
          <w:bCs/>
          <w:color w:val="000000"/>
          <w:sz w:val="26"/>
          <w:szCs w:val="26"/>
        </w:rPr>
        <w:t>MỐI TƯƠNG QUAN GIỮA CÔNG NGHIỆP CHẾ BIẾN, CHẾ TẠO VÀ DỊCH VỤ - ĐỊNH HƯỚNG CHÍNH SÁCH TRONG THỜI GIAN TỚI</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Gần đây, khi quan sát thấy ngành công nghiệp có dấu hiệu tăng trưởng chậm lại so với dịch vụ và mục tiêu đến năm 2020 trở thành nước công nghiệp khó có thể đạt được, một số ý kiến cho rằng trong bối cảnh hiện nay, với sự sẵn có của các công nghệ mới của cuộc Cách mạng công nghiệp lần thứ tư, ngành công nghiệp CBCT sẽ không còn vai trò quan trọng trong nền kinh tế như trước đây, thay vào đó, dịch vụ sẽ là động lực cho phát triển kinh tế, giúp đưa các nước thu nhập trung bình thành nước thu nhập cao và rằng con đường phát triển dựa vào công nghiệp hóa không còn phù hợp trong bối cảnh công nghệ và dịch vụ hóa công nghiệp đang ngày càng phát triển như hiện nay. Nhận định này có thể dựa vào thực tế diễn ra tại các nước phát triển khi đóng góp của ngành công nghiệp CBCT đang ngày càng giảm và đóng góp của dịch vụ ngày càng tăng và ở Việt Nam, mặc dù công nghiệp CBCT vẫn đang tăng trưởng, nhưng dịch vụ tăng trưởng với tốc độ nhanh hơn và có đóng góp ngày càng lớn cho nền kinh tế. Tuy nhiên, nhận định này mới chỉ dựa vào con số thể hiện bề ngoài của ngành dịch vụ, mà không nhìn vào cấu trúc của toàn chuỗi giá trị, bởi thực tế, ngành dịch vụ phụ thuộc rất lớn vào quy mô và trình độ phát triển của các ngành sản xuất, nếu không có ngành sản xuất thì dịch vụ cũng không có cơ hội phát triển.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Khu vực dịch vụ bao gồm 15 ngành khác nhau, được phân thành 4 nhóm chính: 1- Dịch vụ phân phối (bao gồm các ngành, như bán buôn, bán lẻ, vận tải, kho bãi); 2- Dịch vụ cho các nhà sản xuất (gồm các ngành, như truyền thông, tài chính, bảo hiểm, cho thuê thiết bị, quảng cáo); 3- Dịch vụ xã hội (gồm các ngành hành chính công, an ninh - quốc phòng, giáo dục - đào tạo, y tế); 4- Dịch vụ cá nhân (gồm các ngành khách sạn, nhà hàng, giải trí, văn hóa). Trong các ngành dịch vụ ở hầu hết các nước, phát triển hay đang phát triển, nhóm dịch vụ phân phối thường chiếm tỷ trọng lớn nhất (đóng góp khoảng 15% - 20% GDP), nhưng bán lẻ, bán buôn lại chính là hoạt động mua và bán hàng hóa do các ngành công nghiệp CBCT sản xuất ra, và lô-gi-stíc, vận tải, kho bãi cũng không thể phát triển nếu không có hoạt động trao đổi hàng hóa tạo ra bởi các ngành sản xuất này. Điều tương tự cũng xảy ra với bất động sản, cũng là ngành dịch vụ có tỷ trọng lớn (đóng góp khoảng 10% GDP), hoạt động mua và bán bất động sản, như căn hộ hay tòa nhà, cũng là sản phẩm được tạo nên từ các mặt hàng của ngành sản xuất (xi-măng, sắt, thép, đồ nội thất). Mặc dù thương mại, dịch vụ đang ngày một phát triển, nhưng theo Tổ chức Thương mại thế giới (WTO), 80% thương mại thế giới giữa các khu vực hiện nay vẫn chủ yếu là thương mại hàng hóa, nghĩa là chỉ có 20% thương mại toàn cầu là về dịch vụ.</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lastRenderedPageBreak/>
        <w:t>Như vậy, dịch vụ phân phối cũng không thể phát triển nếu không có thương mại hàng hóa. Điều đáng lưu ý là, lô-gi-stíc, vận tải, kho bãi vừa là ngành dịch vụ đóng góp vào GDP, vừa là một cấu phần trong chi phí đầu vào của ngành CBCT và thương mại hàng hóa. Nếu những ngành này hoạt động kém hiệu quả, sẽ làm tăng chi phí và giảm năng suất của các ngành CBCT. Ngay cả y tế hay du lịch đều là hoạt động sử dụng và tiêu dùng các sản phẩm của ngành sản xuất CBCT, như thiết bị y tế, thuốc, dược phẩm trong y tế, và các sản phẩm tiêu dùng trong khách sạn, nhà hàng phục vụ khách du lịch. Tài chính, một ngành dịch vụ mà nhiều người cho rằng không liên quan đến sản xuất, bởi hoạt động của ngành này là luân chuyển các nguồn lực dư thừa của khu vực phi tài chính trong nền kinh tế, nhưng khu vực phi tài chính lại chính là khu vực sản xuất, điều đó có nghĩa là tài chính, một cách gián tiếp, cũng phụ thuộc vào lĩnh vực sản xuất để phát triển. Đối tượng để phục vụ của các ngành dịch vụ chuyên môn (như tư vấn, nghiên cứu phát triển, giáo dục - đào tạo...) phần lớn là các doanh nghiệp trong lĩnh vực sản xuất, ngành công nghiệp CBCT càng phát triển, nhu cầu về trình độ lao động, về nghiên cứu càng lớn và ngược lại.</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p>
    <w:p w:rsidR="00605B7E" w:rsidRPr="00816392" w:rsidRDefault="00605B7E" w:rsidP="00605B7E">
      <w:pPr>
        <w:shd w:val="clear" w:color="auto" w:fill="E9EBEE"/>
        <w:spacing w:after="0" w:line="240" w:lineRule="auto"/>
        <w:jc w:val="center"/>
        <w:rPr>
          <w:rFonts w:ascii="Arial" w:eastAsia="Times New Roman" w:hAnsi="Arial" w:cs="Arial"/>
          <w:color w:val="000000"/>
          <w:sz w:val="26"/>
          <w:szCs w:val="26"/>
        </w:rPr>
      </w:pPr>
      <w:r w:rsidRPr="00816392">
        <w:rPr>
          <w:rFonts w:ascii="Arial" w:eastAsia="Times New Roman" w:hAnsi="Arial" w:cs="Arial"/>
          <w:i/>
          <w:iCs/>
          <w:color w:val="000000"/>
          <w:sz w:val="26"/>
          <w:szCs w:val="26"/>
        </w:rPr>
        <w:t>Sản xuất sản phẩm công nghệ cao tại Công ty cổ phần Thiết bị bưu điện</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Tóm lại, sức khỏe của nền kinh tế phụ thuộc rất nhiều vào sức khỏe của khu vực sản xuất. Cuộc chiến thương mại Mỹ - Trung Quốc và đại dịch COVID-19 xảy ra gần đây càng cho thấy rõ tầm quan trọng của nền sản xuất tự cường và chuỗi giá trị với sự gắn kết chặt chẽ giữa sản xuất và các ngành dịch vụ phục vụ sản xuất. Trung Quốc chưa làm chủ được các công nghệ nguồn nên dù có là công xưởng thế giới, nhưng khi bị cắt nguồn cung về công nghệ, và các nhà đầu tư rút khỏi thị trường, kinh tế Trung Quốc đang phải đối mặt với nhiều thách thức.</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Các nước phát triển, như Mỹ, Liên minh châu Âu (EU), do dịch chuyển công đoạn sản xuất ra ngoài lãnh thổ làm đứt gãy chuỗi giá trị trong nước, nên khi xảy ra đại dịch, các nước này không thể chủ động đáp ứng nhu cầu các hàng hóa cơ bản do bị phụ thuộc quá lớn vào công đoạn sản xuất ở nước ngoài. Rõ ràng, xác định mô hình tăng trưởng kinh tế không phải là việc lựa chọn giữa công nghiệp hay dịch vụ, mà phải xác định sản xuất là cốt lõi và dịch vụ phục vụ sản xuất phải luôn đồng hành cùng sản xuất, phục vụ sản xuất và tạo ra giá trị gia tăng cho các ngành sản xuất. Một quốc gia, vùng lãnh thổ quy mô nhỏ (quốc gia thành thị) như Xin-ga-po hay Hồng Công (Trung Quốc), do hạn chế về nguồn lực, cũng như có những lợi thế về địa lý và nhờ các yếu tố lịch sử mang lại nên có thể tập trung nhiều hơn vào dịch vụ và phụ thuộc vào nền sản xuất của các quốc gia khác (mặc dù vậy, đóng góp của công nghiệp CBCT trong GDP của Xin-ga-po cũng vẫn xấp xỉ 20%), nhưng với một nền kinh tế quy mô khoảng 100 triệu dân, cơ cấu dân số trẻ, nhu cầu việc làm cao và vẫn còn gần 70% dân số ở khu vực nông thôn, muốn độc lập, tự chủ, thịnh vượng, nền kinh tế đó phải có một ngành sản xuất CBCT phát triển lớn mạnh để quá trình hiện đại hóa và đô thị hóa đất nước diễn ra nhanh và bền vững.</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Sự lớn mạnh của khu vực sản xuất, của các ngành CBCT sẽ tạo ra sự dịch chuyển thu hút lao động ra khỏi khu vực nông thôn, chuyển đổi lao động từ nông nghiệp sang công nghiệp và dịch vụ, tạo điều kiện tích tụ ruộng đất nông nghiệp và áp dụng khoa học - kỹ thuật để nâng cao giá trị gia tăng và hiệu quả trong khu vực nông nghiệp.</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xml:space="preserve">Những số liệu và nhận định trên đây cho thấy, công nghiệp CBCT có vai trò quan trọng trong nền kinh tế. Trong thời gian tới, để duy trì tốc độ tăng trưởng kinh tế, tránh bẫy thu nhập trung bình, Việt Nam cần tiếp tục theo đuổi mục tiêu công nghiệp hóa, lấy công nghiệp CBCT làm trọng tâm, song song với đó, phát triển hiệu quả các ngành dịch vụ phân phối và dịch vụ cho các nhà sản xuất để tạo động lực kép thúc đẩy tăng trưởng kinh tế. Phát triển công nghiệp CBCT chính là tạo </w:t>
      </w:r>
      <w:r w:rsidRPr="00816392">
        <w:rPr>
          <w:rFonts w:ascii="Arial" w:eastAsia="Times New Roman" w:hAnsi="Arial" w:cs="Arial"/>
          <w:color w:val="000000"/>
          <w:sz w:val="26"/>
          <w:szCs w:val="26"/>
        </w:rPr>
        <w:lastRenderedPageBreak/>
        <w:t>thị trường cho các ngành dịch vụ phát triển; do vậy, nguồn lực xã hội nên tập trung vào việc xây dựng và nâng cao năng lực, năng suất cho các doanh nghiệp công nghiệp trong nước, hình thành và phát triển các doanh nghiệp công nghiệp mạnh, các chuỗi cung ứng và chuỗi giá trị trong nước (bao gồm cả hoạt động sản xuất và dịch vụ trên toàn chuỗi), có đủ năng lực cạnh tranh toàn cầu; tạo môi trường đầu tư, kinh doanh thông thoáng, thuận lợi để các doanh nghiệp công nghiệp trong nước có thể lớn mạnh, tạo ra giá trị gia tăng trong nước lớn hơn, kết nối được với khu vực đầu tư nước ngoài và tham gia sâu hơn vào chuỗi giá trị toàn cầu. Phát triển ngành công nghiệp CBCT trong nước lớn mạnh cũng là tạo nền tảng vững chắc và phát triển thị trường cho các ngành dịch vụ và ngược lại, phát triển hiệu quả các ngành dịch vụ phục vụ sản xuất, chính là góp phần nâng cao năng suất và hiệu quả hoạt động của ngành CBCT.</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(Còn nữa)</w:t>
      </w:r>
    </w:p>
    <w:p w:rsidR="00605B7E" w:rsidRPr="00816392" w:rsidRDefault="00605B7E" w:rsidP="00605B7E">
      <w:pPr>
        <w:shd w:val="clear" w:color="auto" w:fill="E9EBEE"/>
        <w:spacing w:after="0" w:line="240" w:lineRule="auto"/>
        <w:jc w:val="both"/>
        <w:rPr>
          <w:rFonts w:ascii="Arial" w:eastAsia="Times New Roman" w:hAnsi="Arial" w:cs="Arial"/>
          <w:color w:val="000000"/>
          <w:sz w:val="26"/>
          <w:szCs w:val="26"/>
        </w:rPr>
      </w:pPr>
      <w:r w:rsidRPr="00816392">
        <w:rPr>
          <w:rFonts w:ascii="Arial" w:eastAsia="Times New Roman" w:hAnsi="Arial" w:cs="Arial"/>
          <w:color w:val="000000"/>
          <w:sz w:val="26"/>
          <w:szCs w:val="26"/>
        </w:rPr>
        <w:t> </w:t>
      </w:r>
    </w:p>
    <w:p w:rsidR="00605B7E" w:rsidRPr="00816392" w:rsidRDefault="00605B7E" w:rsidP="00605B7E">
      <w:pPr>
        <w:shd w:val="clear" w:color="auto" w:fill="E9EBEE"/>
        <w:spacing w:after="0" w:line="240" w:lineRule="auto"/>
        <w:jc w:val="right"/>
        <w:rPr>
          <w:rFonts w:ascii="Arial" w:eastAsia="Times New Roman" w:hAnsi="Arial" w:cs="Arial"/>
          <w:color w:val="000000"/>
          <w:sz w:val="26"/>
          <w:szCs w:val="26"/>
        </w:rPr>
      </w:pPr>
      <w:r w:rsidRPr="00816392">
        <w:rPr>
          <w:rFonts w:ascii="Arial" w:eastAsia="Times New Roman" w:hAnsi="Arial" w:cs="Arial"/>
          <w:b/>
          <w:bCs/>
          <w:color w:val="000000"/>
          <w:sz w:val="26"/>
          <w:szCs w:val="26"/>
        </w:rPr>
        <w:t>TS. TRẦN TUẤN ANH</w:t>
      </w:r>
    </w:p>
    <w:p w:rsidR="00605B7E" w:rsidRPr="00816392" w:rsidRDefault="00605B7E" w:rsidP="00605B7E">
      <w:pPr>
        <w:shd w:val="clear" w:color="auto" w:fill="E9EBEE"/>
        <w:spacing w:after="0" w:line="240" w:lineRule="auto"/>
        <w:jc w:val="right"/>
        <w:rPr>
          <w:rFonts w:ascii="Arial" w:eastAsia="Times New Roman" w:hAnsi="Arial" w:cs="Arial"/>
          <w:color w:val="000000"/>
          <w:sz w:val="26"/>
          <w:szCs w:val="26"/>
        </w:rPr>
      </w:pPr>
      <w:r w:rsidRPr="00816392">
        <w:rPr>
          <w:rFonts w:ascii="Arial" w:eastAsia="Times New Roman" w:hAnsi="Arial" w:cs="Arial"/>
          <w:b/>
          <w:bCs/>
          <w:color w:val="000000"/>
          <w:sz w:val="26"/>
          <w:szCs w:val="26"/>
        </w:rPr>
        <w:t>Ủy viên Trung ương Đảng, Bí thư Ban cán sự đảng, Bộ trưởng Bộ Công Thương</w:t>
      </w:r>
    </w:p>
    <w:p w:rsidR="00605B7E" w:rsidRPr="00816392" w:rsidRDefault="00605B7E" w:rsidP="00605B7E">
      <w:pPr>
        <w:shd w:val="clear" w:color="auto" w:fill="E9EBEE"/>
        <w:spacing w:after="0" w:line="240" w:lineRule="auto"/>
        <w:jc w:val="right"/>
        <w:rPr>
          <w:rFonts w:ascii="Arial" w:eastAsia="Times New Roman" w:hAnsi="Arial" w:cs="Arial"/>
          <w:color w:val="000000"/>
          <w:sz w:val="26"/>
          <w:szCs w:val="26"/>
        </w:rPr>
      </w:pPr>
      <w:r w:rsidRPr="00816392">
        <w:rPr>
          <w:rFonts w:ascii="Arial" w:eastAsia="Times New Roman" w:hAnsi="Arial" w:cs="Arial"/>
          <w:b/>
          <w:bCs/>
          <w:color w:val="000000"/>
          <w:sz w:val="26"/>
          <w:szCs w:val="26"/>
        </w:rPr>
        <w:t>Bài đăng Tạp chí Cộng sản</w:t>
      </w:r>
    </w:p>
    <w:p w:rsidR="00EF6BDE" w:rsidRPr="00816392" w:rsidRDefault="00EF6BDE" w:rsidP="00605B7E">
      <w:pPr>
        <w:jc w:val="both"/>
        <w:rPr>
          <w:rFonts w:cs="Times New Roman"/>
          <w:sz w:val="26"/>
          <w:szCs w:val="26"/>
        </w:rPr>
      </w:pPr>
    </w:p>
    <w:p w:rsidR="00605B7E" w:rsidRPr="00816392" w:rsidRDefault="00605B7E" w:rsidP="00605B7E">
      <w:pPr>
        <w:spacing w:after="150" w:line="420" w:lineRule="atLeast"/>
        <w:jc w:val="center"/>
        <w:textAlignment w:val="baseline"/>
        <w:outlineLvl w:val="0"/>
        <w:rPr>
          <w:rFonts w:ascii="inherit" w:eastAsia="Times New Roman" w:hAnsi="inherit" w:cs="Arial"/>
          <w:b/>
          <w:bCs/>
          <w:color w:val="333333"/>
          <w:kern w:val="36"/>
          <w:sz w:val="26"/>
          <w:szCs w:val="26"/>
        </w:rPr>
      </w:pPr>
      <w:r w:rsidRPr="00816392">
        <w:rPr>
          <w:rFonts w:ascii="inherit" w:eastAsia="Times New Roman" w:hAnsi="inherit" w:cs="Arial"/>
          <w:b/>
          <w:bCs/>
          <w:color w:val="333333"/>
          <w:kern w:val="36"/>
          <w:sz w:val="26"/>
          <w:szCs w:val="26"/>
        </w:rPr>
        <w:t>Công khai, minh bạch trong lĩnh vực an sinh xã hội</w:t>
      </w:r>
    </w:p>
    <w:p w:rsidR="00605B7E" w:rsidRPr="00816392" w:rsidRDefault="00605B7E" w:rsidP="00605B7E">
      <w:pPr>
        <w:spacing w:after="150" w:line="240" w:lineRule="auto"/>
        <w:textAlignment w:val="baseline"/>
        <w:rPr>
          <w:rFonts w:ascii="Arial" w:eastAsia="Times New Roman" w:hAnsi="Arial" w:cs="Arial"/>
          <w:color w:val="888888"/>
          <w:sz w:val="26"/>
          <w:szCs w:val="26"/>
        </w:rPr>
      </w:pPr>
      <w:r w:rsidRPr="00816392">
        <w:rPr>
          <w:rFonts w:ascii="Arial" w:eastAsia="Times New Roman" w:hAnsi="Arial" w:cs="Arial"/>
          <w:color w:val="888888"/>
          <w:sz w:val="26"/>
          <w:szCs w:val="26"/>
        </w:rPr>
        <w:t> 28/01/2021</w:t>
      </w:r>
    </w:p>
    <w:p w:rsidR="00605B7E" w:rsidRPr="00816392" w:rsidRDefault="00605B7E" w:rsidP="00605B7E">
      <w:pPr>
        <w:shd w:val="clear" w:color="auto" w:fill="FFFFFF"/>
        <w:spacing w:after="0" w:line="240" w:lineRule="auto"/>
        <w:jc w:val="right"/>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THS. HOÀNG THỊ HƯỜNG*</w:t>
      </w:r>
    </w:p>
    <w:p w:rsidR="00605B7E" w:rsidRPr="00816392" w:rsidRDefault="00605B7E" w:rsidP="00605B7E">
      <w:pPr>
        <w:shd w:val="clear" w:color="auto" w:fill="FFFFFF"/>
        <w:spacing w:after="0" w:line="240" w:lineRule="auto"/>
        <w:jc w:val="right"/>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BÙI THỊ HƠN**</w:t>
      </w:r>
    </w:p>
    <w:p w:rsidR="00605B7E" w:rsidRPr="00816392" w:rsidRDefault="00605B7E" w:rsidP="00605B7E">
      <w:pPr>
        <w:shd w:val="clear" w:color="auto" w:fill="FFFFFF"/>
        <w:spacing w:after="0" w:line="240" w:lineRule="auto"/>
        <w:jc w:val="right"/>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 Viện Khoa học Môi trường và Xã hội.</w:t>
      </w:r>
    </w:p>
    <w:p w:rsidR="00605B7E" w:rsidRPr="00816392" w:rsidRDefault="00816392" w:rsidP="00605B7E">
      <w:pPr>
        <w:spacing w:after="0" w:line="240" w:lineRule="auto"/>
        <w:textAlignment w:val="baseline"/>
        <w:rPr>
          <w:rFonts w:ascii="Arial" w:eastAsia="Times New Roman" w:hAnsi="Arial" w:cs="Arial"/>
          <w:color w:val="333333"/>
          <w:sz w:val="26"/>
          <w:szCs w:val="26"/>
        </w:rPr>
      </w:pPr>
      <w:hyperlink r:id="rId13" w:history="1">
        <w:r w:rsidR="00605B7E" w:rsidRPr="00816392">
          <w:rPr>
            <w:rFonts w:ascii="Arial" w:eastAsia="Times New Roman" w:hAnsi="Arial" w:cs="Arial"/>
            <w:b/>
            <w:bCs/>
            <w:color w:val="545657"/>
            <w:sz w:val="26"/>
            <w:szCs w:val="26"/>
            <w:u w:val="single"/>
            <w:bdr w:val="single" w:sz="6" w:space="2" w:color="D5D6D7" w:frame="1"/>
            <w:shd w:val="clear" w:color="auto" w:fill="F4F5F6"/>
          </w:rPr>
          <w:t> Từ viết tắt</w:t>
        </w:r>
      </w:hyperlink>
      <w:r w:rsidR="00605B7E" w:rsidRPr="00816392">
        <w:rPr>
          <w:rFonts w:ascii="Arial" w:eastAsia="Times New Roman" w:hAnsi="Arial" w:cs="Arial"/>
          <w:color w:val="333333"/>
          <w:sz w:val="26"/>
          <w:szCs w:val="26"/>
        </w:rPr>
        <w:t> </w:t>
      </w:r>
      <w:hyperlink r:id="rId14" w:tgtFrame="_blank" w:history="1">
        <w:r w:rsidR="00605B7E" w:rsidRPr="00816392">
          <w:rPr>
            <w:rFonts w:ascii="Arial" w:eastAsia="Times New Roman" w:hAnsi="Arial" w:cs="Arial"/>
            <w:b/>
            <w:bCs/>
            <w:color w:val="545657"/>
            <w:sz w:val="26"/>
            <w:szCs w:val="26"/>
            <w:u w:val="single"/>
            <w:bdr w:val="single" w:sz="6" w:space="2" w:color="D5D6D7" w:frame="1"/>
            <w:shd w:val="clear" w:color="auto" w:fill="F4F5F6"/>
          </w:rPr>
          <w:t> In trang</w:t>
        </w:r>
      </w:hyperlink>
      <w:r w:rsidR="00605B7E" w:rsidRPr="00816392">
        <w:rPr>
          <w:rFonts w:ascii="Arial" w:eastAsia="Times New Roman" w:hAnsi="Arial" w:cs="Arial"/>
          <w:color w:val="333333"/>
          <w:sz w:val="26"/>
          <w:szCs w:val="26"/>
        </w:rPr>
        <w:t> </w:t>
      </w:r>
      <w:hyperlink r:id="rId15" w:history="1">
        <w:r w:rsidR="00605B7E" w:rsidRPr="00816392">
          <w:rPr>
            <w:rFonts w:ascii="Arial" w:eastAsia="Times New Roman" w:hAnsi="Arial" w:cs="Arial"/>
            <w:b/>
            <w:bCs/>
            <w:color w:val="545657"/>
            <w:sz w:val="26"/>
            <w:szCs w:val="26"/>
            <w:u w:val="single"/>
            <w:bdr w:val="single" w:sz="6" w:space="2" w:color="D5D6D7" w:frame="1"/>
            <w:shd w:val="clear" w:color="auto" w:fill="F4F5F6"/>
          </w:rPr>
          <w:t> Gửi tới bạn</w:t>
        </w:r>
      </w:hyperlink>
    </w:p>
    <w:p w:rsidR="00605B7E" w:rsidRPr="00816392" w:rsidRDefault="00605B7E" w:rsidP="00605B7E">
      <w:pPr>
        <w:spacing w:after="150" w:line="240" w:lineRule="auto"/>
        <w:textAlignment w:val="baseline"/>
        <w:rPr>
          <w:rFonts w:ascii="Arial" w:eastAsia="Times New Roman" w:hAnsi="Arial" w:cs="Arial"/>
          <w:color w:val="333333"/>
          <w:sz w:val="26"/>
          <w:szCs w:val="26"/>
          <w:bdr w:val="none" w:sz="0" w:space="0" w:color="auto" w:frame="1"/>
        </w:rPr>
      </w:pPr>
      <w:r w:rsidRPr="00816392">
        <w:rPr>
          <w:rFonts w:ascii="Arial" w:eastAsia="Times New Roman" w:hAnsi="Arial" w:cs="Arial"/>
          <w:color w:val="333333"/>
          <w:sz w:val="26"/>
          <w:szCs w:val="26"/>
          <w:bdr w:val="none" w:sz="0" w:space="0" w:color="auto" w:frame="1"/>
        </w:rPr>
        <w:t>Chia sẻ: </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003366"/>
          <w:sz w:val="26"/>
          <w:szCs w:val="26"/>
          <w:bdr w:val="none" w:sz="0" w:space="0" w:color="auto" w:frame="1"/>
        </w:rPr>
        <w:t>Tóm tắt:</w:t>
      </w:r>
      <w:r w:rsidRPr="00816392">
        <w:rPr>
          <w:rFonts w:ascii="Arial" w:eastAsia="Times New Roman" w:hAnsi="Arial" w:cs="Arial"/>
          <w:i/>
          <w:iCs/>
          <w:color w:val="003366"/>
          <w:sz w:val="26"/>
          <w:szCs w:val="26"/>
          <w:bdr w:val="none" w:sz="0" w:space="0" w:color="auto" w:frame="1"/>
        </w:rPr>
        <w:t> An sinh xã hội (ASXH) là một trong những vấn đề quan trọng trong chiến lược phát triển của mỗi quốc gia. Bảo đảm ngày càng tốt hơn an sinh xã hội luôn là một chủ trương, nhiệm vụ lớn, có ý nghĩa rất quan trọng đối với sự ổn định về chính trị, kinh tế, xã hội và là chìa khóa để phát triển toàn diện và bền vững. Để những chính sách, pháp luật về ASXH đi vào cuộc sống và góp phần nâng cao hiệu lực, hiệu quả của công tác phòng, chống tham nhũng thì các cơ quan nhà nước phải có trách nghiệm, nghĩa vụ thực hiện công khai, minh bạch và coi việc hỗ trợ thực hiện, thụ hưởng các quyền con người là mục tiêu chính trong thực hiện các chính sách ASXH. Trong phạm vi bài viết này, các tác giả tập trung làm rõ khái niệm công khai, minh bạch trong lĩnh vực ASXH; phân tích, đánh giá thực trạng pháp luật về công khai, minh bạch trong lĩnh vực ASXH hiện nay; đề xuất một số giải pháp nhằm thúc đẩy thực hiện công khai, minh bạch trong lĩnh vực này.</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003366"/>
          <w:sz w:val="26"/>
          <w:szCs w:val="26"/>
          <w:bdr w:val="none" w:sz="0" w:space="0" w:color="auto" w:frame="1"/>
        </w:rPr>
        <w:t>Từ khóa</w:t>
      </w:r>
      <w:r w:rsidRPr="00816392">
        <w:rPr>
          <w:rFonts w:ascii="Arial" w:eastAsia="Times New Roman" w:hAnsi="Arial" w:cs="Arial"/>
          <w:i/>
          <w:iCs/>
          <w:color w:val="003366"/>
          <w:sz w:val="26"/>
          <w:szCs w:val="26"/>
          <w:bdr w:val="none" w:sz="0" w:space="0" w:color="auto" w:frame="1"/>
        </w:rPr>
        <w:t>: Công khai, minh bạch, an sinh xã hội.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003366"/>
          <w:sz w:val="26"/>
          <w:szCs w:val="26"/>
          <w:bdr w:val="none" w:sz="0" w:space="0" w:color="auto" w:frame="1"/>
        </w:rPr>
        <w:t>Abstract: Social security is one of the important matters in the development strategy of each country. That for better social security is always a great undertaking, a very important role for political, economic, and social stability and is also the key to comprehensive and sustainable developments. In order for the policies, the legal</w:t>
      </w:r>
      <w:bookmarkStart w:id="0" w:name="_GoBack"/>
      <w:bookmarkEnd w:id="0"/>
      <w:r w:rsidRPr="00816392">
        <w:rPr>
          <w:rFonts w:ascii="Arial" w:eastAsia="Times New Roman" w:hAnsi="Arial" w:cs="Arial"/>
          <w:i/>
          <w:iCs/>
          <w:color w:val="003366"/>
          <w:sz w:val="26"/>
          <w:szCs w:val="26"/>
          <w:bdr w:val="none" w:sz="0" w:space="0" w:color="auto" w:frame="1"/>
        </w:rPr>
        <w:t xml:space="preserve"> regulations on social security to come to life and also to increase the effectiveness and efficiency of anti-corruption, the governmental agencies must be in responsibility and obligations for publicity, transparency, and supports for the implementation of the human rights as the main goals in the implementation of social security policies. In the scope of this article, the authors focus on clarifying the concept of publicity and transparency in the field of social security; analyze and assess the current status of publicity and transparency in the field of social security; propose a number of solutions to promote publicity and transparency.</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003366"/>
          <w:sz w:val="26"/>
          <w:szCs w:val="26"/>
          <w:bdr w:val="none" w:sz="0" w:space="0" w:color="auto" w:frame="1"/>
        </w:rPr>
        <w:lastRenderedPageBreak/>
        <w:t>Keywords</w:t>
      </w:r>
      <w:r w:rsidRPr="00816392">
        <w:rPr>
          <w:rFonts w:ascii="Arial" w:eastAsia="Times New Roman" w:hAnsi="Arial" w:cs="Arial"/>
          <w:i/>
          <w:iCs/>
          <w:color w:val="003366"/>
          <w:sz w:val="26"/>
          <w:szCs w:val="26"/>
          <w:bdr w:val="none" w:sz="0" w:space="0" w:color="auto" w:frame="1"/>
        </w:rPr>
        <w:t>: Publicity, transparency, social security.</w:t>
      </w:r>
    </w:p>
    <w:p w:rsidR="00605B7E" w:rsidRPr="00816392" w:rsidRDefault="00605B7E" w:rsidP="00605B7E">
      <w:pPr>
        <w:spacing w:after="150" w:line="240" w:lineRule="auto"/>
        <w:jc w:val="center"/>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 </w:t>
      </w:r>
      <w:r w:rsidRPr="00816392">
        <w:rPr>
          <w:rFonts w:ascii="Arial" w:eastAsia="Times New Roman" w:hAnsi="Arial" w:cs="Arial"/>
          <w:b/>
          <w:bCs/>
          <w:noProof/>
          <w:color w:val="333333"/>
          <w:sz w:val="26"/>
          <w:szCs w:val="26"/>
          <w:bdr w:val="none" w:sz="0" w:space="0" w:color="auto" w:frame="1"/>
        </w:rPr>
        <w:drawing>
          <wp:inline distT="0" distB="0" distL="0" distR="0">
            <wp:extent cx="4762500" cy="3162300"/>
            <wp:effectExtent l="0" t="0" r="0" b="0"/>
            <wp:docPr id="10" name="Picture 10" descr="AN-SINH-XÃ-HỘ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N-SINH-XÃ-HỘI.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162300"/>
                    </a:xfrm>
                    <a:prstGeom prst="rect">
                      <a:avLst/>
                    </a:prstGeom>
                    <a:noFill/>
                    <a:ln>
                      <a:noFill/>
                    </a:ln>
                  </pic:spPr>
                </pic:pic>
              </a:graphicData>
            </a:graphic>
          </wp:inline>
        </w:drawing>
      </w:r>
    </w:p>
    <w:p w:rsidR="00605B7E" w:rsidRPr="00816392" w:rsidRDefault="00605B7E" w:rsidP="00605B7E">
      <w:pPr>
        <w:spacing w:after="150" w:line="240" w:lineRule="auto"/>
        <w:jc w:val="center"/>
        <w:textAlignment w:val="baseline"/>
        <w:rPr>
          <w:rFonts w:ascii="Arial" w:eastAsia="Times New Roman" w:hAnsi="Arial" w:cs="Arial"/>
          <w:color w:val="333333"/>
          <w:sz w:val="26"/>
          <w:szCs w:val="26"/>
        </w:rPr>
      </w:pPr>
      <w:r w:rsidRPr="00816392">
        <w:rPr>
          <w:rFonts w:ascii="Arial" w:eastAsia="Times New Roman" w:hAnsi="Arial" w:cs="Arial"/>
          <w:color w:val="003366"/>
          <w:sz w:val="26"/>
          <w:szCs w:val="26"/>
          <w:bdr w:val="none" w:sz="0" w:space="0" w:color="auto" w:frame="1"/>
        </w:rPr>
        <w:t>Ảnh minh họa: Nguồn internet</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1. Quan niệm về công khai, minh bạch trong lĩnh vực an sinh xã hội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Công khai, minh bạch về tổ chức và hoạt động của các cơ quan hành chính nhà nước góp phần đảm bảo cho người dân tiếp cận thông tin một cách có hiệu quả, đồng thời cũng tạo điều kiện thuận lợi cho người dân giám sát và nâng cao hiệu lực, hiệu quả của công tác phòng, chống tham nhũng ở nước ta hiện nay. Khoản 4 Điều 3 Luật Phòng, chống tham nhũng 2018 quy định: “</w:t>
      </w:r>
      <w:r w:rsidRPr="00816392">
        <w:rPr>
          <w:rFonts w:ascii="Arial" w:eastAsia="Times New Roman" w:hAnsi="Arial" w:cs="Arial"/>
          <w:i/>
          <w:iCs/>
          <w:color w:val="333333"/>
          <w:sz w:val="26"/>
          <w:szCs w:val="26"/>
          <w:bdr w:val="none" w:sz="0" w:space="0" w:color="auto" w:frame="1"/>
        </w:rPr>
        <w:t>Công khai, minh bạch về tổ chức và hoạt động của cơ quan, tổ chức, đơn vị là việc công bố, cung cấp thông tin, giải trình về tổ chức bộ máy, việc thực hiện nhiệm vụ, quyền hạn và trách nhiệm trong khi thực hiện nhiệm vụ, quyền hạn của cơ quan, tổ chức, đơn vị</w:t>
      </w:r>
      <w:r w:rsidRPr="00816392">
        <w:rPr>
          <w:rFonts w:ascii="Arial" w:eastAsia="Times New Roman" w:hAnsi="Arial" w:cs="Arial"/>
          <w:color w:val="333333"/>
          <w:sz w:val="26"/>
          <w:szCs w:val="26"/>
        </w:rPr>
        <w:t>”.</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ASXH là một trong những lĩnh vực có đối tượng thụ hưởng rất lớn liên quan đến quyền được đảm bảo ASXH của công dân. </w:t>
      </w:r>
      <w:r w:rsidRPr="00816392">
        <w:rPr>
          <w:rFonts w:ascii="Arial" w:eastAsia="Times New Roman" w:hAnsi="Arial" w:cs="Arial"/>
          <w:i/>
          <w:iCs/>
          <w:color w:val="333333"/>
          <w:sz w:val="26"/>
          <w:szCs w:val="26"/>
          <w:bdr w:val="none" w:sz="0" w:space="0" w:color="auto" w:frame="1"/>
        </w:rPr>
        <w:t>ASXH là hệ thống chính sách, các chương trình của Nhà nước và của các tổ chức xã hội nhằm trợ giúp, giúp đỡ toàn xã hội, các cá nhân gặp phải rủi ro hoặc biến cố xã hội để đảm bảo mức sống tối thiểu và nâng cao đời sống của họ</w:t>
      </w:r>
      <w:r w:rsidRPr="00816392">
        <w:rPr>
          <w:rFonts w:ascii="Arial" w:eastAsia="Times New Roman" w:hAnsi="Arial" w:cs="Arial"/>
          <w:color w:val="333333"/>
          <w:sz w:val="26"/>
          <w:szCs w:val="26"/>
        </w:rPr>
        <w:t>. Do vậy, ASXH góp phần đảm bảo thu nhập và đời sống cho các công dân trong xã hội khi họ không may gặp phải những “rủi ro xã hội” hoặc các “biến cố xã hội” dẫn đến ngừng hoặc giảm thu nhập. Phương thức hoạt động của ASXH là thông qua các biện pháp công cộng tạo ra sự “an sinh” cho mọi thành viên trong xã hội hướng tới sự hưng thịnh và hạnh phúc cho mọi người và cho xã hội.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Vấn đề công khai, minh bạch trong lĩnh vực ASXH liên quan trực tiếp đến quyền hạn, nghĩa vụ, trách nhiệm, của cơ quan quản lý nhà nước về ASXH trong việc cung cấp thông tin, giải thích, hướng dẫn, trả lời về pháp luật, chính sách ASXH và việc thực hiện cho đối tượng thụ hưởng trước công luận và toàn xã hội với hình thức, trình tự, thủ tục và thời hạn theo luật định. Hay nói cách khác, </w:t>
      </w:r>
      <w:r w:rsidRPr="00816392">
        <w:rPr>
          <w:rFonts w:ascii="Arial" w:eastAsia="Times New Roman" w:hAnsi="Arial" w:cs="Arial"/>
          <w:i/>
          <w:iCs/>
          <w:color w:val="333333"/>
          <w:sz w:val="26"/>
          <w:szCs w:val="26"/>
          <w:bdr w:val="none" w:sz="0" w:space="0" w:color="auto" w:frame="1"/>
        </w:rPr>
        <w:t>công khai, minh bạch trong lĩnh vực ASXH là nghĩa vụ của Nhà nước trong việc công bố, cung cấp thông tin chính sách, pháp luật về ASXH và việc thực hiện cho đối tượng thụ hưởng một cách chủ động, đầy đủ và rõ ràng để dân biết được, hiểu được; qua đó, đánh giá tính hiệu lực, hiệu quả trong thực hiện chính sách pháp luật về ASXH</w:t>
      </w:r>
      <w:r w:rsidRPr="00816392">
        <w:rPr>
          <w:rFonts w:ascii="Arial" w:eastAsia="Times New Roman" w:hAnsi="Arial" w:cs="Arial"/>
          <w:color w:val="333333"/>
          <w:sz w:val="26"/>
          <w:szCs w:val="26"/>
        </w:rPr>
        <w:t>.</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xml:space="preserve">Công khai, minh bạch trong lĩnh vực ASXH có vai trò rất lớn đối với việc bảo đảm thực hiện các quyền của công dân, giúp người dân nắm bắt được các chính sách ưu đãi, các quy định của pháp luật về ASXH, hiểu rõ các dịch vụ mà Nhà nước đang cung cấp cho người dân; giúp Nhà nước </w:t>
      </w:r>
      <w:r w:rsidRPr="00816392">
        <w:rPr>
          <w:rFonts w:ascii="Arial" w:eastAsia="Times New Roman" w:hAnsi="Arial" w:cs="Arial"/>
          <w:color w:val="333333"/>
          <w:sz w:val="26"/>
          <w:szCs w:val="26"/>
        </w:rPr>
        <w:lastRenderedPageBreak/>
        <w:t>thấy được các nhu cầu thực sự của người dân để có những thay đổi, bổ sung, hoàn thiện nhằm đáp ứng được các nhu cầu đó. Qua đó, tăng cường niềm tin của người dân vào chính quyền.</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Ngoài ra</w:t>
      </w:r>
      <w:r w:rsidRPr="00816392">
        <w:rPr>
          <w:rFonts w:ascii="Arial" w:eastAsia="Times New Roman" w:hAnsi="Arial" w:cs="Arial"/>
          <w:i/>
          <w:iCs/>
          <w:color w:val="333333"/>
          <w:sz w:val="26"/>
          <w:szCs w:val="26"/>
          <w:bdr w:val="none" w:sz="0" w:space="0" w:color="auto" w:frame="1"/>
        </w:rPr>
        <w:t>,</w:t>
      </w:r>
      <w:r w:rsidRPr="00816392">
        <w:rPr>
          <w:rFonts w:ascii="Arial" w:eastAsia="Times New Roman" w:hAnsi="Arial" w:cs="Arial"/>
          <w:color w:val="333333"/>
          <w:sz w:val="26"/>
          <w:szCs w:val="26"/>
        </w:rPr>
        <w:t> quá trình thực hiện công khai, minh bạch trong lĩnh vực ASXH còn giúp Nhà nước quản lý và phân bổ các nguồn lực có hiệu quả. Thông qua hệ thống cơ sở dữ liệu thông tin cùng với sự minh bạch trong hoạt động quản lý, Nhà nước có thể sử dụng tối ưu và tăng cường hiệu quả, tránh được thất thoát, lãng phí, những hậu quả nghiêm trọng có thể xảy ra. Đồng thời, đảm bảo cho các cơ quan, đơn vị, tổ chức, cá nhân thực hiện các quy định của pháp luật đúng mục đích, đúng đối tượng; ngăn chặn những sai phạm và phòng, chống tham nhũng trong việc thực hiện các quy định về ASXH. Từ đó, nâng cao hiệu lực quản lý nhà nước trong lĩnh vực ASXH, đáp ứng được các yêu cầu của công cuộc cải hành chính hiện nay.</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2. Pháp luật và thực hiện pháp luật về công khai, minh bạch trong lĩnh vực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Hệ thống ASXH ở Việt Nam hiện được cấu trúc bởi năm trụ cột, đó là: </w:t>
      </w:r>
      <w:r w:rsidRPr="00816392">
        <w:rPr>
          <w:rFonts w:ascii="Arial" w:eastAsia="Times New Roman" w:hAnsi="Arial" w:cs="Arial"/>
          <w:i/>
          <w:iCs/>
          <w:color w:val="333333"/>
          <w:sz w:val="26"/>
          <w:szCs w:val="26"/>
          <w:bdr w:val="none" w:sz="0" w:space="0" w:color="auto" w:frame="1"/>
        </w:rPr>
        <w:t>(i) Việc làm, thu nhập và giảm nghèo; (ii) Bảo hiểm xã hội; (iii) Trợ giúp xã hội cho những người có hoàn cảnh đặc biệt khó khăn; (iv) Bảo đảm mức tối thiểu về một số dịch vụ xã hội cơ bản (y tế, giáo dục, nhà ở, nước sạch, thông tin) và (v) Hệ thống cung cấp dịch vụ công về ASXH thông qua công tác xã hội chuyên nghiệp</w:t>
      </w:r>
      <w:r w:rsidRPr="00816392">
        <w:rPr>
          <w:rFonts w:ascii="Arial" w:eastAsia="Times New Roman" w:hAnsi="Arial" w:cs="Arial"/>
          <w:color w:val="333333"/>
          <w:sz w:val="26"/>
          <w:szCs w:val="26"/>
        </w:rPr>
        <w:t>. Do đó, việc phân tích hệ thống pháp luật quy định về hoạt động công khai, minh bạch trong lĩnh vực ASXH sẽ được thực hiện trên năm trụ cột này, cụ thể:</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 Việc làm, thu nhập và giảm nghèo</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Đây là trụ cột có tính chất phòng ngừa rủi ro, bảo đảm cuộc sống cho người dân thông qua các chính sách, pháp luật về đảm bảo quyền việc làm với tiền lương và thu nhập trên cơ sở thỏa thuận cho người lao động và gia đình, đảm bảo được sự hài hòa về mặt lợi ích giữa người lao động và người sử dụng lao động; đào tạo nâng cao tay nghề để người lao động bước vào thị trường lao động; hỗ trợ giảm nghèo cho các hộ gia đình có thu nhập dưới chuẩn nghèo để phát triển sản xuất tự vươn lên thoát nghèo bền vững. Theo quy định của pháp luật, các cơ quan, đơn vị có thẩm quyền trực tiếp quản lý nhà nước về việc làm, tiền lương, giảm nghèo có trách nhiệm thường xuyên thực hiện công khai, minh bạch một cách rõ ràng, cụ thể, đầy đủ về các nội dung thông tin về việc làm (Cục Việc làm), về tiền lương và thu nhập (Cục Quan hệ lao động và Tiền lương), về phát triển kỹ năng nghề nghiệp (Tổng cục Giáo dục nghề nghiệp) và hỗ trợ giảm nghèo bền vững tiếp cận phát triển đa chiều (Văn phòng Quốc gia về giảm nghèo và các chủ thể khác có liên quan) và phân cấp theo quản lý nhà nước từ Trung ương đến địa phương với các hình thức đa dạng, phù hợp với từng đối tượng thụ hưởng, giúp những đối tượng thụ hưởng hiểu rõ những quyền và lợi ích hợp pháp của mình.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Để công khai, minh bạch các chính sách, pháp luật về việc làm, thu nhập và giảm nghèo, các cơ quan, đơn vị có thẩm quyền đã sử dụng đa dạng các hình thức như gửi văn bản; thiết lập Trang thông tin điện tử về việc làm, giáo dục nghề nghiệp, giảm nghèo trên cổng thông tin điện tử của Bộ, các cơ quan, đơn vị thành viên trong Bộ (ví dụ: Tổng cục Giáo dục nghề nghiệp, Cục Việc làm;…); niêm yết công khai tại cơ quan, nơi công cộng; công bố tại cuộc họp, hội nghị; thông báo đến đối tượng… và xác định thời điểm công khai phù hợp, đại chúng, người dân dễ tiếp cận. Đối với thu nhập của người lao động, thang lương, bảng lương và mức lao động phải được công bố công khai tại nơi làm việc trước khi thực hiện (Khoản 3 Điều 93 Bộ luật Lao động năm 2019). Việc thu, chi tài chính của tổ chức người lao động tại doanh nghiệp phải được theo dõi, lưu trữ và định kỳ hằng năm công khai cho thành viên của tổ chức (Khoản 1 Điều 174 Bộ luật Lao Động năm 2019)…Về chính sách hỗ trợ tạo việc làm, Ủy ban nhân dân cấp xã niêm yết công khai tại trụ sở, các nơi sinh hoạt cộng đồng và thông báo trên các phương tiện truyền thông của cấp xã về các nội dung thông báo (Điều 4 Nghị định số 61/2015/NĐ-CP quy định về chính sách hỗ trợ tạo việc làm và Quỹ quốc gia về việc làm).</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lastRenderedPageBreak/>
        <w:t>- Bảo hiểm xã hội</w:t>
      </w:r>
      <w:r w:rsidRPr="00816392">
        <w:rPr>
          <w:rFonts w:ascii="Arial" w:eastAsia="Times New Roman" w:hAnsi="Arial" w:cs="Arial"/>
          <w:b/>
          <w:bCs/>
          <w:color w:val="333333"/>
          <w:sz w:val="26"/>
          <w:szCs w:val="26"/>
          <w:bdr w:val="none" w:sz="0" w:space="0" w:color="auto" w:frame="1"/>
        </w:rPr>
        <w:t>, </w:t>
      </w:r>
      <w:r w:rsidRPr="00816392">
        <w:rPr>
          <w:rFonts w:ascii="Arial" w:eastAsia="Times New Roman" w:hAnsi="Arial" w:cs="Arial"/>
          <w:b/>
          <w:bCs/>
          <w:i/>
          <w:iCs/>
          <w:color w:val="333333"/>
          <w:sz w:val="26"/>
          <w:szCs w:val="26"/>
          <w:bdr w:val="none" w:sz="0" w:space="0" w:color="auto" w:frame="1"/>
        </w:rPr>
        <w:t>bảo hiểm y tế</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Đây là trụ cột được quan tâm nhất, nên yêu cầu các cơ quan phải thực hiện công khai, minh bạch kịp thời những nội dung có liên quan về chính sách, pháp luật về BHXH theo yêu cầu của tổ chức, cá nhân. Nội dung công khai, minh bạch gồm: chính sách, chế độ ốm đau, thai sản, tai nạn lao động; BHXH một lần, chế độ bảo hiểm thất nghiệp khi bị mất việc làm, chế độ bảo hiểm tai nạn lao động và bệnh nghề nghiệp (TNLĐ&amp;BNN) khi bị TNLĐ&amp;BNN… Hiện nay, các cơ quan quản lý trực tiếp trong lĩnh vực này là Vụ Bảo hiểm xã hội, Cục Việc làm, Cục An toàn vệ sinh lao động, Bảo hiểm xã hội Việt Nam thuộc Bộ Lao động, Thương binh và Xã hội; đối với lĩnh vực bảo hiểm y tế thuộc trách nhiệm của Bộ Y tế, cụ thể là Vụ Bảo hiểm y tế. Các chủ thể có thẩm quyền tập trung làm rõ, công khai một cách kịp thời, rõ ràng, cụ thể các nội dung, thông tin về chính sách, pháp luật bảo hiểm xã hội, bảo hiểm y tế theo các yêu cầu của tổ chức, cá nhân; trong đó có các quy định về điều kiện hưởng, thời gian hưởng, mức hưởng và các quy trình, thủ tục để được hưởng chế độ ốm đau, thai sản, bảo hiểm xã hội một lần (Khoản 7 Điều 18, Điều 23 theo Luật Bảo hiểm xã hội 2014); các thông tin liên quan đến mức đóng, mức hưởng, điều kiện hưởng và các quy trình, thủ tục để được hưởng chế độ bảo hiểm tai nạn, bệnh nghề nghiệp (Khoản 2 Điều 62, Điều 84 Luật An toàn, vệ sinh lao động năm 2015), các vấn đề về chế độ bảo hiểm thất nghiệp nhằm bù đắp một phần thu nhập của người lao động khi bị mất việc làm, hỗ trợ những người lao động học nghề, duy trì việc làm, tìm việc làm (Điều 29, Điều 36 Nghị định số 28/2015/NĐ-CP); các quy định về đối tượng hưởng, mức đóng, mức hưởng và các chế độ khác của Bảo hiểm y tế (theo Luật Bảo hiểm y tế 2008 đã được sửa đổi, bổ sung năm 2014).</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 Trợ giúp xã hội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Đây là lĩnh vực có đông đối tượng thụ hưởng như: người già, người khuyết tật, nạn nhân chất độc hóa học, trẻ em có hoàn cảnh đặc biệt khó khăn, những người bị nhiễm HIV/AIDS, nạn nhân bom mìn,… Các chủ thể theo luật định thực hiện công khai, minh bạch về các quy định trong chính sách, pháp luật, các chế độ và quy trình, thủ tục xác định đối tượng hưởng trợ cấp xã hội bằng tiền mặt hàng tháng tại cộng đồng, chế độ chăm sóc và nuôi dưỡng tại các cơ sở bảo trợ xã hội công lập và ngoài công lập, chính sách trợ giúp xã hội đột xuất khi gặp sự cố bất ngờ (Điều 3 Nghị định  số 136/2013/NĐ-CP; Điểm b khoản 4 Điều III Quyết định số 488/QĐ-TTg năm 2017 phê duyệt Đề án “Đổi mới, phát triển trợ giúp xã hội giai đoạn 2017-2025 và tầm nhìn đến năm 2030” ). Ngoài ra, đối với từng đối tượng cụ thể, các cơ quan nhà nước thực hiện công khai, minh bạch các nội dung ASXH khác như:</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Đối với người cao tuổi</w:t>
      </w:r>
      <w:r w:rsidRPr="00816392">
        <w:rPr>
          <w:rFonts w:ascii="Arial" w:eastAsia="Times New Roman" w:hAnsi="Arial" w:cs="Arial"/>
          <w:color w:val="333333"/>
          <w:sz w:val="26"/>
          <w:szCs w:val="26"/>
        </w:rPr>
        <w:t>: Nhà nước cung cấp thông tin, tài liệu, người hướng dẫn để người cao tuổi học tập, nghiên cứu (Điểm a Khoản 2 Điều 14 Luật Người cao tuổi năm 2009); thực hiện các biện pháp thông tin đại chúng để công khai những thông tin về nội dung chăm sóc sức khỏe (Khoản 1 Điều 3 Thông tư số 35/2011/TT-BYT); các trung tâm y tế phối hợp với người cao tuổi cung cấp các thông tin liên quan đến người cao tuổi (Điều 4 Thông tư số 96/2018/TT-BTC quy định về quản lý và sử dụng kinh phí chăm sóc sức khoẻ ban đầu cho người cao tuổi tại nơi cư trú; chúc thọ, mừng thọ; ưu đãi tín dụng và biểu dương, khen thưởng người cao tuổi).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Đối với người khuyết tật</w:t>
      </w:r>
      <w:r w:rsidRPr="00816392">
        <w:rPr>
          <w:rFonts w:ascii="Arial" w:eastAsia="Times New Roman" w:hAnsi="Arial" w:cs="Arial"/>
          <w:color w:val="333333"/>
          <w:sz w:val="26"/>
          <w:szCs w:val="26"/>
        </w:rPr>
        <w:t>: Các cơ quan nhà nước có trách nhiệm thực hiện công khai, minh bạch những thông tin liên quan đến quyền, nghĩa vụ, các chủ trương, chính sách và quy trình, thủ tục để được hưởng những trợ cấp do bị khuyết tật (Điều 13, Điều 18, Điều 50 Luật Người khuyết tật năm 2010; Điều 21 Nghị định số 28/2012/NĐ-CP; Điều 6 Thông tư số 01/2019/TT-BLĐTBXH).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Đối với những người bị HIV/AIDS</w:t>
      </w:r>
      <w:r w:rsidRPr="00816392">
        <w:rPr>
          <w:rFonts w:ascii="Arial" w:eastAsia="Times New Roman" w:hAnsi="Arial" w:cs="Arial"/>
          <w:color w:val="333333"/>
          <w:sz w:val="26"/>
          <w:szCs w:val="26"/>
        </w:rPr>
        <w:t>: Các chủ thể theo luật định được công khai những quyền, nghĩa vụ và các chế độ của người bị nhiễm HIV/AIDS (Điều 9, Điều 10 Luật Phòng, chống nhiễm vi rút gây ra hội chứng suy giảm miễn dịch mắc phải ở người HIV/AIDS 2006).</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lastRenderedPageBreak/>
        <w:t>Các chủ thể có thẩm quyền đã áp dụng các hình thức công khai, minh bạch theo đúng quy định của pháp luật một cách đa dạng, linh hoạt và phù hợp với từng đối tượng trợ giúp xã hội. Các quy trình, thủ tục, hồ sơ để được xác định đối tượng hưởng trợ cấp được dán niêm yết tại các bảng tin đảm bảo cho người dân đều tiếp cận được. Cục Bảo trợ xã hội còn lựa chọn một cách có chọn lọc những văn bản chính sách, pháp luật có ý nghĩa thực tiễn đang được áp dụng trong công tác trợ giúp xã hội ở địa phương để xuất bản thành ấn phẩm (sách) giúp các đối tượng trợ giúp xã hội nhận thức được quyền và lợi ích hợp pháp của mình được hưởng</w:t>
      </w:r>
      <w:bookmarkStart w:id="1" w:name="_ftnref1"/>
      <w:r w:rsidRPr="00816392">
        <w:rPr>
          <w:rFonts w:ascii="Arial" w:eastAsia="Times New Roman" w:hAnsi="Arial" w:cs="Arial"/>
          <w:color w:val="333333"/>
          <w:sz w:val="26"/>
          <w:szCs w:val="26"/>
        </w:rPr>
        <w:fldChar w:fldCharType="begin"/>
      </w:r>
      <w:r w:rsidRPr="00816392">
        <w:rPr>
          <w:rFonts w:ascii="Arial" w:eastAsia="Times New Roman" w:hAnsi="Arial" w:cs="Arial"/>
          <w:color w:val="333333"/>
          <w:sz w:val="26"/>
          <w:szCs w:val="26"/>
        </w:rPr>
        <w:instrText xml:space="preserve"> HYPERLINK "file:///C:\\Users\\84903\\AppData\\Local\\Temp\\3.%20HTHuong%20-%20BTHon%20-%20Cong%20khai%20minh%20bach%20trong%20linh%20vuc%20an%20sinh%20xa%20hoi-PH.HA,tg%20s%E1%BB%ADa,%20HA.MT.doc" \l "_ftn1" \o "" </w:instrText>
      </w:r>
      <w:r w:rsidRPr="00816392">
        <w:rPr>
          <w:rFonts w:ascii="Arial" w:eastAsia="Times New Roman" w:hAnsi="Arial" w:cs="Arial"/>
          <w:color w:val="333333"/>
          <w:sz w:val="26"/>
          <w:szCs w:val="26"/>
        </w:rPr>
        <w:fldChar w:fldCharType="separate"/>
      </w:r>
      <w:r w:rsidRPr="00816392">
        <w:rPr>
          <w:rFonts w:ascii="Arial" w:eastAsia="Times New Roman" w:hAnsi="Arial" w:cs="Arial"/>
          <w:color w:val="337AB7"/>
          <w:sz w:val="26"/>
          <w:szCs w:val="26"/>
          <w:u w:val="single"/>
          <w:bdr w:val="none" w:sz="0" w:space="0" w:color="auto" w:frame="1"/>
        </w:rPr>
        <w:t>[1]</w:t>
      </w:r>
      <w:r w:rsidRPr="00816392">
        <w:rPr>
          <w:rFonts w:ascii="Arial" w:eastAsia="Times New Roman" w:hAnsi="Arial" w:cs="Arial"/>
          <w:color w:val="333333"/>
          <w:sz w:val="26"/>
          <w:szCs w:val="26"/>
        </w:rPr>
        <w:fldChar w:fldCharType="end"/>
      </w:r>
      <w:bookmarkEnd w:id="1"/>
      <w:r w:rsidRPr="00816392">
        <w:rPr>
          <w:rFonts w:ascii="Arial" w:eastAsia="Times New Roman" w:hAnsi="Arial" w:cs="Arial"/>
          <w:color w:val="333333"/>
          <w:sz w:val="26"/>
          <w:szCs w:val="26"/>
        </w:rPr>
        <w:t>. Đơn vị quản lý trợ giúp xã hội còn áp dụng phổ biến hình thức tư vấn, thông tin, biện hộ, kết nối đối tượng với chính sách thông qua hoạt động dịch vụ công tác xã hội chuyên nghiệp về ASXH. Ngoài sử dụng cổng thông tin điện tử, Cục Trẻ em còn thiết lập Tổng đài 111 để hỗ trợ trẻ em. Tổng đài này còn được sử dụng hỗ trợ thông tin cho người gặp khó khăn do dịch COVID19 để nhanh chóng giải đáp thông tin cho người dân về gói 62.000 tỷ theo Quyết định số 15/2020/QĐ-TTg của Thủ tướng Chính phủ rất hữu ích cho đối tượng có hoàn cảnh khó khăn.</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 </w:t>
      </w:r>
      <w:r w:rsidRPr="00816392">
        <w:rPr>
          <w:rFonts w:ascii="Arial" w:eastAsia="Times New Roman" w:hAnsi="Arial" w:cs="Arial"/>
          <w:b/>
          <w:bCs/>
          <w:i/>
          <w:iCs/>
          <w:color w:val="333333"/>
          <w:sz w:val="26"/>
          <w:szCs w:val="26"/>
          <w:bdr w:val="none" w:sz="0" w:space="0" w:color="auto" w:frame="1"/>
        </w:rPr>
        <w:t>Bảo đảm mức tối thiểu một số dịch vụ xã hội cơ bản</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Đây là trụ cột rất quan trọng liên quan đến phúc lợi xã hội mà người dân được hưởng, nhất là các đối tượng như: người nghèo, nhóm yếu thế, dễ bị tổn thương. Trong thời gian qua, các cơ quan nhà nước đã tích cực thực hiện công khai, minh bạch các chính sách về nhà ở xã hội, các điều kiện, tiêu chuẩn và đối tượng để được mua, thuê, thuê mua nhà ở xã hội, giúp cho các đối tượng được hỗ trợ nhà ở như những người có thu nhập nhấp, hộ nghèo, người có công với cách mạng biết được những thông tin đó, góp phâng nâng cao, cải thiện đời sống vật chất, tinh thần (Điều 20, khoản 3 Điều 30 Nghị định số100/2015/ NĐ-CP). Mặt khác, các chủ thể theo luật định có thẩm quyền công khai, minh bạch xác định đối tượng hưởng chính sách, hỗ trợ cung cấp nước sạch (Khoản 1 Điều 2, Khoản 1, 2 Điều 4 Quyết định số 2085/QĐ-TTg năm 2016 phê duyệt Chính sách đặc thù hỗ trợ phát triển kinh tế - xã hội vùng dân tộc thiểu số và miền núi giai đoạn 2017-2020). Trong lĩnh vực giáo dục: các cơ sở giáo dục thực hiện công khai mức học phí hỗ trợ giảm học phí, miễn học phí cho các đối tượng khi đủ điền kiện (Khoản 4 Điều 3, Khoản 4 Điều 4, Điều 11 Nghị định số 86/2015/NĐ-CP; Khoản 6 Điều 3 Thông tư liên tịch số 09/2016/TTLT-BGDĐT-BTC-BLĐTBXH).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Về y tế, các chủ thể có thẩm quyền thực hiện công khai, minh bạch trong quản lý tại các đơn vị y tế từ trung ương đến địa phương; ngoài ra còn công khai, minh bạch về giá dịch vụ khám, chữa bệnh, phương pháp điều trị, tình trạng sức khỏe cũng như các dịch vụ khám, chữ bệnh (Điều 7, Điều 10, Điều 11, Điều 35 Luật Khám bệnh, chữa bệnh năm 2009).</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 Cung cấp dịch vụ công về ASXH thông qua công tác xã hội chuyên nghiệp</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Hoạt động công khai, minh bạch về công tác xã hội được thực hiện bởi các cơ quan, đơn vị quản lý của ngành lao động, thương binh và xã hội một cách thường xuyên, liên tục và nghiêm túc (bảo trợ xã hội, trẻ em, việc làm, giáo dục nghề nghiệp, bảo hiểm xã hội, giảm nghèo,…). Các cơ quan, đơn vị quản lý tập trung giải thích, làm rõ, cung cấp những thông tin liên quan về chính sách, pháp luật về công tác xã hội, nhất là việc cấp giấy phép hoạt động của các cơ sở công tác xã hội, giấy phép hành nghề công tác xã hội của nhân viên công tác xã hội, giá dịch vụ công tác xã hội, hay như việc miễn, giảm thuế đối với các hoạt động cung cấp dịch vụ công tác xã hội,… theo yêu cầu, đề nghị của các tổ chức, cá nhân (Điều 30, Điều 41 Nghị định số 103/2017/NĐ-CP; Khoản 5 Điều 3, Khoản 3 Điều 8 Thông tư số 01/2017/TT-BLĐTBXH).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xml:space="preserve">Hình thức công khai, minh bạch chủ yếu là thông báo bằng văn bản đến các cơ quan, tổ chức, cá nhân có liên quan, cổng thông tin điện tử của các cơ quan, đơn vị trực tiếp quản lý hoạt động công tác xã hội,… Thời điểm công khai, minh bạch cũng bảo đảm phù hợp, không gây khó khăn, phiền </w:t>
      </w:r>
      <w:r w:rsidRPr="00816392">
        <w:rPr>
          <w:rFonts w:ascii="Arial" w:eastAsia="Times New Roman" w:hAnsi="Arial" w:cs="Arial"/>
          <w:color w:val="333333"/>
          <w:sz w:val="26"/>
          <w:szCs w:val="26"/>
        </w:rPr>
        <w:lastRenderedPageBreak/>
        <w:t>hà, tiêu cực đối với các đối tượng, nhất là trong thủ tục hành chính cấp giấy phép hoạt động cho tổ chức và cá nhân.</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Tóm lại, việc công khai, minh bạch trong lĩnh vực ASXH của các chủ thể có thẩm quyền thực hiện có trách nhiệm đã được quy định khá rõ trong hệ thống các văn bản quy phạm pháp luật. Qua đó, người dân được tiếp cận và hưởng các quyền và lợi ích hợp pháp tốt hơn từ các chính sách, pháp luật về ASXH có tính nhân văn sâu sắc, tạo điều kiện và cơ hội cho người dân nâng cao khả năng phòng ngừa, giảm thiểu và khắc phục rủi ro bởi những tác động tiêu cực, biến cố trong cuộc sống, vươn lên hoà nhập với cộng đồng chung, góp phần thúc đẩy tăng trưởng kinh tế, thực hiện công bằng, tiến bộ xã hội và phát triển bền vững đất nước.</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3. Những vấn đề đặt ra trong thực hiện công khai, minh bạch về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Có thể nhận thấy, việc công khai, minh bạch thông tin và tiếp cận thông tin về ASXH của người dân đã được quy định khá đầy đủ. Tuy nhiên, thực tiễn cho thấy quy định về công khai, minh bạch về ASXH  cũng như việc tổ chức thực hiện vẫn còn có những hạn chế, bất cập sau:</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nhất: </w:t>
      </w:r>
      <w:r w:rsidRPr="00816392">
        <w:rPr>
          <w:rFonts w:ascii="Arial" w:eastAsia="Times New Roman" w:hAnsi="Arial" w:cs="Arial"/>
          <w:color w:val="333333"/>
          <w:sz w:val="26"/>
          <w:szCs w:val="26"/>
        </w:rPr>
        <w:t>quy định của pháp luật về ASXH vẫn chưa hoàn thiện và theo kịp nhu cầu đảm bảo ASXH của người dân nên thường xuyên phải sửa đổi, bổ sung. Trong khi đó, trong hệ thống pháp luật ASXH có rất nhiều văn bản pháp quy phạm pháp luật với các quy trình, thủ tục, quyền và lợi ích hợp pháp của các đối tượng được thụ hưởng đã làm cho các cơ quan, đơn vị thực hiện công khai, minh bạch nhiều khi bị quá tải, dẫn đến việc thực hiện chỉ mang tính hình thức, đối phó. Không những vậy, quy định về việc phải công khai, minh bạch chưa đầy đủ và rõ ràng làm cho các cơ quan, đơn vị gặp nhiều khó khăn, lúng túng trong quá trình thực hiện.</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hai</w:t>
      </w:r>
      <w:r w:rsidRPr="00816392">
        <w:rPr>
          <w:rFonts w:ascii="Arial" w:eastAsia="Times New Roman" w:hAnsi="Arial" w:cs="Arial"/>
          <w:color w:val="333333"/>
          <w:sz w:val="26"/>
          <w:szCs w:val="26"/>
        </w:rPr>
        <w:t>: sự phối hợp giữa các cơ quan trong xây dựng chính sách, pháp luật và trong thực hiện chính sách, pháp luật về công khai, minh bạch về ASXH còn chưa đồng bộ, nhịp nhàng.</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ba</w:t>
      </w:r>
      <w:r w:rsidRPr="00816392">
        <w:rPr>
          <w:rFonts w:ascii="Arial" w:eastAsia="Times New Roman" w:hAnsi="Arial" w:cs="Arial"/>
          <w:color w:val="333333"/>
          <w:sz w:val="26"/>
          <w:szCs w:val="26"/>
        </w:rPr>
        <w:t>: năng lực của một bộ phận cán bộ, công chức thực hiện quản lý nhà nước về ASXH chưa đáp ứng được yêu cầu về tính chuyên nghiệp, về kỹ năng, nghiệp vụ.</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tư</w:t>
      </w:r>
      <w:r w:rsidRPr="00816392">
        <w:rPr>
          <w:rFonts w:ascii="Arial" w:eastAsia="Times New Roman" w:hAnsi="Arial" w:cs="Arial"/>
          <w:color w:val="333333"/>
          <w:sz w:val="26"/>
          <w:szCs w:val="26"/>
        </w:rPr>
        <w:t>: nhận thức của người dân về quyền tiếp cận thông tin trong lĩnh vực ASXH còn hạn chế.</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năm</w:t>
      </w:r>
      <w:r w:rsidRPr="00816392">
        <w:rPr>
          <w:rFonts w:ascii="Arial" w:eastAsia="Times New Roman" w:hAnsi="Arial" w:cs="Arial"/>
          <w:color w:val="333333"/>
          <w:sz w:val="26"/>
          <w:szCs w:val="26"/>
        </w:rPr>
        <w:t>: nguồn lực tài chính đầu tư phục vụ cho hoạt động công khai, minh bạch chưa bảo đảm. Ở nhiều cơ quan chính quyền địa phương, đặc biệt là cấp huyện, cấp xã chưa có đầy đủ các cơ sở vật chất kỹ thuật cần thiết để phục vụ cho hoạt động công khai, minh bạch. Ở cấp xã, Trang thông tin điện tử hầu như chưa được đầu tư bài bản, chuyên nghiệp, nên việc tiếp cận thông tin của người dân là rất khó khăn. Việc không đầy đủ cơ sở vật chất kỹ thuật dẫn đến làm giảm hiệu quả hoạt động công khai, minh bạch của các cơ quan nhà nước.</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i/>
          <w:iCs/>
          <w:color w:val="333333"/>
          <w:sz w:val="26"/>
          <w:szCs w:val="26"/>
          <w:bdr w:val="none" w:sz="0" w:space="0" w:color="auto" w:frame="1"/>
        </w:rPr>
        <w:t>Thứ sáu</w:t>
      </w:r>
      <w:r w:rsidRPr="00816392">
        <w:rPr>
          <w:rFonts w:ascii="Arial" w:eastAsia="Times New Roman" w:hAnsi="Arial" w:cs="Arial"/>
          <w:color w:val="333333"/>
          <w:sz w:val="26"/>
          <w:szCs w:val="26"/>
        </w:rPr>
        <w:t>: công tác thanh tra, kiểm tra giám sát về thực hiện công khai, minh bạch về ASXH chưa được chú trọng.</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4. Một số kiến nghị nhằm thúc đẩy việc thực hiện công khai, minh bạch trong lĩnh vực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Một là</w:t>
      </w:r>
      <w:r w:rsidRPr="00816392">
        <w:rPr>
          <w:rFonts w:ascii="Arial" w:eastAsia="Times New Roman" w:hAnsi="Arial" w:cs="Arial"/>
          <w:color w:val="333333"/>
          <w:sz w:val="26"/>
          <w:szCs w:val="26"/>
        </w:rPr>
        <w:t>, tiếp tục nghiên cứu, rà soát và bổ sung, hoàn thiện các quy định của pháp luật về ASXH tiếp cận dựa trên quyền con người, quyền công dân, lấy người dân làm trung tâm. Xác định những nội dung, thông tin ASXH một cách rõ ràng, cụ thể cần phải thực hiện công khai, minh bạch, tránh quy định một cách chung chung, mơ hồ. Mặt khác, cũng phải quy định những thông tin, nội dung ASXH nào thuộc về bí mật nhà nước, tránh dẫn đến tình trạng tùy tiện đóng dấu mật những nội dung cần phải được công khai, minh bạch. Cụ thể:</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xml:space="preserve">+ Trụ cột việc làm, thu nhập và giảm nghèo, việc công khai, minh bạch tập trung vào: Chính sách hỗ trợ người dân phát triển sản xuất tự tạo việc làm trong nông nghiệp, nông thôn và khu vực phi chính thức ở thành thị; chính sách hỗ trợ phát triển sản xuất, đa dạng hoá sinh kế cho người </w:t>
      </w:r>
      <w:r w:rsidRPr="00816392">
        <w:rPr>
          <w:rFonts w:ascii="Arial" w:eastAsia="Times New Roman" w:hAnsi="Arial" w:cs="Arial"/>
          <w:color w:val="333333"/>
          <w:sz w:val="26"/>
          <w:szCs w:val="26"/>
        </w:rPr>
        <w:lastRenderedPageBreak/>
        <w:t>nghèo, hộ nghèo; chính sách vay vốn với lãi suất ưu đãi để phát triển sản xuất, tạo việc làm và tăng thu nhập thông qua Ngân hàng Chính sách xã hội; chính sách việc làm công hỗ trợ cho lao động thất nghiệp; chính sách hỗ trợ đào tạo nghề cho lao động nông thôn; chính sách hỗ trợ đào tạo lại nghề và cung cấp dịch vụ giới thiệu việc làm cho lao động thất nghiệp sớm trở lại thị trường lao động thông qua Quỹ Bảo hiểm thất nghiệp; chính sách hỗ trợ xuất khẩu lao động cho lao động thanh niên thuộc hộ nghèo trong các huyên nghèo, xã đặc biệt khó khăn (vùng miền núi, dân tộc thiểu số (DTTS); chính sách hỗ trợ việc làm cho người khuyết tật; Chính sách hỗ trợ người lao động tìm việc làm thông qua hệ thống dịch vụ việc làm công.</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Trụ cột bảo hiểm xã hội, việc công khai, minh bạch cần tập trung vào: Chính sách, chế độ ốm, đau, thai sản, tai nạn lao động, bệnh nghề nghiệp và hưu trí khi đủ tuổi về hưu; chính sách, chế độ bảo hiểm xã hội (BHXH) một lần; chính sách hỗ trợ đóng BHXH tự nguyện cho hộ nghèo, cận nghèo ở khu vực nông thôn; chính sách hỗ trợ mua bảo hiểm y tế (BHYT) cho hộ nghèo, cận nghèo và các đối tượng bảo trợ xã hội.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Trụ cột trợ giúp xã hội cần tập trung vào các chính sách hỗ trợ sau: Chính sách trợ cấp xã hội hàng tháng tại công đồng cho 6 nhóm đối tượng hiện nay và mở rộng đến một số nhóm khác; chính sách hỗ trợ chăm sóc, nuôi dưỡng đối tượng bảo trợ xã hội (BTXH) tại các cơ sở BTXH công lập (người già không có nơi nương tựa, trẻ em môi côi, người khuyết tật nặng…); chính sách hỗ trợ cung cấp dịch vụ trợ giúp xã hội (TGXH) thông qua công tác xã hội (CTXH) chuyên nghiệp cho đối tượng BTXH; chính sách hỗ trợ đột xuất cho người dân khi bị rủi ro bất ngờ (thiên tai, bão lụt, mất mùa…).</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Trụ cột bảo đảm mức tối thiểu một số dịch vụ xã hội cơ bản cần tập trung vào công khai, minh bạch đối với các chính sách sau: Chính sách hỗ trợ người dân vùng dân tộc thiểu số (DTTS) chưa biết chữ, xoá mù chữ, trẻ em tiếp cận giáo dục tối thiểu (giáo dục mầm non, phổ cập giáo dục tiểu học, tiến tới hoàn thành phổ cập THCS); chính sách hỗ trợ chăm sóc sức khoẻ ban đầu và phòng, chống dịch bệnh, nhất là tiêm chủng mở rộng cho trẻ em; chính sách hỗ trợ nhà ở cho hộ nghèo; chính sách hỗ trợ người dân vùng nghèo, DTTS về điện thắp sáng; chính sách hỗ trợ người dân nông thôn tiếp cận nước sạch sinh hoạt; chính sách hỗ trợ nhà ở cho hộ nghèo.</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color w:val="333333"/>
          <w:sz w:val="26"/>
          <w:szCs w:val="26"/>
        </w:rPr>
        <w:t>+ Trụ cột dịch vụ CTXH tập trung vào: Chính sách hỗ trợ về đất đai để xây dựng mặt bằng, mua sắm các trang thiết bị của các cơ sở CTXH (công lập và ngoài công lập) về ASXH; chính sách hỗ trợ đào tạo, bồi dưỡng, phát triển kỹ năng nghề nghiệp CTXH cho nhân viên, cán sự CTXH chuyên nghiệp; chính sách tiền lương, tôn vinh nghề CTXH để nâng cao trách nhiệm xã hội của nhân viên CTXH; chính sách về khung giá dịch vụ CTXH sát với thị trường để các cơ sở CTXH cung cấp dịch vụ ASXH có thể tự chủ và phát triển; chính sách về uỷ thác của Nhà nước hoặc thông qua ký kết hợp đồng cung cấp dịch vụ công về ASXH có nguồn từ NSNN thông qua hoạt động CTXH chuyên nghiệp.</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Hai là</w:t>
      </w:r>
      <w:r w:rsidRPr="00816392">
        <w:rPr>
          <w:rFonts w:ascii="Arial" w:eastAsia="Times New Roman" w:hAnsi="Arial" w:cs="Arial"/>
          <w:color w:val="333333"/>
          <w:sz w:val="26"/>
          <w:szCs w:val="26"/>
        </w:rPr>
        <w:t>, các cơ quan, đơn vị cần phải có sự thống nhất, phối hợp thực hiện công khai, minh bạch tránh gây những phiền hà, nhũng nhiễu, tốn kém cho người dân. Ngoài ra, cũng cần phải có những biện pháp chế tài để xử lý nghiêm minh, răn đe những hành vi thực hiện trái pháp luật về công khai, minh bạch trong lĩnh vực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Ba là</w:t>
      </w:r>
      <w:r w:rsidRPr="00816392">
        <w:rPr>
          <w:rFonts w:ascii="Arial" w:eastAsia="Times New Roman" w:hAnsi="Arial" w:cs="Arial"/>
          <w:color w:val="333333"/>
          <w:sz w:val="26"/>
          <w:szCs w:val="26"/>
        </w:rPr>
        <w:t>, nâng cao nhận thức và năng lực chuyên môn của những người thực hiện công khai, minh bạch trong lĩnh vực ASXH, đặt biệt chú ý đến kỹ năng xây dựng kế hoạch thực hiện về công khai, minh bạch nội dung, thông tin ASXH, kỹ năng công khai qua các phương tiện thông tin đại chúng, nhất là việc sử dụng công nghệ thông tin số hóa. Đồng thời, cũng nâng cao nhận thức của người dân để người dân thấy được vị trí, tầm quan trọng của các chính sách, pháp luật ASXH trong cuộc sống.</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lastRenderedPageBreak/>
        <w:t>Bốn là</w:t>
      </w:r>
      <w:r w:rsidRPr="00816392">
        <w:rPr>
          <w:rFonts w:ascii="Arial" w:eastAsia="Times New Roman" w:hAnsi="Arial" w:cs="Arial"/>
          <w:color w:val="333333"/>
          <w:sz w:val="26"/>
          <w:szCs w:val="26"/>
        </w:rPr>
        <w:t>, bố trí nguồn lực tài chính đầy đủ và được phân bổ một cách hợp lý để duy trì vận hành thực hiện các công việc công khai, minh bạch trong lĩnh vực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Năm là</w:t>
      </w:r>
      <w:r w:rsidRPr="00816392">
        <w:rPr>
          <w:rFonts w:ascii="Arial" w:eastAsia="Times New Roman" w:hAnsi="Arial" w:cs="Arial"/>
          <w:color w:val="333333"/>
          <w:sz w:val="26"/>
          <w:szCs w:val="26"/>
        </w:rPr>
        <w:t>, tăng cường công tác tuyên truyền, phổ biến, giáo dục pháp luật cho cán bộ, công chức và người dân để họ năm rõ và biết được quyền, lợi ích và trách nhiệm của bản thân khi công khai, minh bạch các nội dung, thông tin, tài liệu ASXH.</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Sáu là</w:t>
      </w:r>
      <w:r w:rsidRPr="00816392">
        <w:rPr>
          <w:rFonts w:ascii="Arial" w:eastAsia="Times New Roman" w:hAnsi="Arial" w:cs="Arial"/>
          <w:color w:val="333333"/>
          <w:sz w:val="26"/>
          <w:szCs w:val="26"/>
        </w:rPr>
        <w:t>, đẩy mạnh các hoạt động thanh tra, kiểm tra, giám sát các hoạt động công khai, minh bạch ASXH của những chủ thể có trách nhiệm thực hiện được giao, nhằm nhanh chóng phát hiện để kịp thời xử lý và điều chỉnh đúng theo các quy định của pháp luật, giúp cho các chủ thể có trách nhiệm thực hiện hơn, không qua loa, đại khái.</w:t>
      </w: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i/>
          <w:iCs/>
          <w:color w:val="333333"/>
          <w:sz w:val="26"/>
          <w:szCs w:val="26"/>
          <w:bdr w:val="none" w:sz="0" w:space="0" w:color="auto" w:frame="1"/>
        </w:rPr>
        <w:t>Bảy là</w:t>
      </w:r>
      <w:r w:rsidRPr="00816392">
        <w:rPr>
          <w:rFonts w:ascii="Arial" w:eastAsia="Times New Roman" w:hAnsi="Arial" w:cs="Arial"/>
          <w:color w:val="333333"/>
          <w:sz w:val="26"/>
          <w:szCs w:val="26"/>
        </w:rPr>
        <w:t>, xây dựng Cơ sở dữ liệu quốc gia về ASXH, từng bước số hoá quản lý nhà nước lĩnh vực ASXH là công cụ bảo đảm thực hiện công khai, minh bạch lĩnh vực này.</w:t>
      </w:r>
    </w:p>
    <w:p w:rsidR="005D6580" w:rsidRPr="00816392" w:rsidRDefault="005D6580" w:rsidP="00605B7E">
      <w:pPr>
        <w:spacing w:after="150" w:line="240" w:lineRule="auto"/>
        <w:jc w:val="both"/>
        <w:textAlignment w:val="baseline"/>
        <w:rPr>
          <w:rFonts w:ascii="Arial" w:eastAsia="Times New Roman" w:hAnsi="Arial" w:cs="Arial"/>
          <w:color w:val="333333"/>
          <w:sz w:val="26"/>
          <w:szCs w:val="26"/>
        </w:rPr>
      </w:pPr>
    </w:p>
    <w:p w:rsidR="005D6580" w:rsidRPr="00816392" w:rsidRDefault="005D6580" w:rsidP="00605B7E">
      <w:pPr>
        <w:spacing w:after="150" w:line="240" w:lineRule="auto"/>
        <w:jc w:val="both"/>
        <w:textAlignment w:val="baseline"/>
        <w:rPr>
          <w:rFonts w:ascii="Arial" w:eastAsia="Times New Roman" w:hAnsi="Arial" w:cs="Arial"/>
          <w:color w:val="333333"/>
          <w:sz w:val="26"/>
          <w:szCs w:val="26"/>
        </w:rPr>
      </w:pPr>
    </w:p>
    <w:p w:rsidR="005D6580" w:rsidRPr="00816392" w:rsidRDefault="005D6580" w:rsidP="005D6580">
      <w:pPr>
        <w:spacing w:after="150" w:line="300" w:lineRule="atLeast"/>
        <w:jc w:val="both"/>
        <w:textAlignment w:val="baseline"/>
        <w:rPr>
          <w:rFonts w:ascii="Arial" w:eastAsia="Times New Roman" w:hAnsi="Arial" w:cs="Arial"/>
          <w:b/>
          <w:bCs/>
          <w:color w:val="000000"/>
          <w:sz w:val="26"/>
          <w:szCs w:val="26"/>
        </w:rPr>
      </w:pPr>
      <w:r w:rsidRPr="00816392">
        <w:rPr>
          <w:rFonts w:ascii="Arial" w:eastAsia="Times New Roman" w:hAnsi="Arial" w:cs="Arial"/>
          <w:b/>
          <w:bCs/>
          <w:color w:val="000000"/>
          <w:sz w:val="26"/>
          <w:szCs w:val="26"/>
        </w:rPr>
        <w:t>Công cuộc đổi mới đất nước đã đem lại nhiều thành tựu quan trọng về kinh tế và xã hội, trong đó có việc củng cố và hoàn thiện hệ thống chính sách về an sinh xã hội. Tuy nhiên, thời gian qua, hệ thống chính sách an sinh xã hội cũng bộc lộ nhiều tồn tại, bất cập cần được khắc phục và hoàn thiện. Để các chủ trương, chính sách của Đảng và Nhà nước về an sinh xã hội đi vào cuộc sống, không ngừng nâng cao đời sống vật chất và tinh thần của mọi đối tượng tầng lớp nhân dân, đòi hỏi cần phải thực hiện đồng bộ các nhóm giải pháp trong thời gian tới.</w:t>
      </w:r>
    </w:p>
    <w:p w:rsidR="005D6580" w:rsidRPr="00816392" w:rsidRDefault="005D6580" w:rsidP="005D6580">
      <w:pPr>
        <w:spacing w:after="150" w:line="300" w:lineRule="atLeast"/>
        <w:jc w:val="both"/>
        <w:textAlignment w:val="baseline"/>
        <w:rPr>
          <w:rFonts w:ascii="Arial" w:eastAsia="Times New Roman" w:hAnsi="Arial" w:cs="Arial"/>
          <w:color w:val="000000"/>
          <w:sz w:val="26"/>
          <w:szCs w:val="26"/>
        </w:rPr>
      </w:pPr>
      <w:r w:rsidRPr="00816392">
        <w:rPr>
          <w:rFonts w:ascii="Arial" w:eastAsia="Times New Roman" w:hAnsi="Arial" w:cs="Arial"/>
          <w:b/>
          <w:bCs/>
          <w:color w:val="000000"/>
          <w:sz w:val="26"/>
          <w:szCs w:val="26"/>
        </w:rPr>
        <w:t>Quan điểm, chủ trương của Đảng ta về an sinh xã hội</w:t>
      </w:r>
      <w:r w:rsidRPr="00816392">
        <w:rPr>
          <w:rFonts w:ascii="Arial" w:eastAsia="Times New Roman" w:hAnsi="Arial" w:cs="Arial"/>
          <w:color w:val="000000"/>
          <w:sz w:val="26"/>
          <w:szCs w:val="26"/>
        </w:rPr>
        <w:br/>
        <w:t>an sinh xã hội là hệ thống các chính sách và chương trình do Nhà nước và các lực lượng xã hội thực hiện nhằm bảo đảm cho mọi người dân ít nhất có được mức tối thiểu về thu nhập, có cơ hội tiếp cận ở mức tối thiểu về các dịch vụ xã hội cơ bản, thiết yếu, như giáo dục, y tế, nhà ở, nước sạch, thông tin,... thông qua việc nâng cao năng lực tự an sinh của người dân và sự trợ giúp của Nhà nước. Xây dựng hệ thống an sinh xã hội đa dạng, toàn diện, từng bước mở rộng diện bao phủ, có tính chia sẻ giữa Nhà nước, xã hội và người dân, giữa các nhóm dân cư trong một thế hệ và giữa các thế hệ đang là đích đến của các quốc gia trên thế giới. Theo đó, chính sách an sinh xã hội cần tập trung vào 4 nội dung chính như sau:</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Một là,</w:t>
      </w:r>
      <w:r w:rsidRPr="00816392">
        <w:rPr>
          <w:rFonts w:ascii="Arial" w:eastAsia="Times New Roman" w:hAnsi="Arial" w:cs="Arial"/>
          <w:color w:val="000000"/>
          <w:sz w:val="26"/>
          <w:szCs w:val="26"/>
        </w:rPr>
        <w:t> tăng cường cơ hội có việc làm, bảo đảm thu nhập tối thiểu và giảm nghèo bền vững cho người lao động yếu thế thông qua hỗ trợ cá nhân và hộ gia đình phát triển sản xuất, hỗ trợ tín dụng, giải quyết việc làm và kết nối thông tin thị trường lao động.</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Hai là,</w:t>
      </w:r>
      <w:r w:rsidRPr="00816392">
        <w:rPr>
          <w:rFonts w:ascii="Arial" w:eastAsia="Times New Roman" w:hAnsi="Arial" w:cs="Arial"/>
          <w:color w:val="000000"/>
          <w:sz w:val="26"/>
          <w:szCs w:val="26"/>
        </w:rPr>
        <w:t> mở rộng cơ hội cho người lao động tham gia hệ thống chính sách bảo hiểm xã hội, bảo hiểm thất nghiệp để chủ động đối phó khi thu nhập bị suy giảm hoặc bị mất do các rủi ro, ốm đau, tai nạn lao động, tuổi già.</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Ba là,</w:t>
      </w:r>
      <w:r w:rsidRPr="00816392">
        <w:rPr>
          <w:rFonts w:ascii="Arial" w:eastAsia="Times New Roman" w:hAnsi="Arial" w:cs="Arial"/>
          <w:color w:val="000000"/>
          <w:sz w:val="26"/>
          <w:szCs w:val="26"/>
        </w:rPr>
        <w:t> hỗ trợ thường xuyên đối với người có hoàn cảnh đặc thù và hỗ trợ đột xuất cho người dân khi gặp các rủi ro không lường trước hoặc vượt quá khả năng kiểm soát (mất mùa, thiên tai, động đất, chiến tranh, đói nghèo,...) thông qua các khoản tiền mặt và hiện vật do ngân sách nhà nước bảo đảm.</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Bốn là,</w:t>
      </w:r>
      <w:r w:rsidRPr="00816392">
        <w:rPr>
          <w:rFonts w:ascii="Arial" w:eastAsia="Times New Roman" w:hAnsi="Arial" w:cs="Arial"/>
          <w:color w:val="000000"/>
          <w:sz w:val="26"/>
          <w:szCs w:val="26"/>
        </w:rPr>
        <w:t> tăng cường tiếp cận của người dân đến hệ thống dịch vụ xã hội cơ bản, như giáo dục, y tế, nhà ở, nước sạch và vệ sinh môi trường, thông tin.</w:t>
      </w:r>
      <w:r w:rsidRPr="00816392">
        <w:rPr>
          <w:rFonts w:ascii="Arial" w:eastAsia="Times New Roman" w:hAnsi="Arial" w:cs="Arial"/>
          <w:color w:val="000000"/>
          <w:sz w:val="26"/>
          <w:szCs w:val="26"/>
        </w:rPr>
        <w:br/>
        <w:t xml:space="preserve">Ở Việt Nam, ngay từ khi thành lập nước Việt Nam Dân chủ Cộng hòa, Đảng và Nhà nước ta đặt quyết tâm phát triển hệ thống an sinh xã hội bảo đảm thực hiện ngày càng tốt hơn các quyền cơ bản của người dân, phù hợp với trình độ phát triển kinh tế - xã hội của đất nước và tiếp cận dần với chuẩn mức quốc tế. Từ nhiều năm qua, đặc biệt là từ khi thực hiện đường lối đổi mới (năm </w:t>
      </w:r>
      <w:r w:rsidRPr="00816392">
        <w:rPr>
          <w:rFonts w:ascii="Arial" w:eastAsia="Times New Roman" w:hAnsi="Arial" w:cs="Arial"/>
          <w:color w:val="000000"/>
          <w:sz w:val="26"/>
          <w:szCs w:val="26"/>
        </w:rPr>
        <w:lastRenderedPageBreak/>
        <w:t>1986) đến nay, Đảng và Nhà nước ta luôn quan tâm xây dựng và tổ chức thực hiện các chính sách an sinh xã hội, coi đây vừa là mục tiêu, vừa là động lực để ổn định chính trị - xã hội, phát triển bền vững. An sinh xã hội được xác định là một bộ phận quan trọng của chính sách xã hội, nằm trong chiến lược phát triển kinh tế - xã hội của đất nước. Bảo đảm an sinh xã hội là điều kiện để bảo đảm định hướng xã hội chủ nghĩa cho sự phát triển của nền kinh tế thị trường, phản ánh bản chất tốt đẹp của chế độ ta. Tiếp tục phát triển quan điểm, chủ trương đó của Đảng, trong </w:t>
      </w:r>
      <w:r w:rsidRPr="00816392">
        <w:rPr>
          <w:rFonts w:ascii="Arial" w:eastAsia="Times New Roman" w:hAnsi="Arial" w:cs="Arial"/>
          <w:i/>
          <w:iCs/>
          <w:color w:val="000000"/>
          <w:sz w:val="26"/>
          <w:szCs w:val="26"/>
        </w:rPr>
        <w:t>Cương lĩnh xây dựng đất nước trong thời kỳ quá độ lên chủ nghĩa xã hội</w:t>
      </w:r>
      <w:r w:rsidRPr="00816392">
        <w:rPr>
          <w:rFonts w:ascii="Arial" w:eastAsia="Times New Roman" w:hAnsi="Arial" w:cs="Arial"/>
          <w:color w:val="000000"/>
          <w:sz w:val="26"/>
          <w:szCs w:val="26"/>
        </w:rPr>
        <w:t> (năm 1991 và bổ sung, phát triển năm 2011) và nghị quyết của các kỳ đại hội, đặc biệt Nghị Quyết số 15-NQ/TW, ngày 1-6-2012, của Ban Chấp hành Trung ương Đảng khóa XI, về “Một số vấn đề về chính sách xã hội giai đoạn 2012 - 2020” đã đặt ra yêu cầu: Chính sách xã hội phải được đặt ngang tầm với chính sách kinh tế và thực hiện đồng bộ với phát triển kinh tế, phù hợp với trình độ phát triển và khả năng nguồn lực trong từng thời kỳ...; đồng thời thực hiện có trọng tâm, trọng điểm, bảo đảm mức sống tối thiểu và hỗ trợ kịp thời người có hoàn cảnh khó khăn; coi bảo đảm an sinh xã hội là nhiệm vụ thường xuyên, quan trọng của Đảng, Nhà nước, của cả hệ thống chính trị và toàn xã hội, phấn đấu đến năm 2020 cơ bản hình thành hệ thống an sinh xã hội bao phủ toàn dân với các yêu cầu: bảo đảm người dân có việc làm, thu nhập tối thiểu; tham gia bảo hiểm xã hội; bảo đảm hỗ trợ những người có hoàn cảnh đặc biệt khó khăn (trẻ em có hoàn cảnh đặc biệt, người cao tuổi thu nhập thấp, người khuyết tật nặng, người nghèo,…); bảo đảm cho người dân tiếp cận được các dịch vụ xã hội cơ bản ở mức tối thiểu (y tế, giáo dục, nhà ở, nước sạch, thông tin), góp phần từng bước nâng cao thu nhập, bảo đảm cuộc sống an toàn, bình đẳng và hạnh phúc của nhân dân.</w:t>
      </w:r>
      <w:r w:rsidRPr="00816392">
        <w:rPr>
          <w:rFonts w:ascii="Arial" w:eastAsia="Times New Roman" w:hAnsi="Arial" w:cs="Arial"/>
          <w:color w:val="000000"/>
          <w:sz w:val="26"/>
          <w:szCs w:val="26"/>
        </w:rPr>
        <w:br/>
      </w:r>
      <w:r w:rsidRPr="00816392">
        <w:rPr>
          <w:rFonts w:ascii="Arial" w:eastAsia="Times New Roman" w:hAnsi="Arial" w:cs="Arial"/>
          <w:b/>
          <w:bCs/>
          <w:color w:val="000000"/>
          <w:sz w:val="26"/>
          <w:szCs w:val="26"/>
        </w:rPr>
        <w:t>Một số thành tựu quan trọng và những thách thức mới về an sinh xã hội hiện nay</w:t>
      </w:r>
      <w:r w:rsidRPr="00816392">
        <w:rPr>
          <w:rFonts w:ascii="Arial" w:eastAsia="Times New Roman" w:hAnsi="Arial" w:cs="Arial"/>
          <w:color w:val="000000"/>
          <w:sz w:val="26"/>
          <w:szCs w:val="26"/>
        </w:rPr>
        <w:br/>
        <w:t>Trong gần 30 năm qua, cùng với những thành tựu đổi mới kinh tế, phát triển mạnh mẽ kinh tế thị trường định hướng xã hội chủ nghĩa, tăng cường tiềm lực kinh tế quốc gia, Việt Nam đã có những nỗ lực to lớn, đầu tư nguồn lực và đổi mới cơ chế, chính sách để thực hiện an sinh xã hội, chăm lo cải thiện không ngừng cuộc sống của người dân. Cụ thể:</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Thứ nhất,</w:t>
      </w:r>
      <w:r w:rsidRPr="00816392">
        <w:rPr>
          <w:rFonts w:ascii="Arial" w:eastAsia="Times New Roman" w:hAnsi="Arial" w:cs="Arial"/>
          <w:color w:val="000000"/>
          <w:sz w:val="26"/>
          <w:szCs w:val="26"/>
        </w:rPr>
        <w:t> bảo đảm an sinh xã hội gắn với tiến bộ và phát triển xã hội, với thành tựu phát triển kinh tế trong bối cảnh kinh tế thị trường.</w:t>
      </w:r>
      <w:r w:rsidRPr="00816392">
        <w:rPr>
          <w:rFonts w:ascii="Arial" w:eastAsia="Times New Roman" w:hAnsi="Arial" w:cs="Arial"/>
          <w:color w:val="000000"/>
          <w:sz w:val="26"/>
          <w:szCs w:val="26"/>
        </w:rPr>
        <w:br/>
        <w:t>Trong thời gian qua, mặc dù có nhiều biến động về kinh tế trong nước và quốc tế, nguồn lực của đất nước còn hạn hẹp, nhưng Đảng và Nhà nước ta vẫn luôn coi trọng công tác bảo đảm an sinh xã hội, đặt nhiệm vụ phát triển dân sinh trong mối tương quan hài hòa và gắn kết chặt chẽ với phát triển kinh tế, giữa đầu tư phát triển kinh tế với đầu tư bảo đảm phúc lợi xã hội và an sinh xã hội. Quan tâm đầu tư cho vùng núi, vùng đồng bào dân tộc thiểu số, các huyện nghèo, xã, thôn, bản đặc biệt khó khăn, xã bãi ngang ven biển, hải đảo, theo đó nhiều chính sách về an sinh xã hội được ban hành.</w:t>
      </w:r>
      <w:r w:rsidRPr="00816392">
        <w:rPr>
          <w:rFonts w:ascii="Arial" w:eastAsia="Times New Roman" w:hAnsi="Arial" w:cs="Arial"/>
          <w:color w:val="000000"/>
          <w:sz w:val="26"/>
          <w:szCs w:val="26"/>
        </w:rPr>
        <w:br/>
        <w:t>Các chương trình xóa đói, giảm nghèo của Việt Nam ở tầm quốc gia đã thu được những kết quả rất tốt đẹp, đã được dư luận quốc tế thừa nhận và đánh giá cao, nhất là xóa đói, giảm nghèo cho nông dân ở miền núi, vùng đồng bào dân tộc thiểu số. Về việc giải quyết các vấn đề xã hội và thực hiện các chính sách an sinh xã hội cho các cộng đồng dân cư, Việt Nam là một trong những quốc gia đã hoàn thành sớm các mục tiêu phát triển Thiên niên kỷ, nhận được những đánh giá tích cực của cộng đồng quốc tế. Dù còn có những hạn chế và bất cập so với yêu cầu phát triển nhanh và bền vững nhưng kết quả, thành tích mà Việt Nam đạt được về phát triển giáo dục, chăm lo sức khỏe cộng đồng, thực hiện bảo hiểm y tế cho người dân, khám, chữa bệnh cho người nghèo, chăm sóc các bà mẹ và trẻ em, cũng như những nỗ lực giải quyết việc làm, cải thiện mức sống và điều kiện sống cho dân cư, cứu trợ xã hội và thực hiện phúc lợi xã hội, quan tâm tới các đối tượng yếu thế... là những minh chứng về những tiến bộ đáng kể thực hiện an sinh xã hội.</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Thứ hai,</w:t>
      </w:r>
      <w:r w:rsidRPr="00816392">
        <w:rPr>
          <w:rFonts w:ascii="Arial" w:eastAsia="Times New Roman" w:hAnsi="Arial" w:cs="Arial"/>
          <w:color w:val="000000"/>
          <w:sz w:val="26"/>
          <w:szCs w:val="26"/>
        </w:rPr>
        <w:t> hệ thống pháp luật từng bước được hoàn thiện để bảo đảm quyền an sinh xã hội cho mọi người dân.</w:t>
      </w:r>
      <w:r w:rsidRPr="00816392">
        <w:rPr>
          <w:rFonts w:ascii="Arial" w:eastAsia="Times New Roman" w:hAnsi="Arial" w:cs="Arial"/>
          <w:color w:val="000000"/>
          <w:sz w:val="26"/>
          <w:szCs w:val="26"/>
        </w:rPr>
        <w:br/>
        <w:t xml:space="preserve">Hiến pháp năm 2013 lần đầu tiên khẳng định quyền an sinh xã hội cơ bản cho người dân (Điều </w:t>
      </w:r>
      <w:r w:rsidRPr="00816392">
        <w:rPr>
          <w:rFonts w:ascii="Arial" w:eastAsia="Times New Roman" w:hAnsi="Arial" w:cs="Arial"/>
          <w:color w:val="000000"/>
          <w:sz w:val="26"/>
          <w:szCs w:val="26"/>
        </w:rPr>
        <w:lastRenderedPageBreak/>
        <w:t>34: “Công dân có quyền được bảo đảm an sinh xã hội”; Điều 59: “Nhà nước tạo bình đẳng về cơ hội để công dân thụ hưởng phúc lợi xã hội, phát triển hệ thống an sinh xã hội”). Bộ Luật Lao động sửa đổi (năm 2012) tiếp tục phát triển thị trường lao động, tăng cường điều kiện hoạt động của các đối tác tham gia thị trường lao động (Nhà nước, doanh nghiệp, các tổ chức môi giới trung gian và người lao động); tăng cường hỗ trợ của Nhà nước đối với người lao động yếu thế trên thị trường thông qua các chính sách hỗ trợ tạo việc làm. Luật Việc làm (ban hành lần đầu, năm 2013) lần đầu tiên Việt Nam có Bộ Luật hướng đến khu vực kinh tế phi chính thức; tiếp tục mở rộng cơ hội cho người lao động tham gia bảo hiểm thất nghiệp (mọi lao động làm việc trong các doanh nghiệp có hợp đồng lao động từ 3 tháng trở lên đều bắt buộc tham gia bảo hiểm thất nghiệp). Luật Bảo hiểm y tế sửa đổi (năm 2013) chuyển từ bao phủ toàn dân sang bảo hiểm y tế bắt buộc đối với toàn bộ dân cư; mở rộng sự tham gia của người dân vào bảo hiểm y tế (hoàn thiện chế độ đóng, chế độ hưởng và điều kiện hưởng bảo hiểm y tế); mở rộng đối tượng được Nhà nước bảo hộ một phần và toàn phần để tham gia bảo hiểm y tế. Luật Bảo hiểm xã hội sửa đổi (năm 2014) mở rộng diện tham gia bảo hiểm xã hội bắt buộc đối với người lao động làm việc có hợp đồng từ 1 tháng trở lên; tăng cường chế tài đối với việc trốn đóng bảo hiểm xã hội; hoàn thiện chế độ bảo hiểm xã hội tự nguyện theo hướng linh hoạt và phù hợp với điều kiện về việc làm và thu nhập của lao động trong khu vực phi chính thức; đề xuất giải pháp khuyến khích người lao động khu vực phi chính thức tham gia bảo hiểm xã hội; hiện đại hóa công tác quản lý đối tượng tham gia bảo hiểm xã hội.</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Thứ ba,</w:t>
      </w:r>
      <w:r w:rsidRPr="00816392">
        <w:rPr>
          <w:rFonts w:ascii="Arial" w:eastAsia="Times New Roman" w:hAnsi="Arial" w:cs="Arial"/>
          <w:color w:val="000000"/>
          <w:sz w:val="26"/>
          <w:szCs w:val="26"/>
        </w:rPr>
        <w:t> đầu tư của Nhà nước cho an sinh xã hội ngày càng tăng.</w:t>
      </w:r>
      <w:r w:rsidRPr="00816392">
        <w:rPr>
          <w:rFonts w:ascii="Arial" w:eastAsia="Times New Roman" w:hAnsi="Arial" w:cs="Arial"/>
          <w:color w:val="000000"/>
          <w:sz w:val="26"/>
          <w:szCs w:val="26"/>
        </w:rPr>
        <w:br/>
        <w:t>Nếu như năm 2012 tổng chi cho an sinh xã hội bằng 5,88% GDP thì đến năm 2015 con số này tăng lên khoảng trên 6,6% GDP. Mặc dù trong điều kiện kinh tế khó khăn, nhưng Đảng và Nhà nước không giảm đi bất cứ một chính sách, khoản chi nào dành cho an sinh xã hội mà còn tăng lên; thực hiện hiệu quả các chính sách xã hội từ nhiều nguồn lực trong đó các nguồn lực chính là nguồn lực nhà nước, nguồn lực từ bên ngoài (như nguồn ODA, các chương trình viện trợ không hoàn lại của nước ngoài), nguồn lực xã hội từ các doanh nghiệp, tổ chức và nguồn lực từ trong nhân dân.</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Thứ tư, </w:t>
      </w:r>
      <w:r w:rsidRPr="00816392">
        <w:rPr>
          <w:rFonts w:ascii="Arial" w:eastAsia="Times New Roman" w:hAnsi="Arial" w:cs="Arial"/>
          <w:color w:val="000000"/>
          <w:sz w:val="26"/>
          <w:szCs w:val="26"/>
        </w:rPr>
        <w:t>Việt Nam đã đạt và vượt thời gian hoàn thành nhiều mục tiêu phát triển Thiên niên kỷ của Liên hợp quốc. Đến cuối năm 2014, tỷ lệ nghèo theo chuẩn Quốc gia còn dưới 6%; đời sống của người dân, nhất là người nghèo, đồng bào dân tộc thiểu số và các đối tượng yếu thế được cải thiện và nâng cao. Đa số người dân có việc làm, tỷ lệ thất nghiệp thấp, dưới 2%; tỷ lệ người lao động tham gia bảo hiểm xã hội đạt trên 20%, tham gia bảo hiểm thất nghiệp đạt 17%. Đa số người lao động đã tiếp cận được y tế cơ sở, tỷ lệ tham gia bảo hiểm y tế trên 71,6%; khoảng 3% người có hoàn cảnh đặc biệt khó khăn được hỗ trợ tiền mặt hằng tháng và các hình thức khác; cơ bản hoàn thành phổ cập giáo dục mầm non cho trẻ 5 tuổi, cấp tiểu học và trung học cơ sở; tình trạng nhà ở, nước sạch và thông tin được cải thiện đáng kể.</w:t>
      </w:r>
      <w:r w:rsidRPr="00816392">
        <w:rPr>
          <w:rFonts w:ascii="Arial" w:eastAsia="Times New Roman" w:hAnsi="Arial" w:cs="Arial"/>
          <w:color w:val="000000"/>
          <w:sz w:val="26"/>
          <w:szCs w:val="26"/>
        </w:rPr>
        <w:br/>
        <w:t>Mặc dù đã đạt được nhiều thành tựu, song vẫn còn những hạn chế, tồn tại trong việc thực hiện các chính sách xã hội. Trong giai đoạn từ 2009 đến nay, do chịu tác động của cuộc khủng hoảng kinh tế toàn cầu, tăng trưởng GDP của Việt Nam giảm từ trên 8% (năm 2008) xuống còn dưới 6% (năm 2014), khả năng huy động ngân sách cho an sinh xã hội gặp nhiều khó khăn. Bên cạnh đó, từ năm 2012, Việt Nam đã bước vào ngưỡng thu nhập trung bình (thấp), nên các tài trợ quốc tế không hoàn lại bị cắt giảm đáng kể.</w:t>
      </w:r>
      <w:r w:rsidRPr="00816392">
        <w:rPr>
          <w:rFonts w:ascii="Arial" w:eastAsia="Times New Roman" w:hAnsi="Arial" w:cs="Arial"/>
          <w:color w:val="000000"/>
          <w:sz w:val="26"/>
          <w:szCs w:val="26"/>
        </w:rPr>
        <w:br/>
        <w:t xml:space="preserve">Mặc dù chiến tranh đã kết thúc từ 40 năm trước, nhưng hậu quả của nó để lại vẫn còn nặng nề, đối tượng trợ giúp xã hội còn nhiều, chưa giải quyết hết được. Việt Nam lại thuộc nhóm nước Đông Nam Á chịu tác động mạnh của biến đổi khí hậu, như mưa bão, lũ lụt thường xuyên, nước biển dâng,… gây thiệt hại mỗi năm khoảng trên 1% GDP. Xu hướng già hóa dân số nhanh hơn dự kiến đặt ra những thách thức về chi phí liên quan đến chăm sóc sức khỏe người cao tuổi và chính sách an sinh xã hội. Năm 2009, Việt Nam đã bước vào thời kỳ già hóa (tỷ lệ người từ 60 tuổi trở lên chiếm 10% tổng số dân số), dự kiến đến năm 2050, tỷ lệ người già ở Việt Nam chiến </w:t>
      </w:r>
      <w:r w:rsidRPr="00816392">
        <w:rPr>
          <w:rFonts w:ascii="Arial" w:eastAsia="Times New Roman" w:hAnsi="Arial" w:cs="Arial"/>
          <w:color w:val="000000"/>
          <w:sz w:val="26"/>
          <w:szCs w:val="26"/>
        </w:rPr>
        <w:lastRenderedPageBreak/>
        <w:t>trên 20% dân số).</w:t>
      </w:r>
      <w:r w:rsidRPr="00816392">
        <w:rPr>
          <w:rFonts w:ascii="Arial" w:eastAsia="Times New Roman" w:hAnsi="Arial" w:cs="Arial"/>
          <w:color w:val="000000"/>
          <w:sz w:val="26"/>
          <w:szCs w:val="26"/>
        </w:rPr>
        <w:br/>
        <w:t>Hệ thống chính sách an sinh xã hội hiện hành còn phân tán, manh mún, thiếu sự gắn kết, chưa khuyến khích người dân tích cực tham gia... Hiệu quả chính sách còn hạn chế. Các chương trình dạy nghề cho lao động nông thôn chưa gắn với nhu cầu thị trường lao động và nhu cầu sản xuất; chất lượng lao động chưa cao, tỷ lệ lao động có bằng cấp, chứng chỉ mới đạt gần 20% (năm 2014). Giảm nghèo chưa bền vững, nguy cơ tái nghèo cao; tỷ lệ nghèo ở nhiều vùng dân tộc thiểu số, vùng sâu, vùng xa vẫn còn trên 50%, cá biệt có nơi còn trên 70%; chênh lệch giàu - nghèo về thu nhập và tiếp cận các dịch vụ xã hội giữa các vùng, nhóm dân cư có xu hướng gia tăng, nhất là giữa khu vực miền núi phía Bắc và Tây Nguyên với các vùng còn lại; giữa người dân tộc thiểu số với người Kinh/Hoa.</w:t>
      </w:r>
      <w:r w:rsidRPr="00816392">
        <w:rPr>
          <w:rFonts w:ascii="Arial" w:eastAsia="Times New Roman" w:hAnsi="Arial" w:cs="Arial"/>
          <w:color w:val="000000"/>
          <w:sz w:val="26"/>
          <w:szCs w:val="26"/>
        </w:rPr>
        <w:br/>
        <w:t>Đa số lao động phi chính thức chưa tham gia bảo hiểm xã hội tự nguyện và bảo hiểm thất nghiệp. Đến hết năm 2014, cả nước có gần 4.415 triệu người từ 55 tuổi trở lên hưởng an sinh tuổi già (gồm 2,2 triệu người hưởng chế độ hưu trí, 1,6 triệu người già trên 80 tuổi và 670 nghìn người cao tuổi thuộc hộ nghèo được hưởng trợ cấp tuổi già). Tỷ lệ người hưởng trợ cấp tiền mặt hằng tháng khoảng 3% dân số, nhưng đời sống của họ còn khó khăn do mức trợ cấp thấp; công tác trợ giúp đột xuất có phạm vi hẹp, huy động nguồn lực xã hội khó khăn, điều phối còn bất cập. Chênh lệch về thụ hưởng giáo dục giữa các vùng, miền, giữa các nhóm dân tộc có xu hướng gia tăng.</w:t>
      </w:r>
      <w:r w:rsidRPr="00816392">
        <w:rPr>
          <w:rFonts w:ascii="Arial" w:eastAsia="Times New Roman" w:hAnsi="Arial" w:cs="Arial"/>
          <w:color w:val="000000"/>
          <w:sz w:val="26"/>
          <w:szCs w:val="26"/>
        </w:rPr>
        <w:br/>
        <w:t>Mục tiêu bảo hiểm y tế toàn dân còn nhiều thách thức, vẫn còn gần 30% dân số chưa tham gia bảo hiểm y tế; tỷ lệ trẻ em suy dinh dưỡng giảm chậm; chất lượng chăm sóc y tế ở nông thôn, vùng sâu vùng xa còn thấp. Triển khai chính sách hỗ trợ nhà ở cho hộ nghèo còn chậm; vấn đề nhà ở cho các nhóm dân cư (lao động di cư, học sinh, sinh viên; dân tộc thiểu số) còn bất cập. Tỷ lệ người dân được sử dụng nước sạch theo quy chuẩn quốc gia còn thấp, việc lồng ghép với các chương trình chưa thực hiện tốt. Bố trí ngân sách cho các chương trình thông tin cho vùng sâu, vùng xa còn khó khăn; chất lượng các công trình hạ tầng kỹ thuật thông tin còn thấp,...</w:t>
      </w:r>
      <w:r w:rsidRPr="00816392">
        <w:rPr>
          <w:rFonts w:ascii="Arial" w:eastAsia="Times New Roman" w:hAnsi="Arial" w:cs="Arial"/>
          <w:color w:val="000000"/>
          <w:sz w:val="26"/>
          <w:szCs w:val="26"/>
        </w:rPr>
        <w:br/>
        <w:t>Nguyên nhân của những thách thức trên, theo các chuyên gia và nhiều nhà quản lý, là do:</w:t>
      </w:r>
      <w:r w:rsidRPr="00816392">
        <w:rPr>
          <w:rFonts w:ascii="Arial" w:eastAsia="Times New Roman" w:hAnsi="Arial" w:cs="Arial"/>
          <w:color w:val="000000"/>
          <w:sz w:val="26"/>
          <w:szCs w:val="26"/>
        </w:rPr>
        <w:br/>
        <w:t>- Nhận thức về vai trò của an sinh xã hội ở không ít cấp ủy, chính quyền, cán bộ, đảng viên, tổ chức, doanh nghiệp và người dân chưa đúng và chưa đầy đủ, còn coi an sinh xã hội là trách nhiệm riêng của Nhà nước, tư tưởng trông chờ vào Nhà nước, vào Trung ương còn nặng nề.</w:t>
      </w:r>
      <w:r w:rsidRPr="00816392">
        <w:rPr>
          <w:rFonts w:ascii="Arial" w:eastAsia="Times New Roman" w:hAnsi="Arial" w:cs="Arial"/>
          <w:color w:val="000000"/>
          <w:sz w:val="26"/>
          <w:szCs w:val="26"/>
        </w:rPr>
        <w:br/>
        <w:t>- Năng lực xây dựng chính sách an sinh xã hội còn hạn chế. Công tác tuyên truyền, phổ biến chính sách, luật pháp, thanh tra, kiểm tra việc thực hiện chính sách an sinh xã hội chưa được quan tâm đúng mức. Quản lý nhà nước về an sinh xã hội chưa tốt do quá nhiều chính sách, lại được ban hành ở nhiều giai đoạn khác nhau, áp dụng cho nhiều nhóm đối tượng khác nhau nên chồng chéo, thiếu tính hệ thống, gây khó khăn cho việc quản lý chính sách an sinh xã hội và đối tượng thụ hưởng các chính sách đó.</w:t>
      </w:r>
      <w:r w:rsidRPr="00816392">
        <w:rPr>
          <w:rFonts w:ascii="Arial" w:eastAsia="Times New Roman" w:hAnsi="Arial" w:cs="Arial"/>
          <w:color w:val="000000"/>
          <w:sz w:val="26"/>
          <w:szCs w:val="26"/>
        </w:rPr>
        <w:br/>
        <w:t>- Việc tổ chức thực hiện chính sách an sinh xã hội ở các cấp, nhất là cấp cơ sở còn yếu. Nguồn lực cho thực hiện chính còn hạn hẹp, mức hỗ trợ từ ngân sách nhà nước còn thấp, phân tán, chưa đúng đối tượng; thiếu sự phối hợp, lồng ghép trong việc thực hiện các chính sách; chưa huy động hết sự tham gia từ cộng đồng, thiếu chính sách khuyến khích người dân tự an sinh, người nghèo tự vươn lên thoát nghèo.</w:t>
      </w:r>
      <w:r w:rsidRPr="00816392">
        <w:rPr>
          <w:rFonts w:ascii="Arial" w:eastAsia="Times New Roman" w:hAnsi="Arial" w:cs="Arial"/>
          <w:color w:val="000000"/>
          <w:sz w:val="26"/>
          <w:szCs w:val="26"/>
        </w:rPr>
        <w:br/>
      </w:r>
      <w:r w:rsidRPr="00816392">
        <w:rPr>
          <w:rFonts w:ascii="Arial" w:eastAsia="Times New Roman" w:hAnsi="Arial" w:cs="Arial"/>
          <w:b/>
          <w:bCs/>
          <w:color w:val="000000"/>
          <w:sz w:val="26"/>
          <w:szCs w:val="26"/>
        </w:rPr>
        <w:t>Định hướng hoàn thiện hệ thống chính sách an sinh xã hội trong thời gian tới</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Một là,</w:t>
      </w:r>
      <w:r w:rsidRPr="00816392">
        <w:rPr>
          <w:rFonts w:ascii="Arial" w:eastAsia="Times New Roman" w:hAnsi="Arial" w:cs="Arial"/>
          <w:color w:val="000000"/>
          <w:sz w:val="26"/>
          <w:szCs w:val="26"/>
        </w:rPr>
        <w:t> tiếp tục bảo đảm mục tiêu, định hướng an sinh xã hội đến năm 2020.</w:t>
      </w:r>
      <w:r w:rsidRPr="00816392">
        <w:rPr>
          <w:rFonts w:ascii="Arial" w:eastAsia="Times New Roman" w:hAnsi="Arial" w:cs="Arial"/>
          <w:color w:val="000000"/>
          <w:sz w:val="26"/>
          <w:szCs w:val="26"/>
        </w:rPr>
        <w:br/>
        <w:t>Bảo đảm an sinh xã hội là nhiệm vụ thường xuyên, quan trọng, là trách nhiệm của Đảng, Nhà nước, của cả hệ thống chính trị và toàn xã hội. Trong đó, Nhà nước giữ vai trò chủ đạo trong việc tổ chức thực hiện chính sách an sinh xã hội, đồng thời phát huy vai trò và trách nhiệm của cá nhân, hộ gia đình, người lao động, doanh nghiệp và cộng đồng trong việc bảo đảm an sinh xã hội theo tinh thần xã hội hóa, tạo điều kiện để người dân nâng cao khả năng tự bảo đảm các điều kiện sống của họ.</w:t>
      </w:r>
      <w:r w:rsidRPr="00816392">
        <w:rPr>
          <w:rFonts w:ascii="Arial" w:eastAsia="Times New Roman" w:hAnsi="Arial" w:cs="Arial"/>
          <w:color w:val="000000"/>
          <w:sz w:val="26"/>
          <w:szCs w:val="26"/>
        </w:rPr>
        <w:br/>
        <w:t xml:space="preserve">Bảo đảm an sinh xã hội cho người dân là một chủ trương đúng đắn và xuyên suốt của Đảng trong lãnh đạo đất nước. Phát triển an sinh xã hội là chính sách cơ bản để giảm nghèo, bảo đảm đời </w:t>
      </w:r>
      <w:r w:rsidRPr="00816392">
        <w:rPr>
          <w:rFonts w:ascii="Arial" w:eastAsia="Times New Roman" w:hAnsi="Arial" w:cs="Arial"/>
          <w:color w:val="000000"/>
          <w:sz w:val="26"/>
          <w:szCs w:val="26"/>
        </w:rPr>
        <w:lastRenderedPageBreak/>
        <w:t>sống của nhân dân, góp phần quan trọng tạo động lực cho tăng trưởng kinh tế, thực hiện công bằng, tạo sự đồng thuận xã hội, giữ vững ổn định chính trị, bảo đảm trật tự, an toàn xã hội, củng cố và tăng cường quốc phòng, an ninh.</w:t>
      </w:r>
      <w:r w:rsidRPr="00816392">
        <w:rPr>
          <w:rFonts w:ascii="Arial" w:eastAsia="Times New Roman" w:hAnsi="Arial" w:cs="Arial"/>
          <w:color w:val="000000"/>
          <w:sz w:val="26"/>
          <w:szCs w:val="26"/>
        </w:rPr>
        <w:br/>
        <w:t>Do vậy, đến năm 2020 chúng ta cần cơ bản hình thành hệ thống an sinh xã hội bao phủ toàn dân, bảo đảm cho người dân tiếp cận đến các chính sách việc làm, giảm nghèo, tham gia bảo hiểm xã hội, hỗ trợ những người có hoàn cảnh đặc biệt khó khăn (trẻ em có hoàn cảnh đặc biệt, người cao tuổi thu thập thấp, người khuyết tật nặng, người nghèo...), tăng cường các dịch vụ xã hội cơ bản ở mức tối thiểu (y tế, giáo dục, nhà ở, nước sạch, thông tin), từng bước nâng cao thu nhập, bảo đảm cuộc sống an toàn, bình đẳng của nhân dân.</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Hai là,</w:t>
      </w:r>
      <w:r w:rsidRPr="00816392">
        <w:rPr>
          <w:rFonts w:ascii="Arial" w:eastAsia="Times New Roman" w:hAnsi="Arial" w:cs="Arial"/>
          <w:color w:val="000000"/>
          <w:sz w:val="26"/>
          <w:szCs w:val="26"/>
        </w:rPr>
        <w:t> hoàn thiện hệ thống lý luận về an sinh xã hội phù hợp bối cảnh của nước vừa bước vào ngưỡng thu nhập trung bình, hội nhập kinh tế ASEAN, gắn chính sách an sinh xã hội với chính sách phát triển kinh tế phù hợp với mục tiêu phát triển kinh tế. Phát huy vai trò lãnh đạo của các cấp ủy đảng, huy động sức mạnh của cả hệ thống chính trị tham gia, tạo nên nguồn lực to lớn của toàn xã hội vì mục tiêu bảo đảm an sinh cho người dân, đồng thời có cơ chế phát huy sự tham gia của xã hội và người dân trong việc thực hiện.</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Ba là,</w:t>
      </w:r>
      <w:r w:rsidRPr="00816392">
        <w:rPr>
          <w:rFonts w:ascii="Arial" w:eastAsia="Times New Roman" w:hAnsi="Arial" w:cs="Arial"/>
          <w:color w:val="000000"/>
          <w:sz w:val="26"/>
          <w:szCs w:val="26"/>
        </w:rPr>
        <w:t> hoàn thiện thị trường lao động, phát triển việc làm, bảo đảm an sinh xã hội bền vững. Hiện đại hóa thị trường lao động, kết nối cung cầu lao động; phát triển doanh nghiệp nhỏ và vừa để tạo việc làm và chuyển dịch cơ cấu việc làm; tăng cường đối thoại lao động, bảo đảm tiêu chuẩn lao động; tăng cường đào tạo và phát triển kỹ năng cho người lao động; tập trung phát triển các chương trình về “An toàn và vệ sinh lao động”, “việc làm đàng hoàng”,...</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Bốn là, </w:t>
      </w:r>
      <w:r w:rsidRPr="00816392">
        <w:rPr>
          <w:rFonts w:ascii="Arial" w:eastAsia="Times New Roman" w:hAnsi="Arial" w:cs="Arial"/>
          <w:color w:val="000000"/>
          <w:sz w:val="26"/>
          <w:szCs w:val="26"/>
        </w:rPr>
        <w:t>tiếp tục hoàn thiện cơ sở pháp lý, các chính sách và giải pháp bảo đảm an sinh xã hội. Cụ thể là:</w:t>
      </w:r>
      <w:r w:rsidRPr="00816392">
        <w:rPr>
          <w:rFonts w:ascii="Arial" w:eastAsia="Times New Roman" w:hAnsi="Arial" w:cs="Arial"/>
          <w:color w:val="000000"/>
          <w:sz w:val="26"/>
          <w:szCs w:val="26"/>
        </w:rPr>
        <w:br/>
        <w:t>- Đẩy mạnh việc xây dựng và hoàn thiện hệ thống luật về an sinh xã hội, trong đó cần nghiên cứu xây dựng và ban hành Luật Việc làm, Luật Tiền lương tối thiểu, Luật Cứu trợ xã hội, Luật Ưu đãi xã hội; nghiên cứu sửa đổi Bộ luật Lao động, Luật Bảo hiểm xã hội, Luật Người tàn tật, Luật Người cao tuổi...; nghiên cứu ban hành các văn bản pháp luật về an sinh xã hội cộng đồng, nhằm bảo đảm cơ sở pháp lý đầy đủ cho việc thực hiện đồng bộ, nghiêm túc, hiệu quả các quy định, chính sách, chế độ an sinh xã hội.</w:t>
      </w:r>
      <w:r w:rsidRPr="00816392">
        <w:rPr>
          <w:rFonts w:ascii="Arial" w:eastAsia="Times New Roman" w:hAnsi="Arial" w:cs="Arial"/>
          <w:color w:val="000000"/>
          <w:sz w:val="26"/>
          <w:szCs w:val="26"/>
        </w:rPr>
        <w:br/>
        <w:t>- Rà soát, điều chỉnh, bổ sung các chính sách hiện hành về an sinh xã hội, kể cả bảo hiểm xã hội, bảo hiểm y tế, trợ giúp xã hội, ưu đãi xã hội, hệ thống hỗ trợ tích cực...</w:t>
      </w:r>
      <w:r w:rsidRPr="00816392">
        <w:rPr>
          <w:rFonts w:ascii="Arial" w:eastAsia="Times New Roman" w:hAnsi="Arial" w:cs="Arial"/>
          <w:color w:val="000000"/>
          <w:sz w:val="26"/>
          <w:szCs w:val="26"/>
        </w:rPr>
        <w:br/>
        <w:t>- Phối hợp đồng bộ chính sách an sinh xã hội với các chính sách kinh tế - xã hội khác, như chính sách việc làm, chính sách tiền lương và thu nhập, thực hiện các chương trình hỗ trợ tích cực, các chương trình mục tiêu xóa đói, giảm nghèo bền vững..., tăng cường khả năng tiếp cận các dịch vụ xã hội cơ bản cho các đối tượng và vùng đặc thù.</w:t>
      </w:r>
      <w:r w:rsidRPr="00816392">
        <w:rPr>
          <w:rFonts w:ascii="Arial" w:eastAsia="Times New Roman" w:hAnsi="Arial" w:cs="Arial"/>
          <w:color w:val="000000"/>
          <w:sz w:val="26"/>
          <w:szCs w:val="26"/>
        </w:rPr>
        <w:br/>
      </w:r>
      <w:r w:rsidRPr="00816392">
        <w:rPr>
          <w:rFonts w:ascii="Arial" w:eastAsia="Times New Roman" w:hAnsi="Arial" w:cs="Arial"/>
          <w:i/>
          <w:iCs/>
          <w:color w:val="000000"/>
          <w:sz w:val="26"/>
          <w:szCs w:val="26"/>
        </w:rPr>
        <w:t>Năm là, </w:t>
      </w:r>
      <w:r w:rsidRPr="00816392">
        <w:rPr>
          <w:rFonts w:ascii="Arial" w:eastAsia="Times New Roman" w:hAnsi="Arial" w:cs="Arial"/>
          <w:color w:val="000000"/>
          <w:sz w:val="26"/>
          <w:szCs w:val="26"/>
        </w:rPr>
        <w:t>tăng cường huy động các nguồn lực cho chính sách an sinh xã hội. Tăng chi ngân sách nhà nước về an sinh xã hội đạt mức trung bình khu vực Đông Nam Á (7% GDP) kết hợp với huy động đóng góp của người dân, doanh nghiệp và xã hội cho an sinh xã hội. Khuyến khích, tạo môi trường thuận lợi để phát triển đa dạng các mô hình an sinh xã hội, các hoạt động từ thiện, tình nguyện dựa vào sự tham gia của cộng đồng (các đoàn thể địa phương, các nhóm sở thích, nghiệp đoàn, gia đình, dòng họ, cá nhân...) trong việc cung cấp các dịch vụ an sinh xã hội, thực hiện các hoạt động nhân đạo, giúp đỡ, chia sẻ rủi ro đối với những nhóm yếu thế, những đối tượng đặc thù. Tăng cường hợp tác quốc tế, tranh thủ nguồn lực, kinh nghiệm của các nước trong xây dựng và thực hiện các chính sách an sinh xã hội./.</w:t>
      </w:r>
    </w:p>
    <w:p w:rsidR="005D6580" w:rsidRPr="00816392" w:rsidRDefault="005D6580" w:rsidP="005D6580">
      <w:pPr>
        <w:spacing w:after="150" w:line="300" w:lineRule="atLeast"/>
        <w:jc w:val="right"/>
        <w:textAlignment w:val="baseline"/>
        <w:rPr>
          <w:rFonts w:ascii="Arial" w:eastAsia="Times New Roman" w:hAnsi="Arial" w:cs="Arial"/>
          <w:color w:val="000000"/>
          <w:sz w:val="26"/>
          <w:szCs w:val="26"/>
        </w:rPr>
      </w:pPr>
      <w:r w:rsidRPr="00816392">
        <w:rPr>
          <w:rFonts w:ascii="Arial" w:eastAsia="Times New Roman" w:hAnsi="Arial" w:cs="Arial"/>
          <w:b/>
          <w:bCs/>
          <w:i/>
          <w:iCs/>
          <w:color w:val="000000"/>
          <w:sz w:val="26"/>
          <w:szCs w:val="26"/>
        </w:rPr>
        <w:t>Nguyễn Trọng Đàm</w:t>
      </w:r>
      <w:r w:rsidRPr="00816392">
        <w:rPr>
          <w:rFonts w:ascii="Arial" w:eastAsia="Times New Roman" w:hAnsi="Arial" w:cs="Arial"/>
          <w:color w:val="000000"/>
          <w:sz w:val="26"/>
          <w:szCs w:val="26"/>
        </w:rPr>
        <w:br/>
      </w:r>
      <w:r w:rsidRPr="00816392">
        <w:rPr>
          <w:rFonts w:ascii="Arial" w:eastAsia="Times New Roman" w:hAnsi="Arial" w:cs="Arial"/>
          <w:b/>
          <w:bCs/>
          <w:i/>
          <w:iCs/>
          <w:color w:val="000000"/>
          <w:sz w:val="26"/>
          <w:szCs w:val="26"/>
        </w:rPr>
        <w:t>Thứ trưởng Bộ Lao động - Thương binh và Xã hộ</w:t>
      </w:r>
      <w:r w:rsidRPr="00816392">
        <w:rPr>
          <w:rFonts w:ascii="Arial" w:eastAsia="Times New Roman" w:hAnsi="Arial" w:cs="Arial"/>
          <w:b/>
          <w:bCs/>
          <w:color w:val="000000"/>
          <w:sz w:val="26"/>
          <w:szCs w:val="26"/>
        </w:rPr>
        <w:t>i</w:t>
      </w:r>
    </w:p>
    <w:p w:rsidR="005D6580" w:rsidRPr="00816392" w:rsidRDefault="005D6580" w:rsidP="00605B7E">
      <w:pPr>
        <w:spacing w:after="150" w:line="240" w:lineRule="auto"/>
        <w:jc w:val="both"/>
        <w:textAlignment w:val="baseline"/>
        <w:rPr>
          <w:rFonts w:ascii="Arial" w:eastAsia="Times New Roman" w:hAnsi="Arial" w:cs="Arial"/>
          <w:color w:val="333333"/>
          <w:sz w:val="26"/>
          <w:szCs w:val="26"/>
        </w:rPr>
      </w:pPr>
    </w:p>
    <w:p w:rsidR="005D6580" w:rsidRPr="00816392" w:rsidRDefault="005D6580" w:rsidP="005D6580">
      <w:pPr>
        <w:shd w:val="clear" w:color="auto" w:fill="FFFFFF"/>
        <w:spacing w:after="300" w:line="240" w:lineRule="auto"/>
        <w:jc w:val="center"/>
        <w:rPr>
          <w:rFonts w:ascii="Arial" w:eastAsia="Times New Roman" w:hAnsi="Arial" w:cs="Arial"/>
          <w:color w:val="262626"/>
          <w:sz w:val="26"/>
          <w:szCs w:val="26"/>
        </w:rPr>
      </w:pPr>
      <w:r w:rsidRPr="00816392">
        <w:rPr>
          <w:rFonts w:ascii="Merriweather" w:eastAsia="Times New Roman" w:hAnsi="Merriweather" w:cs="Arial"/>
          <w:b/>
          <w:bCs/>
          <w:color w:val="262626"/>
          <w:sz w:val="26"/>
          <w:szCs w:val="26"/>
        </w:rPr>
        <w:t>Việt Nam hướng đến xây dựng một hệ thống an sinh xã hội bền vững</w:t>
      </w:r>
    </w:p>
    <w:p w:rsidR="005D6580" w:rsidRPr="00816392" w:rsidRDefault="005D6580" w:rsidP="005D6580">
      <w:pPr>
        <w:shd w:val="clear" w:color="auto" w:fill="FFFFFF"/>
        <w:spacing w:after="0" w:line="240" w:lineRule="auto"/>
        <w:jc w:val="center"/>
        <w:rPr>
          <w:rFonts w:ascii="open sans" w:eastAsia="Times New Roman" w:hAnsi="open sans" w:cs="Arial"/>
          <w:b/>
          <w:bCs/>
          <w:caps/>
          <w:color w:val="087CCA"/>
          <w:sz w:val="26"/>
          <w:szCs w:val="26"/>
        </w:rPr>
      </w:pPr>
      <w:r w:rsidRPr="00816392">
        <w:rPr>
          <w:rFonts w:ascii="open sans" w:eastAsia="Times New Roman" w:hAnsi="open sans" w:cs="Arial"/>
          <w:b/>
          <w:bCs/>
          <w:caps/>
          <w:color w:val="087CCA"/>
          <w:sz w:val="26"/>
          <w:szCs w:val="26"/>
        </w:rPr>
        <w:lastRenderedPageBreak/>
        <w:t>LÊ TẤN DŨNG</w:t>
      </w:r>
    </w:p>
    <w:p w:rsidR="005D6580" w:rsidRPr="00816392" w:rsidRDefault="005D6580" w:rsidP="005D6580">
      <w:pPr>
        <w:shd w:val="clear" w:color="auto" w:fill="FFFFFF"/>
        <w:spacing w:after="150" w:line="240" w:lineRule="auto"/>
        <w:jc w:val="center"/>
        <w:rPr>
          <w:rFonts w:ascii="open sans" w:eastAsia="Times New Roman" w:hAnsi="open sans" w:cs="Arial"/>
          <w:i/>
          <w:iCs/>
          <w:color w:val="686868"/>
          <w:sz w:val="26"/>
          <w:szCs w:val="26"/>
        </w:rPr>
      </w:pPr>
      <w:r w:rsidRPr="00816392">
        <w:rPr>
          <w:rFonts w:ascii="open sans" w:eastAsia="Times New Roman" w:hAnsi="open sans" w:cs="Arial"/>
          <w:i/>
          <w:iCs/>
          <w:color w:val="686868"/>
          <w:sz w:val="26"/>
          <w:szCs w:val="26"/>
        </w:rPr>
        <w:t>Thứ trưởng Bộ Lao động - Thương binh và Xã hội</w:t>
      </w:r>
    </w:p>
    <w:p w:rsidR="005D6580" w:rsidRPr="00816392" w:rsidRDefault="005D6580" w:rsidP="005D6580">
      <w:pPr>
        <w:shd w:val="clear" w:color="auto" w:fill="FFFFFF"/>
        <w:spacing w:after="300" w:line="240" w:lineRule="auto"/>
        <w:jc w:val="center"/>
        <w:rPr>
          <w:rFonts w:ascii="open sans" w:eastAsia="Times New Roman" w:hAnsi="open sans" w:cs="Arial"/>
          <w:color w:val="686868"/>
          <w:sz w:val="26"/>
          <w:szCs w:val="26"/>
        </w:rPr>
      </w:pPr>
      <w:r w:rsidRPr="00816392">
        <w:rPr>
          <w:rFonts w:ascii="open sans" w:eastAsia="Times New Roman" w:hAnsi="open sans" w:cs="Arial"/>
          <w:color w:val="686868"/>
          <w:sz w:val="26"/>
          <w:szCs w:val="26"/>
        </w:rPr>
        <w:t>23:41, ngày 06-01-2021</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b/>
          <w:bCs/>
          <w:color w:val="000000"/>
          <w:sz w:val="26"/>
          <w:szCs w:val="26"/>
        </w:rPr>
        <w:t>TCCS - Trong thời kỳ đổi mới và hội nhập quốc tế, Đảng và Nhà nước ta luôn quan tâm xây dựng và tổ chức thực hiện tốt các chính sách an sinh xã hội, coi đây vừa là mục tiêu, vừa là động lực để phát triển bền vững, giữ vững ổn định chính trị - xã hội, thể hiện tính ưu việt của mô hình kinh tế thị trường định hướng xã hội chủ nghĩa. Đảng ta khẳng định, hệ thống an sinh xã hội phải đa dạng, toàn diện, có tính chia sẻ giữa Nhà nước, xã hội và người dân, giữa các nhóm dân cư trong một thế hệ và giữa các thế hệ,... bảo đảm bền vững, công bằng; Nhà nước bảo đảm thực hiện chính sách ưu đãi người có công và giữ vai trò chủ đạo trong việc tổ chức thực hiện chính sách an sinh xã hội; đẩy mạnh xã hội hóa, khuyến khích các tổ chức, doanh nghiệp và người dân tham gia. Đồng thời tạo điều kiện để người dân nâng cao khả năng tự bảo đảm an sinh</w:t>
      </w:r>
      <w:r w:rsidRPr="00816392">
        <w:rPr>
          <w:rFonts w:ascii="Merriweather" w:eastAsia="Times New Roman" w:hAnsi="Merriweather" w:cs="Arial"/>
          <w:b/>
          <w:bCs/>
          <w:color w:val="000000"/>
          <w:sz w:val="26"/>
          <w:szCs w:val="26"/>
          <w:vertAlign w:val="superscript"/>
        </w:rPr>
        <w:t>(1)</w:t>
      </w:r>
      <w:r w:rsidRPr="00816392">
        <w:rPr>
          <w:rFonts w:ascii="Merriweather" w:eastAsia="Times New Roman" w:hAnsi="Merriweather" w:cs="Arial"/>
          <w:b/>
          <w:bCs/>
          <w:color w:val="000000"/>
          <w:sz w:val="26"/>
          <w:szCs w:val="26"/>
        </w:rPr>
        <w:t>.</w:t>
      </w:r>
    </w:p>
    <w:p w:rsidR="005D6580" w:rsidRPr="00816392" w:rsidRDefault="005D6580" w:rsidP="005D6580">
      <w:pPr>
        <w:shd w:val="clear" w:color="auto" w:fill="FFFFFF"/>
        <w:spacing w:after="0" w:line="240" w:lineRule="auto"/>
        <w:rPr>
          <w:rFonts w:ascii="Arial" w:eastAsia="Times New Roman" w:hAnsi="Arial" w:cs="Arial"/>
          <w:color w:val="262626"/>
          <w:sz w:val="26"/>
          <w:szCs w:val="26"/>
        </w:rPr>
      </w:pPr>
      <w:r w:rsidRPr="00816392">
        <w:rPr>
          <w:rFonts w:ascii="Arial" w:eastAsia="Times New Roman" w:hAnsi="Arial" w:cs="Arial"/>
          <w:noProof/>
          <w:color w:val="262626"/>
          <w:sz w:val="26"/>
          <w:szCs w:val="26"/>
        </w:rPr>
        <mc:AlternateContent>
          <mc:Choice Requires="wps">
            <w:drawing>
              <wp:inline distT="0" distB="0" distL="0" distR="0">
                <wp:extent cx="304800" cy="304800"/>
                <wp:effectExtent l="0" t="0" r="0" b="0"/>
                <wp:docPr id="15" name="Rectangle 15" descr="https://www.tapchicongsan.org.vn/image/journal/article?img_id=73641228&amp;t=16099783656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72C90" id="Rectangle 15" o:spid="_x0000_s1026" alt="https://www.tapchicongsan.org.vn/image/journal/article?img_id=73641228&amp;t=160997836566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e&#10;pvFH/QIAABwGAAAOAAAAAAAAAAAAAAAAAC4CAABkcnMvZTJvRG9jLnhtbFBLAQItABQABgAIAAAA&#10;IQBMoOks2AAAAAMBAAAPAAAAAAAAAAAAAAAAAFcFAABkcnMvZG93bnJldi54bWxQSwUGAAAAAAQA&#10;BADzAAAAXAYAAAAA&#10;" filled="f" stroked="f">
                <o:lock v:ext="edit" aspectratio="t"/>
                <w10:anchorlock/>
              </v:rect>
            </w:pict>
          </mc:Fallback>
        </mc:AlternateContent>
      </w:r>
    </w:p>
    <w:p w:rsidR="005D6580" w:rsidRPr="00816392" w:rsidRDefault="005D6580" w:rsidP="005D6580">
      <w:pPr>
        <w:shd w:val="clear" w:color="auto" w:fill="FFFFFF"/>
        <w:spacing w:before="75" w:after="300" w:line="240" w:lineRule="auto"/>
        <w:rPr>
          <w:rFonts w:ascii="Arial" w:eastAsia="Times New Roman" w:hAnsi="Arial" w:cs="Arial"/>
          <w:color w:val="6D6E71"/>
          <w:sz w:val="26"/>
          <w:szCs w:val="26"/>
        </w:rPr>
      </w:pPr>
      <w:r w:rsidRPr="00816392">
        <w:rPr>
          <w:rFonts w:ascii="Arial" w:eastAsia="Times New Roman" w:hAnsi="Arial" w:cs="Arial"/>
          <w:color w:val="6D6E71"/>
          <w:sz w:val="26"/>
          <w:szCs w:val="26"/>
        </w:rPr>
        <w:t>Tổng Bí thư, Chủ tịch nước Nguyễn Phú Trọng tiếp đoàn học sinh, sinh viên tiêu biểu, xuất sắc ngành giáo dục _Ảnh: TTXVN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Trên cơ sở xác định thực hiện tiến bộ và công bằng xã hội ngay trong từng bước và từng chính sách phát triển và giải quyết tốt lao động, việc làm, thu nhập cho người lao động, bảo đảm an sinh xã hội,... để mọi người dân đều có cơ hội và điều kiện phát triển toàn diện..., các nội dung về an sinh xã hội trong Hiến pháp năm 2013, hệ thống luật pháp và chính sách an sinh xã hội nhanh chóng được sửa đổi, bổ sung, tổ chức thực hiện và đạt được nhiều kết quả nổi bật.</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nhất, chính sách giải quyết việc làm, tăng thu nhập và giảm nghèo đạt được nhiều thành quả tích cực.</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Các chính sách hỗ trợ tạo việc làm thông qua Quỹ quốc gia giải quyết việc làm, Quỹ Vì người nghèo, các chính sách tín dụng ưu đãi, giáo dục nghề nghiệp, giới thiệu việc làm,... đã góp phần quan trọng bảo đảm tỷ lệ cao dân số từ 15 tuổi trở lên có việc làm (trên 77%) và giảm nghèo bền vững. Trong 10 năm qua, nước ta luôn duy trì được tỷ lệ thất nghiệp ở mức thấp (từ 2% - 3%) và thuộc nhóm các quốc gia có tỷ lệ thất nghiệp thấp nhất trên thế giới. Thu nhập bình quân của người lao động được cải thiện, tăng bình quân 8,7%/năm trong giai đoạn 2013 - 2018</w:t>
      </w:r>
      <w:r w:rsidRPr="00816392">
        <w:rPr>
          <w:rFonts w:ascii="Merriweather" w:eastAsia="Times New Roman" w:hAnsi="Merriweather" w:cs="Arial"/>
          <w:color w:val="000000"/>
          <w:sz w:val="26"/>
          <w:szCs w:val="26"/>
          <w:vertAlign w:val="superscript"/>
        </w:rPr>
        <w:t>(2)</w:t>
      </w:r>
      <w:r w:rsidRPr="00816392">
        <w:rPr>
          <w:rFonts w:ascii="Merriweather" w:eastAsia="Times New Roman" w:hAnsi="Merriweather" w:cs="Arial"/>
          <w:color w:val="000000"/>
          <w:sz w:val="26"/>
          <w:szCs w:val="26"/>
        </w:rPr>
        <w:t>.</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Chương trình Mục tiêu quốc gia giảm nghèo bền vững được thực hiện hiệu quả, chú trọng vào các huyện nghèo nhất và xã đặc biệt khó khăn. Phong trào thi đua “Cả nước chung tay vì người nghèo - không để ai bị bỏ lại phía sau” đạt nhiều kết quả tích cực. Tỷ lệ hộ nghèo giảm nhanh từ 11,76% năm 2011 (theo chuẩn nghèo giai đoạn 2011 - 2015) xuống còn 3,75% năm 2019 (theo chuẩn nghèo giai đoạn 2016 - 2020), bình quân mỗi năm giảm hơn 1,3%. Thành tích giảm nghèo của Việt Nam được cộng đồng quốc tế đánh giá cao.</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hai, chính sách bảo hiểm xã hội, bảo hiểm y tế được bổ sung, sửa đổi đã mở rộng cơ hội tham gia, thụ hưởng của người dân và tăng cường bền vững tài chính của các quỹ bảo hiểm.</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 xml:space="preserve">Bảo hiểm xã hội đã mở rộng đến mọi người lao động, theo 3 nhóm chính sách lớn là bảo hiểm xã hội bắt buộc, bảo hiểm xã hội tự nguyện và bảo hiểm thất nghiệp. Tỷ lệ lực lượng lao động trong độ tuổi tham gia bảo hiểm xã hội đã tăng từ 21,8% năm 2011 lên 32% năm 2019. Đặc biệt, bảo hiểm xã hội tự nguyện trong cả giai đoạn 2008 - 2018 chỉ thu hút được hơn 270 nghìn người tham gia thì hết năm 2019 đã tăng lên 545 nghìn người. Tỷ lệ lực lượng lao động trong độ tuổi tham gia bảo hiểm thất nghiệp tăng từ 17,1% năm 2011 </w:t>
      </w:r>
      <w:r w:rsidRPr="00816392">
        <w:rPr>
          <w:rFonts w:ascii="Merriweather" w:eastAsia="Times New Roman" w:hAnsi="Merriweather" w:cs="Arial"/>
          <w:color w:val="000000"/>
          <w:sz w:val="26"/>
          <w:szCs w:val="26"/>
        </w:rPr>
        <w:lastRenderedPageBreak/>
        <w:t>lên trên 27% năm 2019. Cả nước có 85,39 triệu người tham gia bảo hiểm y tế, chiếm 90% dân số năm 2019, cơ bản bao phủ toàn dân</w:t>
      </w:r>
      <w:r w:rsidRPr="00816392">
        <w:rPr>
          <w:rFonts w:ascii="Merriweather" w:eastAsia="Times New Roman" w:hAnsi="Merriweather" w:cs="Arial"/>
          <w:color w:val="000000"/>
          <w:sz w:val="26"/>
          <w:szCs w:val="26"/>
          <w:vertAlign w:val="superscript"/>
        </w:rPr>
        <w:t>(3)</w:t>
      </w:r>
      <w:r w:rsidRPr="00816392">
        <w:rPr>
          <w:rFonts w:ascii="Merriweather" w:eastAsia="Times New Roman" w:hAnsi="Merriweather" w:cs="Arial"/>
          <w:color w:val="000000"/>
          <w:sz w:val="26"/>
          <w:szCs w:val="26"/>
        </w:rPr>
        <w:t>.</w:t>
      </w:r>
    </w:p>
    <w:p w:rsidR="005D6580" w:rsidRPr="00816392" w:rsidRDefault="005D6580" w:rsidP="005D6580">
      <w:pPr>
        <w:shd w:val="clear" w:color="auto" w:fill="FFFFFF"/>
        <w:spacing w:after="0" w:line="240" w:lineRule="auto"/>
        <w:rPr>
          <w:rFonts w:ascii="Arial" w:eastAsia="Times New Roman" w:hAnsi="Arial" w:cs="Arial"/>
          <w:color w:val="262626"/>
          <w:sz w:val="26"/>
          <w:szCs w:val="26"/>
        </w:rPr>
      </w:pPr>
      <w:r w:rsidRPr="00816392">
        <w:rPr>
          <w:rFonts w:ascii="Arial" w:eastAsia="Times New Roman" w:hAnsi="Arial" w:cs="Arial"/>
          <w:noProof/>
          <w:color w:val="262626"/>
          <w:sz w:val="26"/>
          <w:szCs w:val="26"/>
        </w:rPr>
        <mc:AlternateContent>
          <mc:Choice Requires="wps">
            <w:drawing>
              <wp:inline distT="0" distB="0" distL="0" distR="0">
                <wp:extent cx="304800" cy="304800"/>
                <wp:effectExtent l="0" t="0" r="0" b="0"/>
                <wp:docPr id="14" name="Rectangle 14" descr="https://www.tapchicongsan.org.vn/image/journal/article?img_id=73641229&amp;t=16099783658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294AF4" id="Rectangle 14" o:spid="_x0000_s1026" alt="https://www.tapchicongsan.org.vn/image/journal/article?img_id=73641229&amp;t=160997836584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Ehi&#10;No38AgAAHA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5D6580" w:rsidRPr="00816392" w:rsidRDefault="005D6580" w:rsidP="005D6580">
      <w:pPr>
        <w:shd w:val="clear" w:color="auto" w:fill="FFFFFF"/>
        <w:spacing w:before="75" w:after="300" w:line="240" w:lineRule="auto"/>
        <w:rPr>
          <w:rFonts w:ascii="Arial" w:eastAsia="Times New Roman" w:hAnsi="Arial" w:cs="Arial"/>
          <w:color w:val="6D6E71"/>
          <w:sz w:val="26"/>
          <w:szCs w:val="26"/>
        </w:rPr>
      </w:pPr>
      <w:r w:rsidRPr="00816392">
        <w:rPr>
          <w:rFonts w:ascii="Arial" w:eastAsia="Times New Roman" w:hAnsi="Arial" w:cs="Arial"/>
          <w:color w:val="6D6E71"/>
          <w:sz w:val="26"/>
          <w:szCs w:val="26"/>
        </w:rPr>
        <w:t>Bảo hiểm y tế góp phần tạo nên sự công bằng trong chăm sóc sức khỏe, đặc biệt là đối với nhóm người yếu thế trong xã hội (Trong ảnh: Khám, chữa bệnh cho đồng bào các dân tộc thiểu số) _Ảnh: Tư liệu</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Bảo hiểm xã hội và bảo hiểm y tế trở thành lưới an sinh xã hội quan trọng, hỗ trợ người dân vượt qua các rủi ro ốm đau, tai nạn lao động - bệnh nghề nghiệp, thai sản, thất nghiệp, hết tuổi lao động... Hiện nay, cả nước có trên 3,1 triệu người hưởng chế độ hưu trí và trợ cấp bảo hiểm xã hội hằng tháng; mỗi năm Quỹ bảo hiểm xã hội chi trả các chế độ ốm đau, thai sản, tai nạn lao động </w:t>
      </w:r>
      <w:r w:rsidRPr="00816392">
        <w:rPr>
          <w:rFonts w:ascii="Merriweather" w:eastAsia="Times New Roman" w:hAnsi="Merriweather" w:cs="Arial"/>
          <w:b/>
          <w:bCs/>
          <w:color w:val="000000"/>
          <w:sz w:val="26"/>
          <w:szCs w:val="26"/>
        </w:rPr>
        <w:t>-</w:t>
      </w:r>
      <w:r w:rsidRPr="00816392">
        <w:rPr>
          <w:rFonts w:ascii="Merriweather" w:eastAsia="Times New Roman" w:hAnsi="Merriweather" w:cs="Arial"/>
          <w:color w:val="000000"/>
          <w:sz w:val="26"/>
          <w:szCs w:val="26"/>
        </w:rPr>
        <w:t> bệnh nghề nghiệp cho từ 6</w:t>
      </w:r>
      <w:r w:rsidRPr="00816392">
        <w:rPr>
          <w:rFonts w:ascii="Merriweather" w:eastAsia="Times New Roman" w:hAnsi="Merriweather" w:cs="Arial"/>
          <w:b/>
          <w:bCs/>
          <w:color w:val="000000"/>
          <w:sz w:val="26"/>
          <w:szCs w:val="26"/>
        </w:rPr>
        <w:t>  -</w:t>
      </w:r>
      <w:r w:rsidRPr="00816392">
        <w:rPr>
          <w:rFonts w:ascii="Merriweather" w:eastAsia="Times New Roman" w:hAnsi="Merriweather" w:cs="Arial"/>
          <w:color w:val="000000"/>
          <w:sz w:val="26"/>
          <w:szCs w:val="26"/>
        </w:rPr>
        <w:t> 10 triệu lượt người; do tác động của đại dịch COVID</w:t>
      </w:r>
      <w:r w:rsidRPr="00816392">
        <w:rPr>
          <w:rFonts w:ascii="Merriweather" w:eastAsia="Times New Roman" w:hAnsi="Merriweather" w:cs="Arial"/>
          <w:b/>
          <w:bCs/>
          <w:color w:val="000000"/>
          <w:sz w:val="26"/>
          <w:szCs w:val="26"/>
        </w:rPr>
        <w:t>-</w:t>
      </w:r>
      <w:r w:rsidRPr="00816392">
        <w:rPr>
          <w:rFonts w:ascii="Merriweather" w:eastAsia="Times New Roman" w:hAnsi="Merriweather" w:cs="Arial"/>
          <w:color w:val="000000"/>
          <w:sz w:val="26"/>
          <w:szCs w:val="26"/>
        </w:rPr>
        <w:t>19, chỉ trong 6 tháng đầu năm 2020, bảo hiểm thất nghiệp đã chi trả chế độ trợ cấp thất nghiệp cho trên 500 nghìn lượt người. Bảo hiểm y tế giúp giảm chi trực tiếp từ tiền túi hộ gia đình cho dịch vụ y tế, góp phần tạo nên sự công bằng trong chăm sóc sức khỏe, đặc biệt là đối với nhóm người yếu thế trong xã hội. Năm 2019, Quỹ bảo hiểm y tế đã chi trả cho 186 triệu lượt người khám bệnh, chữa bệnh bằng bảo hiểm y tế (năm 2009 là 92,1 triệu lượt người). Nhiều trường hợp được Quỹ Bảo hiểm y tế chi trả chi phí khám chữa bệnh trong năm lên đến hàng tỷ đồng.</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ba, công tác trợ giúp xã hội cho người có hoàn cảnh đặc biệt khó khăn, từng bước chuyển sang hướng tiếp cận dựa trên quyền con người, lấy con người là trung tâm.</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Diện đối tượng thụ hưởng trợ giúp xã hội được mở rộng và mức chuẩn trợ cấp xã hội được điều chỉnh tăng lên, góp phần ổn định cuộc sống cho các đối tượng yếu thế. Số người hưởng chế độ trợ cấp xã hội hằng tháng bằng tiền mặt, tăng từ gần 1,7 triệu người năm 2011 (chiếm 1,9% dân số) lên hơn 2,9 triệu người năm 2019 (chiếm 3% dân số). Chính sách trợ giúp xã hội đột xuất hỗ trợ kịp thời người dân bị rủi ro do thiên tai bão lụt, hạn hán, rét đậm, rét hại,... và các nguyên nhân khách quan khác. Từ năm 2012 - 2019, Chính phủ đã hỗ trợ hơn 343 nghìn tấn gạo (cứu đói giáp hạt và nhân dịp tết Nguyên đán hằng năm) cho khoảng 18,4 triệu nhân khẩu thiếu lương thực; hỗ trợ hơn 3.700 tỷ đồng để các địa phương hỗ trợ khắc phục hậu quả thiên tai</w:t>
      </w:r>
      <w:r w:rsidRPr="00816392">
        <w:rPr>
          <w:rFonts w:ascii="Merriweather" w:eastAsia="Times New Roman" w:hAnsi="Merriweather" w:cs="Arial"/>
          <w:color w:val="000000"/>
          <w:sz w:val="26"/>
          <w:szCs w:val="26"/>
          <w:vertAlign w:val="superscript"/>
        </w:rPr>
        <w:t>(4)</w:t>
      </w:r>
      <w:r w:rsidRPr="00816392">
        <w:rPr>
          <w:rFonts w:ascii="Merriweather" w:eastAsia="Times New Roman" w:hAnsi="Merriweather" w:cs="Arial"/>
          <w:color w:val="000000"/>
          <w:sz w:val="26"/>
          <w:szCs w:val="26"/>
        </w:rPr>
        <w:t>. Đặc biệt, trong bối cảnh đại dịch COVID-19 tác động tiêu cực đến đời sống kinh tế - xã hội nước ta, Chính phủ đã ban hành Nghị quyết số 42/NQ-CP, ngày 9-4-2020, của Chính phủ, “</w:t>
      </w:r>
      <w:r w:rsidRPr="00816392">
        <w:rPr>
          <w:rFonts w:ascii="Merriweather" w:eastAsia="Times New Roman" w:hAnsi="Merriweather" w:cs="Arial"/>
          <w:i/>
          <w:iCs/>
          <w:color w:val="000000"/>
          <w:sz w:val="26"/>
          <w:szCs w:val="26"/>
        </w:rPr>
        <w:t>Về các biện pháp hỗ trợ người dân gặp khó khăn do đại dịch COVID-19”</w:t>
      </w:r>
      <w:r w:rsidRPr="00816392">
        <w:rPr>
          <w:rFonts w:ascii="Merriweather" w:eastAsia="Times New Roman" w:hAnsi="Merriweather" w:cs="Arial"/>
          <w:color w:val="000000"/>
          <w:sz w:val="26"/>
          <w:szCs w:val="26"/>
        </w:rPr>
        <w:t> và Thủ tướng Chính phủ ban hành Quyết định số 15/2020/QĐ-TTg, ngày 24-4-2020, </w:t>
      </w:r>
      <w:r w:rsidRPr="00816392">
        <w:rPr>
          <w:rFonts w:ascii="Merriweather" w:eastAsia="Times New Roman" w:hAnsi="Merriweather" w:cs="Arial"/>
          <w:i/>
          <w:iCs/>
          <w:color w:val="000000"/>
          <w:sz w:val="26"/>
          <w:szCs w:val="26"/>
        </w:rPr>
        <w:t>“Quy định về việc thực hiện các chính sách hỗ trợ người dân gặp khó khăn do đại dịch COVID-19”</w:t>
      </w:r>
      <w:r w:rsidRPr="00816392">
        <w:rPr>
          <w:rFonts w:ascii="Merriweather" w:eastAsia="Times New Roman" w:hAnsi="Merriweather" w:cs="Arial"/>
          <w:color w:val="000000"/>
          <w:sz w:val="26"/>
          <w:szCs w:val="26"/>
        </w:rPr>
        <w:t> với gói hỗ trợ 62 nghìn tỷ đồng cho người dân gặp khó khăn do đại dịch. Các giải pháp ứng phó nhanh với đại dịch COVID-19 được cộng đồng quốc tế đánh giá cao và nhân dân đồng tình ủng hộ.</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Mặt khác, các cơ sở trợ giúp xã hội công lập và ngoài công lập đã cơ bản đáp ứng nhu cầu nuôi dưỡng, chăm sóc đối tượng bảo trợ xã hội. Cả nước hiện có 425 cơ sở trợ giúp xã hội (191 cơ sở công lập và 234 cơ sở ngoài công lập) nuôi dưỡng, chăm sóc hơn 41 nghìn người.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tư, hệ thống các dịch vụ xã hội cơ bản, thiết yếu được chú trọng đầu tư, phát triển, tạo điều kiện thuận lợi cho người dân tiếp cận và thụ hưởng.</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phổ cập giáo dục: </w:t>
      </w:r>
      <w:r w:rsidRPr="00816392">
        <w:rPr>
          <w:rFonts w:ascii="Merriweather" w:eastAsia="Times New Roman" w:hAnsi="Merriweather" w:cs="Arial"/>
          <w:color w:val="000000"/>
          <w:sz w:val="26"/>
          <w:szCs w:val="26"/>
        </w:rPr>
        <w:t xml:space="preserve">Đã hoàn thành từ cấp mầm non đến trung học cơ sở; trẻ em đi học đúng tuổi ở cấp tiểu học đạt 99% từ năm 2015, cấp trung học cơ sở đạt trên 90% từ năm 2014, góp phần tăng tỷ lệ người biết chữ trong độ tuổi từ 15 tuổi trở lên đạt trên 97%. Trẻ em có hoàn cảnh khó khăn, trẻ khuyết tật được quan tâm phát hiện sớm, can thiệp sớm, hỗ trợ hòa nhập cộng đồng. Năm 2018, có 70% trẻ em khuyết tật có khả </w:t>
      </w:r>
      <w:r w:rsidRPr="00816392">
        <w:rPr>
          <w:rFonts w:ascii="Merriweather" w:eastAsia="Times New Roman" w:hAnsi="Merriweather" w:cs="Arial"/>
          <w:color w:val="000000"/>
          <w:sz w:val="26"/>
          <w:szCs w:val="26"/>
        </w:rPr>
        <w:lastRenderedPageBreak/>
        <w:t>năng học tập được tiếp cận với giáo dục và học hòa nhập tại các trường. Các chương trình, chính sách hỗ trợ giáo dục cho con em hộ nghèo, dân tộc thiểu số, vùng khó khăn được triển khai hiệu quả. Năm học 2017 - 2018 có hơn 520.000 học sinh được nhận gạo hỗ trợ và hơn 1.800 tỷ đồng tiền hỗ trợ ăn trưa cho các học sinh ở xã, thôn đặc biệt khó khăn.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 </w:t>
      </w:r>
      <w:r w:rsidRPr="00816392">
        <w:rPr>
          <w:rFonts w:ascii="Merriweather" w:eastAsia="Times New Roman" w:hAnsi="Merriweather" w:cs="Arial"/>
          <w:i/>
          <w:iCs/>
          <w:color w:val="000000"/>
          <w:sz w:val="26"/>
          <w:szCs w:val="26"/>
        </w:rPr>
        <w:t>Về chương trình đào tạo nghề cho lao động nông thôn: </w:t>
      </w:r>
      <w:r w:rsidRPr="00816392">
        <w:rPr>
          <w:rFonts w:ascii="Merriweather" w:eastAsia="Times New Roman" w:hAnsi="Merriweather" w:cs="Arial"/>
          <w:color w:val="000000"/>
          <w:sz w:val="26"/>
          <w:szCs w:val="26"/>
        </w:rPr>
        <w:t>đã hỗ trợ đào tạo được trên 8,3 triệu người trong giai đoạn 2012 - 2019, góp phần nâng cao chất lượng lao động nông thôn và thúc đẩy chuyển dịch cơ cấu lao động từ nông nghiệp sang phi nông nghiệp, từ ngành hàng có năng suất thấp sang ngành hàng có năng suất cao hơn. Tỷ lệ lao động làm việc trong khu vực nông nghiệp, lâm nghiệp và thủy sản từ chiếm 48,3% năm 2011 đã giảm còn 34,7% năm 2019.</w:t>
      </w:r>
    </w:p>
    <w:p w:rsidR="005D6580" w:rsidRPr="00816392" w:rsidRDefault="005D6580" w:rsidP="005D6580">
      <w:pPr>
        <w:shd w:val="clear" w:color="auto" w:fill="FFFFFF"/>
        <w:spacing w:after="0" w:line="240" w:lineRule="auto"/>
        <w:rPr>
          <w:rFonts w:ascii="Arial" w:eastAsia="Times New Roman" w:hAnsi="Arial" w:cs="Arial"/>
          <w:color w:val="262626"/>
          <w:sz w:val="26"/>
          <w:szCs w:val="26"/>
        </w:rPr>
      </w:pPr>
      <w:r w:rsidRPr="00816392">
        <w:rPr>
          <w:rFonts w:ascii="Arial" w:eastAsia="Times New Roman" w:hAnsi="Arial" w:cs="Arial"/>
          <w:noProof/>
          <w:color w:val="262626"/>
          <w:sz w:val="26"/>
          <w:szCs w:val="26"/>
        </w:rPr>
        <mc:AlternateContent>
          <mc:Choice Requires="wps">
            <w:drawing>
              <wp:inline distT="0" distB="0" distL="0" distR="0">
                <wp:extent cx="304800" cy="304800"/>
                <wp:effectExtent l="0" t="0" r="0" b="0"/>
                <wp:docPr id="13" name="Rectangle 13" descr="https://www.tapchicongsan.org.vn/image/journal/article?img_id=73641230&amp;t=160997836594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2360E3" id="Rectangle 13" o:spid="_x0000_s1026" alt="https://www.tapchicongsan.org.vn/image/journal/article?img_id=73641230&amp;t=160997836594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ArL&#10;+pL8AgAAHA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5D6580" w:rsidRPr="00816392" w:rsidRDefault="005D6580" w:rsidP="005D6580">
      <w:pPr>
        <w:shd w:val="clear" w:color="auto" w:fill="FFFFFF"/>
        <w:spacing w:before="75" w:after="300" w:line="240" w:lineRule="auto"/>
        <w:rPr>
          <w:rFonts w:ascii="Arial" w:eastAsia="Times New Roman" w:hAnsi="Arial" w:cs="Arial"/>
          <w:color w:val="6D6E71"/>
          <w:sz w:val="26"/>
          <w:szCs w:val="26"/>
        </w:rPr>
      </w:pPr>
      <w:r w:rsidRPr="00816392">
        <w:rPr>
          <w:rFonts w:ascii="Arial" w:eastAsia="Times New Roman" w:hAnsi="Arial" w:cs="Arial"/>
          <w:color w:val="6D6E71"/>
          <w:sz w:val="26"/>
          <w:szCs w:val="26"/>
        </w:rPr>
        <w:t>Đào tạo nghề điện công nghiệp cho lao động nông thôn tại Trường Trung cấp Dân tộc nội trú tỉnh Thái Nguyên _Ảnh: TTXVN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Hệ thống y tế cơ sở và y tế dự phòng đã giúp nâng cao cơ hội tiếp cận và thụ hưởng các dịch vụ y tế cho người dân, nhất là ở vùng sâu, vùng xa, vùng đồng bào dân tộc thiểu số</w:t>
      </w:r>
      <w:r w:rsidRPr="00816392">
        <w:rPr>
          <w:rFonts w:ascii="Merriweather" w:eastAsia="Times New Roman" w:hAnsi="Merriweather" w:cs="Arial"/>
          <w:color w:val="000000"/>
          <w:sz w:val="26"/>
          <w:szCs w:val="26"/>
        </w:rPr>
        <w:t>: đến cuối năm 2018 có 98,4% xã có trạm y tế; 96,0% thôn, bản có nhân viên y tế thôn, bản hoạt động, 90% số xã có bác sĩ, 76% số xã đạt Tiêu chí quốc gia về y tế xã giai đoạn 2011 - 2020, trên 95% số xã có y sĩ sản nhi hoặc nữ hộ sinh. Mạng lưới cung cấp dịch vụ chăm sóc sức khỏe sinh sản được củng cố và phát triển, bao phủ 100% huyện, 93% xã, 96% thôn, bản.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Y tế dự phòng đóng vai trò quyết định trong ngăn chặn được các bệnh dịch nguy hiểm, không để xảy ra dịch lớn. Mô hình kết hợp quân - dân y được đẩy mạnh, phát huy hiệu quả. Tỷ lệ trẻ dưới 1 tuổi được tiêm chủng đầy đủ đạt ở mức rất cao, từ 96% đến 98%; tỷ lệ trẻ dưới 5 tuổi suy dinh dưỡng thể nhẹ cân, giảm dần từ 16,2% năm 2012 xuống 12,7% năm 2018 và ước 12% năm 2020.</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Nhà ở cho các nhóm đối tượng yếu thế, dễ bị tổn thương được triển khai thực hiện, phù hợp với điều kiện thực tế của đất nước:</w:t>
      </w:r>
      <w:r w:rsidRPr="00816392">
        <w:rPr>
          <w:rFonts w:ascii="Merriweather" w:eastAsia="Times New Roman" w:hAnsi="Merriweather" w:cs="Arial"/>
          <w:color w:val="000000"/>
          <w:sz w:val="26"/>
          <w:szCs w:val="26"/>
        </w:rPr>
        <w:t> thực hiện chính sách hỗ trợ hộ nghèo có khó khăn về nhà ở, giai đoạn 2011 - 2015 đã hỗ trợ được 531.000 hộ nghèo. Giai đoạn 2016 - 2018 tiếp tục hỗ trợ 89.378 hộ nghèo vay vốn làm nhà ở, dự kiến đến năm 2020 sẽ hoàn thành hỗ trợ cho khoảng 144.000 hộ nghèo vay vốn làm nhà ở. Từ nguồn vận động, tài trợ của doanh nghiệp, cộng đồng các tổ chức đoàn thể chính trị, xã hội đã xây dựng, sửa chữa 323.229 căn nhà cho người nghèo, người có hoàn cảnh khó khăn.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Đến hết năm 2018, cả nước đã hoàn thành 198 dự án nhà ở xã hội với hơn 81.700 căn hộ với diện tích hơn 4.085.000m</w:t>
      </w:r>
      <w:r w:rsidRPr="00816392">
        <w:rPr>
          <w:rFonts w:ascii="Merriweather" w:eastAsia="Times New Roman" w:hAnsi="Merriweather" w:cs="Arial"/>
          <w:color w:val="000000"/>
          <w:sz w:val="26"/>
          <w:szCs w:val="26"/>
          <w:vertAlign w:val="superscript"/>
        </w:rPr>
        <w:t>2</w:t>
      </w:r>
      <w:r w:rsidRPr="00816392">
        <w:rPr>
          <w:rFonts w:ascii="Merriweather" w:eastAsia="Times New Roman" w:hAnsi="Merriweather" w:cs="Arial"/>
          <w:color w:val="000000"/>
          <w:sz w:val="26"/>
          <w:szCs w:val="26"/>
        </w:rPr>
        <w:t> cho người có thu nhập thấp. Hiện đang tiếp tục triển khai 226 dự án, với khoảng 182.200 căn hộ và diện tích khoảng 9.110.000m</w:t>
      </w:r>
      <w:r w:rsidRPr="00816392">
        <w:rPr>
          <w:rFonts w:ascii="Merriweather" w:eastAsia="Times New Roman" w:hAnsi="Merriweather" w:cs="Arial"/>
          <w:color w:val="000000"/>
          <w:sz w:val="26"/>
          <w:szCs w:val="26"/>
          <w:vertAlign w:val="superscript"/>
        </w:rPr>
        <w:t>2</w:t>
      </w:r>
      <w:r w:rsidRPr="00816392">
        <w:rPr>
          <w:rFonts w:ascii="Merriweather" w:eastAsia="Times New Roman" w:hAnsi="Merriweather" w:cs="Arial"/>
          <w:color w:val="000000"/>
          <w:sz w:val="26"/>
          <w:szCs w:val="26"/>
        </w:rPr>
        <w:t>. Chương trình phát triển nhà ở xã hội dành cho công nhân khu công nghiệp đã đầu tư 100 dự án, với 41.000 căn hộ và diện tích 2.050.000m</w:t>
      </w:r>
      <w:r w:rsidRPr="00816392">
        <w:rPr>
          <w:rFonts w:ascii="Merriweather" w:eastAsia="Times New Roman" w:hAnsi="Merriweather" w:cs="Arial"/>
          <w:color w:val="000000"/>
          <w:sz w:val="26"/>
          <w:szCs w:val="26"/>
          <w:vertAlign w:val="superscript"/>
        </w:rPr>
        <w:t>2</w:t>
      </w:r>
      <w:r w:rsidRPr="00816392">
        <w:rPr>
          <w:rFonts w:ascii="Merriweather" w:eastAsia="Times New Roman" w:hAnsi="Merriweather" w:cs="Arial"/>
          <w:color w:val="000000"/>
          <w:sz w:val="26"/>
          <w:szCs w:val="26"/>
        </w:rPr>
        <w:t>; đang tiếp tục triển khai 73 dự án với 88.400 căn hộ và diện tích 4.420.000m</w:t>
      </w:r>
      <w:r w:rsidRPr="00816392">
        <w:rPr>
          <w:rFonts w:ascii="Merriweather" w:eastAsia="Times New Roman" w:hAnsi="Merriweather" w:cs="Arial"/>
          <w:color w:val="000000"/>
          <w:sz w:val="26"/>
          <w:szCs w:val="26"/>
          <w:vertAlign w:val="superscript"/>
        </w:rPr>
        <w:t>2</w:t>
      </w:r>
      <w:r w:rsidRPr="00816392">
        <w:rPr>
          <w:rFonts w:ascii="Merriweather" w:eastAsia="Times New Roman" w:hAnsi="Merriweather" w:cs="Arial"/>
          <w:color w:val="000000"/>
          <w:sz w:val="26"/>
          <w:szCs w:val="26"/>
        </w:rPr>
        <w:t>.</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Mạng lưới cấp nước sạch nông thôn, nhất là tại các địa bàn vùng sâu, vùng xa, vùng có điều kiện kinh tế - xã hội khó khăn</w:t>
      </w:r>
      <w:r w:rsidRPr="00816392">
        <w:rPr>
          <w:rFonts w:ascii="Merriweather" w:eastAsia="Times New Roman" w:hAnsi="Merriweather" w:cs="Arial"/>
          <w:color w:val="000000"/>
          <w:sz w:val="26"/>
          <w:szCs w:val="26"/>
        </w:rPr>
        <w:t> đã góp phần tăng tỷ lệ dân số nông thôn được sử dụng nước sinh hoạt hợp vệ sinh từ 80,5% năm 2012 lên 88% vào năm 2018, dự kiến đạt 90% vào năm 2020. Tỷ lệ dân số nông thôn được sử dụng nước sạch theo tiêu chuẩn quốc gia tăng từ 38,7% năm 2012 lên 52% năm 2018, dự kiến đạt 57% vào năm 2020.</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Hệ thống thông tin truyền thông cơ sở đã giúp rút ngắn khoảng cách về bảo đảm tiếp cận thông tin của nhân dân giữa các vùng, miền</w:t>
      </w:r>
      <w:r w:rsidRPr="00816392">
        <w:rPr>
          <w:rFonts w:ascii="Merriweather" w:eastAsia="Times New Roman" w:hAnsi="Merriweather" w:cs="Arial"/>
          <w:color w:val="000000"/>
          <w:sz w:val="26"/>
          <w:szCs w:val="26"/>
        </w:rPr>
        <w:t xml:space="preserve">: từ năm 2017 đã hoàn thành mục tiêu 100% xã miền núi, vùng sâu, vùng xa, </w:t>
      </w:r>
      <w:r w:rsidRPr="00816392">
        <w:rPr>
          <w:rFonts w:ascii="Merriweather" w:eastAsia="Times New Roman" w:hAnsi="Merriweather" w:cs="Arial"/>
          <w:color w:val="000000"/>
          <w:sz w:val="26"/>
          <w:szCs w:val="26"/>
        </w:rPr>
        <w:lastRenderedPageBreak/>
        <w:t>biên giới và hải đảo được phủ sóng phát thanh mặt đất và truyền hình mặt đất. Đến năm 2018 có 90% xã miền núi, vùng sâu, vùng xa, biên giới và hải đảo có đài truyền thanh xã, dự kiến đến năm 2020 đạt 100%.</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năm, tài chính cho an sinh xã hội được tăng cường, trong đó ngân sách nhà nước giữ vai trò chủ đạo và phát huy sự tham gia đóng góp của doanh nghiệp, người dân và cộng đồng xã hội</w:t>
      </w:r>
      <w:r w:rsidRPr="00816392">
        <w:rPr>
          <w:rFonts w:ascii="Merriweather" w:eastAsia="Times New Roman" w:hAnsi="Merriweather" w:cs="Arial"/>
          <w:color w:val="000000"/>
          <w:sz w:val="26"/>
          <w:szCs w:val="26"/>
        </w:rPr>
        <w:t>. Giai đoạn 2012 - 2019, tổng chi từ ngân sách nhà nước thực hiện chính sách ưu đãi người có công với cách mạng là 256 nghìn tỷ đồng; chi thực hiện an sinh xã hội là 1.100 nghìn tỷ đồng. Ngân hàng Chính sách xã hội triển khai 20 chương trình tín dụng ưu đãi với tổng doanh số cho vay khoảng 104.836 tỷ đồng. Từ năm 2012 đến năm 2018, Mặt trận Tổ quốc Việt Nam các cấp và các tổ chức thành viên đã tiếp nhận ủng hộ từ các doanh nghiệp, cơ quan, đơn vị, các tổ chức trong nước và quốc tế, người Việt Nam ở nước ngoài, các cá nhân được hơn 32.980 tỷ đồng. Nếu tính cả chi cho an sinh xã hội và ưu đãi người có công với cách mạng thì tỷ lệ chi từ ngân sách nhà nước bằng khoảng 3% GDP.</w:t>
      </w:r>
    </w:p>
    <w:p w:rsidR="005D6580" w:rsidRPr="00816392" w:rsidRDefault="005D6580" w:rsidP="005D6580">
      <w:pPr>
        <w:shd w:val="clear" w:color="auto" w:fill="FFFFFF"/>
        <w:spacing w:after="0" w:line="240" w:lineRule="auto"/>
        <w:rPr>
          <w:rFonts w:ascii="Arial" w:eastAsia="Times New Roman" w:hAnsi="Arial" w:cs="Arial"/>
          <w:color w:val="262626"/>
          <w:sz w:val="26"/>
          <w:szCs w:val="26"/>
        </w:rPr>
      </w:pPr>
      <w:r w:rsidRPr="00816392">
        <w:rPr>
          <w:rFonts w:ascii="Arial" w:eastAsia="Times New Roman" w:hAnsi="Arial" w:cs="Arial"/>
          <w:noProof/>
          <w:color w:val="262626"/>
          <w:sz w:val="26"/>
          <w:szCs w:val="26"/>
        </w:rPr>
        <mc:AlternateContent>
          <mc:Choice Requires="wps">
            <w:drawing>
              <wp:inline distT="0" distB="0" distL="0" distR="0">
                <wp:extent cx="304800" cy="304800"/>
                <wp:effectExtent l="0" t="0" r="0" b="0"/>
                <wp:docPr id="12" name="Rectangle 12" descr="https://www.tapchicongsan.org.vn/image/journal/article?img_id=73641231&amp;t=16099783660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E1FCA32" id="Rectangle 12" o:spid="_x0000_s1026" alt="https://www.tapchicongsan.org.vn/image/journal/article?img_id=73641231&amp;t=160997836609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rqIG&#10;hPsCAAAcBgAADgAAAAAAAAAAAAAAAAAuAgAAZHJzL2Uyb0RvYy54bWxQSwECLQAUAAYACAAAACEA&#10;TKDpLNgAAAADAQAADwAAAAAAAAAAAAAAAABVBQAAZHJzL2Rvd25yZXYueG1sUEsFBgAAAAAEAAQA&#10;8wAAAFoGAAAAAA==&#10;" filled="f" stroked="f">
                <o:lock v:ext="edit" aspectratio="t"/>
                <w10:anchorlock/>
              </v:rect>
            </w:pict>
          </mc:Fallback>
        </mc:AlternateContent>
      </w:r>
    </w:p>
    <w:p w:rsidR="005D6580" w:rsidRPr="00816392" w:rsidRDefault="005D6580" w:rsidP="005D6580">
      <w:pPr>
        <w:shd w:val="clear" w:color="auto" w:fill="FFFFFF"/>
        <w:spacing w:before="75" w:after="300" w:line="240" w:lineRule="auto"/>
        <w:rPr>
          <w:rFonts w:ascii="Arial" w:eastAsia="Times New Roman" w:hAnsi="Arial" w:cs="Arial"/>
          <w:color w:val="6D6E71"/>
          <w:sz w:val="26"/>
          <w:szCs w:val="26"/>
        </w:rPr>
      </w:pPr>
      <w:r w:rsidRPr="00816392">
        <w:rPr>
          <w:rFonts w:ascii="Arial" w:eastAsia="Times New Roman" w:hAnsi="Arial" w:cs="Arial"/>
          <w:color w:val="6D6E71"/>
          <w:sz w:val="26"/>
          <w:szCs w:val="26"/>
        </w:rPr>
        <w:t>Đảng, Nhà nước và nhân dân luôn biết ơn và quan tâm chăm lo các thương binh và thân nhân gia đình liệt sĩ, tiếp nối truyền thống và đạo lý “Uống nước nhớ nguồn” của dân tộc _Ảnh Tư liệu</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Những thành quả an sinh xã hội đạt được đã góp phần hiện thực hóa quan điểm lấy con người là trung tâm và không ai bị bỏ lại phía sau trong quá trình phát triển. Nước ta được Liên hợp quốc công nhận là một trong những quốc gia đi đầu trong việc thực hiện các mục tiêu Thiên niên kỷ. Kết quả thực hiện chính sách an sinh xã hội đã góp phần quan trọng vào nỗ lực phát triển con người Việt Nam cả về kinh tế, giáo dục và sức khỏe, vì hạnh phúc của người dân. Báo cáo phát triển con người của Chương trình phát triển của Liên hợp quốc (UNDP) xác nhận chỉ số phát triển con người (HDI) Việt Nam ngày càng tiến bộ và đến nay được xếp vào “nhóm nước có thứ hạng trên” trong nhóm nước có mức phát triển con người trung bình. Về điểm số HDI, Việt Nam tăng từ 0,48 năm 1990 lên 0,63 năm 2019. Về xếp hạng, từ xếp thứ 128/187 quốc gia và vùng lãnh thổ vào năm 2010, đã tăng lên thứ 118/189 quốc gia và vùng lãnh thổ vào năm 2019.</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Tuy nhiên, hệ thống an sinh xã hội còn chưa thực sự bền vững, thể hiện một số hạn chế chủ yếu sau:</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Một là</w:t>
      </w:r>
      <w:r w:rsidRPr="00816392">
        <w:rPr>
          <w:rFonts w:ascii="Merriweather" w:eastAsia="Times New Roman" w:hAnsi="Merriweather" w:cs="Arial"/>
          <w:color w:val="000000"/>
          <w:sz w:val="26"/>
          <w:szCs w:val="26"/>
        </w:rPr>
        <w:t>, mức độ bao phủ của hệ thống an sinh xã hội chưa cao, đối tượng còn hẹp. Tỷ lệ lực lượng lao động tham gia bảo hiểm xã hội còn thấp do các giải pháp mở rộng đối tượng chưa thật sự hiệu quả. Quỹ Bảo hiểm xã hội chưa bền vững. Quy mô và chất lượng cung cấp dịch vụ xã hội cơ bản chưa cao, nhất là tại các vùng nông thôn, miền núi, vùng đồng bào dân tộc thiểu số.</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Hai là</w:t>
      </w:r>
      <w:r w:rsidRPr="00816392">
        <w:rPr>
          <w:rFonts w:ascii="Merriweather" w:eastAsia="Times New Roman" w:hAnsi="Merriweather" w:cs="Arial"/>
          <w:color w:val="000000"/>
          <w:sz w:val="26"/>
          <w:szCs w:val="26"/>
        </w:rPr>
        <w:t>, nguồn lực thực hiện chính sách an sinh xã hội còn hạn hẹp; mức hỗ trợ còn thấp, chưa bảo đảm nhu cầu sinh hoạt tối thiểu trong khi một số đối tượng thụ hưởng còn ỷ lại vào chính sách của Nhà nước. Chưa phát huy hết tiềm năng tham gia của người dân, doanh nghiệp.</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Ba là</w:t>
      </w:r>
      <w:r w:rsidRPr="00816392">
        <w:rPr>
          <w:rFonts w:ascii="Merriweather" w:eastAsia="Times New Roman" w:hAnsi="Merriweather" w:cs="Arial"/>
          <w:color w:val="000000"/>
          <w:sz w:val="26"/>
          <w:szCs w:val="26"/>
        </w:rPr>
        <w:t>, kết quả giảm nghèo chưa bền vững, bất bình đẳng tuyệt đối giữa người giàu và người nghèo có xu hướng gia tăng; chênh lệch phát triển giữa các vùng, nhóm dân cư chưa được thu hẹp. Tỷ lệ hộ nghèo tập trung cao ở nhóm dân tộc thiểu số.</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Để giải quyết những hạn chế và hướng đến một hệ thống an sinh xã hội bền vững, ứng phó và thích ứng kịp thời với xu hướng già hóa dân số, đô thị hóa nhanh, rủi ro kinh tế - xã hội và tác động của biến đổi khí hậu diễn biễn khó lường, cần chú trọng thực hiện các giải pháp sau:</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nhất, tăng cường sự lãnh đạo của Đảng; phát huy vai trò của Mặt trận Tổ quốc Việt Nam và các tổ chức chính trị - xã hội, sự tham gia của nhân dân trong thực hiện chính sách an sinh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lastRenderedPageBreak/>
        <w:t>Tổ chức đảng các cấp quán triệt sâu sắc, chủ động đóng vai trò nòng cốt, hạt nhân; tăng cường sự phối hợp giữa các ngành, các địa phương; phát huy vai trò của Mặt trận Tổ quốc Việt Nam, các tổ chức chính trị - xã hội, sự tham gia của cán bộ, đảng viên và nhân dân. Đẩy mạnh công tác thông tin, tuyên truyền đến các cấp, các ngành và địa phương. Tăng cường tính chủ động của địa phương, các tổ chức, cộng đồng dân cư trong thực hiện, tư vấn, phản biện, kiến nghị và giám sát thực hiện.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hai, tiếp tục hoàn thiện cơ chế, chính sách và nâng cao hiệu quả thực hiện chính sách an sinh xã hội hướng đến bao phủ toàn dân.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hỗ trợ giải quyết việc làm</w:t>
      </w:r>
      <w:r w:rsidRPr="00816392">
        <w:rPr>
          <w:rFonts w:ascii="Merriweather" w:eastAsia="Times New Roman" w:hAnsi="Merriweather" w:cs="Arial"/>
          <w:color w:val="000000"/>
          <w:sz w:val="26"/>
          <w:szCs w:val="26"/>
        </w:rPr>
        <w:t>:</w:t>
      </w:r>
      <w:r w:rsidRPr="00816392">
        <w:rPr>
          <w:rFonts w:ascii="Merriweather" w:eastAsia="Times New Roman" w:hAnsi="Merriweather" w:cs="Arial"/>
          <w:i/>
          <w:iCs/>
          <w:color w:val="000000"/>
          <w:sz w:val="26"/>
          <w:szCs w:val="26"/>
        </w:rPr>
        <w:t> </w:t>
      </w:r>
      <w:r w:rsidRPr="00816392">
        <w:rPr>
          <w:rFonts w:ascii="Merriweather" w:eastAsia="Times New Roman" w:hAnsi="Merriweather" w:cs="Arial"/>
          <w:color w:val="000000"/>
          <w:sz w:val="26"/>
          <w:szCs w:val="26"/>
        </w:rPr>
        <w:t>phát triển thị trường lao động lành mạnh, đồng bộ, hiện đại và hội nhập; phát triển việc làm thỏa đáng, đẩy nhanh quá trình chính thức hóa khu vực phi chính thức. Chú trọng đào tạo nguồn nhân lực có kĩ năng, chất lượng cao; nâng cao vai trò, trách nhiệm của doanh nghiệp trong đào tạo. Tăng cường xây dựng quan hệ lao động hài hòa, ổn định và tiến bộ.</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giảm nghèo bền vững</w:t>
      </w:r>
      <w:r w:rsidRPr="00816392">
        <w:rPr>
          <w:rFonts w:ascii="Merriweather" w:eastAsia="Times New Roman" w:hAnsi="Merriweather" w:cs="Arial"/>
          <w:color w:val="000000"/>
          <w:sz w:val="26"/>
          <w:szCs w:val="26"/>
        </w:rPr>
        <w:t>:</w:t>
      </w:r>
      <w:r w:rsidRPr="00816392">
        <w:rPr>
          <w:rFonts w:ascii="Merriweather" w:eastAsia="Times New Roman" w:hAnsi="Merriweather" w:cs="Arial"/>
          <w:i/>
          <w:iCs/>
          <w:color w:val="000000"/>
          <w:sz w:val="26"/>
          <w:szCs w:val="26"/>
        </w:rPr>
        <w:t> </w:t>
      </w:r>
      <w:r w:rsidRPr="00816392">
        <w:rPr>
          <w:rFonts w:ascii="Merriweather" w:eastAsia="Times New Roman" w:hAnsi="Merriweather" w:cs="Arial"/>
          <w:color w:val="000000"/>
          <w:sz w:val="26"/>
          <w:szCs w:val="26"/>
        </w:rPr>
        <w:t>thực hiện giảm nghèo theo tiếp cận đa chiều, nhất là khu vực đồng bào dân tộc thiểu số; triển khai hiệu quả Chương trình Mục tiêu quốc gia giảm nghèo bền vững theo hướng toàn diện, bao trùm, bảo đảm không ai bị bỏ lại phía sau; hỗ trợ người dân có sinh kế bền vững thông qua đào tạo, chuyển đổi việc làm.</w:t>
      </w:r>
    </w:p>
    <w:p w:rsidR="005D6580" w:rsidRPr="00816392" w:rsidRDefault="005D6580" w:rsidP="005D6580">
      <w:pPr>
        <w:shd w:val="clear" w:color="auto" w:fill="FFFFFF"/>
        <w:spacing w:after="0" w:line="240" w:lineRule="auto"/>
        <w:rPr>
          <w:rFonts w:ascii="Arial" w:eastAsia="Times New Roman" w:hAnsi="Arial" w:cs="Arial"/>
          <w:color w:val="262626"/>
          <w:sz w:val="26"/>
          <w:szCs w:val="26"/>
        </w:rPr>
      </w:pPr>
      <w:r w:rsidRPr="00816392">
        <w:rPr>
          <w:rFonts w:ascii="Arial" w:eastAsia="Times New Roman" w:hAnsi="Arial" w:cs="Arial"/>
          <w:noProof/>
          <w:color w:val="262626"/>
          <w:sz w:val="26"/>
          <w:szCs w:val="26"/>
        </w:rPr>
        <mc:AlternateContent>
          <mc:Choice Requires="wps">
            <w:drawing>
              <wp:inline distT="0" distB="0" distL="0" distR="0">
                <wp:extent cx="304800" cy="304800"/>
                <wp:effectExtent l="0" t="0" r="0" b="0"/>
                <wp:docPr id="11" name="Rectangle 11" descr="https://www.tapchicongsan.org.vn/image/journal/article?img_id=73641232&amp;t=16099783664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9BA4163" id="Rectangle 11" o:spid="_x0000_s1026" alt="https://www.tapchicongsan.org.vn/image/journal/article?img_id=73641232&amp;t=160997836646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Cul&#10;I638AgAAHAYAAA4AAAAAAAAAAAAAAAAALgIAAGRycy9lMm9Eb2MueG1sUEsBAi0AFAAGAAgAAAAh&#10;AEyg6SzYAAAAAwEAAA8AAAAAAAAAAAAAAAAAVgUAAGRycy9kb3ducmV2LnhtbFBLBQYAAAAABAAE&#10;APMAAABbBgAAAAA=&#10;" filled="f" stroked="f">
                <o:lock v:ext="edit" aspectratio="t"/>
                <w10:anchorlock/>
              </v:rect>
            </w:pict>
          </mc:Fallback>
        </mc:AlternateContent>
      </w:r>
    </w:p>
    <w:p w:rsidR="005D6580" w:rsidRPr="00816392" w:rsidRDefault="005D6580" w:rsidP="005D6580">
      <w:pPr>
        <w:shd w:val="clear" w:color="auto" w:fill="FFFFFF"/>
        <w:spacing w:before="75" w:after="300" w:line="240" w:lineRule="auto"/>
        <w:rPr>
          <w:rFonts w:ascii="Arial" w:eastAsia="Times New Roman" w:hAnsi="Arial" w:cs="Arial"/>
          <w:color w:val="6D6E71"/>
          <w:sz w:val="26"/>
          <w:szCs w:val="26"/>
        </w:rPr>
      </w:pPr>
      <w:r w:rsidRPr="00816392">
        <w:rPr>
          <w:rFonts w:ascii="Arial" w:eastAsia="Times New Roman" w:hAnsi="Arial" w:cs="Arial"/>
          <w:color w:val="6D6E71"/>
          <w:sz w:val="26"/>
          <w:szCs w:val="26"/>
        </w:rPr>
        <w:t>Nhân viên đại lý bưu điện tuyên truyền cho các hộ gia đình làm nông, lâm nghiệp tại huyện Đăk Đoa, tỉnh Gia Lai tham gia mua thẻ bảo hiểm y tế _Ảnh: TTXVN</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bảo hiểm xã hội và bảo hiểm y tế</w:t>
      </w:r>
      <w:r w:rsidRPr="00816392">
        <w:rPr>
          <w:rFonts w:ascii="Merriweather" w:eastAsia="Times New Roman" w:hAnsi="Merriweather" w:cs="Arial"/>
          <w:color w:val="000000"/>
          <w:sz w:val="26"/>
          <w:szCs w:val="26"/>
        </w:rPr>
        <w:t>:</w:t>
      </w:r>
      <w:r w:rsidRPr="00816392">
        <w:rPr>
          <w:rFonts w:ascii="Merriweather" w:eastAsia="Times New Roman" w:hAnsi="Merriweather" w:cs="Arial"/>
          <w:i/>
          <w:iCs/>
          <w:color w:val="000000"/>
          <w:sz w:val="26"/>
          <w:szCs w:val="26"/>
        </w:rPr>
        <w:t> </w:t>
      </w:r>
      <w:r w:rsidRPr="00816392">
        <w:rPr>
          <w:rFonts w:ascii="Merriweather" w:eastAsia="Times New Roman" w:hAnsi="Merriweather" w:cs="Arial"/>
          <w:color w:val="000000"/>
          <w:sz w:val="26"/>
          <w:szCs w:val="26"/>
        </w:rPr>
        <w:t>đẩy nhanh việc thực hiện có hiệu quả, bảo đảm chất lượng, tiến độ theo đúng Chương trình hành động của Chính phủ thực hiện Nghị quyết số 28-NQ/TW, ngày 23-5-2018, của Hội nghị Trung ương 7 khóa XII, </w:t>
      </w:r>
      <w:r w:rsidRPr="00816392">
        <w:rPr>
          <w:rFonts w:ascii="Merriweather" w:eastAsia="Times New Roman" w:hAnsi="Merriweather" w:cs="Arial"/>
          <w:i/>
          <w:iCs/>
          <w:color w:val="000000"/>
          <w:sz w:val="26"/>
          <w:szCs w:val="26"/>
        </w:rPr>
        <w:t>“Về cải cách chính sách bảo hiểm xã hội”</w:t>
      </w:r>
      <w:r w:rsidRPr="00816392">
        <w:rPr>
          <w:rFonts w:ascii="Merriweather" w:eastAsia="Times New Roman" w:hAnsi="Merriweather" w:cs="Arial"/>
          <w:color w:val="000000"/>
          <w:sz w:val="26"/>
          <w:szCs w:val="26"/>
        </w:rPr>
        <w:t>. Đẩy nhanh lộ trình thực hiện bảo hiểm y tế toàn dân và thông tuyến tỉnh cho người dân khám bệnh, chữa bệnh bằng bảo hiểm y tế. Tăng cường quản lý nhà nước đối với lĩnh vực kinh doanh bảo hiểm thương mại để phục vụ tốt hơn nữa an ninh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trợ giúp xã hội những người có hoàn cảnh đặc biệt khó khăn</w:t>
      </w:r>
      <w:r w:rsidRPr="00816392">
        <w:rPr>
          <w:rFonts w:ascii="Merriweather" w:eastAsia="Times New Roman" w:hAnsi="Merriweather" w:cs="Arial"/>
          <w:color w:val="000000"/>
          <w:sz w:val="26"/>
          <w:szCs w:val="26"/>
        </w:rPr>
        <w:t>:</w:t>
      </w:r>
      <w:r w:rsidRPr="00816392">
        <w:rPr>
          <w:rFonts w:ascii="Merriweather" w:eastAsia="Times New Roman" w:hAnsi="Merriweather" w:cs="Arial"/>
          <w:i/>
          <w:iCs/>
          <w:color w:val="000000"/>
          <w:sz w:val="26"/>
          <w:szCs w:val="26"/>
        </w:rPr>
        <w:t> </w:t>
      </w:r>
      <w:r w:rsidRPr="00816392">
        <w:rPr>
          <w:rFonts w:ascii="Merriweather" w:eastAsia="Times New Roman" w:hAnsi="Merriweather" w:cs="Arial"/>
          <w:color w:val="000000"/>
          <w:sz w:val="26"/>
          <w:szCs w:val="26"/>
        </w:rPr>
        <w:t>thiết kế các chương trình trợ giúp theo hướng linh hoạt, đáp ứng nhu cầu cơ bản của người dân bị rủi ro và cộng đồng sau thiên tai và thảm họa; bảo đảm hỗ trợ kịp thời người yếu thế, nhóm yếu thế và cộng đồng việc khắc phục rủi ro do dịch bệnh và thiên tai; phòng, chống bạo lực, xâm hại, nhất là phụ nữ, trẻ em. Chú ý ưu tiên hơn nữa đối với vùng đồng bào dân tộc thiểu số, miền núi, vùng chịu tác động của thiên tai và biến đổi khí hậu.</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 Về bảo đảm một số dịch vụ xã hội cơ bản</w:t>
      </w:r>
      <w:r w:rsidRPr="00816392">
        <w:rPr>
          <w:rFonts w:ascii="Merriweather" w:eastAsia="Times New Roman" w:hAnsi="Merriweather" w:cs="Arial"/>
          <w:color w:val="000000"/>
          <w:sz w:val="26"/>
          <w:szCs w:val="26"/>
        </w:rPr>
        <w:t>: phát triển dịch vụ xã hội theo hướng chuyên nghiệp. Chú trọng hơn nữa đối với chất lượng y tế cơ sở và y tế dự phòng; giải quyết vấn đề suy dinh dưỡng trẻ em, mất cân bằng giới tính khi sinh. Hoàn thiện hệ thống giáo dục quốc dân theo hướng mở, xây dựng xã hội học tập, nâng cao chất lượng phổ cập giáo dục. Tăng cường đầu tư, bảo đảm nước sạch và thông tin truyền thông cho vùng dân tộc thiểu số, miền núi và hải đảo. Đẩy mạnh xã hội hóa để bảo đảm nhà ở an toàn cho người dân, đặc biệt là người di cư, người dân vùng chịu tác động của thiên tai và biến đổi khí hậu. Trong quản lý, Nhà nước tăng cường giám sát tiêu chuẩn, chất lượng cung cấp dịch vụ xã hội, tạo điều kiện cho khu vực ngoài nhà nước cùng tham gia cung cấp dịch vụ, nhất là dưới hình thức hợp tác công - tư.</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ba, đa dạng hóa nguồn lực, đồng thời thực hiện lồng ghép để nâng cao hiệu quả sử dụng nguồn lực cho thực hiện chính sách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lastRenderedPageBreak/>
        <w:t>Tăng cường và bảo đảm nguồn lực đầu tư của Nhà nước có trọng tâm, trọng điểm, ưu tiên đầu tư cho vùng có tỷ lệ người dân tiếp cận dịch vụ xã hội còn thấp; đồng thời, huy động các nguồn lực khác trong xã hội và quốc tế để giải quyết các vấn đề xã hội. Tập trung nguồn lực cho các vùng khó khăn, không bao cấp cho các địa phương có khả năng vươn lên phát triển kinh tế -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tư, hiện đại hóa hệ thống quản lý đáp ứng yêu cầu ngày càng cao trong xây dựng và tổ chức thực hiện chính sách an sinh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Đẩy mạnh công tác rà soát và tích hợp chính sách, giảm chồng chéo, trùng lắp; chú trọng ứng dụng công nghệ thông tin, thống nhất số hóa cơ sở dữ liệu. Cải cách mạnh mẽ quản lý tài chính để nâng cao hiệu lực, hiệu quả trên cơ sở sử dụng khoa học, công nghệ, thanh toán điện tử và thống nhất triển khai trên nền tảng cơ sở dữ liệu tập trung.</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i/>
          <w:iCs/>
          <w:color w:val="000000"/>
          <w:sz w:val="26"/>
          <w:szCs w:val="26"/>
        </w:rPr>
        <w:t>Thứ năm, tăng cường trách nhiệm giải trình</w:t>
      </w:r>
      <w:r w:rsidRPr="00816392">
        <w:rPr>
          <w:rFonts w:ascii="Merriweather" w:eastAsia="Times New Roman" w:hAnsi="Merriweather" w:cs="Arial"/>
          <w:color w:val="000000"/>
          <w:sz w:val="26"/>
          <w:szCs w:val="26"/>
        </w:rPr>
        <w:t> của các cơ quan hoạch định chính sách và cung cấp dịch vụ xã hội. Đồng thời, tăng cường các nghiên cứu, đánh giá độc lập về chính sách và kết quả thực hiện chính sách an sinh xã hội./.</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w:t>
      </w:r>
    </w:p>
    <w:p w:rsidR="005D6580" w:rsidRPr="00816392" w:rsidRDefault="005D6580" w:rsidP="005D6580">
      <w:pPr>
        <w:shd w:val="clear" w:color="auto" w:fill="FFFFFF"/>
        <w:spacing w:after="300" w:line="240" w:lineRule="auto"/>
        <w:jc w:val="both"/>
        <w:rPr>
          <w:rFonts w:ascii="Arial" w:eastAsia="Times New Roman" w:hAnsi="Arial" w:cs="Arial"/>
          <w:color w:val="262626"/>
          <w:sz w:val="26"/>
          <w:szCs w:val="26"/>
        </w:rPr>
      </w:pPr>
      <w:r w:rsidRPr="00816392">
        <w:rPr>
          <w:rFonts w:ascii="Merriweather" w:eastAsia="Times New Roman" w:hAnsi="Merriweather" w:cs="Arial"/>
          <w:color w:val="000000"/>
          <w:sz w:val="26"/>
          <w:szCs w:val="26"/>
        </w:rPr>
        <w:t>(1) Nghị quyết số 15-NQ/TW, ngày 1-6-2012, của Hội nghị Trung ương 5 khóa XI, về </w:t>
      </w:r>
      <w:r w:rsidRPr="00816392">
        <w:rPr>
          <w:rFonts w:ascii="Merriweather" w:eastAsia="Times New Roman" w:hAnsi="Merriweather" w:cs="Arial"/>
          <w:i/>
          <w:iCs/>
          <w:color w:val="000000"/>
          <w:sz w:val="26"/>
          <w:szCs w:val="26"/>
        </w:rPr>
        <w:t>“Một số vấn đề về chính sách xã hội giai đoạn 2012 - 2020”</w:t>
      </w:r>
      <w:r w:rsidRPr="00816392">
        <w:rPr>
          <w:rFonts w:ascii="Arial" w:eastAsia="Times New Roman" w:hAnsi="Arial" w:cs="Arial"/>
          <w:color w:val="262626"/>
          <w:sz w:val="26"/>
          <w:szCs w:val="26"/>
        </w:rPr>
        <w:br/>
      </w:r>
      <w:r w:rsidRPr="00816392">
        <w:rPr>
          <w:rFonts w:ascii="Merriweather" w:eastAsia="Times New Roman" w:hAnsi="Merriweather" w:cs="Arial"/>
          <w:color w:val="000000"/>
          <w:sz w:val="26"/>
          <w:szCs w:val="26"/>
        </w:rPr>
        <w:t>(2) Số liệu điều tra lao động, việc làm hằng năm của Tổng cục Thống kê</w:t>
      </w:r>
      <w:r w:rsidRPr="00816392">
        <w:rPr>
          <w:rFonts w:ascii="Arial" w:eastAsia="Times New Roman" w:hAnsi="Arial" w:cs="Arial"/>
          <w:color w:val="262626"/>
          <w:sz w:val="26"/>
          <w:szCs w:val="26"/>
        </w:rPr>
        <w:br/>
      </w:r>
      <w:r w:rsidRPr="00816392">
        <w:rPr>
          <w:rFonts w:ascii="Merriweather" w:eastAsia="Times New Roman" w:hAnsi="Merriweather" w:cs="Arial"/>
          <w:color w:val="000000"/>
          <w:sz w:val="26"/>
          <w:szCs w:val="26"/>
        </w:rPr>
        <w:t>(3) Số liệu báo cáo của Bảo hiểm xã hội Việt Nam và điều tra lao động, việc làm của Tổng cục Thống kê</w:t>
      </w:r>
      <w:r w:rsidRPr="00816392">
        <w:rPr>
          <w:rFonts w:ascii="Arial" w:eastAsia="Times New Roman" w:hAnsi="Arial" w:cs="Arial"/>
          <w:color w:val="262626"/>
          <w:sz w:val="26"/>
          <w:szCs w:val="26"/>
        </w:rPr>
        <w:br/>
      </w:r>
      <w:r w:rsidRPr="00816392">
        <w:rPr>
          <w:rFonts w:ascii="Merriweather" w:eastAsia="Times New Roman" w:hAnsi="Merriweather" w:cs="Arial"/>
          <w:color w:val="000000"/>
          <w:sz w:val="26"/>
          <w:szCs w:val="26"/>
        </w:rPr>
        <w:t>(4) Số liệu báo cáo của Bộ Lao động - Thương binh và Xã hội</w:t>
      </w:r>
    </w:p>
    <w:p w:rsidR="00F70F87" w:rsidRPr="00816392" w:rsidRDefault="005D6580" w:rsidP="00F70F87">
      <w:pPr>
        <w:pStyle w:val="Heading1"/>
        <w:shd w:val="clear" w:color="auto" w:fill="FFFFFF"/>
        <w:spacing w:before="0" w:beforeAutospacing="0" w:after="0" w:afterAutospacing="0" w:line="495" w:lineRule="atLeast"/>
        <w:textAlignment w:val="baseline"/>
        <w:rPr>
          <w:rFonts w:ascii="Arial" w:hAnsi="Arial" w:cs="Arial"/>
          <w:color w:val="252121"/>
          <w:sz w:val="26"/>
          <w:szCs w:val="26"/>
        </w:rPr>
      </w:pPr>
      <w:r w:rsidRPr="00816392">
        <w:rPr>
          <w:rFonts w:ascii="Merriweather" w:hAnsi="Merriweather"/>
          <w:color w:val="999999"/>
          <w:sz w:val="26"/>
          <w:szCs w:val="26"/>
        </w:rPr>
        <w:br/>
      </w:r>
      <w:r w:rsidR="00F70F87" w:rsidRPr="00816392">
        <w:rPr>
          <w:rFonts w:ascii="Arial" w:hAnsi="Arial" w:cs="Arial"/>
          <w:color w:val="252121"/>
          <w:sz w:val="26"/>
          <w:szCs w:val="26"/>
        </w:rPr>
        <w:t>Tạo cơ hội để người lao động có việc làm, thu nhập tốt hơn</w:t>
      </w:r>
    </w:p>
    <w:p w:rsidR="00F70F87" w:rsidRPr="00816392" w:rsidRDefault="00F70F87" w:rsidP="00F70F87">
      <w:pPr>
        <w:shd w:val="clear" w:color="auto" w:fill="FFFFFF"/>
        <w:spacing w:after="0" w:line="240" w:lineRule="auto"/>
        <w:textAlignment w:val="baseline"/>
        <w:rPr>
          <w:rFonts w:ascii="Arial" w:eastAsia="Times New Roman" w:hAnsi="Arial" w:cs="Arial"/>
          <w:color w:val="000000"/>
          <w:sz w:val="26"/>
          <w:szCs w:val="26"/>
        </w:rPr>
      </w:pPr>
      <w:r w:rsidRPr="00816392">
        <w:rPr>
          <w:rFonts w:ascii="Arial" w:eastAsia="Times New Roman" w:hAnsi="Arial" w:cs="Arial"/>
          <w:color w:val="626161"/>
          <w:sz w:val="26"/>
          <w:szCs w:val="26"/>
          <w:bdr w:val="none" w:sz="0" w:space="0" w:color="auto" w:frame="1"/>
        </w:rPr>
        <w:t>14-09-2020 - 10:07 PM|</w:t>
      </w:r>
      <w:hyperlink r:id="rId17" w:tooltip="Công đoàn" w:history="1">
        <w:r w:rsidRPr="00816392">
          <w:rPr>
            <w:rFonts w:ascii="Roboto-Medium" w:eastAsia="Times New Roman" w:hAnsi="Roboto-Medium" w:cs="Arial"/>
            <w:color w:val="000000"/>
            <w:sz w:val="26"/>
            <w:szCs w:val="26"/>
            <w:bdr w:val="none" w:sz="0" w:space="0" w:color="auto" w:frame="1"/>
          </w:rPr>
          <w:t>Công đoàn</w:t>
        </w:r>
      </w:hyperlink>
    </w:p>
    <w:p w:rsidR="00F70F87" w:rsidRPr="00816392" w:rsidRDefault="00F70F87" w:rsidP="00F70F87">
      <w:pPr>
        <w:shd w:val="clear" w:color="auto" w:fill="FFFFFF"/>
        <w:spacing w:after="0" w:line="300" w:lineRule="atLeast"/>
        <w:ind w:right="90"/>
        <w:textAlignment w:val="baseline"/>
        <w:rPr>
          <w:rFonts w:ascii="Roboto-Medium" w:eastAsia="Times New Roman" w:hAnsi="Roboto-Medium" w:cs="Times New Roman"/>
          <w:color w:val="FFFFFF"/>
          <w:sz w:val="26"/>
          <w:szCs w:val="26"/>
          <w:bdr w:val="none" w:sz="0" w:space="0" w:color="auto" w:frame="1"/>
          <w:shd w:val="clear" w:color="auto" w:fill="4167B2"/>
        </w:rPr>
      </w:pPr>
      <w:r w:rsidRPr="00816392">
        <w:rPr>
          <w:rFonts w:ascii="Arial" w:eastAsia="Times New Roman" w:hAnsi="Arial" w:cs="Arial"/>
          <w:color w:val="000000"/>
          <w:sz w:val="26"/>
          <w:szCs w:val="26"/>
        </w:rPr>
        <w:fldChar w:fldCharType="begin"/>
      </w:r>
      <w:r w:rsidRPr="00816392">
        <w:rPr>
          <w:rFonts w:ascii="Arial" w:eastAsia="Times New Roman" w:hAnsi="Arial" w:cs="Arial"/>
          <w:color w:val="000000"/>
          <w:sz w:val="26"/>
          <w:szCs w:val="26"/>
        </w:rPr>
        <w:instrText xml:space="preserve"> HYPERLINK "javascript:;" \o "Chia sẻ" </w:instrText>
      </w:r>
      <w:r w:rsidRPr="00816392">
        <w:rPr>
          <w:rFonts w:ascii="Arial" w:eastAsia="Times New Roman" w:hAnsi="Arial" w:cs="Arial"/>
          <w:color w:val="000000"/>
          <w:sz w:val="26"/>
          <w:szCs w:val="26"/>
        </w:rPr>
        <w:fldChar w:fldCharType="separate"/>
      </w:r>
    </w:p>
    <w:p w:rsidR="00F70F87" w:rsidRPr="00816392" w:rsidRDefault="00F70F87" w:rsidP="00F70F87">
      <w:pPr>
        <w:shd w:val="clear" w:color="auto" w:fill="FFFFFF"/>
        <w:spacing w:after="0" w:line="300" w:lineRule="atLeast"/>
        <w:ind w:right="90"/>
        <w:textAlignment w:val="baseline"/>
        <w:rPr>
          <w:rFonts w:eastAsia="Times New Roman" w:cs="Times New Roman"/>
          <w:sz w:val="26"/>
          <w:szCs w:val="26"/>
        </w:rPr>
      </w:pPr>
      <w:r w:rsidRPr="00816392">
        <w:rPr>
          <w:rFonts w:ascii="Roboto-Medium" w:eastAsia="Times New Roman" w:hAnsi="Roboto-Medium" w:cs="Arial"/>
          <w:color w:val="FFFFFF"/>
          <w:sz w:val="26"/>
          <w:szCs w:val="26"/>
          <w:bdr w:val="none" w:sz="0" w:space="0" w:color="auto" w:frame="1"/>
          <w:shd w:val="clear" w:color="auto" w:fill="4167B2"/>
        </w:rPr>
        <w:t>Chia sẻ</w:t>
      </w:r>
    </w:p>
    <w:p w:rsidR="00F70F87" w:rsidRPr="00816392" w:rsidRDefault="00F70F87" w:rsidP="00F70F87">
      <w:pPr>
        <w:shd w:val="clear" w:color="auto" w:fill="FFFFFF"/>
        <w:spacing w:after="0" w:line="240" w:lineRule="auto"/>
        <w:textAlignment w:val="baseline"/>
        <w:rPr>
          <w:rFonts w:ascii="Arial" w:eastAsia="Times New Roman" w:hAnsi="Arial" w:cs="Arial"/>
          <w:color w:val="000000"/>
          <w:sz w:val="26"/>
          <w:szCs w:val="26"/>
        </w:rPr>
      </w:pPr>
      <w:r w:rsidRPr="00816392">
        <w:rPr>
          <w:rFonts w:ascii="Arial" w:eastAsia="Times New Roman" w:hAnsi="Arial" w:cs="Arial"/>
          <w:color w:val="000000"/>
          <w:sz w:val="26"/>
          <w:szCs w:val="26"/>
        </w:rPr>
        <w:fldChar w:fldCharType="end"/>
      </w:r>
    </w:p>
    <w:p w:rsidR="00F70F87" w:rsidRPr="00816392" w:rsidRDefault="00F70F87" w:rsidP="00F70F87">
      <w:pPr>
        <w:shd w:val="clear" w:color="auto" w:fill="FFFFFF"/>
        <w:spacing w:before="375" w:after="300" w:line="360" w:lineRule="atLeast"/>
        <w:textAlignment w:val="baseline"/>
        <w:outlineLvl w:val="1"/>
        <w:rPr>
          <w:rFonts w:ascii="Arial" w:eastAsia="Times New Roman" w:hAnsi="Arial" w:cs="Arial"/>
          <w:b/>
          <w:bCs/>
          <w:color w:val="000000"/>
          <w:sz w:val="26"/>
          <w:szCs w:val="26"/>
        </w:rPr>
      </w:pPr>
      <w:r w:rsidRPr="00816392">
        <w:rPr>
          <w:rFonts w:ascii="Arial" w:eastAsia="Times New Roman" w:hAnsi="Arial" w:cs="Arial"/>
          <w:b/>
          <w:bCs/>
          <w:color w:val="000000"/>
          <w:sz w:val="26"/>
          <w:szCs w:val="26"/>
        </w:rPr>
        <w:t>Tổng LĐLĐ Việt Nam vừa có buổi làm việc với Tổng cục Giáo dục nghề nghiệp (GDNN) về kế hoạch phát triển GDNN (giai đoạn 2021-2025). Hiện hệ thống các cơ sở GDNN thuộc hệ thống Công đoàn (CĐ) Việt Nam gồm 28 đơn vị.</w:t>
      </w:r>
    </w:p>
    <w:p w:rsidR="00F70F87" w:rsidRPr="00816392" w:rsidRDefault="00F70F87" w:rsidP="00F70F87">
      <w:pPr>
        <w:shd w:val="clear" w:color="auto" w:fill="FFFFFF"/>
        <w:spacing w:after="195" w:line="375" w:lineRule="atLeast"/>
        <w:textAlignment w:val="baseline"/>
        <w:rPr>
          <w:rFonts w:ascii="Arial" w:eastAsia="Times New Roman" w:hAnsi="Arial" w:cs="Arial"/>
          <w:color w:val="252525"/>
          <w:sz w:val="26"/>
          <w:szCs w:val="26"/>
        </w:rPr>
      </w:pPr>
      <w:r w:rsidRPr="00816392">
        <w:rPr>
          <w:rFonts w:ascii="Arial" w:eastAsia="Times New Roman" w:hAnsi="Arial" w:cs="Arial"/>
          <w:color w:val="252525"/>
          <w:sz w:val="26"/>
          <w:szCs w:val="26"/>
        </w:rPr>
        <w:t>Theo đánh giá, giai đoạn 2016-2020, GDNN của các trường thuộc Tổng LĐLĐ Việt Nam có nhiều khởi sắc, thể hiện kết quả tuyển sinh ước đạt 346.042 người (cao đẳng: 2.156 người; trung cấp: 28.394 người; sơ cấp và đào tạo nghề thường xuyên: 294.270 người), đạt 110% chỉ tiêu kế hoạch, tăng 48% so với giai đoạn 2011- 2015.</w:t>
      </w:r>
    </w:p>
    <w:p w:rsidR="00F70F87" w:rsidRPr="00816392" w:rsidRDefault="00F70F87" w:rsidP="00F70F87">
      <w:pPr>
        <w:shd w:val="clear" w:color="auto" w:fill="FFFFFF"/>
        <w:spacing w:after="0" w:line="375" w:lineRule="atLeast"/>
        <w:textAlignment w:val="baseline"/>
        <w:rPr>
          <w:rFonts w:ascii="Arial" w:eastAsia="Times New Roman" w:hAnsi="Arial" w:cs="Arial"/>
          <w:color w:val="252525"/>
          <w:sz w:val="26"/>
          <w:szCs w:val="26"/>
        </w:rPr>
      </w:pPr>
      <w:r w:rsidRPr="00816392">
        <w:rPr>
          <w:rFonts w:ascii="Arial" w:eastAsia="Times New Roman" w:hAnsi="Arial" w:cs="Arial"/>
          <w:color w:val="252525"/>
          <w:sz w:val="26"/>
          <w:szCs w:val="26"/>
        </w:rPr>
        <w:t>Trong đề án "CĐ tham gia đào tạo chuyển đổi nghề cho người </w:t>
      </w:r>
      <w:hyperlink r:id="rId18" w:tgtFrame="_blank" w:tooltip="lao động" w:history="1">
        <w:r w:rsidRPr="00816392">
          <w:rPr>
            <w:rFonts w:ascii="Arial" w:eastAsia="Times New Roman" w:hAnsi="Arial" w:cs="Arial"/>
            <w:color w:val="005A89"/>
            <w:sz w:val="26"/>
            <w:szCs w:val="26"/>
            <w:bdr w:val="none" w:sz="0" w:space="0" w:color="auto" w:frame="1"/>
          </w:rPr>
          <w:t>lao động</w:t>
        </w:r>
      </w:hyperlink>
      <w:r w:rsidRPr="00816392">
        <w:rPr>
          <w:rFonts w:ascii="Arial" w:eastAsia="Times New Roman" w:hAnsi="Arial" w:cs="Arial"/>
          <w:color w:val="252525"/>
          <w:sz w:val="26"/>
          <w:szCs w:val="26"/>
        </w:rPr>
        <w:t xml:space="preserve"> (NLĐ)" giai đoạn 2020-2023, Tổng LĐLĐ Việt Nam đặt ra mục tiêu sẽ sắp xếp lại các cơ sở GDNN trực thuộc theo hướng tinh gọn, nâng cao hiệu quả trong công tác đào tạo của các trường; đầu tư cơ sở vật chất trang thiết bị, nâng cao năng lực của đội ngũ và tiến tới nâng dần tính tự chủ của các cơ sở đào </w:t>
      </w:r>
      <w:r w:rsidRPr="00816392">
        <w:rPr>
          <w:rFonts w:ascii="Arial" w:eastAsia="Times New Roman" w:hAnsi="Arial" w:cs="Arial"/>
          <w:color w:val="252525"/>
          <w:sz w:val="26"/>
          <w:szCs w:val="26"/>
        </w:rPr>
        <w:lastRenderedPageBreak/>
        <w:t>tạo. Mục tiêu khác của đề án là tạo cơ hội để NLĐ có việc làm tốt hơn, thu nhập cao hơn, thích ứng nhanh với sự phát triển của thị trường lao động.</w:t>
      </w:r>
    </w:p>
    <w:p w:rsidR="00F70F87" w:rsidRPr="00816392" w:rsidRDefault="00F70F87" w:rsidP="00F70F87">
      <w:pPr>
        <w:shd w:val="clear" w:color="auto" w:fill="FFFFFF"/>
        <w:spacing w:after="0" w:line="240" w:lineRule="auto"/>
        <w:jc w:val="center"/>
        <w:textAlignment w:val="baseline"/>
        <w:rPr>
          <w:rFonts w:ascii="Arial" w:eastAsia="Times New Roman" w:hAnsi="Arial" w:cs="Arial"/>
          <w:color w:val="000000"/>
          <w:sz w:val="26"/>
          <w:szCs w:val="26"/>
        </w:rPr>
      </w:pPr>
    </w:p>
    <w:p w:rsidR="00F70F87" w:rsidRPr="00816392" w:rsidRDefault="00F70F87" w:rsidP="00F70F87">
      <w:pPr>
        <w:shd w:val="clear" w:color="auto" w:fill="FFFFFF"/>
        <w:spacing w:after="195" w:line="375" w:lineRule="atLeast"/>
        <w:textAlignment w:val="baseline"/>
        <w:rPr>
          <w:rFonts w:ascii="Arial" w:eastAsia="Times New Roman" w:hAnsi="Arial" w:cs="Arial"/>
          <w:color w:val="252525"/>
          <w:sz w:val="26"/>
          <w:szCs w:val="26"/>
        </w:rPr>
      </w:pPr>
      <w:r w:rsidRPr="00816392">
        <w:rPr>
          <w:rFonts w:ascii="Arial" w:eastAsia="Times New Roman" w:hAnsi="Arial" w:cs="Arial"/>
          <w:color w:val="252525"/>
          <w:sz w:val="26"/>
          <w:szCs w:val="26"/>
        </w:rPr>
        <w:t>Góp ý đề án này, ông Trương Anh Dũng, Tổng cục trưởng Tổng cục GDNN, lưu ý Tổng LĐLĐ Việt Nam cần ưu tiên đẩy mạnh công tác truyền thông để thay đổi nhận thức của phụ huynh, NLĐ và doanh nghiệp về học nghề, trong đó có vấn đề đào tạo và đào tạo lại cho NLĐ; xác định cụ thể đối tượng đoàn viên lao động cần chuyển đổi nghề, xu hướng những ngành nghề nào cần chuyển đổi và những giải pháp triển khai đào tạo đáp ứng được xu hướng chuyển đổi; xây dựng chương trình đào tạo đáp ứng nhu cầu doanh nghiệp và NLĐ</w:t>
      </w:r>
    </w:p>
    <w:p w:rsidR="005D6580" w:rsidRPr="00816392" w:rsidRDefault="005D6580" w:rsidP="005D6580">
      <w:pPr>
        <w:spacing w:after="150" w:line="240" w:lineRule="auto"/>
        <w:jc w:val="both"/>
        <w:textAlignment w:val="baseline"/>
        <w:rPr>
          <w:rFonts w:ascii="Arial" w:eastAsia="Times New Roman" w:hAnsi="Arial" w:cs="Arial"/>
          <w:color w:val="333333"/>
          <w:sz w:val="26"/>
          <w:szCs w:val="26"/>
        </w:rPr>
      </w:pPr>
    </w:p>
    <w:p w:rsidR="00605B7E" w:rsidRPr="00816392" w:rsidRDefault="00605B7E" w:rsidP="00605B7E">
      <w:pPr>
        <w:spacing w:after="150" w:line="240" w:lineRule="auto"/>
        <w:jc w:val="both"/>
        <w:textAlignment w:val="baseline"/>
        <w:rPr>
          <w:rFonts w:ascii="Arial" w:eastAsia="Times New Roman" w:hAnsi="Arial" w:cs="Arial"/>
          <w:color w:val="333333"/>
          <w:sz w:val="26"/>
          <w:szCs w:val="26"/>
        </w:rPr>
      </w:pPr>
      <w:r w:rsidRPr="00816392">
        <w:rPr>
          <w:rFonts w:ascii="Arial" w:eastAsia="Times New Roman" w:hAnsi="Arial" w:cs="Arial"/>
          <w:b/>
          <w:bCs/>
          <w:color w:val="333333"/>
          <w:sz w:val="26"/>
          <w:szCs w:val="26"/>
          <w:bdr w:val="none" w:sz="0" w:space="0" w:color="auto" w:frame="1"/>
        </w:rPr>
        <w:t> </w:t>
      </w:r>
    </w:p>
    <w:p w:rsidR="00605B7E" w:rsidRPr="00816392" w:rsidRDefault="00605B7E" w:rsidP="00605B7E">
      <w:pPr>
        <w:jc w:val="both"/>
        <w:rPr>
          <w:rFonts w:cs="Times New Roman"/>
          <w:sz w:val="26"/>
          <w:szCs w:val="26"/>
        </w:rPr>
      </w:pPr>
    </w:p>
    <w:sectPr w:rsidR="00605B7E" w:rsidRPr="00816392" w:rsidSect="00816392">
      <w:pgSz w:w="11907" w:h="16840" w:code="9"/>
      <w:pgMar w:top="567" w:right="283" w:bottom="1440"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erriweather">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Roboto-Medium">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B7E"/>
    <w:rsid w:val="000123E7"/>
    <w:rsid w:val="00023510"/>
    <w:rsid w:val="005D6580"/>
    <w:rsid w:val="00605B7E"/>
    <w:rsid w:val="00816392"/>
    <w:rsid w:val="00BF21E3"/>
    <w:rsid w:val="00EF6BDE"/>
    <w:rsid w:val="00F70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6616F"/>
  <w15:chartTrackingRefBased/>
  <w15:docId w15:val="{52B0FC91-513D-4BC7-A045-1626A1176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05B7E"/>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605B7E"/>
    <w:pPr>
      <w:spacing w:before="100" w:beforeAutospacing="1" w:after="100" w:afterAutospacing="1" w:line="240" w:lineRule="auto"/>
      <w:outlineLvl w:val="1"/>
    </w:pPr>
    <w:rPr>
      <w:rFonts w:eastAsia="Times New Roman" w:cs="Times New Roman"/>
      <w:b/>
      <w:bCs/>
      <w:sz w:val="36"/>
      <w:szCs w:val="36"/>
    </w:rPr>
  </w:style>
  <w:style w:type="paragraph" w:styleId="Heading4">
    <w:name w:val="heading 4"/>
    <w:basedOn w:val="Normal"/>
    <w:link w:val="Heading4Char"/>
    <w:uiPriority w:val="9"/>
    <w:qFormat/>
    <w:rsid w:val="00605B7E"/>
    <w:pPr>
      <w:spacing w:before="100" w:beforeAutospacing="1" w:after="100" w:afterAutospacing="1" w:line="240" w:lineRule="auto"/>
      <w:outlineLvl w:val="3"/>
    </w:pPr>
    <w:rPr>
      <w:rFonts w:eastAsia="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B7E"/>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605B7E"/>
    <w:rPr>
      <w:rFonts w:eastAsia="Times New Roman" w:cs="Times New Roman"/>
      <w:b/>
      <w:bCs/>
      <w:sz w:val="36"/>
      <w:szCs w:val="36"/>
    </w:rPr>
  </w:style>
  <w:style w:type="character" w:customStyle="1" w:styleId="Heading4Char">
    <w:name w:val="Heading 4 Char"/>
    <w:basedOn w:val="DefaultParagraphFont"/>
    <w:link w:val="Heading4"/>
    <w:uiPriority w:val="9"/>
    <w:rsid w:val="00605B7E"/>
    <w:rPr>
      <w:rFonts w:eastAsia="Times New Roman" w:cs="Times New Roman"/>
      <w:b/>
      <w:bCs/>
      <w:sz w:val="24"/>
      <w:szCs w:val="24"/>
    </w:rPr>
  </w:style>
  <w:style w:type="paragraph" w:customStyle="1" w:styleId="author">
    <w:name w:val="author"/>
    <w:basedOn w:val="Normal"/>
    <w:rsid w:val="00605B7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605B7E"/>
    <w:rPr>
      <w:color w:val="0000FF"/>
      <w:u w:val="single"/>
    </w:rPr>
  </w:style>
  <w:style w:type="character" w:customStyle="1" w:styleId="text">
    <w:name w:val="text"/>
    <w:basedOn w:val="DefaultParagraphFont"/>
    <w:rsid w:val="00605B7E"/>
  </w:style>
  <w:style w:type="paragraph" w:styleId="NormalWeb">
    <w:name w:val="Normal (Web)"/>
    <w:basedOn w:val="Normal"/>
    <w:uiPriority w:val="99"/>
    <w:semiHidden/>
    <w:unhideWhenUsed/>
    <w:rsid w:val="00605B7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605B7E"/>
    <w:rPr>
      <w:i/>
      <w:iCs/>
    </w:rPr>
  </w:style>
  <w:style w:type="paragraph" w:styleId="BalloonText">
    <w:name w:val="Balloon Text"/>
    <w:basedOn w:val="Normal"/>
    <w:link w:val="BalloonTextChar"/>
    <w:uiPriority w:val="99"/>
    <w:semiHidden/>
    <w:unhideWhenUsed/>
    <w:rsid w:val="00605B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B7E"/>
    <w:rPr>
      <w:rFonts w:ascii="Segoe UI" w:hAnsi="Segoe UI" w:cs="Segoe UI"/>
      <w:sz w:val="18"/>
      <w:szCs w:val="18"/>
    </w:rPr>
  </w:style>
  <w:style w:type="character" w:styleId="Strong">
    <w:name w:val="Strong"/>
    <w:basedOn w:val="DefaultParagraphFont"/>
    <w:uiPriority w:val="22"/>
    <w:qFormat/>
    <w:rsid w:val="00605B7E"/>
    <w:rPr>
      <w:b/>
      <w:bCs/>
    </w:rPr>
  </w:style>
  <w:style w:type="paragraph" w:customStyle="1" w:styleId="date-post">
    <w:name w:val="date-post"/>
    <w:basedOn w:val="Normal"/>
    <w:rsid w:val="00605B7E"/>
    <w:pPr>
      <w:spacing w:before="100" w:beforeAutospacing="1" w:after="100" w:afterAutospacing="1" w:line="240" w:lineRule="auto"/>
    </w:pPr>
    <w:rPr>
      <w:rFonts w:eastAsia="Times New Roman" w:cs="Times New Roman"/>
      <w:sz w:val="24"/>
      <w:szCs w:val="24"/>
    </w:rPr>
  </w:style>
  <w:style w:type="paragraph" w:customStyle="1" w:styleId="sapo">
    <w:name w:val="sapo"/>
    <w:basedOn w:val="Normal"/>
    <w:rsid w:val="005D6580"/>
    <w:pPr>
      <w:spacing w:before="100" w:beforeAutospacing="1" w:after="100" w:afterAutospacing="1" w:line="240" w:lineRule="auto"/>
    </w:pPr>
    <w:rPr>
      <w:rFonts w:eastAsia="Times New Roman" w:cs="Times New Roman"/>
      <w:sz w:val="24"/>
      <w:szCs w:val="24"/>
    </w:rPr>
  </w:style>
  <w:style w:type="paragraph" w:customStyle="1" w:styleId="publishdate">
    <w:name w:val="publishdate"/>
    <w:basedOn w:val="Normal"/>
    <w:rsid w:val="005D6580"/>
    <w:pPr>
      <w:spacing w:before="100" w:beforeAutospacing="1" w:after="100" w:afterAutospacing="1" w:line="240" w:lineRule="auto"/>
    </w:pPr>
    <w:rPr>
      <w:rFonts w:eastAsia="Times New Roman" w:cs="Times New Roman"/>
      <w:sz w:val="24"/>
      <w:szCs w:val="24"/>
    </w:rPr>
  </w:style>
  <w:style w:type="paragraph" w:customStyle="1" w:styleId="Caption1">
    <w:name w:val="Caption1"/>
    <w:basedOn w:val="Normal"/>
    <w:rsid w:val="005D6580"/>
    <w:pPr>
      <w:spacing w:before="100" w:beforeAutospacing="1" w:after="100" w:afterAutospacing="1" w:line="240" w:lineRule="auto"/>
    </w:pPr>
    <w:rPr>
      <w:rFonts w:eastAsia="Times New Roman" w:cs="Times New Roman"/>
      <w:sz w:val="24"/>
      <w:szCs w:val="24"/>
    </w:rPr>
  </w:style>
  <w:style w:type="character" w:customStyle="1" w:styleId="source">
    <w:name w:val="source"/>
    <w:basedOn w:val="DefaultParagraphFont"/>
    <w:rsid w:val="005D6580"/>
  </w:style>
  <w:style w:type="paragraph" w:customStyle="1" w:styleId="dateandcat">
    <w:name w:val="dateandcat"/>
    <w:basedOn w:val="Normal"/>
    <w:rsid w:val="00F70F87"/>
    <w:pPr>
      <w:spacing w:before="100" w:beforeAutospacing="1" w:after="100" w:afterAutospacing="1" w:line="240" w:lineRule="auto"/>
    </w:pPr>
    <w:rPr>
      <w:rFonts w:eastAsia="Times New Roman" w:cs="Times New Roman"/>
      <w:sz w:val="24"/>
      <w:szCs w:val="24"/>
    </w:rPr>
  </w:style>
  <w:style w:type="character" w:customStyle="1" w:styleId="pdate">
    <w:name w:val="pdate"/>
    <w:basedOn w:val="DefaultParagraphFont"/>
    <w:rsid w:val="00F70F87"/>
  </w:style>
  <w:style w:type="character" w:customStyle="1" w:styleId="line-middle">
    <w:name w:val="line-middle"/>
    <w:basedOn w:val="DefaultParagraphFont"/>
    <w:rsid w:val="00F70F87"/>
  </w:style>
  <w:style w:type="paragraph" w:customStyle="1" w:styleId="textshare">
    <w:name w:val="textshare"/>
    <w:basedOn w:val="Normal"/>
    <w:rsid w:val="00F70F87"/>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149175">
      <w:bodyDiv w:val="1"/>
      <w:marLeft w:val="0"/>
      <w:marRight w:val="0"/>
      <w:marTop w:val="0"/>
      <w:marBottom w:val="0"/>
      <w:divBdr>
        <w:top w:val="none" w:sz="0" w:space="0" w:color="auto"/>
        <w:left w:val="none" w:sz="0" w:space="0" w:color="auto"/>
        <w:bottom w:val="none" w:sz="0" w:space="0" w:color="auto"/>
        <w:right w:val="none" w:sz="0" w:space="0" w:color="auto"/>
      </w:divBdr>
    </w:div>
    <w:div w:id="416295356">
      <w:bodyDiv w:val="1"/>
      <w:marLeft w:val="0"/>
      <w:marRight w:val="0"/>
      <w:marTop w:val="0"/>
      <w:marBottom w:val="0"/>
      <w:divBdr>
        <w:top w:val="none" w:sz="0" w:space="0" w:color="auto"/>
        <w:left w:val="none" w:sz="0" w:space="0" w:color="auto"/>
        <w:bottom w:val="none" w:sz="0" w:space="0" w:color="auto"/>
        <w:right w:val="none" w:sz="0" w:space="0" w:color="auto"/>
      </w:divBdr>
      <w:divsChild>
        <w:div w:id="1355882126">
          <w:marLeft w:val="-1350"/>
          <w:marRight w:val="-1350"/>
          <w:marTop w:val="0"/>
          <w:marBottom w:val="0"/>
          <w:divBdr>
            <w:top w:val="none" w:sz="0" w:space="0" w:color="auto"/>
            <w:left w:val="none" w:sz="0" w:space="0" w:color="auto"/>
            <w:bottom w:val="none" w:sz="0" w:space="0" w:color="auto"/>
            <w:right w:val="none" w:sz="0" w:space="0" w:color="auto"/>
          </w:divBdr>
        </w:div>
        <w:div w:id="709502250">
          <w:marLeft w:val="0"/>
          <w:marRight w:val="0"/>
          <w:marTop w:val="0"/>
          <w:marBottom w:val="150"/>
          <w:divBdr>
            <w:top w:val="single" w:sz="6" w:space="8" w:color="DDDDDD"/>
            <w:left w:val="none" w:sz="0" w:space="0" w:color="auto"/>
            <w:bottom w:val="single" w:sz="6" w:space="8" w:color="DDDDDD"/>
            <w:right w:val="none" w:sz="0" w:space="0" w:color="auto"/>
          </w:divBdr>
          <w:divsChild>
            <w:div w:id="1250043941">
              <w:marLeft w:val="0"/>
              <w:marRight w:val="0"/>
              <w:marTop w:val="0"/>
              <w:marBottom w:val="75"/>
              <w:divBdr>
                <w:top w:val="none" w:sz="0" w:space="0" w:color="auto"/>
                <w:left w:val="none" w:sz="0" w:space="0" w:color="auto"/>
                <w:bottom w:val="none" w:sz="0" w:space="0" w:color="auto"/>
                <w:right w:val="none" w:sz="0" w:space="0" w:color="auto"/>
              </w:divBdr>
            </w:div>
            <w:div w:id="913513591">
              <w:marLeft w:val="0"/>
              <w:marRight w:val="0"/>
              <w:marTop w:val="0"/>
              <w:marBottom w:val="75"/>
              <w:divBdr>
                <w:top w:val="none" w:sz="0" w:space="0" w:color="auto"/>
                <w:left w:val="none" w:sz="0" w:space="0" w:color="auto"/>
                <w:bottom w:val="none" w:sz="0" w:space="0" w:color="auto"/>
                <w:right w:val="none" w:sz="0" w:space="0" w:color="auto"/>
              </w:divBdr>
            </w:div>
            <w:div w:id="2124567529">
              <w:marLeft w:val="0"/>
              <w:marRight w:val="0"/>
              <w:marTop w:val="0"/>
              <w:marBottom w:val="0"/>
              <w:divBdr>
                <w:top w:val="none" w:sz="0" w:space="0" w:color="auto"/>
                <w:left w:val="none" w:sz="0" w:space="0" w:color="auto"/>
                <w:bottom w:val="none" w:sz="0" w:space="0" w:color="auto"/>
                <w:right w:val="none" w:sz="0" w:space="0" w:color="auto"/>
              </w:divBdr>
            </w:div>
          </w:divsChild>
        </w:div>
        <w:div w:id="1103265154">
          <w:marLeft w:val="0"/>
          <w:marRight w:val="0"/>
          <w:marTop w:val="0"/>
          <w:marBottom w:val="0"/>
          <w:divBdr>
            <w:top w:val="none" w:sz="0" w:space="0" w:color="auto"/>
            <w:left w:val="none" w:sz="0" w:space="0" w:color="auto"/>
            <w:bottom w:val="none" w:sz="0" w:space="0" w:color="auto"/>
            <w:right w:val="none" w:sz="0" w:space="0" w:color="auto"/>
          </w:divBdr>
          <w:divsChild>
            <w:div w:id="15362305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656154084">
      <w:bodyDiv w:val="1"/>
      <w:marLeft w:val="0"/>
      <w:marRight w:val="0"/>
      <w:marTop w:val="0"/>
      <w:marBottom w:val="0"/>
      <w:divBdr>
        <w:top w:val="none" w:sz="0" w:space="0" w:color="auto"/>
        <w:left w:val="none" w:sz="0" w:space="0" w:color="auto"/>
        <w:bottom w:val="none" w:sz="0" w:space="0" w:color="auto"/>
        <w:right w:val="none" w:sz="0" w:space="0" w:color="auto"/>
      </w:divBdr>
      <w:divsChild>
        <w:div w:id="726881139">
          <w:marLeft w:val="0"/>
          <w:marRight w:val="0"/>
          <w:marTop w:val="0"/>
          <w:marBottom w:val="150"/>
          <w:divBdr>
            <w:top w:val="none" w:sz="0" w:space="0" w:color="auto"/>
            <w:left w:val="none" w:sz="0" w:space="0" w:color="auto"/>
            <w:bottom w:val="none" w:sz="0" w:space="0" w:color="auto"/>
            <w:right w:val="none" w:sz="0" w:space="0" w:color="auto"/>
          </w:divBdr>
        </w:div>
        <w:div w:id="124929497">
          <w:marLeft w:val="0"/>
          <w:marRight w:val="0"/>
          <w:marTop w:val="0"/>
          <w:marBottom w:val="150"/>
          <w:divBdr>
            <w:top w:val="none" w:sz="0" w:space="0" w:color="auto"/>
            <w:left w:val="none" w:sz="0" w:space="0" w:color="auto"/>
            <w:bottom w:val="none" w:sz="0" w:space="0" w:color="auto"/>
            <w:right w:val="none" w:sz="0" w:space="0" w:color="auto"/>
          </w:divBdr>
        </w:div>
      </w:divsChild>
    </w:div>
    <w:div w:id="1299916904">
      <w:bodyDiv w:val="1"/>
      <w:marLeft w:val="0"/>
      <w:marRight w:val="0"/>
      <w:marTop w:val="0"/>
      <w:marBottom w:val="0"/>
      <w:divBdr>
        <w:top w:val="none" w:sz="0" w:space="0" w:color="auto"/>
        <w:left w:val="none" w:sz="0" w:space="0" w:color="auto"/>
        <w:bottom w:val="none" w:sz="0" w:space="0" w:color="auto"/>
        <w:right w:val="none" w:sz="0" w:space="0" w:color="auto"/>
      </w:divBdr>
      <w:divsChild>
        <w:div w:id="1681464467">
          <w:marLeft w:val="0"/>
          <w:marRight w:val="0"/>
          <w:marTop w:val="0"/>
          <w:marBottom w:val="150"/>
          <w:divBdr>
            <w:top w:val="none" w:sz="0" w:space="0" w:color="auto"/>
            <w:left w:val="none" w:sz="0" w:space="0" w:color="auto"/>
            <w:bottom w:val="none" w:sz="0" w:space="0" w:color="auto"/>
            <w:right w:val="none" w:sz="0" w:space="0" w:color="auto"/>
          </w:divBdr>
        </w:div>
        <w:div w:id="1395423837">
          <w:marLeft w:val="0"/>
          <w:marRight w:val="0"/>
          <w:marTop w:val="150"/>
          <w:marBottom w:val="150"/>
          <w:divBdr>
            <w:top w:val="none" w:sz="0" w:space="0" w:color="auto"/>
            <w:left w:val="none" w:sz="0" w:space="0" w:color="auto"/>
            <w:bottom w:val="none" w:sz="0" w:space="0" w:color="auto"/>
            <w:right w:val="none" w:sz="0" w:space="0" w:color="auto"/>
          </w:divBdr>
          <w:divsChild>
            <w:div w:id="624193234">
              <w:marLeft w:val="0"/>
              <w:marRight w:val="0"/>
              <w:marTop w:val="0"/>
              <w:marBottom w:val="0"/>
              <w:divBdr>
                <w:top w:val="none" w:sz="0" w:space="0" w:color="auto"/>
                <w:left w:val="none" w:sz="0" w:space="0" w:color="auto"/>
                <w:bottom w:val="none" w:sz="0" w:space="0" w:color="auto"/>
                <w:right w:val="none" w:sz="0" w:space="0" w:color="auto"/>
              </w:divBdr>
              <w:divsChild>
                <w:div w:id="944652947">
                  <w:marLeft w:val="0"/>
                  <w:marRight w:val="0"/>
                  <w:marTop w:val="75"/>
                  <w:marBottom w:val="0"/>
                  <w:divBdr>
                    <w:top w:val="none" w:sz="0" w:space="0" w:color="auto"/>
                    <w:left w:val="none" w:sz="0" w:space="0" w:color="auto"/>
                    <w:bottom w:val="none" w:sz="0" w:space="0" w:color="auto"/>
                    <w:right w:val="none" w:sz="0" w:space="0" w:color="auto"/>
                  </w:divBdr>
                </w:div>
              </w:divsChild>
            </w:div>
            <w:div w:id="596868317">
              <w:marLeft w:val="0"/>
              <w:marRight w:val="0"/>
              <w:marTop w:val="150"/>
              <w:marBottom w:val="0"/>
              <w:divBdr>
                <w:top w:val="none" w:sz="0" w:space="0" w:color="auto"/>
                <w:left w:val="none" w:sz="0" w:space="0" w:color="auto"/>
                <w:bottom w:val="none" w:sz="0" w:space="0" w:color="auto"/>
                <w:right w:val="none" w:sz="0" w:space="0" w:color="auto"/>
              </w:divBdr>
            </w:div>
          </w:divsChild>
        </w:div>
        <w:div w:id="1495953718">
          <w:marLeft w:val="0"/>
          <w:marRight w:val="0"/>
          <w:marTop w:val="0"/>
          <w:marBottom w:val="150"/>
          <w:divBdr>
            <w:top w:val="none" w:sz="0" w:space="0" w:color="auto"/>
            <w:left w:val="none" w:sz="0" w:space="0" w:color="auto"/>
            <w:bottom w:val="none" w:sz="0" w:space="0" w:color="auto"/>
            <w:right w:val="none" w:sz="0" w:space="0" w:color="auto"/>
          </w:divBdr>
          <w:divsChild>
            <w:div w:id="446237837">
              <w:blockQuote w:val="1"/>
              <w:marLeft w:val="0"/>
              <w:marRight w:val="0"/>
              <w:marTop w:val="0"/>
              <w:marBottom w:val="0"/>
              <w:divBdr>
                <w:top w:val="none" w:sz="0" w:space="0" w:color="auto"/>
                <w:left w:val="none" w:sz="0" w:space="0" w:color="auto"/>
                <w:bottom w:val="none" w:sz="0" w:space="0" w:color="auto"/>
                <w:right w:val="none" w:sz="0" w:space="0" w:color="auto"/>
              </w:divBdr>
              <w:divsChild>
                <w:div w:id="1756050141">
                  <w:marLeft w:val="600"/>
                  <w:marRight w:val="0"/>
                  <w:marTop w:val="0"/>
                  <w:marBottom w:val="150"/>
                  <w:divBdr>
                    <w:top w:val="none" w:sz="0" w:space="0" w:color="auto"/>
                    <w:left w:val="none" w:sz="0" w:space="0" w:color="auto"/>
                    <w:bottom w:val="none" w:sz="0" w:space="0" w:color="auto"/>
                    <w:right w:val="none" w:sz="0" w:space="0" w:color="auto"/>
                  </w:divBdr>
                </w:div>
                <w:div w:id="1378890145">
                  <w:marLeft w:val="600"/>
                  <w:marRight w:val="0"/>
                  <w:marTop w:val="0"/>
                  <w:marBottom w:val="150"/>
                  <w:divBdr>
                    <w:top w:val="none" w:sz="0" w:space="0" w:color="auto"/>
                    <w:left w:val="none" w:sz="0" w:space="0" w:color="auto"/>
                    <w:bottom w:val="none" w:sz="0" w:space="0" w:color="auto"/>
                    <w:right w:val="none" w:sz="0" w:space="0" w:color="auto"/>
                  </w:divBdr>
                </w:div>
                <w:div w:id="230895588">
                  <w:marLeft w:val="600"/>
                  <w:marRight w:val="0"/>
                  <w:marTop w:val="0"/>
                  <w:marBottom w:val="150"/>
                  <w:divBdr>
                    <w:top w:val="none" w:sz="0" w:space="0" w:color="auto"/>
                    <w:left w:val="none" w:sz="0" w:space="0" w:color="auto"/>
                    <w:bottom w:val="none" w:sz="0" w:space="0" w:color="auto"/>
                    <w:right w:val="none" w:sz="0" w:space="0" w:color="auto"/>
                  </w:divBdr>
                </w:div>
                <w:div w:id="1334996220">
                  <w:marLeft w:val="600"/>
                  <w:marRight w:val="0"/>
                  <w:marTop w:val="0"/>
                  <w:marBottom w:val="150"/>
                  <w:divBdr>
                    <w:top w:val="none" w:sz="0" w:space="0" w:color="auto"/>
                    <w:left w:val="none" w:sz="0" w:space="0" w:color="auto"/>
                    <w:bottom w:val="none" w:sz="0" w:space="0" w:color="auto"/>
                    <w:right w:val="none" w:sz="0" w:space="0" w:color="auto"/>
                  </w:divBdr>
                </w:div>
              </w:divsChild>
            </w:div>
            <w:div w:id="202376206">
              <w:marLeft w:val="0"/>
              <w:marRight w:val="0"/>
              <w:marTop w:val="0"/>
              <w:marBottom w:val="150"/>
              <w:divBdr>
                <w:top w:val="none" w:sz="0" w:space="0" w:color="auto"/>
                <w:left w:val="none" w:sz="0" w:space="0" w:color="auto"/>
                <w:bottom w:val="none" w:sz="0" w:space="0" w:color="auto"/>
                <w:right w:val="none" w:sz="0" w:space="0" w:color="auto"/>
              </w:divBdr>
            </w:div>
            <w:div w:id="68239896">
              <w:marLeft w:val="0"/>
              <w:marRight w:val="0"/>
              <w:marTop w:val="0"/>
              <w:marBottom w:val="150"/>
              <w:divBdr>
                <w:top w:val="none" w:sz="0" w:space="0" w:color="auto"/>
                <w:left w:val="none" w:sz="0" w:space="0" w:color="auto"/>
                <w:bottom w:val="none" w:sz="0" w:space="0" w:color="auto"/>
                <w:right w:val="none" w:sz="0" w:space="0" w:color="auto"/>
              </w:divBdr>
              <w:divsChild>
                <w:div w:id="632173782">
                  <w:marLeft w:val="0"/>
                  <w:marRight w:val="0"/>
                  <w:marTop w:val="0"/>
                  <w:marBottom w:val="150"/>
                  <w:divBdr>
                    <w:top w:val="none" w:sz="0" w:space="0" w:color="auto"/>
                    <w:left w:val="none" w:sz="0" w:space="0" w:color="auto"/>
                    <w:bottom w:val="none" w:sz="0" w:space="0" w:color="auto"/>
                    <w:right w:val="none" w:sz="0" w:space="0" w:color="auto"/>
                  </w:divBdr>
                </w:div>
              </w:divsChild>
            </w:div>
            <w:div w:id="949314281">
              <w:marLeft w:val="0"/>
              <w:marRight w:val="0"/>
              <w:marTop w:val="0"/>
              <w:marBottom w:val="150"/>
              <w:divBdr>
                <w:top w:val="none" w:sz="0" w:space="0" w:color="auto"/>
                <w:left w:val="none" w:sz="0" w:space="0" w:color="auto"/>
                <w:bottom w:val="none" w:sz="0" w:space="0" w:color="auto"/>
                <w:right w:val="none" w:sz="0" w:space="0" w:color="auto"/>
              </w:divBdr>
            </w:div>
            <w:div w:id="972709245">
              <w:marLeft w:val="0"/>
              <w:marRight w:val="0"/>
              <w:marTop w:val="0"/>
              <w:marBottom w:val="150"/>
              <w:divBdr>
                <w:top w:val="none" w:sz="0" w:space="0" w:color="auto"/>
                <w:left w:val="none" w:sz="0" w:space="0" w:color="auto"/>
                <w:bottom w:val="none" w:sz="0" w:space="0" w:color="auto"/>
                <w:right w:val="none" w:sz="0" w:space="0" w:color="auto"/>
              </w:divBdr>
            </w:div>
            <w:div w:id="993602511">
              <w:marLeft w:val="0"/>
              <w:marRight w:val="0"/>
              <w:marTop w:val="0"/>
              <w:marBottom w:val="150"/>
              <w:divBdr>
                <w:top w:val="none" w:sz="0" w:space="0" w:color="auto"/>
                <w:left w:val="none" w:sz="0" w:space="0" w:color="auto"/>
                <w:bottom w:val="none" w:sz="0" w:space="0" w:color="auto"/>
                <w:right w:val="none" w:sz="0" w:space="0" w:color="auto"/>
              </w:divBdr>
            </w:div>
            <w:div w:id="1255481783">
              <w:marLeft w:val="0"/>
              <w:marRight w:val="0"/>
              <w:marTop w:val="0"/>
              <w:marBottom w:val="150"/>
              <w:divBdr>
                <w:top w:val="none" w:sz="0" w:space="0" w:color="auto"/>
                <w:left w:val="none" w:sz="0" w:space="0" w:color="auto"/>
                <w:bottom w:val="none" w:sz="0" w:space="0" w:color="auto"/>
                <w:right w:val="none" w:sz="0" w:space="0" w:color="auto"/>
              </w:divBdr>
            </w:div>
            <w:div w:id="1955987673">
              <w:marLeft w:val="0"/>
              <w:marRight w:val="0"/>
              <w:marTop w:val="0"/>
              <w:marBottom w:val="150"/>
              <w:divBdr>
                <w:top w:val="none" w:sz="0" w:space="0" w:color="auto"/>
                <w:left w:val="none" w:sz="0" w:space="0" w:color="auto"/>
                <w:bottom w:val="none" w:sz="0" w:space="0" w:color="auto"/>
                <w:right w:val="none" w:sz="0" w:space="0" w:color="auto"/>
              </w:divBdr>
            </w:div>
            <w:div w:id="401488266">
              <w:marLeft w:val="0"/>
              <w:marRight w:val="0"/>
              <w:marTop w:val="0"/>
              <w:marBottom w:val="150"/>
              <w:divBdr>
                <w:top w:val="none" w:sz="0" w:space="0" w:color="auto"/>
                <w:left w:val="none" w:sz="0" w:space="0" w:color="auto"/>
                <w:bottom w:val="none" w:sz="0" w:space="0" w:color="auto"/>
                <w:right w:val="none" w:sz="0" w:space="0" w:color="auto"/>
              </w:divBdr>
            </w:div>
            <w:div w:id="42482597">
              <w:marLeft w:val="0"/>
              <w:marRight w:val="0"/>
              <w:marTop w:val="0"/>
              <w:marBottom w:val="150"/>
              <w:divBdr>
                <w:top w:val="none" w:sz="0" w:space="0" w:color="auto"/>
                <w:left w:val="none" w:sz="0" w:space="0" w:color="auto"/>
                <w:bottom w:val="none" w:sz="0" w:space="0" w:color="auto"/>
                <w:right w:val="none" w:sz="0" w:space="0" w:color="auto"/>
              </w:divBdr>
            </w:div>
            <w:div w:id="1082336223">
              <w:marLeft w:val="0"/>
              <w:marRight w:val="0"/>
              <w:marTop w:val="0"/>
              <w:marBottom w:val="150"/>
              <w:divBdr>
                <w:top w:val="none" w:sz="0" w:space="0" w:color="auto"/>
                <w:left w:val="none" w:sz="0" w:space="0" w:color="auto"/>
                <w:bottom w:val="none" w:sz="0" w:space="0" w:color="auto"/>
                <w:right w:val="none" w:sz="0" w:space="0" w:color="auto"/>
              </w:divBdr>
            </w:div>
            <w:div w:id="573702806">
              <w:marLeft w:val="0"/>
              <w:marRight w:val="0"/>
              <w:marTop w:val="0"/>
              <w:marBottom w:val="150"/>
              <w:divBdr>
                <w:top w:val="none" w:sz="0" w:space="0" w:color="auto"/>
                <w:left w:val="none" w:sz="0" w:space="0" w:color="auto"/>
                <w:bottom w:val="none" w:sz="0" w:space="0" w:color="auto"/>
                <w:right w:val="none" w:sz="0" w:space="0" w:color="auto"/>
              </w:divBdr>
            </w:div>
            <w:div w:id="1136335026">
              <w:marLeft w:val="0"/>
              <w:marRight w:val="0"/>
              <w:marTop w:val="0"/>
              <w:marBottom w:val="150"/>
              <w:divBdr>
                <w:top w:val="none" w:sz="0" w:space="0" w:color="auto"/>
                <w:left w:val="none" w:sz="0" w:space="0" w:color="auto"/>
                <w:bottom w:val="none" w:sz="0" w:space="0" w:color="auto"/>
                <w:right w:val="none" w:sz="0" w:space="0" w:color="auto"/>
              </w:divBdr>
            </w:div>
            <w:div w:id="1934195192">
              <w:marLeft w:val="0"/>
              <w:marRight w:val="0"/>
              <w:marTop w:val="0"/>
              <w:marBottom w:val="150"/>
              <w:divBdr>
                <w:top w:val="none" w:sz="0" w:space="0" w:color="auto"/>
                <w:left w:val="none" w:sz="0" w:space="0" w:color="auto"/>
                <w:bottom w:val="none" w:sz="0" w:space="0" w:color="auto"/>
                <w:right w:val="none" w:sz="0" w:space="0" w:color="auto"/>
              </w:divBdr>
            </w:div>
            <w:div w:id="1269780348">
              <w:marLeft w:val="0"/>
              <w:marRight w:val="0"/>
              <w:marTop w:val="0"/>
              <w:marBottom w:val="150"/>
              <w:divBdr>
                <w:top w:val="none" w:sz="0" w:space="0" w:color="auto"/>
                <w:left w:val="none" w:sz="0" w:space="0" w:color="auto"/>
                <w:bottom w:val="none" w:sz="0" w:space="0" w:color="auto"/>
                <w:right w:val="none" w:sz="0" w:space="0" w:color="auto"/>
              </w:divBdr>
            </w:div>
            <w:div w:id="1791900107">
              <w:marLeft w:val="0"/>
              <w:marRight w:val="0"/>
              <w:marTop w:val="0"/>
              <w:marBottom w:val="150"/>
              <w:divBdr>
                <w:top w:val="none" w:sz="0" w:space="0" w:color="auto"/>
                <w:left w:val="none" w:sz="0" w:space="0" w:color="auto"/>
                <w:bottom w:val="none" w:sz="0" w:space="0" w:color="auto"/>
                <w:right w:val="none" w:sz="0" w:space="0" w:color="auto"/>
              </w:divBdr>
            </w:div>
            <w:div w:id="722562611">
              <w:marLeft w:val="0"/>
              <w:marRight w:val="0"/>
              <w:marTop w:val="0"/>
              <w:marBottom w:val="150"/>
              <w:divBdr>
                <w:top w:val="none" w:sz="0" w:space="0" w:color="auto"/>
                <w:left w:val="none" w:sz="0" w:space="0" w:color="auto"/>
                <w:bottom w:val="none" w:sz="0" w:space="0" w:color="auto"/>
                <w:right w:val="none" w:sz="0" w:space="0" w:color="auto"/>
              </w:divBdr>
            </w:div>
            <w:div w:id="900406704">
              <w:marLeft w:val="0"/>
              <w:marRight w:val="0"/>
              <w:marTop w:val="0"/>
              <w:marBottom w:val="150"/>
              <w:divBdr>
                <w:top w:val="none" w:sz="0" w:space="0" w:color="auto"/>
                <w:left w:val="none" w:sz="0" w:space="0" w:color="auto"/>
                <w:bottom w:val="none" w:sz="0" w:space="0" w:color="auto"/>
                <w:right w:val="none" w:sz="0" w:space="0" w:color="auto"/>
              </w:divBdr>
            </w:div>
            <w:div w:id="7297405">
              <w:marLeft w:val="0"/>
              <w:marRight w:val="0"/>
              <w:marTop w:val="0"/>
              <w:marBottom w:val="150"/>
              <w:divBdr>
                <w:top w:val="none" w:sz="0" w:space="0" w:color="auto"/>
                <w:left w:val="none" w:sz="0" w:space="0" w:color="auto"/>
                <w:bottom w:val="none" w:sz="0" w:space="0" w:color="auto"/>
                <w:right w:val="none" w:sz="0" w:space="0" w:color="auto"/>
              </w:divBdr>
            </w:div>
            <w:div w:id="1133718252">
              <w:marLeft w:val="0"/>
              <w:marRight w:val="0"/>
              <w:marTop w:val="0"/>
              <w:marBottom w:val="150"/>
              <w:divBdr>
                <w:top w:val="none" w:sz="0" w:space="0" w:color="auto"/>
                <w:left w:val="none" w:sz="0" w:space="0" w:color="auto"/>
                <w:bottom w:val="none" w:sz="0" w:space="0" w:color="auto"/>
                <w:right w:val="none" w:sz="0" w:space="0" w:color="auto"/>
              </w:divBdr>
            </w:div>
            <w:div w:id="1139372713">
              <w:marLeft w:val="0"/>
              <w:marRight w:val="0"/>
              <w:marTop w:val="0"/>
              <w:marBottom w:val="150"/>
              <w:divBdr>
                <w:top w:val="none" w:sz="0" w:space="0" w:color="auto"/>
                <w:left w:val="none" w:sz="0" w:space="0" w:color="auto"/>
                <w:bottom w:val="none" w:sz="0" w:space="0" w:color="auto"/>
                <w:right w:val="none" w:sz="0" w:space="0" w:color="auto"/>
              </w:divBdr>
            </w:div>
            <w:div w:id="1612277034">
              <w:marLeft w:val="0"/>
              <w:marRight w:val="0"/>
              <w:marTop w:val="0"/>
              <w:marBottom w:val="150"/>
              <w:divBdr>
                <w:top w:val="none" w:sz="0" w:space="0" w:color="auto"/>
                <w:left w:val="none" w:sz="0" w:space="0" w:color="auto"/>
                <w:bottom w:val="none" w:sz="0" w:space="0" w:color="auto"/>
                <w:right w:val="none" w:sz="0" w:space="0" w:color="auto"/>
              </w:divBdr>
            </w:div>
            <w:div w:id="843009135">
              <w:marLeft w:val="0"/>
              <w:marRight w:val="0"/>
              <w:marTop w:val="0"/>
              <w:marBottom w:val="150"/>
              <w:divBdr>
                <w:top w:val="none" w:sz="0" w:space="0" w:color="auto"/>
                <w:left w:val="none" w:sz="0" w:space="0" w:color="auto"/>
                <w:bottom w:val="none" w:sz="0" w:space="0" w:color="auto"/>
                <w:right w:val="none" w:sz="0" w:space="0" w:color="auto"/>
              </w:divBdr>
            </w:div>
            <w:div w:id="1828935175">
              <w:marLeft w:val="0"/>
              <w:marRight w:val="0"/>
              <w:marTop w:val="0"/>
              <w:marBottom w:val="150"/>
              <w:divBdr>
                <w:top w:val="none" w:sz="0" w:space="0" w:color="auto"/>
                <w:left w:val="none" w:sz="0" w:space="0" w:color="auto"/>
                <w:bottom w:val="none" w:sz="0" w:space="0" w:color="auto"/>
                <w:right w:val="none" w:sz="0" w:space="0" w:color="auto"/>
              </w:divBdr>
            </w:div>
            <w:div w:id="1736514154">
              <w:marLeft w:val="0"/>
              <w:marRight w:val="0"/>
              <w:marTop w:val="0"/>
              <w:marBottom w:val="150"/>
              <w:divBdr>
                <w:top w:val="none" w:sz="0" w:space="0" w:color="auto"/>
                <w:left w:val="none" w:sz="0" w:space="0" w:color="auto"/>
                <w:bottom w:val="none" w:sz="0" w:space="0" w:color="auto"/>
                <w:right w:val="none" w:sz="0" w:space="0" w:color="auto"/>
              </w:divBdr>
            </w:div>
            <w:div w:id="1546137355">
              <w:marLeft w:val="0"/>
              <w:marRight w:val="0"/>
              <w:marTop w:val="0"/>
              <w:marBottom w:val="150"/>
              <w:divBdr>
                <w:top w:val="none" w:sz="0" w:space="0" w:color="auto"/>
                <w:left w:val="none" w:sz="0" w:space="0" w:color="auto"/>
                <w:bottom w:val="none" w:sz="0" w:space="0" w:color="auto"/>
                <w:right w:val="none" w:sz="0" w:space="0" w:color="auto"/>
              </w:divBdr>
            </w:div>
            <w:div w:id="1581333163">
              <w:marLeft w:val="0"/>
              <w:marRight w:val="0"/>
              <w:marTop w:val="0"/>
              <w:marBottom w:val="150"/>
              <w:divBdr>
                <w:top w:val="none" w:sz="0" w:space="0" w:color="auto"/>
                <w:left w:val="none" w:sz="0" w:space="0" w:color="auto"/>
                <w:bottom w:val="none" w:sz="0" w:space="0" w:color="auto"/>
                <w:right w:val="none" w:sz="0" w:space="0" w:color="auto"/>
              </w:divBdr>
            </w:div>
            <w:div w:id="1383138187">
              <w:marLeft w:val="0"/>
              <w:marRight w:val="0"/>
              <w:marTop w:val="0"/>
              <w:marBottom w:val="150"/>
              <w:divBdr>
                <w:top w:val="none" w:sz="0" w:space="0" w:color="auto"/>
                <w:left w:val="none" w:sz="0" w:space="0" w:color="auto"/>
                <w:bottom w:val="none" w:sz="0" w:space="0" w:color="auto"/>
                <w:right w:val="none" w:sz="0" w:space="0" w:color="auto"/>
              </w:divBdr>
            </w:div>
            <w:div w:id="1685015858">
              <w:marLeft w:val="0"/>
              <w:marRight w:val="0"/>
              <w:marTop w:val="0"/>
              <w:marBottom w:val="150"/>
              <w:divBdr>
                <w:top w:val="none" w:sz="0" w:space="0" w:color="auto"/>
                <w:left w:val="none" w:sz="0" w:space="0" w:color="auto"/>
                <w:bottom w:val="none" w:sz="0" w:space="0" w:color="auto"/>
                <w:right w:val="none" w:sz="0" w:space="0" w:color="auto"/>
              </w:divBdr>
            </w:div>
            <w:div w:id="169564805">
              <w:marLeft w:val="0"/>
              <w:marRight w:val="0"/>
              <w:marTop w:val="0"/>
              <w:marBottom w:val="150"/>
              <w:divBdr>
                <w:top w:val="none" w:sz="0" w:space="0" w:color="auto"/>
                <w:left w:val="none" w:sz="0" w:space="0" w:color="auto"/>
                <w:bottom w:val="none" w:sz="0" w:space="0" w:color="auto"/>
                <w:right w:val="none" w:sz="0" w:space="0" w:color="auto"/>
              </w:divBdr>
            </w:div>
            <w:div w:id="1307852455">
              <w:marLeft w:val="0"/>
              <w:marRight w:val="0"/>
              <w:marTop w:val="0"/>
              <w:marBottom w:val="150"/>
              <w:divBdr>
                <w:top w:val="none" w:sz="0" w:space="0" w:color="auto"/>
                <w:left w:val="none" w:sz="0" w:space="0" w:color="auto"/>
                <w:bottom w:val="none" w:sz="0" w:space="0" w:color="auto"/>
                <w:right w:val="none" w:sz="0" w:space="0" w:color="auto"/>
              </w:divBdr>
            </w:div>
            <w:div w:id="929657224">
              <w:marLeft w:val="0"/>
              <w:marRight w:val="0"/>
              <w:marTop w:val="0"/>
              <w:marBottom w:val="150"/>
              <w:divBdr>
                <w:top w:val="none" w:sz="0" w:space="0" w:color="auto"/>
                <w:left w:val="none" w:sz="0" w:space="0" w:color="auto"/>
                <w:bottom w:val="none" w:sz="0" w:space="0" w:color="auto"/>
                <w:right w:val="none" w:sz="0" w:space="0" w:color="auto"/>
              </w:divBdr>
            </w:div>
            <w:div w:id="724837135">
              <w:marLeft w:val="0"/>
              <w:marRight w:val="0"/>
              <w:marTop w:val="0"/>
              <w:marBottom w:val="150"/>
              <w:divBdr>
                <w:top w:val="none" w:sz="0" w:space="0" w:color="auto"/>
                <w:left w:val="none" w:sz="0" w:space="0" w:color="auto"/>
                <w:bottom w:val="none" w:sz="0" w:space="0" w:color="auto"/>
                <w:right w:val="none" w:sz="0" w:space="0" w:color="auto"/>
              </w:divBdr>
            </w:div>
            <w:div w:id="380246717">
              <w:marLeft w:val="0"/>
              <w:marRight w:val="0"/>
              <w:marTop w:val="0"/>
              <w:marBottom w:val="150"/>
              <w:divBdr>
                <w:top w:val="none" w:sz="0" w:space="0" w:color="auto"/>
                <w:left w:val="none" w:sz="0" w:space="0" w:color="auto"/>
                <w:bottom w:val="none" w:sz="0" w:space="0" w:color="auto"/>
                <w:right w:val="none" w:sz="0" w:space="0" w:color="auto"/>
              </w:divBdr>
            </w:div>
            <w:div w:id="1197308366">
              <w:marLeft w:val="0"/>
              <w:marRight w:val="0"/>
              <w:marTop w:val="0"/>
              <w:marBottom w:val="150"/>
              <w:divBdr>
                <w:top w:val="none" w:sz="0" w:space="0" w:color="auto"/>
                <w:left w:val="none" w:sz="0" w:space="0" w:color="auto"/>
                <w:bottom w:val="none" w:sz="0" w:space="0" w:color="auto"/>
                <w:right w:val="none" w:sz="0" w:space="0" w:color="auto"/>
              </w:divBdr>
            </w:div>
            <w:div w:id="194536794">
              <w:marLeft w:val="0"/>
              <w:marRight w:val="0"/>
              <w:marTop w:val="0"/>
              <w:marBottom w:val="150"/>
              <w:divBdr>
                <w:top w:val="none" w:sz="0" w:space="0" w:color="auto"/>
                <w:left w:val="none" w:sz="0" w:space="0" w:color="auto"/>
                <w:bottom w:val="none" w:sz="0" w:space="0" w:color="auto"/>
                <w:right w:val="none" w:sz="0" w:space="0" w:color="auto"/>
              </w:divBdr>
            </w:div>
            <w:div w:id="1519394946">
              <w:marLeft w:val="0"/>
              <w:marRight w:val="0"/>
              <w:marTop w:val="0"/>
              <w:marBottom w:val="150"/>
              <w:divBdr>
                <w:top w:val="none" w:sz="0" w:space="0" w:color="auto"/>
                <w:left w:val="none" w:sz="0" w:space="0" w:color="auto"/>
                <w:bottom w:val="none" w:sz="0" w:space="0" w:color="auto"/>
                <w:right w:val="none" w:sz="0" w:space="0" w:color="auto"/>
              </w:divBdr>
            </w:div>
            <w:div w:id="673995028">
              <w:marLeft w:val="0"/>
              <w:marRight w:val="0"/>
              <w:marTop w:val="0"/>
              <w:marBottom w:val="150"/>
              <w:divBdr>
                <w:top w:val="none" w:sz="0" w:space="0" w:color="auto"/>
                <w:left w:val="none" w:sz="0" w:space="0" w:color="auto"/>
                <w:bottom w:val="none" w:sz="0" w:space="0" w:color="auto"/>
                <w:right w:val="none" w:sz="0" w:space="0" w:color="auto"/>
              </w:divBdr>
            </w:div>
            <w:div w:id="1677882622">
              <w:marLeft w:val="0"/>
              <w:marRight w:val="0"/>
              <w:marTop w:val="0"/>
              <w:marBottom w:val="150"/>
              <w:divBdr>
                <w:top w:val="none" w:sz="0" w:space="0" w:color="auto"/>
                <w:left w:val="none" w:sz="0" w:space="0" w:color="auto"/>
                <w:bottom w:val="none" w:sz="0" w:space="0" w:color="auto"/>
                <w:right w:val="none" w:sz="0" w:space="0" w:color="auto"/>
              </w:divBdr>
            </w:div>
            <w:div w:id="1601178753">
              <w:marLeft w:val="0"/>
              <w:marRight w:val="0"/>
              <w:marTop w:val="0"/>
              <w:marBottom w:val="150"/>
              <w:divBdr>
                <w:top w:val="none" w:sz="0" w:space="0" w:color="auto"/>
                <w:left w:val="none" w:sz="0" w:space="0" w:color="auto"/>
                <w:bottom w:val="none" w:sz="0" w:space="0" w:color="auto"/>
                <w:right w:val="none" w:sz="0" w:space="0" w:color="auto"/>
              </w:divBdr>
            </w:div>
            <w:div w:id="989212408">
              <w:marLeft w:val="0"/>
              <w:marRight w:val="0"/>
              <w:marTop w:val="0"/>
              <w:marBottom w:val="150"/>
              <w:divBdr>
                <w:top w:val="none" w:sz="0" w:space="0" w:color="auto"/>
                <w:left w:val="none" w:sz="0" w:space="0" w:color="auto"/>
                <w:bottom w:val="none" w:sz="0" w:space="0" w:color="auto"/>
                <w:right w:val="none" w:sz="0" w:space="0" w:color="auto"/>
              </w:divBdr>
            </w:div>
            <w:div w:id="2010021070">
              <w:marLeft w:val="0"/>
              <w:marRight w:val="0"/>
              <w:marTop w:val="0"/>
              <w:marBottom w:val="150"/>
              <w:divBdr>
                <w:top w:val="none" w:sz="0" w:space="0" w:color="auto"/>
                <w:left w:val="none" w:sz="0" w:space="0" w:color="auto"/>
                <w:bottom w:val="none" w:sz="0" w:space="0" w:color="auto"/>
                <w:right w:val="none" w:sz="0" w:space="0" w:color="auto"/>
              </w:divBdr>
            </w:div>
            <w:div w:id="84765757">
              <w:marLeft w:val="0"/>
              <w:marRight w:val="0"/>
              <w:marTop w:val="0"/>
              <w:marBottom w:val="150"/>
              <w:divBdr>
                <w:top w:val="none" w:sz="0" w:space="0" w:color="auto"/>
                <w:left w:val="none" w:sz="0" w:space="0" w:color="auto"/>
                <w:bottom w:val="none" w:sz="0" w:space="0" w:color="auto"/>
                <w:right w:val="none" w:sz="0" w:space="0" w:color="auto"/>
              </w:divBdr>
            </w:div>
            <w:div w:id="1983654374">
              <w:marLeft w:val="0"/>
              <w:marRight w:val="0"/>
              <w:marTop w:val="0"/>
              <w:marBottom w:val="150"/>
              <w:divBdr>
                <w:top w:val="none" w:sz="0" w:space="0" w:color="auto"/>
                <w:left w:val="none" w:sz="0" w:space="0" w:color="auto"/>
                <w:bottom w:val="none" w:sz="0" w:space="0" w:color="auto"/>
                <w:right w:val="none" w:sz="0" w:space="0" w:color="auto"/>
              </w:divBdr>
            </w:div>
            <w:div w:id="1916279842">
              <w:marLeft w:val="0"/>
              <w:marRight w:val="0"/>
              <w:marTop w:val="0"/>
              <w:marBottom w:val="150"/>
              <w:divBdr>
                <w:top w:val="none" w:sz="0" w:space="0" w:color="auto"/>
                <w:left w:val="none" w:sz="0" w:space="0" w:color="auto"/>
                <w:bottom w:val="none" w:sz="0" w:space="0" w:color="auto"/>
                <w:right w:val="none" w:sz="0" w:space="0" w:color="auto"/>
              </w:divBdr>
            </w:div>
            <w:div w:id="1264416604">
              <w:marLeft w:val="0"/>
              <w:marRight w:val="0"/>
              <w:marTop w:val="0"/>
              <w:marBottom w:val="150"/>
              <w:divBdr>
                <w:top w:val="none" w:sz="0" w:space="0" w:color="auto"/>
                <w:left w:val="none" w:sz="0" w:space="0" w:color="auto"/>
                <w:bottom w:val="none" w:sz="0" w:space="0" w:color="auto"/>
                <w:right w:val="none" w:sz="0" w:space="0" w:color="auto"/>
              </w:divBdr>
            </w:div>
            <w:div w:id="798693579">
              <w:marLeft w:val="0"/>
              <w:marRight w:val="0"/>
              <w:marTop w:val="0"/>
              <w:marBottom w:val="150"/>
              <w:divBdr>
                <w:top w:val="none" w:sz="0" w:space="0" w:color="auto"/>
                <w:left w:val="none" w:sz="0" w:space="0" w:color="auto"/>
                <w:bottom w:val="none" w:sz="0" w:space="0" w:color="auto"/>
                <w:right w:val="none" w:sz="0" w:space="0" w:color="auto"/>
              </w:divBdr>
            </w:div>
            <w:div w:id="618147994">
              <w:marLeft w:val="0"/>
              <w:marRight w:val="0"/>
              <w:marTop w:val="0"/>
              <w:marBottom w:val="150"/>
              <w:divBdr>
                <w:top w:val="none" w:sz="0" w:space="0" w:color="auto"/>
                <w:left w:val="none" w:sz="0" w:space="0" w:color="auto"/>
                <w:bottom w:val="none" w:sz="0" w:space="0" w:color="auto"/>
                <w:right w:val="none" w:sz="0" w:space="0" w:color="auto"/>
              </w:divBdr>
            </w:div>
            <w:div w:id="470026764">
              <w:marLeft w:val="0"/>
              <w:marRight w:val="0"/>
              <w:marTop w:val="0"/>
              <w:marBottom w:val="150"/>
              <w:divBdr>
                <w:top w:val="none" w:sz="0" w:space="0" w:color="auto"/>
                <w:left w:val="none" w:sz="0" w:space="0" w:color="auto"/>
                <w:bottom w:val="none" w:sz="0" w:space="0" w:color="auto"/>
                <w:right w:val="none" w:sz="0" w:space="0" w:color="auto"/>
              </w:divBdr>
            </w:div>
            <w:div w:id="31268769">
              <w:marLeft w:val="0"/>
              <w:marRight w:val="0"/>
              <w:marTop w:val="0"/>
              <w:marBottom w:val="150"/>
              <w:divBdr>
                <w:top w:val="none" w:sz="0" w:space="0" w:color="auto"/>
                <w:left w:val="none" w:sz="0" w:space="0" w:color="auto"/>
                <w:bottom w:val="none" w:sz="0" w:space="0" w:color="auto"/>
                <w:right w:val="none" w:sz="0" w:space="0" w:color="auto"/>
              </w:divBdr>
            </w:div>
            <w:div w:id="1925214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31664371">
      <w:bodyDiv w:val="1"/>
      <w:marLeft w:val="0"/>
      <w:marRight w:val="0"/>
      <w:marTop w:val="0"/>
      <w:marBottom w:val="0"/>
      <w:divBdr>
        <w:top w:val="none" w:sz="0" w:space="0" w:color="auto"/>
        <w:left w:val="none" w:sz="0" w:space="0" w:color="auto"/>
        <w:bottom w:val="none" w:sz="0" w:space="0" w:color="auto"/>
        <w:right w:val="none" w:sz="0" w:space="0" w:color="auto"/>
      </w:divBdr>
      <w:divsChild>
        <w:div w:id="906308685">
          <w:marLeft w:val="0"/>
          <w:marRight w:val="0"/>
          <w:marTop w:val="0"/>
          <w:marBottom w:val="0"/>
          <w:divBdr>
            <w:top w:val="none" w:sz="0" w:space="4" w:color="auto"/>
            <w:left w:val="none" w:sz="0" w:space="0" w:color="auto"/>
            <w:bottom w:val="single" w:sz="6" w:space="11" w:color="E4E4E4"/>
            <w:right w:val="none" w:sz="0" w:space="0" w:color="auto"/>
          </w:divBdr>
          <w:divsChild>
            <w:div w:id="397901597">
              <w:marLeft w:val="0"/>
              <w:marRight w:val="0"/>
              <w:marTop w:val="0"/>
              <w:marBottom w:val="0"/>
              <w:divBdr>
                <w:top w:val="none" w:sz="0" w:space="0" w:color="auto"/>
                <w:left w:val="none" w:sz="0" w:space="0" w:color="auto"/>
                <w:bottom w:val="none" w:sz="0" w:space="0" w:color="auto"/>
                <w:right w:val="none" w:sz="0" w:space="0" w:color="auto"/>
              </w:divBdr>
            </w:div>
          </w:divsChild>
        </w:div>
        <w:div w:id="190264449">
          <w:marLeft w:val="0"/>
          <w:marRight w:val="0"/>
          <w:marTop w:val="0"/>
          <w:marBottom w:val="0"/>
          <w:divBdr>
            <w:top w:val="none" w:sz="0" w:space="0" w:color="auto"/>
            <w:left w:val="none" w:sz="0" w:space="0" w:color="auto"/>
            <w:bottom w:val="none" w:sz="0" w:space="0" w:color="auto"/>
            <w:right w:val="none" w:sz="0" w:space="0" w:color="auto"/>
          </w:divBdr>
          <w:divsChild>
            <w:div w:id="1815559930">
              <w:marLeft w:val="0"/>
              <w:marRight w:val="0"/>
              <w:marTop w:val="0"/>
              <w:marBottom w:val="0"/>
              <w:divBdr>
                <w:top w:val="none" w:sz="0" w:space="0" w:color="auto"/>
                <w:left w:val="none" w:sz="0" w:space="0" w:color="auto"/>
                <w:bottom w:val="none" w:sz="0" w:space="0" w:color="auto"/>
                <w:right w:val="none" w:sz="0" w:space="0" w:color="auto"/>
              </w:divBdr>
              <w:divsChild>
                <w:div w:id="1712874496">
                  <w:marLeft w:val="0"/>
                  <w:marRight w:val="0"/>
                  <w:marTop w:val="0"/>
                  <w:marBottom w:val="0"/>
                  <w:divBdr>
                    <w:top w:val="none" w:sz="0" w:space="0" w:color="auto"/>
                    <w:left w:val="none" w:sz="0" w:space="0" w:color="auto"/>
                    <w:bottom w:val="none" w:sz="0" w:space="0" w:color="auto"/>
                    <w:right w:val="none" w:sz="0" w:space="0" w:color="auto"/>
                  </w:divBdr>
                  <w:divsChild>
                    <w:div w:id="280572297">
                      <w:marLeft w:val="0"/>
                      <w:marRight w:val="0"/>
                      <w:marTop w:val="0"/>
                      <w:marBottom w:val="150"/>
                      <w:divBdr>
                        <w:top w:val="none" w:sz="0" w:space="0" w:color="auto"/>
                        <w:left w:val="none" w:sz="0" w:space="0" w:color="auto"/>
                        <w:bottom w:val="none" w:sz="0" w:space="0" w:color="auto"/>
                        <w:right w:val="none" w:sz="0" w:space="0" w:color="auto"/>
                      </w:divBdr>
                      <w:divsChild>
                        <w:div w:id="61159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769664">
      <w:bodyDiv w:val="1"/>
      <w:marLeft w:val="0"/>
      <w:marRight w:val="0"/>
      <w:marTop w:val="0"/>
      <w:marBottom w:val="0"/>
      <w:divBdr>
        <w:top w:val="none" w:sz="0" w:space="0" w:color="auto"/>
        <w:left w:val="none" w:sz="0" w:space="0" w:color="auto"/>
        <w:bottom w:val="none" w:sz="0" w:space="0" w:color="auto"/>
        <w:right w:val="none" w:sz="0" w:space="0" w:color="auto"/>
      </w:divBdr>
      <w:divsChild>
        <w:div w:id="1606230983">
          <w:marLeft w:val="0"/>
          <w:marRight w:val="0"/>
          <w:marTop w:val="0"/>
          <w:marBottom w:val="0"/>
          <w:divBdr>
            <w:top w:val="none" w:sz="0" w:space="0" w:color="auto"/>
            <w:left w:val="none" w:sz="0" w:space="0" w:color="auto"/>
            <w:bottom w:val="none" w:sz="0" w:space="0" w:color="auto"/>
            <w:right w:val="none" w:sz="0" w:space="0" w:color="auto"/>
          </w:divBdr>
          <w:divsChild>
            <w:div w:id="2033916693">
              <w:marLeft w:val="0"/>
              <w:marRight w:val="0"/>
              <w:marTop w:val="300"/>
              <w:marBottom w:val="0"/>
              <w:divBdr>
                <w:top w:val="none" w:sz="0" w:space="0" w:color="auto"/>
                <w:left w:val="none" w:sz="0" w:space="0" w:color="auto"/>
                <w:bottom w:val="none" w:sz="0" w:space="0" w:color="auto"/>
                <w:right w:val="none" w:sz="0" w:space="0" w:color="auto"/>
              </w:divBdr>
            </w:div>
            <w:div w:id="1115439567">
              <w:marLeft w:val="0"/>
              <w:marRight w:val="0"/>
              <w:marTop w:val="0"/>
              <w:marBottom w:val="0"/>
              <w:divBdr>
                <w:top w:val="none" w:sz="0" w:space="0" w:color="auto"/>
                <w:left w:val="none" w:sz="0" w:space="0" w:color="auto"/>
                <w:bottom w:val="none" w:sz="0" w:space="0" w:color="auto"/>
                <w:right w:val="none" w:sz="0" w:space="0" w:color="auto"/>
              </w:divBdr>
              <w:divsChild>
                <w:div w:id="100801183">
                  <w:marLeft w:val="0"/>
                  <w:marRight w:val="0"/>
                  <w:marTop w:val="0"/>
                  <w:marBottom w:val="150"/>
                  <w:divBdr>
                    <w:top w:val="none" w:sz="0" w:space="0" w:color="auto"/>
                    <w:left w:val="none" w:sz="0" w:space="0" w:color="auto"/>
                    <w:bottom w:val="none" w:sz="0" w:space="0" w:color="auto"/>
                    <w:right w:val="none" w:sz="0" w:space="0" w:color="auto"/>
                  </w:divBdr>
                </w:div>
              </w:divsChild>
            </w:div>
            <w:div w:id="2143963972">
              <w:marLeft w:val="0"/>
              <w:marRight w:val="0"/>
              <w:marTop w:val="0"/>
              <w:marBottom w:val="0"/>
              <w:divBdr>
                <w:top w:val="none" w:sz="0" w:space="0" w:color="auto"/>
                <w:left w:val="none" w:sz="0" w:space="0" w:color="auto"/>
                <w:bottom w:val="none" w:sz="0" w:space="0" w:color="auto"/>
                <w:right w:val="none" w:sz="0" w:space="0" w:color="auto"/>
              </w:divBdr>
              <w:divsChild>
                <w:div w:id="91561042">
                  <w:marLeft w:val="0"/>
                  <w:marRight w:val="0"/>
                  <w:marTop w:val="0"/>
                  <w:marBottom w:val="0"/>
                  <w:divBdr>
                    <w:top w:val="none" w:sz="0" w:space="0" w:color="auto"/>
                    <w:left w:val="none" w:sz="0" w:space="0" w:color="auto"/>
                    <w:bottom w:val="none" w:sz="0" w:space="0" w:color="auto"/>
                    <w:right w:val="none" w:sz="0" w:space="0" w:color="auto"/>
                  </w:divBdr>
                  <w:divsChild>
                    <w:div w:id="113934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809844">
              <w:marLeft w:val="0"/>
              <w:marRight w:val="0"/>
              <w:marTop w:val="0"/>
              <w:marBottom w:val="0"/>
              <w:divBdr>
                <w:top w:val="none" w:sz="0" w:space="0" w:color="auto"/>
                <w:left w:val="none" w:sz="0" w:space="0" w:color="auto"/>
                <w:bottom w:val="none" w:sz="0" w:space="0" w:color="auto"/>
                <w:right w:val="none" w:sz="0" w:space="0" w:color="auto"/>
              </w:divBdr>
            </w:div>
            <w:div w:id="1808283132">
              <w:marLeft w:val="0"/>
              <w:marRight w:val="0"/>
              <w:marTop w:val="0"/>
              <w:marBottom w:val="0"/>
              <w:divBdr>
                <w:top w:val="none" w:sz="0" w:space="0" w:color="auto"/>
                <w:left w:val="none" w:sz="0" w:space="0" w:color="auto"/>
                <w:bottom w:val="none" w:sz="0" w:space="0" w:color="auto"/>
                <w:right w:val="none" w:sz="0" w:space="0" w:color="auto"/>
              </w:divBdr>
              <w:divsChild>
                <w:div w:id="131559581">
                  <w:marLeft w:val="0"/>
                  <w:marRight w:val="0"/>
                  <w:marTop w:val="0"/>
                  <w:marBottom w:val="0"/>
                  <w:divBdr>
                    <w:top w:val="none" w:sz="0" w:space="0" w:color="auto"/>
                    <w:left w:val="none" w:sz="0" w:space="0" w:color="auto"/>
                    <w:bottom w:val="none" w:sz="0" w:space="0" w:color="auto"/>
                    <w:right w:val="none" w:sz="0" w:space="0" w:color="auto"/>
                  </w:divBdr>
                  <w:divsChild>
                    <w:div w:id="195520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246127">
              <w:marLeft w:val="0"/>
              <w:marRight w:val="0"/>
              <w:marTop w:val="0"/>
              <w:marBottom w:val="0"/>
              <w:divBdr>
                <w:top w:val="none" w:sz="0" w:space="0" w:color="auto"/>
                <w:left w:val="none" w:sz="0" w:space="0" w:color="auto"/>
                <w:bottom w:val="none" w:sz="0" w:space="0" w:color="auto"/>
                <w:right w:val="none" w:sz="0" w:space="0" w:color="auto"/>
              </w:divBdr>
            </w:div>
            <w:div w:id="139813264">
              <w:marLeft w:val="0"/>
              <w:marRight w:val="0"/>
              <w:marTop w:val="0"/>
              <w:marBottom w:val="0"/>
              <w:divBdr>
                <w:top w:val="none" w:sz="0" w:space="0" w:color="auto"/>
                <w:left w:val="none" w:sz="0" w:space="0" w:color="auto"/>
                <w:bottom w:val="none" w:sz="0" w:space="0" w:color="auto"/>
                <w:right w:val="none" w:sz="0" w:space="0" w:color="auto"/>
              </w:divBdr>
              <w:divsChild>
                <w:div w:id="1372922973">
                  <w:marLeft w:val="0"/>
                  <w:marRight w:val="0"/>
                  <w:marTop w:val="0"/>
                  <w:marBottom w:val="0"/>
                  <w:divBdr>
                    <w:top w:val="none" w:sz="0" w:space="0" w:color="auto"/>
                    <w:left w:val="none" w:sz="0" w:space="0" w:color="auto"/>
                    <w:bottom w:val="none" w:sz="0" w:space="0" w:color="auto"/>
                    <w:right w:val="none" w:sz="0" w:space="0" w:color="auto"/>
                  </w:divBdr>
                  <w:divsChild>
                    <w:div w:id="138097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914695">
              <w:marLeft w:val="0"/>
              <w:marRight w:val="0"/>
              <w:marTop w:val="0"/>
              <w:marBottom w:val="0"/>
              <w:divBdr>
                <w:top w:val="none" w:sz="0" w:space="0" w:color="auto"/>
                <w:left w:val="none" w:sz="0" w:space="0" w:color="auto"/>
                <w:bottom w:val="none" w:sz="0" w:space="0" w:color="auto"/>
                <w:right w:val="none" w:sz="0" w:space="0" w:color="auto"/>
              </w:divBdr>
            </w:div>
            <w:div w:id="1056318561">
              <w:marLeft w:val="0"/>
              <w:marRight w:val="0"/>
              <w:marTop w:val="0"/>
              <w:marBottom w:val="0"/>
              <w:divBdr>
                <w:top w:val="none" w:sz="0" w:space="0" w:color="auto"/>
                <w:left w:val="none" w:sz="0" w:space="0" w:color="auto"/>
                <w:bottom w:val="none" w:sz="0" w:space="0" w:color="auto"/>
                <w:right w:val="none" w:sz="0" w:space="0" w:color="auto"/>
              </w:divBdr>
              <w:divsChild>
                <w:div w:id="635260004">
                  <w:marLeft w:val="0"/>
                  <w:marRight w:val="0"/>
                  <w:marTop w:val="0"/>
                  <w:marBottom w:val="0"/>
                  <w:divBdr>
                    <w:top w:val="none" w:sz="0" w:space="0" w:color="auto"/>
                    <w:left w:val="none" w:sz="0" w:space="0" w:color="auto"/>
                    <w:bottom w:val="none" w:sz="0" w:space="0" w:color="auto"/>
                    <w:right w:val="none" w:sz="0" w:space="0" w:color="auto"/>
                  </w:divBdr>
                  <w:divsChild>
                    <w:div w:id="13326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341814">
              <w:marLeft w:val="0"/>
              <w:marRight w:val="0"/>
              <w:marTop w:val="0"/>
              <w:marBottom w:val="0"/>
              <w:divBdr>
                <w:top w:val="none" w:sz="0" w:space="0" w:color="auto"/>
                <w:left w:val="none" w:sz="0" w:space="0" w:color="auto"/>
                <w:bottom w:val="none" w:sz="0" w:space="0" w:color="auto"/>
                <w:right w:val="none" w:sz="0" w:space="0" w:color="auto"/>
              </w:divBdr>
            </w:div>
            <w:div w:id="853878158">
              <w:marLeft w:val="0"/>
              <w:marRight w:val="0"/>
              <w:marTop w:val="0"/>
              <w:marBottom w:val="0"/>
              <w:divBdr>
                <w:top w:val="none" w:sz="0" w:space="0" w:color="auto"/>
                <w:left w:val="none" w:sz="0" w:space="0" w:color="auto"/>
                <w:bottom w:val="none" w:sz="0" w:space="0" w:color="auto"/>
                <w:right w:val="none" w:sz="0" w:space="0" w:color="auto"/>
              </w:divBdr>
              <w:divsChild>
                <w:div w:id="1291472883">
                  <w:marLeft w:val="0"/>
                  <w:marRight w:val="0"/>
                  <w:marTop w:val="0"/>
                  <w:marBottom w:val="0"/>
                  <w:divBdr>
                    <w:top w:val="none" w:sz="0" w:space="0" w:color="auto"/>
                    <w:left w:val="none" w:sz="0" w:space="0" w:color="auto"/>
                    <w:bottom w:val="none" w:sz="0" w:space="0" w:color="auto"/>
                    <w:right w:val="none" w:sz="0" w:space="0" w:color="auto"/>
                  </w:divBdr>
                  <w:divsChild>
                    <w:div w:id="51322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6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javascript:void(0)" TargetMode="External"/><Relationship Id="rId18" Type="http://schemas.openxmlformats.org/officeDocument/2006/relationships/hyperlink" Target="https://nld.com.vn/lao-dong.html" TargetMode="External"/><Relationship Id="rId3" Type="http://schemas.openxmlformats.org/officeDocument/2006/relationships/webSettings" Target="webSettings.xml"/><Relationship Id="rId7" Type="http://schemas.openxmlformats.org/officeDocument/2006/relationships/hyperlink" Target="https://tapchitaichinh.vn/nghien-cuu-trao-doi/doi-moi-mo-hinh-tang-truong-nang-cao-suc-canh-tranh-cua-nen-kinh-te-117942.html" TargetMode="External"/><Relationship Id="rId12" Type="http://schemas.openxmlformats.org/officeDocument/2006/relationships/image" Target="media/image5.jpeg"/><Relationship Id="rId17" Type="http://schemas.openxmlformats.org/officeDocument/2006/relationships/hyperlink" Target="https://nld.com.vn/cong-doan.htm"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apchitaichinh.vn/nghien-cuu--trao-doi/trao-doi-binh-luan/hoan-thien-the-che-kinh-te-thi-truong-dinh-huong-xa-hoi-chu-nghia-117983.html" TargetMode="External"/><Relationship Id="rId11" Type="http://schemas.openxmlformats.org/officeDocument/2006/relationships/image" Target="media/image4.jpeg"/><Relationship Id="rId5" Type="http://schemas.openxmlformats.org/officeDocument/2006/relationships/hyperlink" Target="https://tapchitaichinh.vn/nghien-cuu--trao-doi/trao-doi-binh-luan/kinh-nghiem-quoc-te-ve-xay-dung-phap-luat-canh-tranh-118096.html" TargetMode="External"/><Relationship Id="rId15" Type="http://schemas.openxmlformats.org/officeDocument/2006/relationships/hyperlink" Target="javascript:void(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hyperlink" Target="javascript:void(0)" TargetMode="External"/><Relationship Id="rId9" Type="http://schemas.openxmlformats.org/officeDocument/2006/relationships/image" Target="media/image2.jpeg"/><Relationship Id="rId14" Type="http://schemas.openxmlformats.org/officeDocument/2006/relationships/hyperlink" Target="http://lapphap.vn/pages/tintuc/printpage.aspx?tintucID=2106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30</Pages>
  <Words>15052</Words>
  <Characters>85801</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cp:lastPrinted>2021-05-06T08:51:00Z</cp:lastPrinted>
  <dcterms:created xsi:type="dcterms:W3CDTF">2021-05-06T08:36:00Z</dcterms:created>
  <dcterms:modified xsi:type="dcterms:W3CDTF">2021-05-06T09:17:00Z</dcterms:modified>
</cp:coreProperties>
</file>