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giảng dạy môn Giáo dục chính trị tại trường Cao đẳng Lý Tự Trọng thành phố Hồ Chí Minh: </w:t>
      </w:r>
    </w:p>
    <w:p>
      <w:pPr>
        <w:spacing w:after="0" w:line="240" w:lineRule="auto"/>
        <w:ind w:firstLine="283"/>
        <w:jc w:val="both"/>
        <w:rPr>
          <w:rFonts w:ascii="Times New Roman" w:hAnsi="Times New Roman" w:cs="Times New Roman"/>
          <w:i/>
          <w:sz w:val="28"/>
          <w:szCs w:val="28"/>
        </w:rPr>
      </w:pPr>
      <w:r>
        <w:rPr>
          <w:rFonts w:ascii="Times New Roman" w:hAnsi="Times New Roman" w:cs="Times New Roman"/>
          <w:i/>
          <w:sz w:val="28"/>
          <w:szCs w:val="28"/>
        </w:rPr>
        <w:t>Thứ nhất, xây dựng chương trình, kế hoạch phát triển đội ngũ giảng viên hợp lý hơn, hiệu quả hơn.</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Lập kế hoạch, xây dựng chương trình phát triển đội ngũ giảng viên cần có cái nhìn tổng thể, toàn diện.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tạo nguồn, xây dựng quy hoạch, kế hoạch tổng thể dài hạn kết hợp với kế hoạch hàng năm bảo đảm cho công tác phát triển đội ngũ giảng viên đủ về số lượng, cao về trình độ, đáp ứng được cả nhiệm vụ trước mắt và lâu dài. Hàng năm có kế hoạch đào tạo, bồi dưỡng, kèm cặp những giảng viên trẻ để họ nhanh chóng trưởng thành và giúp đỡ những giảng viên lớn tuổi đặc biệt về công nghệ mới để họ hoàn thành tốt nhiệm vụ. Gắn nhiệm vụ nghiên cứu khoa học với việc bòi dưỡng đào tạo giảng viên.</w:t>
      </w:r>
    </w:p>
    <w:p>
      <w:pPr>
        <w:spacing w:after="0" w:line="240" w:lineRule="auto"/>
        <w:ind w:firstLine="283"/>
        <w:jc w:val="both"/>
        <w:rPr>
          <w:rFonts w:ascii="Times New Roman" w:hAnsi="Times New Roman" w:cs="Times New Roman"/>
          <w:i/>
          <w:sz w:val="28"/>
          <w:szCs w:val="28"/>
        </w:rPr>
      </w:pPr>
      <w:r>
        <w:rPr>
          <w:rFonts w:ascii="Times New Roman" w:hAnsi="Times New Roman" w:cs="Times New Roman"/>
          <w:i/>
          <w:sz w:val="28"/>
          <w:szCs w:val="28"/>
        </w:rPr>
        <w:t xml:space="preserve">Thứ hai, xây dựng kế hoạch sử dụng và đánh giá đội ngũ giảng viên hiệu quả </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Cần có phương pháp sử dụng tốt đội ngũ giảng viên,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(trên cơ sở Thông tư số 03/2018/TT-BLĐTBXH ngày 15/6/2018 của Bộ Lao động Thương binh và Xã hội). Sau khi đánh giá cũng cần cho giảng viên được biết kết quả để học thấy được ưu điểm và hạn chế, thấy được những việc mình làm chưa hiệu quả để cố gắng hoàn thiện bản thân.</w:t>
      </w:r>
    </w:p>
    <w:p>
      <w:pPr>
        <w:spacing w:after="0" w:line="240" w:lineRule="auto"/>
        <w:ind w:firstLine="283"/>
        <w:jc w:val="both"/>
        <w:rPr>
          <w:rFonts w:ascii="Times New Roman" w:hAnsi="Times New Roman" w:cs="Times New Roman"/>
          <w:i/>
          <w:sz w:val="28"/>
          <w:szCs w:val="28"/>
        </w:rPr>
      </w:pPr>
      <w:r>
        <w:rPr>
          <w:rFonts w:ascii="Times New Roman" w:hAnsi="Times New Roman" w:cs="Times New Roman"/>
          <w:i/>
          <w:sz w:val="28"/>
          <w:szCs w:val="28"/>
        </w:rPr>
        <w:t xml:space="preserve">Thứ ba, chú trọng việc xây dựng đội ngũ giảng viên có trình độ chuyên môn nghiệp vụ cao. </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Xuất phát từ thực tiễn về trình độ chuyên môn, tin học, ngoại ngữ của giảng viên giảng dạy môn Giáo dục chính trị tại trường hiện nay, 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là hết sức cần thiết. Xây dựng đội ngũ giảng viên có trình độ chuyên môn cao, đầu đàn là lực lượng đầu tàu về chất lượng, đội ngũ đủ sức đảm nhiệm những nhiệm vụ khó khăn, yêu cầu cao, thúc đẩy sự phát triển của trường. Đội ngũ 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Phấn đấu trong một vài năm tới sẽ có khoảng 40% giảng viên giảng dạy bộ môn Giáo dục chính trị theo học trình độ tiến sĩ, 80% giảng viên có trình độ văn bằng 2 ngoại ngữ hoặc chứng chỉ ngoại ngữ 350 Toeic hoặc tương đương trở lên, 100% giảng viên đạt chuẩn tin học IC3. Nhà trường cần có kế hoạch rà soát trình độ của giảng viên để từ đó lên kế hoạch đào tạo bồi dưỡng cho hợp lý. Cần duy trì thường xuyên và định kì các hoạt động dự giờ, thao giảng, hội giảng, thi giảng viên dạy giỏi, cũng như các hoạt động sinh hoạt chuyên môn, nghiên cứu khoa học, hội thảo chuyên đề nhằm nâng cao trình độ cho giảng viên. Cần có biện pháp ưu ái và chính sách hỗ trợ cả về kinh tế, thời gian và tinh thần cho các giảng viên tích cực nâng cao trình độ chuyên môn. </w:t>
      </w:r>
    </w:p>
    <w:p>
      <w:pPr>
        <w:spacing w:after="0" w:line="240" w:lineRule="auto"/>
        <w:ind w:firstLine="283"/>
        <w:jc w:val="both"/>
        <w:rPr>
          <w:rFonts w:ascii="Times New Roman" w:hAnsi="Times New Roman" w:cs="Times New Roman"/>
          <w:i/>
          <w:sz w:val="28"/>
          <w:szCs w:val="28"/>
        </w:rPr>
      </w:pPr>
      <w:r>
        <w:rPr>
          <w:rFonts w:ascii="Times New Roman" w:hAnsi="Times New Roman" w:cs="Times New Roman"/>
          <w:i/>
          <w:sz w:val="28"/>
          <w:szCs w:val="28"/>
        </w:rPr>
        <w:t xml:space="preserve">Thứ tư, tổ chức đào tạo, bồi dưỡng, thực hiện chuẩn hóa đội ngũ giảng viên </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chức các bài tập tình huống. Nâng cao trách nhiệm, hiệu quả của công tác quản lý, chỉ đạo của lãnh đạo khoa và trường, kết hợp chặt chẽ với cấp uỷ, chính quyền quản lý và kiểm tra kết quả đào tạo, bồi dưỡng giảng viên. Phát huy vai trò chủ động tích cực của bản thân giảng viên.</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Triển khai xây dựng khung năng lực giảng viên tại trường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Cùng với nhiệm vụ đào tạo thì bồi dưỡng đội ngũ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như cập nhật những vấn đề mới về chủ trương quan điểm của Đảng, chính sách, pháp luật của nhà nước cũng như cập nhật những thực tiễn mới về kinh tế, chính trị, xã hội trong và ngoài nước. Căn cứ vào nội dung bồi dưỡng có thể tổ chức cấp khoa hoặc trường, mời các chuyên gia về các lĩnh vực với các hình thức: Hội thảo chuyên đề, xêmina khoa học, thông tin khoa học, tập huấn hàng năm; tổ chức hội thảo cấp khoa, sinh hoạt tổ chuyên môn và giảng viên tự học, tự bồi dưỡng...</w:t>
      </w:r>
    </w:p>
    <w:p>
      <w:pPr>
        <w:spacing w:after="0" w:line="240" w:lineRule="auto"/>
        <w:ind w:firstLine="283"/>
        <w:jc w:val="both"/>
        <w:rPr>
          <w:rFonts w:ascii="Times New Roman" w:hAnsi="Times New Roman" w:cs="Times New Roman"/>
          <w:i/>
          <w:sz w:val="28"/>
          <w:szCs w:val="28"/>
        </w:rPr>
      </w:pPr>
      <w:r>
        <w:rPr>
          <w:rFonts w:ascii="Times New Roman" w:hAnsi="Times New Roman" w:cs="Times New Roman"/>
          <w:i/>
          <w:sz w:val="28"/>
          <w:szCs w:val="28"/>
        </w:rPr>
        <w:t xml:space="preserve">Thứ năm, tăng cường đầu tư kinh phí, nâng cấp cơ sở vật chất, hiện đại hoá các phương tiện dạy học. </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Đổi mới hơn nữa chế độ đãi ngộ đối với đội ngũ giảng viên nhất là những chính sách về tiền lương. Tăng nguồn đầu tư ngân sách cho đào tạo, bồi dưỡng. Thực hiện công bằng trong đào tạo, bồi dưỡng; đảm bảo cho giảng viên giỏi phát triển tài năng. Tăng cường hợp tác để thực hiện chuyển giao, hiện đại hóa các phương tiện dạy học.</w:t>
      </w:r>
    </w:p>
    <w:p>
      <w:pPr>
        <w:spacing w:after="0" w:line="240" w:lineRule="auto"/>
        <w:ind w:firstLine="283"/>
        <w:jc w:val="both"/>
        <w:rPr>
          <w:rFonts w:ascii="Times New Roman" w:hAnsi="Times New Roman" w:cs="Times New Roman"/>
          <w:i/>
          <w:sz w:val="28"/>
          <w:szCs w:val="28"/>
        </w:rPr>
      </w:pPr>
      <w:r>
        <w:rPr>
          <w:rFonts w:ascii="Times New Roman" w:hAnsi="Times New Roman" w:cs="Times New Roman"/>
          <w:i/>
          <w:sz w:val="28"/>
          <w:szCs w:val="28"/>
        </w:rPr>
        <w:t>Thứ sáu, xây dựng môi trường làm việc văn hóa, tạo điều kiện thuận lợi cho giảng viên.</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Tạo môi trường làm việc thân thiện, vui vẻ và thuận lợi để các giảng viên cảm thấy khoa và trường như là “ngôi nhà thứ hai” của mình. Môi trường làm việc thuận lợi là các cơ sở vật chất, trang thiết bị phải đầy đủ đáp ứng nhu cầu giảng dạy và nghiên cứu của giảng viên. Nhà trường cũng cần thực hiện các chính sách về lương, thưởng, định mức giờ dạy, chế độ nghỉ ngơi ưu đãi thuận tiện cho giảng viên làm việc và cống hiến hết mình. Khoa và nhà trường cần có kế hoạch sử dụng nhân lực cho phù hợp với năng lực và sở trưởng của từng giảng viên. Cần tạo ra môi trường làm việc mà người giảng viên được bình đẳng về quyền lợi và nhiệm vụ, tôn trọng về ý kiến và dân chủ thực sự để giảng viên có thể nói lên ý kiến thực của mình nhằm góp phần xây dựng tập thể vững mạnh cũng như nhận thấy những hạn chế của từng cá nhân để khác phục. Ngoài ra, trường cũng cần xây dựng nội quy văn hóa ứng xử công sở và các hoạt động phong trào thể dục, thể thao, văn nghệ, giải trí để tạo ra bầu không khí thoải mái và đoàn kết giữa các giảng viên.</w:t>
      </w:r>
    </w:p>
    <w:p>
      <w:pPr>
        <w:spacing w:after="0" w:line="240" w:lineRule="auto"/>
        <w:ind w:firstLine="283"/>
        <w:jc w:val="both"/>
        <w:rPr>
          <w:rFonts w:hint="default" w:ascii="Times New Roman" w:hAnsi="Times New Roman" w:cs="Times New Roman"/>
          <w:sz w:val="28"/>
          <w:szCs w:val="28"/>
          <w:lang w:val="en-US"/>
        </w:rPr>
      </w:pPr>
      <w:r>
        <w:rPr>
          <w:rFonts w:hint="default" w:ascii="Times New Roman" w:hAnsi="Times New Roman" w:cs="Times New Roman"/>
          <w:i/>
          <w:iCs/>
          <w:sz w:val="28"/>
          <w:szCs w:val="28"/>
          <w:lang w:val="en-US"/>
        </w:rPr>
        <w:t>Thứ bảy:</w:t>
      </w:r>
      <w:r>
        <w:rPr>
          <w:rFonts w:hint="default" w:ascii="Times New Roman" w:hAnsi="Times New Roman" w:cs="Times New Roman"/>
          <w:sz w:val="28"/>
          <w:szCs w:val="28"/>
          <w:lang w:val="en-US"/>
        </w:rPr>
        <w:t xml:space="preserve"> Bản thân mỗi GV </w:t>
      </w:r>
      <w:bookmarkStart w:id="0" w:name="_GoBack"/>
      <w:bookmarkEnd w:id="0"/>
      <w:r>
        <w:rPr>
          <w:rFonts w:hint="default" w:ascii="Times New Roman" w:hAnsi="Times New Roman" w:cs="Times New Roman"/>
          <w:sz w:val="28"/>
          <w:szCs w:val="28"/>
          <w:lang w:val="en-US"/>
        </w:rPr>
        <w:t>phải nỗ lực không ngừng học tập nghiên cứu nâng cao trình độ của bản thân về mọi mắt để đáp ứng yêu cầu của CMCN4.0</w:t>
      </w:r>
    </w:p>
    <w:p>
      <w:pPr>
        <w:spacing w:before="40" w:after="0" w:line="240" w:lineRule="auto"/>
        <w:jc w:val="both"/>
        <w:rPr>
          <w:rFonts w:ascii="Times New Roman" w:hAnsi="Times New Roman" w:cs="Times New Roman"/>
          <w:b/>
          <w:spacing w:val="-4"/>
          <w:w w:val="98"/>
          <w:sz w:val="28"/>
          <w:szCs w:val="28"/>
        </w:rPr>
      </w:pPr>
      <w:r>
        <w:rPr>
          <w:rFonts w:ascii="Times New Roman" w:hAnsi="Times New Roman" w:cs="Times New Roman"/>
          <w:b/>
          <w:spacing w:val="-4"/>
          <w:w w:val="98"/>
          <w:sz w:val="28"/>
          <w:szCs w:val="28"/>
        </w:rPr>
        <w:t>3. Kết luận</w:t>
      </w:r>
    </w:p>
    <w:p>
      <w:pPr>
        <w:spacing w:after="0" w:line="240" w:lineRule="auto"/>
        <w:ind w:firstLine="283"/>
        <w:jc w:val="both"/>
        <w:rPr>
          <w:rFonts w:ascii="Times New Roman" w:hAnsi="Times New Roman" w:cs="Times New Roman"/>
          <w:sz w:val="28"/>
          <w:szCs w:val="28"/>
        </w:rPr>
      </w:pPr>
      <w:r>
        <w:rPr>
          <w:rFonts w:ascii="Times New Roman" w:hAnsi="Times New Roman" w:cs="Times New Roman"/>
          <w:sz w:val="28"/>
          <w:szCs w:val="28"/>
        </w:rPr>
        <w:t>Tóm lại, tác động của cuộc cách mạng công nghiệp 4.0 diễn ra trên nhiều lĩnh vực, trong đó có giáo dục - đào tạo. Để đáp ứng được yêu cầu đâò tạo nguồn nhân lực trong bối cảnh cách mạng công nghiệp 4.0, trường Cao đẳng Lý Tự Trọng thành phố Hồ Chí Minh nói chung và đội ngũ giảng viên giảng dạy môn Giáo dục chính trị nói riêng cần phải nhanh chóng thay đổi phương thức đào tạo, giảng dạy cho phù hợp với xu hướng phát triển của thế giới theo sự phát triển mạnh mẽ của khoa học và công nghệ thông tin. Giảng viên giảng dạy môn Giáo dục chính trị tại trường  Cao đẳng Lý Tự Trọng thành phố Hồ Chí Minh cần phải chủ động tham gia và ứng dụng những thành tựu của khoa học - công nghệ vào việc nâng cao hiệu quả công tác giảng dạy, từ đó góp phần đào tạo được nguồn nhân lực có số lượng, chất lượng cao, đáp ứng yêu cầu mới của cuộc cách mạng công nghiệp 4.0 đang diễn ra như vũ bão hiện nay./</w:t>
      </w:r>
    </w:p>
    <w:p>
      <w:pPr>
        <w:rPr>
          <w:sz w:val="28"/>
          <w:szCs w:val="28"/>
        </w:rPr>
      </w:pPr>
    </w:p>
    <w:sectPr>
      <w:pgSz w:w="11906" w:h="16838"/>
      <w:pgMar w:top="1440" w:right="1086" w:bottom="1440" w:left="9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581F4A"/>
    <w:rsid w:val="75581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Office_11.2.0.10223_F1E327BC-269C-435d-A152-05C5408002CA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2021-08-12T02:55:00Z</dcterms:created>
  <dc:creator>DELL</dc:creator>
  <cp:lastModifiedBy>DELL</cp:lastModifiedBy>
  <dcterms:modified xsi:type="dcterms:W3CDTF">2021-08-12T03:03:29Z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1033-11.2.0.10223</vt:lpwstr>
  </property>
</Properties>
</file>