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after="0" w:line="240" w:lineRule="auto"/>
        <w:jc w:val="center"/>
        <w:outlineLvl w:val="0"/>
        <w:rPr>
          <w:rFonts w:ascii="Times New Roman" w:hAnsi="Times New Roman" w:cs="Times New Roman" w:eastAsiaTheme="minorEastAsia"/>
          <w:spacing w:val="-4"/>
          <w:w w:val="98"/>
          <w:kern w:val="32"/>
          <w:sz w:val="26"/>
          <w:szCs w:val="26"/>
          <w:lang w:eastAsia="vi-VN"/>
        </w:rPr>
      </w:pPr>
      <w:r>
        <w:rPr>
          <w:rFonts w:ascii="Times New Roman" w:hAnsi="Times New Roman" w:cs="Times New Roman"/>
          <w:b/>
          <w:bCs/>
          <w:sz w:val="26"/>
          <w:szCs w:val="26"/>
        </w:rPr>
        <w:t xml:space="preserve">PHÂN TÍCH PHÁT TRIỂN NGHỀ NGHIỆP CỦA ĐỘI NGŨ GIẢNG VIÊN </w:t>
      </w:r>
      <w:r>
        <w:rPr>
          <w:rFonts w:ascii="Times New Roman" w:hAnsi="Times New Roman"/>
          <w:sz w:val="26"/>
          <w:szCs w:val="26"/>
        </w:rPr>
        <w:t>ANALYSIS OF CAREER DEVELOPMENT OF TEACHERS</w:t>
      </w:r>
    </w:p>
    <w:p>
      <w:pPr>
        <w:widowControl w:val="0"/>
        <w:spacing w:after="0" w:line="240" w:lineRule="auto"/>
        <w:jc w:val="center"/>
        <w:outlineLvl w:val="0"/>
        <w:rPr>
          <w:rFonts w:ascii="Times New Roman" w:hAnsi="Times New Roman" w:cs="Times New Roman" w:eastAsiaTheme="minorEastAsia"/>
          <w:i/>
          <w:spacing w:val="-4"/>
          <w:w w:val="98"/>
          <w:kern w:val="32"/>
          <w:sz w:val="26"/>
          <w:szCs w:val="26"/>
          <w:lang w:eastAsia="vi-VN"/>
        </w:rPr>
      </w:pPr>
    </w:p>
    <w:tbl>
      <w:tblPr>
        <w:tblStyle w:val="14"/>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281"/>
        <w:gridCol w:w="6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Hoàng Văn Viết</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p>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Thanh Dũng</w:t>
            </w:r>
            <w:r>
              <w:rPr>
                <w:rFonts w:ascii="Times New Roman" w:hAnsi="Times New Roman" w:cs="Times New Roman"/>
                <w:b/>
                <w:spacing w:val="-4"/>
                <w:w w:val="98"/>
                <w:sz w:val="21"/>
                <w:szCs w:val="26"/>
                <w:vertAlign w:val="superscript"/>
              </w:rPr>
              <w:t>2</w:t>
            </w:r>
            <w:r>
              <w:rPr>
                <w:rFonts w:ascii="Times New Roman" w:hAnsi="Times New Roman" w:cs="Times New Roman"/>
                <w:b/>
                <w:spacing w:val="-4"/>
                <w:w w:val="98"/>
                <w:sz w:val="21"/>
                <w:szCs w:val="26"/>
              </w:rPr>
              <w:t xml:space="preserve"> </w:t>
            </w:r>
          </w:p>
        </w:tc>
        <w:tc>
          <w:tcPr>
            <w:tcW w:w="281" w:type="dxa"/>
            <w:vMerge w:val="restart"/>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vertAlign w:val="superscript"/>
              </w:rPr>
              <w:t>1,2</w:t>
            </w:r>
            <w:r>
              <w:rPr>
                <w:rFonts w:ascii="Times New Roman" w:hAnsi="Times New Roman" w:cs="Times New Roman"/>
                <w:spacing w:val="-4"/>
                <w:w w:val="98"/>
                <w:sz w:val="21"/>
                <w:szCs w:val="26"/>
              </w:rPr>
              <w:t xml:space="preserve">Trường Cao đẳng Lý Tự Trọng TP. HCM </w:t>
            </w:r>
          </w:p>
          <w:p>
            <w:pPr>
              <w:spacing w:before="40" w:after="0" w:line="240" w:lineRule="auto"/>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Email: hoangvanviethd@gmail.com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after="0" w:line="240" w:lineRule="auto"/>
              <w:ind w:left="29"/>
              <w:jc w:val="both"/>
              <w:rPr>
                <w:rFonts w:ascii="Times New Roman" w:hAnsi="Times New Roman" w:cs="Times New Roman"/>
                <w:i/>
                <w:spacing w:val="-4"/>
                <w:w w:val="98"/>
                <w:sz w:val="21"/>
                <w:szCs w:val="26"/>
              </w:rPr>
            </w:pPr>
          </w:p>
        </w:tc>
        <w:tc>
          <w:tcPr>
            <w:tcW w:w="281" w:type="dxa"/>
            <w:vMerge w:val="continue"/>
            <w:vAlign w:val="center"/>
          </w:tcPr>
          <w:p>
            <w:pPr>
              <w:spacing w:before="40" w:after="0" w:line="240" w:lineRule="auto"/>
              <w:jc w:val="both"/>
              <w:rPr>
                <w:rFonts w:ascii="Times New Roman" w:hAnsi="Times New Roman" w:cs="Times New Roman"/>
                <w:spacing w:val="-4"/>
                <w:w w:val="98"/>
                <w:sz w:val="21"/>
                <w:szCs w:val="26"/>
              </w:rPr>
            </w:pPr>
          </w:p>
        </w:tc>
        <w:tc>
          <w:tcPr>
            <w:tcW w:w="6239" w:type="dxa"/>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2552" w:type="dxa"/>
            <w:shd w:val="clear" w:color="auto" w:fill="FFFFFF" w:themeFill="background1"/>
          </w:tcPr>
          <w:p>
            <w:pPr>
              <w:spacing w:after="0" w:line="240" w:lineRule="auto"/>
              <w:jc w:val="both"/>
              <w:rPr>
                <w:rFonts w:ascii="Times New Roman" w:hAnsi="Times New Roman" w:cs="Times New Roman"/>
                <w:b/>
                <w:spacing w:val="-4"/>
                <w:w w:val="98"/>
                <w:sz w:val="21"/>
                <w:szCs w:val="26"/>
              </w:rPr>
            </w:pPr>
            <w:r>
              <w:rPr>
                <w:rFonts w:ascii="Times New Roman" w:hAnsi="Times New Roman" w:eastAsiaTheme="minorEastAsia" w:cstheme="majorHAnsi"/>
                <w:b/>
                <w:bCs/>
                <w:spacing w:val="-4"/>
                <w:w w:val="98"/>
                <w:sz w:val="21"/>
                <w:szCs w:val="21"/>
              </w:rPr>
              <w:t>Keywords:</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rPr>
                <w:rFonts w:ascii="Times New Roman" w:hAnsi="Times New Roman" w:cs="Times New Roman"/>
                <w:b/>
                <w:spacing w:val="-4"/>
                <w:w w:val="98"/>
                <w:sz w:val="21"/>
                <w:szCs w:val="26"/>
              </w:rPr>
            </w:pPr>
          </w:p>
        </w:tc>
        <w:tc>
          <w:tcPr>
            <w:tcW w:w="6239" w:type="dxa"/>
            <w:tcBorders>
              <w:left w:val="single" w:color="3F3F3F" w:themeColor="text1" w:themeTint="BF" w:sz="18" w:space="0"/>
            </w:tcBorders>
            <w:shd w:val="clear" w:color="auto" w:fill="D0CECE" w:themeFill="background2" w:themeFillShade="E6"/>
            <w:vAlign w:val="center"/>
          </w:tcPr>
          <w:p>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2552" w:type="dxa"/>
          </w:tcPr>
          <w:p>
            <w:pPr>
              <w:spacing w:before="40" w:after="0" w:line="240" w:lineRule="auto"/>
              <w:ind w:left="28"/>
              <w:rPr>
                <w:rFonts w:ascii="Times New Roman" w:hAnsi="Times New Roman" w:cs="Times New Roman"/>
                <w:spacing w:val="-4"/>
                <w:w w:val="98"/>
                <w:sz w:val="21"/>
                <w:szCs w:val="26"/>
              </w:rPr>
            </w:pPr>
            <w:r>
              <w:rPr>
                <w:rFonts w:ascii="Times New Roman" w:hAnsi="Times New Roman" w:cs="Times New Roman"/>
                <w:i/>
                <w:iCs/>
                <w:sz w:val="21"/>
                <w:szCs w:val="21"/>
              </w:rPr>
              <w:t>Giáo dục nghề nghiệp, phát triển nghề nghiệp, đội ngũ giáo viên cao đẳng, college</w:t>
            </w:r>
            <w:r>
              <w:rPr>
                <w:rFonts w:ascii="Times New Roman" w:hAnsi="Times New Roman" w:cs="Times New Roman"/>
                <w:i/>
                <w:iCs/>
                <w:spacing w:val="-2"/>
                <w:sz w:val="21"/>
                <w:szCs w:val="21"/>
              </w:rPr>
              <w:t xml:space="preserve"> </w:t>
            </w:r>
            <w:r>
              <w:rPr>
                <w:rFonts w:ascii="Times New Roman" w:hAnsi="Times New Roman" w:cs="Times New Roman"/>
                <w:i/>
                <w:iCs/>
                <w:sz w:val="21"/>
                <w:szCs w:val="21"/>
              </w:rPr>
              <w:t>teachers, professional</w:t>
            </w:r>
            <w:r>
              <w:rPr>
                <w:rFonts w:ascii="Times New Roman" w:hAnsi="Times New Roman" w:cs="Times New Roman"/>
                <w:i/>
                <w:iCs/>
                <w:spacing w:val="-2"/>
                <w:sz w:val="21"/>
                <w:szCs w:val="21"/>
              </w:rPr>
              <w:t xml:space="preserve"> </w:t>
            </w:r>
            <w:r>
              <w:rPr>
                <w:rFonts w:ascii="Times New Roman" w:hAnsi="Times New Roman" w:cs="Times New Roman"/>
                <w:i/>
                <w:iCs/>
                <w:sz w:val="21"/>
                <w:szCs w:val="21"/>
              </w:rPr>
              <w:t>development</w:t>
            </w: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color="3F3F3F" w:themeColor="text1" w:themeTint="BF" w:sz="18" w:space="0"/>
            </w:tcBorders>
            <w:shd w:val="clear" w:color="auto" w:fill="D0CECE" w:themeFill="background2" w:themeFillShade="E6"/>
            <w:vAlign w:val="center"/>
          </w:tcPr>
          <w:p>
            <w:pPr>
              <w:ind w:firstLine="438" w:firstLineChars="209"/>
              <w:jc w:val="both"/>
              <w:rPr>
                <w:rFonts w:ascii="Times New Roman" w:hAnsi="Times New Roman" w:cs="Times New Roman"/>
                <w:color w:val="222222"/>
                <w:sz w:val="21"/>
                <w:szCs w:val="21"/>
                <w:shd w:val="clear" w:color="auto" w:fill="FFFFFF"/>
              </w:rPr>
            </w:pPr>
            <w:r>
              <w:rPr>
                <w:rFonts w:ascii="Times New Roman" w:hAnsi="Times New Roman" w:cs="Times New Roman"/>
                <w:sz w:val="21"/>
                <w:szCs w:val="21"/>
              </w:rPr>
              <w:t>Trong các trường Cao đẳng hiện đại, nơi đào tạo các bậc trình độ</w:t>
            </w:r>
            <w:r>
              <w:rPr>
                <w:rFonts w:hint="default" w:ascii="Times New Roman" w:hAnsi="Times New Roman" w:cs="Times New Roman"/>
                <w:sz w:val="21"/>
                <w:szCs w:val="21"/>
                <w:lang w:val="en-US"/>
              </w:rPr>
              <w:t xml:space="preserve"> từ</w:t>
            </w:r>
            <w:r>
              <w:rPr>
                <w:rFonts w:ascii="Times New Roman" w:hAnsi="Times New Roman" w:cs="Times New Roman"/>
                <w:color w:val="222222"/>
                <w:sz w:val="21"/>
                <w:szCs w:val="21"/>
                <w:shd w:val="clear" w:color="auto" w:fill="FFFFFF"/>
              </w:rPr>
              <w:t xml:space="preserve"> trung cấp, trình độ cao đẳng và các chương trình đào tạo nghề nghiệp khác cho người lao động, GV phải thích nghi với nhiều trình độ, trang thiết bị, máy móc hiện đại và hệ thống quản lý thông minh. Vì vậy, việc qui hoạch phát triển đội ngũ GV đủ về số lượng, đảm bảo về chất lượng, phù hợp với cơ cấu và sự phát triển đào tạo của nhà trường là yêu cầu cấp bách hiện nay. </w:t>
            </w:r>
            <w:bookmarkStart w:id="3" w:name="_GoBack"/>
            <w:bookmarkEnd w:id="3"/>
          </w:p>
          <w:p>
            <w:pPr>
              <w:ind w:firstLine="440"/>
              <w:jc w:val="both"/>
              <w:rPr>
                <w:rFonts w:ascii="Times New Roman" w:hAnsi="Times New Roman" w:cs="Times New Roman"/>
                <w:sz w:val="26"/>
                <w:szCs w:val="26"/>
              </w:rPr>
            </w:pPr>
            <w:r>
              <w:rPr>
                <w:rFonts w:ascii="Times New Roman" w:hAnsi="Times New Roman" w:cs="Times New Roman"/>
                <w:sz w:val="21"/>
                <w:szCs w:val="21"/>
              </w:rPr>
              <w:t xml:space="preserve">Hiện nay, các trường cao đẳng có một loạt các vấn đề nổi cộm về phát triển nghề nghiệp của GV, chủ yếu bao gồm việc lập kế hoạch phát triển nghề nghiệp không rõ ràng, đào tạo phát triển nghề nghiệp không đầy đủ và GV không tự nhận thức đầy đủ….Vậy, làm thế nào để tìm kiếm một phương pháp hiệu quả để phát triển nghề nghiệp trong đội ngũ GV. </w:t>
            </w:r>
            <w:r>
              <w:rPr>
                <w:rFonts w:ascii="Times New Roman" w:hAnsi="Times New Roman" w:cs="Times New Roman"/>
                <w:color w:val="222222"/>
                <w:sz w:val="21"/>
                <w:szCs w:val="21"/>
                <w:shd w:val="clear" w:color="auto" w:fill="FFFFFF"/>
              </w:rPr>
              <w:t>Trong bài báo này, tác giả phân tích một số vấn đề liên quan đến việc phát triển nghề nghiệp của đội ngũ GV trên cơ sở phù hợp với mô hình trường Cao đẳng hiện đại.</w:t>
            </w: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pPr>
              <w:ind w:firstLine="438" w:firstLineChars="209"/>
              <w:jc w:val="both"/>
              <w:rPr>
                <w:rFonts w:ascii="Times New Roman" w:hAnsi="Times New Roman"/>
                <w:sz w:val="21"/>
                <w:szCs w:val="21"/>
              </w:rPr>
            </w:pPr>
            <w:r>
              <w:rPr>
                <w:rFonts w:ascii="Times New Roman" w:hAnsi="Times New Roman"/>
                <w:sz w:val="21"/>
                <w:szCs w:val="21"/>
              </w:rPr>
              <w:t>In modern colleges, which provide  intermediate, college and other vocational training programs for workers, teachers must adapt to many different levels of education, equipment, modern machinery and intelligent management system. Therefore, the planning to develop a contingent of teachers in sufficient quantity, quality assurance, in accordance with the structure and training development of the school is an urgent requirement today.</w:t>
            </w:r>
          </w:p>
          <w:p>
            <w:pPr>
              <w:ind w:firstLine="438" w:firstLineChars="209"/>
              <w:jc w:val="both"/>
              <w:rPr>
                <w:rFonts w:ascii="Times New Roman" w:hAnsi="Times New Roman" w:cs="Times New Roman"/>
                <w:sz w:val="26"/>
                <w:szCs w:val="26"/>
              </w:rPr>
            </w:pPr>
            <w:r>
              <w:rPr>
                <w:rFonts w:ascii="Times New Roman" w:hAnsi="Times New Roman"/>
                <w:sz w:val="21"/>
                <w:szCs w:val="21"/>
              </w:rPr>
              <w:t>At present, colleges have a range of outstanding problems with teachers' professional development, mainly including unclear career development planning, inadequate professional development training and teachers. not fully self-aware….So, how to find an effective method for professional development in the teaching staff. In this article, the author analyzes a number of issues related to the professional development of teachers on the basis of conformity with the modern college model.</w:t>
            </w:r>
          </w:p>
          <w:p>
            <w:pPr>
              <w:spacing w:before="40" w:after="0" w:line="240" w:lineRule="auto"/>
              <w:jc w:val="both"/>
              <w:rPr>
                <w:rFonts w:ascii="Times New Roman" w:hAnsi="Times New Roman" w:cs="Times New Roman"/>
                <w:b/>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2552" w:type="dxa"/>
            <w:shd w:val="clear" w:color="auto" w:fill="FFFFFF" w:themeFill="background1"/>
          </w:tcPr>
          <w:p>
            <w:pPr>
              <w:spacing w:after="0" w:line="240" w:lineRule="auto"/>
              <w:ind w:left="29"/>
              <w:jc w:val="both"/>
              <w:rPr>
                <w:rFonts w:ascii="Times New Roman" w:hAnsi="Times New Roman" w:eastAsiaTheme="minorEastAsia" w:cstheme="majorHAnsi"/>
                <w:b/>
                <w:bCs/>
                <w:spacing w:val="-4"/>
                <w:w w:val="98"/>
                <w:sz w:val="21"/>
                <w:szCs w:val="21"/>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spacing w:val="-4"/>
                <w:w w:val="98"/>
                <w:sz w:val="21"/>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2552" w:type="dxa"/>
          </w:tcPr>
          <w:p>
            <w:pPr>
              <w:spacing w:after="0" w:line="240" w:lineRule="auto"/>
              <w:ind w:left="29"/>
              <w:jc w:val="both"/>
              <w:rPr>
                <w:rFonts w:ascii="Times New Roman" w:hAnsi="Times New Roman" w:eastAsiaTheme="minorEastAsia" w:cstheme="majorHAnsi"/>
                <w:b/>
                <w:bCs/>
                <w:spacing w:val="-4"/>
                <w:w w:val="98"/>
                <w:sz w:val="21"/>
                <w:szCs w:val="21"/>
              </w:rPr>
            </w:pPr>
          </w:p>
        </w:tc>
        <w:tc>
          <w:tcPr>
            <w:tcW w:w="281" w:type="dxa"/>
            <w:vMerge w:val="continue"/>
            <w:tcBorders>
              <w:right w:val="single" w:color="3F3F3F" w:themeColor="text1" w:themeTint="BF" w:sz="18" w:space="0"/>
            </w:tcBorders>
            <w:shd w:val="clear" w:color="auto" w:fill="FFFFFF" w:themeFill="background1"/>
            <w:vAlign w:val="center"/>
          </w:tcPr>
          <w:p>
            <w:pPr>
              <w:spacing w:before="40" w:after="0" w:line="240" w:lineRule="auto"/>
              <w:jc w:val="center"/>
              <w:rPr>
                <w:rFonts w:ascii="Times New Roman" w:hAnsi="Times New Roman" w:cs="Times New Roman"/>
                <w:b/>
                <w:spacing w:val="-4"/>
                <w:w w:val="98"/>
                <w:sz w:val="21"/>
                <w:szCs w:val="26"/>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before="40" w:after="0" w:line="240" w:lineRule="auto"/>
              <w:jc w:val="both"/>
              <w:rPr>
                <w:rFonts w:ascii="Times New Roman" w:hAnsi="Times New Roman" w:cs="Times New Roman"/>
                <w:spacing w:val="-4"/>
                <w:w w:val="98"/>
                <w:sz w:val="21"/>
                <w:szCs w:val="26"/>
              </w:rPr>
            </w:pPr>
          </w:p>
        </w:tc>
      </w:tr>
    </w:tbl>
    <w:p>
      <w:pPr>
        <w:spacing w:before="40" w:after="0" w:line="240" w:lineRule="auto"/>
        <w:jc w:val="center"/>
        <w:rPr>
          <w:rFonts w:ascii="Times New Roman" w:hAnsi="Times New Roman" w:cs="Times New Roman"/>
          <w:i/>
          <w:spacing w:val="-4"/>
          <w:w w:val="98"/>
          <w:sz w:val="21"/>
          <w:szCs w:val="26"/>
        </w:rPr>
      </w:pPr>
    </w:p>
    <w:p>
      <w:pPr>
        <w:numPr>
          <w:ilvl w:val="0"/>
          <w:numId w:val="2"/>
        </w:num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Mở đầu</w:t>
      </w:r>
    </w:p>
    <w:p>
      <w:pPr>
        <w:pStyle w:val="4"/>
        <w:spacing w:before="118"/>
        <w:ind w:left="0" w:right="51" w:firstLine="438" w:firstLineChars="209"/>
        <w:rPr>
          <w:sz w:val="21"/>
          <w:szCs w:val="21"/>
        </w:rPr>
      </w:pPr>
      <w:r>
        <w:rPr>
          <w:rFonts w:ascii="Times New Roman" w:hAnsi="Times New Roman" w:cs="Times New Roman"/>
          <w:sz w:val="21"/>
          <w:szCs w:val="21"/>
        </w:rPr>
        <w:t xml:space="preserve">Nguồn lực con người là yếu tố quyết định cho sự phát triển nhanh và bền vững, có vị trí và tầm quan trọng hàng đầu của một tổ chức. Trong hệ thống giáo dục quốc dân nói chung và bậc học giáo dục nghề nghiệp nói riêng, tại mỗi cơ sở giáo dục, mỗi nhà trường, nhân sự chủ yếu là đội ngũ giáo viên (GV), đây là lực lượng nòng cốt có vai trò vô cùng quan trọng, ảnh hưởng trực tiếp đến chất lượng giáo dục. </w:t>
      </w:r>
    </w:p>
    <w:p>
      <w:pPr>
        <w:pStyle w:val="4"/>
        <w:spacing w:before="118"/>
        <w:ind w:left="0" w:right="51" w:firstLine="438" w:firstLineChars="209"/>
        <w:rPr>
          <w:b/>
          <w:spacing w:val="-4"/>
          <w:w w:val="98"/>
          <w:sz w:val="21"/>
          <w:szCs w:val="26"/>
        </w:rPr>
      </w:pPr>
      <w:r>
        <w:rPr>
          <w:sz w:val="21"/>
          <w:szCs w:val="21"/>
        </w:rPr>
        <w:t>Trong hệ thống giáo dục nghề nghiệp hiện đại, trường cao đẳng là nơi đào tạo đội ngũ kỹ sư thực hành chất lượng cao, có vai trò quan trọng trong phát triển xã hội, sự nghiệp công nghiệp hóa, hiện đại hóa đất nước. Giáo viên quyết định trực tiếp đến việc nâng cao chất lượng giảng dạy và phẩm chất của sinh viên. Thực tế hiện nay là trình độ phát triển nghề nghiệp của giáo viên cao đẳng chưa cao, đã cản trở nghiêm trọng việc nâng cao chất lượng giảng dạy trong môi trường giáo dục nghề nghiệp hiện đại. Đặc biệt, sự phát triển của công nghệ thông tin và mô hình giảng dạy mới đa phương tiện trên các phương tiện hiện đại mang đến những thách thức chưa từng có đối với việc giảng dạy của giáo viên và ảnh hưởng sâu sắc đến sự thay đổi phẩm chất, quan niệm giảng dạy và mô hình giảng dạy của giáo viên. Mặt khác thời gian đào đạo bị rút ngắn trong khi yêu cầu của thị trường sử dụng lao động ngày càng cao, sinh siên ra trường phải làm việc được trong môi trường công nghiệp hiện đại. Vậy, làm thế nào để giảng dạy một cách khoa học và hiệu quả hơn trong một thời gian hạn chế. Có thể nhận thức được, việc nâng cao trình độ chuyên môn của giáo viên, việc phát triển nghề nghiệp của đội ngũ giảng viên là con đường duy nhất.</w:t>
      </w:r>
    </w:p>
    <w:p>
      <w:pPr>
        <w:ind w:left="284" w:hanging="284"/>
        <w:jc w:val="both"/>
        <w:rPr>
          <w:rFonts w:ascii="Times New Roman" w:hAnsi="Times New Roman" w:cs="Times New Roman"/>
          <w:b/>
          <w:bCs/>
          <w:sz w:val="21"/>
          <w:szCs w:val="21"/>
        </w:rPr>
      </w:pPr>
      <w:bookmarkStart w:id="0" w:name="_Toc10838450"/>
      <w:bookmarkStart w:id="1" w:name="_Toc10839685"/>
      <w:bookmarkStart w:id="2" w:name="_Toc10839344"/>
      <w:r>
        <w:rPr>
          <w:rFonts w:ascii="Times New Roman" w:hAnsi="Times New Roman" w:cs="Times New Roman"/>
          <w:b/>
          <w:bCs/>
          <w:sz w:val="21"/>
          <w:szCs w:val="21"/>
        </w:rPr>
        <w:t>2. Nội hàm của phát triển nghề nghiệp GV</w:t>
      </w:r>
    </w:p>
    <w:p>
      <w:pPr>
        <w:pStyle w:val="26"/>
        <w:ind w:left="0"/>
        <w:jc w:val="both"/>
        <w:rPr>
          <w:rFonts w:ascii="Times New Roman" w:hAnsi="Times New Roman" w:cs="Times New Roman"/>
          <w:b/>
          <w:bCs/>
          <w:sz w:val="21"/>
          <w:szCs w:val="21"/>
        </w:rPr>
      </w:pPr>
      <w:r>
        <w:rPr>
          <w:rFonts w:ascii="Times New Roman" w:hAnsi="Times New Roman" w:cs="Times New Roman"/>
          <w:b/>
          <w:bCs/>
          <w:sz w:val="21"/>
          <w:szCs w:val="21"/>
        </w:rPr>
        <w:t>2.1 Phát triển chuyên môn của GV</w:t>
      </w:r>
    </w:p>
    <w:p>
      <w:pPr>
        <w:pStyle w:val="4"/>
        <w:ind w:left="0" w:right="51" w:firstLine="440"/>
        <w:rPr>
          <w:b/>
          <w:bCs/>
          <w:sz w:val="21"/>
          <w:szCs w:val="21"/>
        </w:rPr>
      </w:pPr>
      <w:r>
        <w:rPr>
          <w:sz w:val="21"/>
          <w:szCs w:val="21"/>
        </w:rPr>
        <w:t>Nội hàm chính trong phát triển chuyên môn của giáo viên đề cập đến việc giáo viên rèn luyện và nâng cao kỹ năng giảng dạy chuyên nghiệp của họ thông qua những nỗ lực không ngừng trong môi trường bên ngoài cụ thể, củng cố các kỹ năng liên quan và tích lũy kiến thức chuyên môn liên tục trong quá trình này, và do đó được phát triển nghề nghiệp. Về cơ bản, phát triển chuyên môn của giáo viên đề cập đến một quá trình mà giáo viên có được sự cải thiện và phát triển thông qua đào tạo kỹ năng và tích lũy kiến thức chuyên môn trong công việc.</w:t>
      </w:r>
    </w:p>
    <w:p>
      <w:pPr>
        <w:pStyle w:val="26"/>
        <w:ind w:left="0"/>
        <w:jc w:val="both"/>
        <w:rPr>
          <w:rFonts w:ascii="Times New Roman" w:hAnsi="Times New Roman" w:cs="Times New Roman"/>
          <w:b/>
          <w:bCs/>
          <w:sz w:val="21"/>
          <w:szCs w:val="21"/>
        </w:rPr>
      </w:pPr>
      <w:r>
        <w:rPr>
          <w:rFonts w:ascii="Times New Roman" w:hAnsi="Times New Roman" w:cs="Times New Roman"/>
          <w:b/>
          <w:bCs/>
          <w:sz w:val="21"/>
          <w:szCs w:val="21"/>
        </w:rPr>
        <w:t>2.2 Phát triển nghề nghiệp GV</w:t>
      </w:r>
    </w:p>
    <w:p>
      <w:pPr>
        <w:ind w:firstLine="440"/>
        <w:jc w:val="both"/>
        <w:rPr>
          <w:rFonts w:ascii="Times New Roman" w:hAnsi="Times New Roman" w:cs="Times New Roman"/>
          <w:sz w:val="21"/>
          <w:szCs w:val="21"/>
        </w:rPr>
      </w:pPr>
      <w:r>
        <w:rPr>
          <w:rFonts w:ascii="Times New Roman" w:hAnsi="Times New Roman" w:cs="Times New Roman"/>
          <w:sz w:val="21"/>
          <w:szCs w:val="21"/>
        </w:rPr>
        <w:t>Sự phát triển chuyên môn của giáo viên cao đẳng không thể tách rời sự phát triển nghề nghiệp của họ. Giáo viên sẽ không thực sự có được sự phát triển chuyên môn nếu không có kế hoạch khoa học cho sự phát triển nghề nghiệp. Phát triển nghề nghiệp của GV đề cập đến quá trình rèn luyện và phát triển có mục tiêu và có kế hoạch, đồng thời nâng cao kiến thức và kỹ năng nghề nghiệp để đạt được các mục tiêu nghề nghiệp cụ thể. Sự phát triển nghề nghiệp nhấn mạnh sự chủ động của các cá nhân trong việc đạt được các mục tiêu nghề nghiệp. Các cá nhân có thể phát huy hết tiềm năng của mình thông qua nỗ lực không ngừng, đạt được sự phát triển lớn hơn trong sự nghiệp chuyên môn và mang lại động lực tích cực và hiệu quả hoạt động của tổ chức.</w:t>
      </w:r>
    </w:p>
    <w:p>
      <w:pPr>
        <w:pStyle w:val="26"/>
        <w:ind w:left="0"/>
        <w:rPr>
          <w:rFonts w:ascii="Times New Roman" w:hAnsi="Times New Roman" w:cs="Times New Roman"/>
          <w:b/>
          <w:bCs/>
          <w:sz w:val="21"/>
          <w:szCs w:val="21"/>
        </w:rPr>
      </w:pPr>
      <w:r>
        <w:rPr>
          <w:rFonts w:ascii="Times New Roman" w:hAnsi="Times New Roman" w:cs="Times New Roman"/>
          <w:b/>
          <w:bCs/>
          <w:sz w:val="21"/>
          <w:szCs w:val="21"/>
        </w:rPr>
        <w:t>2.3 Ý nghĩa của việc nghiên cứu sự phát triển nghề nghiệp của GV</w:t>
      </w:r>
    </w:p>
    <w:p>
      <w:pPr>
        <w:pStyle w:val="4"/>
        <w:spacing w:before="118"/>
        <w:ind w:left="0" w:firstLine="438" w:firstLineChars="209"/>
        <w:rPr>
          <w:sz w:val="21"/>
          <w:szCs w:val="21"/>
        </w:rPr>
      </w:pPr>
      <w:r>
        <w:rPr>
          <w:sz w:val="21"/>
          <w:szCs w:val="21"/>
        </w:rPr>
        <w:t>Là người truyền thụ kiến thức, kỹ năng, thái độ, giáo viên cao đẳng gánh vác nhiệm vụ truyền tải tri thức rất quan trọng. Đồng thời, họ cũng là những người quan trọng khai sáng nhiều ý tưởng, có ảnh hưởng đến nhận thức của sinh viên trẻ trong quá trình giảng dạy bằng cách diễn giải, truyền tải kiến thức, thao tác thực tế trên các mô hình học cụ…, đồng thời rèn luyện và đào tạo sinh viên trẻ nâng cao kỹ năng nghiên cứu khoa học. Mặt khác, với tư cách là trí thức tiên tiến trong xã hội, họ có vai trò trực tiếp đối với sự phát triển xã hội với tư cách là tầng lớp trí thức. Với sự phát triển không ngừng của xã hội, trong xã hội ngày càng có nhiều yêu cầu về kiến thức và kỹ năng của con người, đòi hỏi phải liên tục cải cách giáo dục nhân tài để bắt kịp với tốc độ phát triển của thời đại. Giáo viên cao đẳng là cốt lõi quan trọng của lực lượng cải cách, và sự phát triển của văn hóa xã hội. Sẽ bị cản trở nếu sự phát triển nghề nghiệp của giáo viên bị tụt hậu so với sự phát triển của thời đại.</w:t>
      </w:r>
    </w:p>
    <w:p>
      <w:pPr>
        <w:pStyle w:val="4"/>
        <w:ind w:left="0" w:right="-13" w:firstLine="438" w:firstLineChars="209"/>
        <w:rPr>
          <w:sz w:val="21"/>
          <w:szCs w:val="21"/>
        </w:rPr>
      </w:pPr>
      <w:r>
        <w:rPr>
          <w:sz w:val="21"/>
          <w:szCs w:val="21"/>
        </w:rPr>
        <w:t>Hiện tượng này đặc biệt phổ biến trong những năm gần đây và có vai trò tích cực đáng kể vì nó đòi hỏi phải tăng cường phát triển nghề nghiệp của giáo viên. Nói chung, sự phát triển nghề nghiệp của giáo viên sẽ thúc đẩy rất nhiều việc nâng cao phẩm chất và kỹ năng nghề nghiệp của họ, tạo điều kiện thuận lợi cho việc đào tạo nhân tài quốc gia và sự phát triển đất nước thông qua khoa học và giáo dục. Tóm lại, sự phát triển nghề nghiệp của GV giúp nâng cao không ngừng sự nhiệt tình làm việc và tính chủ động của GV, đồng thời đóng một vai trò quan trọng thúc đẩy bầu không khí học tập tốt trong khuôn viên trường. Dưới sự thúc đẩy tích cực của GV, học sinh có thể học hiệu quả hơn, và do đó trình độ giảng dạy cao đẳng có thể được cải thiện, đặc biệt đối với các trường cao đẳng hiện đại ngày nay.</w:t>
      </w:r>
    </w:p>
    <w:p>
      <w:pPr>
        <w:rPr>
          <w:rFonts w:ascii="Times New Roman" w:hAnsi="Times New Roman" w:cs="Times New Roman"/>
          <w:sz w:val="21"/>
          <w:szCs w:val="21"/>
        </w:rPr>
      </w:pPr>
      <w:r>
        <w:rPr>
          <w:rFonts w:ascii="Times New Roman" w:hAnsi="Times New Roman" w:cs="Times New Roman"/>
          <w:b/>
          <w:bCs/>
          <w:sz w:val="21"/>
          <w:szCs w:val="21"/>
        </w:rPr>
        <w:t>3. Những vấn đề chính trong phát triển nghề nghiệp của giáo viên</w:t>
      </w:r>
    </w:p>
    <w:p>
      <w:pPr>
        <w:pStyle w:val="26"/>
        <w:ind w:left="0"/>
        <w:rPr>
          <w:rFonts w:ascii="Times New Roman" w:hAnsi="Times New Roman" w:cs="Times New Roman"/>
          <w:b/>
          <w:bCs/>
          <w:sz w:val="21"/>
          <w:szCs w:val="21"/>
        </w:rPr>
      </w:pPr>
      <w:r>
        <w:rPr>
          <w:rFonts w:ascii="Times New Roman" w:hAnsi="Times New Roman" w:cs="Times New Roman"/>
          <w:b/>
          <w:bCs/>
          <w:sz w:val="21"/>
          <w:szCs w:val="21"/>
        </w:rPr>
        <w:t>3.1 Không gian trống trong sự hiểu biết của các bộ phận quản lý về phát triển nghề nghiệp GV</w:t>
      </w:r>
    </w:p>
    <w:p>
      <w:pPr>
        <w:pStyle w:val="4"/>
        <w:ind w:left="0" w:right="-13" w:firstLine="438" w:firstLineChars="209"/>
        <w:rPr>
          <w:sz w:val="21"/>
          <w:szCs w:val="21"/>
        </w:rPr>
      </w:pPr>
      <w:r>
        <w:rPr>
          <w:sz w:val="21"/>
          <w:szCs w:val="21"/>
        </w:rPr>
        <w:t>Hiện nay, các bộ phận quản lý trường cao đẳng thường đánh giá đơn giản thành tích nghiên cứu khoa học, các đề tài các cấp, kết hợp với đánh giá thành tích học tập của sinh viên để đánh giá kết quả giảng dạy của giáo viên và có một hiện tượng nghiêm trọng là các danh hiệu được trao theo thâm niên. Do đó, GV sẽ tăng số lượng bài báo được xuất bản bằng mọi cách để có kết quả đánh gi</w:t>
      </w:r>
      <w:r>
        <w:rPr>
          <w:color w:val="auto"/>
          <w:sz w:val="21"/>
          <w:szCs w:val="21"/>
        </w:rPr>
        <w:t>á tốt</w:t>
      </w:r>
      <w:r>
        <w:rPr>
          <w:rFonts w:hint="default"/>
          <w:color w:val="auto"/>
          <w:sz w:val="21"/>
          <w:szCs w:val="21"/>
          <w:lang w:val="en-US"/>
        </w:rPr>
        <w:t>,</w:t>
      </w:r>
      <w:r>
        <w:rPr>
          <w:color w:val="auto"/>
          <w:sz w:val="21"/>
          <w:szCs w:val="21"/>
        </w:rPr>
        <w:t xml:space="preserve"> </w:t>
      </w:r>
      <w:r>
        <w:rPr>
          <w:sz w:val="21"/>
          <w:szCs w:val="21"/>
        </w:rPr>
        <w:t xml:space="preserve">thực hiện giáo dục nhồi nhét đơn giản và buồn tẻ theo đúng nhiệm vụ dạy học chỉ với một mục đích: làm cho học sinh đạt điểm cao trong kiểm tra. Điều này làm hạn chế rất nhiều đến việc đổi mới giáo dục của giáo viên cao đẳng, đặc biệt là giáo viên </w:t>
      </w:r>
      <w:r>
        <w:rPr>
          <w:color w:val="auto"/>
          <w:sz w:val="21"/>
          <w:szCs w:val="21"/>
        </w:rPr>
        <w:t>trung tuổi và trẻ</w:t>
      </w:r>
      <w:r>
        <w:rPr>
          <w:rFonts w:hint="default"/>
          <w:color w:val="auto"/>
          <w:sz w:val="21"/>
          <w:szCs w:val="21"/>
          <w:lang w:val="en-US"/>
        </w:rPr>
        <w:t xml:space="preserve"> tuổi</w:t>
      </w:r>
      <w:r>
        <w:rPr>
          <w:color w:val="auto"/>
          <w:sz w:val="21"/>
          <w:szCs w:val="21"/>
        </w:rPr>
        <w:t xml:space="preserve">. </w:t>
      </w:r>
      <w:r>
        <w:rPr>
          <w:sz w:val="21"/>
          <w:szCs w:val="21"/>
        </w:rPr>
        <w:t>Hơn nữa, các bộ phận quản lý trường cao đẳng thường đặt chức năng của họ trong việc đánh giá hiệu suất và việc làm của giáo viên, trong khi bỏ qua việc đào tạo và khuyến khích sự đổi mới và phát triển đa dạng của GV, điều này hạn chế rất nhiều trong vấn đề chủ động của GV.</w:t>
      </w:r>
    </w:p>
    <w:p>
      <w:pPr>
        <w:pStyle w:val="26"/>
        <w:ind w:left="0"/>
        <w:rPr>
          <w:rFonts w:ascii="Times New Roman" w:hAnsi="Times New Roman" w:cs="Times New Roman"/>
          <w:b/>
          <w:bCs/>
          <w:sz w:val="21"/>
          <w:szCs w:val="21"/>
        </w:rPr>
      </w:pPr>
      <w:r>
        <w:rPr>
          <w:rFonts w:ascii="Times New Roman" w:hAnsi="Times New Roman" w:cs="Times New Roman"/>
          <w:b/>
          <w:bCs/>
          <w:sz w:val="21"/>
          <w:szCs w:val="21"/>
        </w:rPr>
        <w:t xml:space="preserve">3.2 Giáo viên không hiểu biết đầy đủ về sự phát triển của bản thân </w:t>
      </w:r>
    </w:p>
    <w:p>
      <w:pPr>
        <w:pStyle w:val="4"/>
        <w:ind w:left="0" w:right="-13" w:firstLine="438" w:firstLineChars="209"/>
        <w:rPr>
          <w:sz w:val="21"/>
          <w:szCs w:val="21"/>
        </w:rPr>
      </w:pPr>
      <w:r>
        <w:rPr>
          <w:sz w:val="21"/>
          <w:szCs w:val="21"/>
        </w:rPr>
        <w:t xml:space="preserve">Giáo viên cũng chưa hiểu rõ về phát triển nghề nghiệp, chủ yếu thể hiện ở chỗ: một mặt, hầu hết GV không được giải phóng khỏi các quan niệm và tư tưởng dạy học truyền thống, vẫn tuân thủ mọi quy tắc và quy định truyền thống theo hướng dạy học, thiếu hiểu biết cần thiết về cốt lõi của giáo dục hiện đại. Tư tưởng và tư tưởng giảng dạy chưa được định vị rõ ràng trong sự phát triển nghề nghiệp của mình, lao động lặp đi lặp lại hết năm này qua năm khác, kết hợp với những nhiệm vụ nặng nề do mở rộng tuyển sinh của nhà trường trong những năm gần đây, do đó không còn thời gian để cải cách giảng dạy và nâng cao trình độ, nâng cao nghiệp vụ; mặt khác, giáo viên phải chịu nhiều chỉ số đánh giá khác nhau của các bộ phận quản lý trường cao đẳng, và phải dành nhiều năng lượng để hoàn thành các nhiệm vụ ngoài chuyên môn, và có thể sẽ yếu đi ý thức phát triển nghề nghiệp theo thời gian. Hầu như tất cả các giáo viên đều lặp lại việc giảng dạy hàng năm. </w:t>
      </w:r>
    </w:p>
    <w:p>
      <w:pPr>
        <w:pStyle w:val="26"/>
        <w:ind w:left="0"/>
        <w:rPr>
          <w:rFonts w:ascii="Times New Roman" w:hAnsi="Times New Roman" w:cs="Times New Roman"/>
          <w:b/>
          <w:bCs/>
          <w:sz w:val="21"/>
          <w:szCs w:val="21"/>
        </w:rPr>
      </w:pPr>
      <w:r>
        <w:rPr>
          <w:rFonts w:ascii="Times New Roman" w:hAnsi="Times New Roman" w:cs="Times New Roman"/>
          <w:b/>
          <w:bCs/>
          <w:sz w:val="21"/>
          <w:szCs w:val="21"/>
        </w:rPr>
        <w:t xml:space="preserve">3.3 Thiếu các phương pháp đào tạo đúng đắn cho đội ngũ giáo viên </w:t>
      </w:r>
    </w:p>
    <w:p>
      <w:pPr>
        <w:pStyle w:val="4"/>
        <w:spacing w:before="75"/>
        <w:ind w:left="0" w:right="-13" w:firstLine="384" w:firstLineChars="183"/>
        <w:rPr>
          <w:sz w:val="21"/>
          <w:szCs w:val="21"/>
        </w:rPr>
      </w:pPr>
      <w:r>
        <w:rPr>
          <w:sz w:val="21"/>
          <w:szCs w:val="21"/>
        </w:rPr>
        <w:t>Với việc tích cực thúc đẩy giáo dục theo định hướng chất lượng và đổi mới giáo dục trong nhiều năm, việc đào tạo bồi dưỡng giáo viên đã đạt được những tiến bộ đáng kể và thành tựu rực rỡ. Tuy nhiên, một thực tế mà chúng ta phải đối mặt là</w:t>
      </w:r>
      <w:r>
        <w:rPr>
          <w:color w:val="FF0000"/>
          <w:sz w:val="21"/>
          <w:szCs w:val="21"/>
        </w:rPr>
        <w:t xml:space="preserve">  </w:t>
      </w:r>
      <w:r>
        <w:rPr>
          <w:sz w:val="21"/>
          <w:szCs w:val="21"/>
        </w:rPr>
        <w:t xml:space="preserve">do chưa có phương pháp đúng nên đào tạo chưa đủ đáp ứng nhu cầu phát triển giáo dục, thể hiện ở chỗ: </w:t>
      </w:r>
    </w:p>
    <w:p>
      <w:pPr>
        <w:pStyle w:val="4"/>
        <w:spacing w:before="75"/>
        <w:ind w:left="0" w:right="-13" w:firstLine="384" w:firstLineChars="183"/>
        <w:rPr>
          <w:sz w:val="21"/>
          <w:szCs w:val="21"/>
        </w:rPr>
      </w:pPr>
      <w:r>
        <w:rPr>
          <w:sz w:val="21"/>
          <w:szCs w:val="21"/>
        </w:rPr>
        <w:t xml:space="preserve">- Thứ nhất, đào tạo còn hạn chế ở một số khóa, lớp đào tạo, gặp gỡ trao đổi,... với thời hạn quá ngắn, và do đó không đủ đáp ứng nhu cầu phát triển nghề nghiệp ngày càng tăng; </w:t>
      </w:r>
    </w:p>
    <w:p>
      <w:pPr>
        <w:pStyle w:val="4"/>
        <w:spacing w:before="75"/>
        <w:ind w:left="0" w:right="-13" w:firstLine="384" w:firstLineChars="183"/>
        <w:rPr>
          <w:sz w:val="21"/>
          <w:szCs w:val="21"/>
        </w:rPr>
      </w:pPr>
      <w:r>
        <w:rPr>
          <w:sz w:val="21"/>
          <w:szCs w:val="21"/>
        </w:rPr>
        <w:t xml:space="preserve">- Thứ hai, đào tạo thiếu sự phù hợp cần thiết và các khóa đào tạo hiện nay hầu hết giống nhau, trong khi giáo viên cần đào tạo và trau dồi nội dung và kỹ năng khác nhau ở các giai đoạn phát triển nghề nghiệp khác nhau; </w:t>
      </w:r>
    </w:p>
    <w:p>
      <w:pPr>
        <w:pStyle w:val="4"/>
        <w:spacing w:before="75"/>
        <w:ind w:left="0" w:right="-13" w:firstLine="384" w:firstLineChars="183"/>
        <w:rPr>
          <w:sz w:val="21"/>
          <w:szCs w:val="21"/>
        </w:rPr>
      </w:pPr>
      <w:r>
        <w:rPr>
          <w:sz w:val="21"/>
          <w:szCs w:val="21"/>
        </w:rPr>
        <w:t>- Thứ ba, phương pháp đào tạo về cơ bản là trên lớp, và giáo viên tiếp nhận đào tạo một cách thụ động như sinh viên, trong khi bỏ qua sự sáng tạo phong phú và sáng kiến chủ quan của cá nhân, và sau đó họ cũng sẽ sao chép và lặp lại giáo dục nhồi nhét trong lớp học của họ, điều này không có lợi cho việc cải thiện khả năng của mình hoặc sự phát triển toàn diện của học sinh.</w:t>
      </w:r>
    </w:p>
    <w:p>
      <w:pPr>
        <w:rPr>
          <w:rFonts w:ascii="Times New Roman" w:hAnsi="Times New Roman" w:cs="Times New Roman"/>
          <w:b/>
          <w:bCs/>
          <w:sz w:val="21"/>
          <w:szCs w:val="21"/>
        </w:rPr>
      </w:pPr>
      <w:r>
        <w:rPr>
          <w:rFonts w:ascii="Times New Roman" w:hAnsi="Times New Roman" w:cs="Times New Roman"/>
          <w:b/>
          <w:bCs/>
          <w:sz w:val="21"/>
          <w:szCs w:val="21"/>
        </w:rPr>
        <w:t>4. Các chiến lược khả thi để phát triển nghề nghiệp cho đội ngũ giáo viên</w:t>
      </w:r>
    </w:p>
    <w:p>
      <w:pPr>
        <w:pStyle w:val="4"/>
        <w:spacing w:before="75"/>
        <w:ind w:left="0" w:right="-13"/>
        <w:rPr>
          <w:b/>
          <w:sz w:val="21"/>
          <w:szCs w:val="21"/>
        </w:rPr>
      </w:pPr>
      <w:r>
        <w:rPr>
          <w:b/>
          <w:bCs/>
          <w:sz w:val="21"/>
          <w:szCs w:val="21"/>
        </w:rPr>
        <w:t xml:space="preserve">4.1 </w:t>
      </w:r>
      <w:r>
        <w:rPr>
          <w:b/>
          <w:sz w:val="21"/>
          <w:szCs w:val="21"/>
        </w:rPr>
        <w:t>Nhận thức đầy đủ tầm quan trọng của phát triển nghề nghiệp hiện đại</w:t>
      </w:r>
    </w:p>
    <w:p>
      <w:pPr>
        <w:pStyle w:val="4"/>
        <w:ind w:left="0" w:right="51" w:firstLine="384" w:firstLineChars="183"/>
        <w:rPr>
          <w:sz w:val="21"/>
          <w:szCs w:val="21"/>
        </w:rPr>
      </w:pPr>
      <w:r>
        <w:rPr>
          <w:sz w:val="21"/>
          <w:szCs w:val="21"/>
        </w:rPr>
        <w:t>Là người truyền nền văn minh nhân loại, nhà giáo có nhiệm vụ chính là truyền thụ kiến thức, kỹ năng và giáo dục con người trong sự nghiệp nghề nghiệp của họ. Một mặt, “con người” là biến số phức tạp nhất, đòi hỏi GV nhất thiết phải chủ động, linh hoạt và dạy theo năng khiếu của học sinh, mặt khác, tốc độ cập nhật kiến thức đang được đẩy nhanh trong thời đại bùng nổ thông tin. Điều này về mặt khách quan đòi hỏi GV phải không ngừng nâng cao, bổ sung kiến thức, kỹ năng để đáp ứng yêu cầu truyền thụ kiến thức và giáo dục con người trong nền giáo dục hiện đại. Thực tế là như vậy, trong môi trường giảng dạy cho bậc học giáo dục nghề nghiêp, GV ko chỉ là người có kiến thức mà còn phải vững tay nghề để có thể trau dồi các kỹ năng thực tế cho sinh viên, giúp sinh sáng tạo trong nghề nghiệp để đáp ứng được các yêu cầu nghề nghiệp sau khi ra trường.</w:t>
      </w:r>
    </w:p>
    <w:p>
      <w:pPr>
        <w:pStyle w:val="4"/>
        <w:spacing w:before="75"/>
        <w:ind w:left="0" w:right="-13"/>
        <w:rPr>
          <w:b/>
          <w:bCs/>
          <w:sz w:val="21"/>
          <w:szCs w:val="21"/>
        </w:rPr>
      </w:pPr>
      <w:r>
        <w:rPr>
          <w:b/>
          <w:bCs/>
          <w:sz w:val="21"/>
          <w:szCs w:val="21"/>
        </w:rPr>
        <w:t>4.2 Lên kế hoạch một cách hợp lý và hiệu quả</w:t>
      </w:r>
    </w:p>
    <w:p>
      <w:pPr>
        <w:pStyle w:val="4"/>
        <w:ind w:left="0" w:right="51" w:firstLine="384" w:firstLineChars="183"/>
        <w:rPr>
          <w:sz w:val="21"/>
          <w:szCs w:val="21"/>
        </w:rPr>
      </w:pPr>
      <w:r>
        <w:rPr>
          <w:sz w:val="21"/>
          <w:szCs w:val="21"/>
        </w:rPr>
        <w:t>Giáo viên phải có kỹ năng chuyên môn tốt và trình độ kiến thức cũng như một trái tim rộng lớn. Giáo viên phải nhận thức đầy đủ rằng họ phải rèn luyện không ngừng tinh thần, nhân cách, đạo đức của một người thầy, bên cạnh việc theo đuổi lợi ích vật chất và chức danh nghề nghiệp kể từ khi họ chọn nghề này. Điều này sẽ hướng dẫn giáo viên hình thành lý tưởng cao cả hơn, nhận thức đầy đủ các đặc điểm của họ và lập kế hoạch phát triển lâu dài, để phát triển sự yêu thích, giải phóng tiềm năng, tăng nhiệt huyết với các bài giảng trên lớp, những giờ truyền thụ kỹ năng trong phòng thực hành cho sinh viên, không ngừng học hỏi tích cực và dám đổi mới và thúc đẩy phát triển nghề nghiệp.</w:t>
      </w:r>
    </w:p>
    <w:p>
      <w:pPr>
        <w:rPr>
          <w:b/>
          <w:bCs/>
          <w:sz w:val="21"/>
          <w:szCs w:val="21"/>
        </w:rPr>
      </w:pPr>
      <w:r>
        <w:rPr>
          <w:rFonts w:ascii="Times New Roman" w:hAnsi="Times New Roman" w:cs="Times New Roman"/>
          <w:b/>
          <w:bCs/>
          <w:sz w:val="21"/>
          <w:szCs w:val="21"/>
        </w:rPr>
        <w:t>4.3 Làm giàu cách thức đào tạo và thực hiện đào tạo một cách khoa học</w:t>
      </w:r>
    </w:p>
    <w:p>
      <w:pPr>
        <w:pStyle w:val="4"/>
        <w:spacing w:before="75"/>
        <w:ind w:left="0" w:right="51" w:firstLine="354" w:firstLineChars="169"/>
        <w:rPr>
          <w:sz w:val="21"/>
          <w:szCs w:val="21"/>
        </w:rPr>
      </w:pPr>
      <w:r>
        <w:rPr>
          <w:sz w:val="21"/>
          <w:szCs w:val="21"/>
        </w:rPr>
        <w:t xml:space="preserve">Các trường cao đẳng chiếm ưu thế trong đào tạo thực hành, và việc thực hiện các chương trình đào tạo khác nhau phụ thuộc vào sự hỗ trợ đầy đủ từ phía nhà trường. Như vậy, các trường cao đẳng phát huy hết vai trò chỉ đạo, làm phong phú thêm cách thức đào tạo và thực hiện đào tạo nâng cao nghiệp vụ cho giáo viên một cách khoa học. Tham khảo kinh nghiệm và thành tựu tiên tiến của nước ngoài trong lĩnh vực này, các khía cạnh sau đây đáng tham khảo trong thực tiễn làm việc có liên quan: </w:t>
      </w:r>
    </w:p>
    <w:p>
      <w:pPr>
        <w:pStyle w:val="4"/>
        <w:spacing w:before="75"/>
        <w:ind w:left="0" w:right="51" w:firstLine="354" w:firstLineChars="169"/>
        <w:rPr>
          <w:sz w:val="21"/>
          <w:szCs w:val="21"/>
        </w:rPr>
      </w:pPr>
      <w:r>
        <w:rPr>
          <w:sz w:val="21"/>
          <w:szCs w:val="21"/>
        </w:rPr>
        <w:t xml:space="preserve">Một là, phân biệt đối tượng rõ ràng để đào tạo hợp lý, đào tạo phù hợp với sự khác biệt của cá nhân giáo viên dựa trên điều kiện thực tế của cơ cấu giáo viên hiện có. Theo nhu cầu thực tế khác nhau của giáo viên, ví dụ, một số hy vọng nâng cao kỹ năng và phương pháp giảng dạy trong khi một số hy vọng nâng cao kiến thức giảng dạy và giải quyết các vấn đề thực tế, việc phân loại sẽ được thực hiện một cách khoa học, tập hợp những người có cùng nhu cầu và tiến hành đào tạo thống nhất theo chủ đề của các khóa đào tạo và nhu cầu thực tế của từng giáo viên. </w:t>
      </w:r>
    </w:p>
    <w:p>
      <w:pPr>
        <w:pStyle w:val="4"/>
        <w:spacing w:before="75"/>
        <w:ind w:left="0" w:right="51" w:firstLine="354" w:firstLineChars="169"/>
        <w:rPr>
          <w:sz w:val="21"/>
          <w:szCs w:val="21"/>
        </w:rPr>
      </w:pPr>
      <w:r>
        <w:rPr>
          <w:sz w:val="21"/>
          <w:szCs w:val="21"/>
        </w:rPr>
        <w:t>Hai là, thúc đẩy trao đổi và giao tiếp giữa các giáo viên. Các trường cao đẳng phải chú ý đến các vấn đề chung trong giảng dạy và các nhóm nghiên cứu đặc biệt có thể được thành lập để tổ chức cho giáo viên thực hiện giao tiếp và trao đổi tích cực về các vấn đề tập trung và nhiều vấn đề dưới các hình thức phổ biến bao gồm: tham gia lớp học lẫn nhau, quan sát và giao tiếp trong các nhóm nhỏ,... Các nghiên cứu thực tiễn giáo dục hiện đại chỉ ra rằng: Quan sát và trao đổi lẫn nhau giữa các giáo viên là một phương pháp giao tiếp rất hiệu quả, có thể thúc đẩy giáo viên học tập các phương pháp tiên tiến một cách hiệu quả và nâng cao hiệu quả giảng dạy của mình trong khi đồng nghiệp còn thiếu sót. Cách dạy truyền thống thường nhấn mạnh đến những nỗ lực mà các cá nhân thực hiện để liên tục thăng tiến và hoàn thành việc đánh giá, trong khi bỏ qua việc trao đổi và trao đổi về việc giảng dạy và không phát huy hết tác dụng của tập thể. Do đó, các trường cao đẳng sẽ hướng dẫn tích cực, thúc đẩy sự giúp đỡ và hợp tác lẫn nhau giữa các giáo viên và thúc đẩy sự cải thiện tổng thể.</w:t>
      </w:r>
    </w:p>
    <w:p>
      <w:pPr>
        <w:rPr>
          <w:rFonts w:ascii="Times New Roman" w:hAnsi="Times New Roman" w:cs="Times New Roman"/>
          <w:sz w:val="21"/>
          <w:szCs w:val="21"/>
        </w:rPr>
      </w:pPr>
      <w:r>
        <w:rPr>
          <w:rFonts w:ascii="Times New Roman" w:hAnsi="Times New Roman" w:cs="Times New Roman"/>
          <w:b/>
          <w:bCs/>
          <w:sz w:val="21"/>
          <w:szCs w:val="21"/>
        </w:rPr>
        <w:t>4.4 Xây dựng nền tảng chắc chắn để phát triển bền vững nghề nghiệp của giáo viên</w:t>
      </w:r>
    </w:p>
    <w:p>
      <w:pPr>
        <w:pStyle w:val="4"/>
        <w:ind w:left="0" w:right="51" w:firstLine="384" w:firstLineChars="183"/>
        <w:rPr>
          <w:sz w:val="21"/>
          <w:szCs w:val="21"/>
        </w:rPr>
      </w:pPr>
      <w:r>
        <w:rPr>
          <w:sz w:val="21"/>
          <w:szCs w:val="21"/>
        </w:rPr>
        <w:t xml:space="preserve">Sự phát triển nghề nghiệp của giáo viên không thể tách rời với sự hỗ trợ mạnh mẽ của môi trường bên ngoài, và tác giả đề xuất rằng: (1) các trường cao đẳng trước hết phải đóng vai trò chỉ đạo tích cực, thực hiện điều tra, khảo sát thực trạng phát triển nghề nghiệp của giáo viên, nghiên cứu về giải pháp cho những vướng mắc hiện tại, đưa ra kế hoạch phát triển tổng thể và kế hoạch đào tạo, đặc biệt chú trọng xây dựng hệ thống đánh giá giáo viên khoa học, hướng dẫn khoa học, hiệu quả hơn, cố gắng thực hiện công bằng, chính đáng, hợp lý. Hướng dẫn trau dồi phát triển nghề nghiệp của giáo viên, thoát khỏi tập quán truyền thống là ưu tiên chức danh hàng đầu, giải phóng </w:t>
      </w:r>
      <w:r>
        <w:rPr>
          <w:rFonts w:hint="default"/>
          <w:sz w:val="21"/>
          <w:szCs w:val="21"/>
          <w:lang w:val="en-US"/>
        </w:rPr>
        <w:t>rào cản</w:t>
      </w:r>
      <w:r>
        <w:rPr>
          <w:color w:val="FF0000"/>
          <w:sz w:val="21"/>
          <w:szCs w:val="21"/>
        </w:rPr>
        <w:t xml:space="preserve"> </w:t>
      </w:r>
      <w:r>
        <w:rPr>
          <w:sz w:val="21"/>
          <w:szCs w:val="21"/>
        </w:rPr>
        <w:t>phát triển nghề nghiệp của giáo viên và phát huy tối đa tiềm năng cá nhân của giáo viên. (2) Cung cấp nhiều cơ hội tư vấn hơn để phát triển nghề nghiệp của giáo viên. Mời thêm các chuyên gia và viện nghiên cứu nổi tiếng trong lĩnh vực lập kế hoạch phát triển nghề nghiệp và giáo dục để cung cấp cho giáo viên dịch vụ tư vấn phát triển nghề nghiệp xuất sắc. Giảm đánh giá cứng nhắc và quan tâm nhân văn hơn. Lâu nay, các sở quản lý giáo dục quen với cách đánh giá cứng nhắc mang tính áp bức, hạn chế rất nhiều sự chủ quan của giáo viên khiến giáo viên không dám thể hiện tài năng và nhân cách của cá nhân mình. Do đó, các trường cao đẳng sẽ tích cực thay đổi, thay đổi cách đánh giá cứng nhắc thành quan tâm nhân văn, ưu tiên khuyến khích và thúc đẩy nâng cao nhiệt huyết giảng dạy của giáo viên.</w:t>
      </w:r>
    </w:p>
    <w:p>
      <w:pPr>
        <w:rPr>
          <w:rFonts w:hint="default" w:ascii="Times New Roman" w:hAnsi="Times New Roman" w:cs="Times New Roman"/>
          <w:color w:val="FF0000"/>
          <w:sz w:val="21"/>
          <w:szCs w:val="21"/>
          <w:lang w:val="en-US"/>
        </w:rPr>
      </w:pPr>
      <w:r>
        <w:rPr>
          <w:rFonts w:ascii="Times New Roman" w:hAnsi="Times New Roman" w:cs="Times New Roman"/>
          <w:b/>
          <w:bCs/>
          <w:sz w:val="21"/>
          <w:szCs w:val="21"/>
        </w:rPr>
        <w:t xml:space="preserve">5. Kết </w:t>
      </w:r>
      <w:r>
        <w:rPr>
          <w:rFonts w:hint="default" w:ascii="Times New Roman" w:hAnsi="Times New Roman" w:cs="Times New Roman"/>
          <w:b/>
          <w:bCs/>
          <w:sz w:val="21"/>
          <w:szCs w:val="21"/>
          <w:lang w:val="en-US"/>
        </w:rPr>
        <w:t>luận</w:t>
      </w:r>
    </w:p>
    <w:p>
      <w:pPr>
        <w:pStyle w:val="4"/>
        <w:spacing w:before="118"/>
        <w:ind w:left="0" w:right="51" w:firstLine="384" w:firstLineChars="183"/>
        <w:rPr>
          <w:rFonts w:ascii="Times New Roman" w:hAnsi="Times New Roman" w:cs="Times New Roman"/>
          <w:b/>
          <w:spacing w:val="-4"/>
          <w:w w:val="98"/>
          <w:sz w:val="21"/>
          <w:szCs w:val="26"/>
        </w:rPr>
      </w:pPr>
      <w:r>
        <w:rPr>
          <w:sz w:val="21"/>
          <w:szCs w:val="21"/>
        </w:rPr>
        <w:t>Đội ngũ giáo viên là nhân tố trực tiếp tác động trong việc ươm mầm tài năng chất lượng cao</w:t>
      </w:r>
      <w:r>
        <w:rPr>
          <w:color w:val="FF0000"/>
          <w:sz w:val="21"/>
          <w:szCs w:val="21"/>
        </w:rPr>
        <w:t xml:space="preserve"> </w:t>
      </w:r>
      <w:r>
        <w:rPr>
          <w:color w:val="auto"/>
          <w:sz w:val="21"/>
          <w:szCs w:val="21"/>
        </w:rPr>
        <w:t>và</w:t>
      </w:r>
      <w:r>
        <w:rPr>
          <w:color w:val="FF0000"/>
          <w:sz w:val="21"/>
          <w:szCs w:val="21"/>
        </w:rPr>
        <w:t xml:space="preserve"> </w:t>
      </w:r>
      <w:r>
        <w:rPr>
          <w:sz w:val="21"/>
          <w:szCs w:val="21"/>
        </w:rPr>
        <w:t>sự phát triển nghề nghiệp của họ đảm bảo cốt lõi của chất lượng giảng dạy. Đặc biệt, sự phát triển của công nghệ thông tin hiện nay và mô hình giảng dạy mới của mạng đa phương tiện mang đến những thách thức chưa từng có đối với việc giảng dạy của giáo viên</w:t>
      </w:r>
      <w:r>
        <w:rPr>
          <w:rFonts w:hint="default"/>
          <w:sz w:val="21"/>
          <w:szCs w:val="21"/>
          <w:lang w:val="en-US"/>
        </w:rPr>
        <w:t>,</w:t>
      </w:r>
      <w:r>
        <w:rPr>
          <w:color w:val="FF0000"/>
          <w:sz w:val="21"/>
          <w:szCs w:val="21"/>
        </w:rPr>
        <w:t xml:space="preserve"> </w:t>
      </w:r>
      <w:r>
        <w:rPr>
          <w:color w:val="auto"/>
          <w:sz w:val="21"/>
          <w:szCs w:val="21"/>
        </w:rPr>
        <w:t>do đó</w:t>
      </w:r>
      <w:r>
        <w:rPr>
          <w:sz w:val="21"/>
          <w:szCs w:val="21"/>
        </w:rPr>
        <w:t xml:space="preserve"> việc nâng cao phẩm chất toàn diện của giáo viên trở nên cấp thiết. Điều này đòi hỏi các phòng quản lý giáo dục, trường cao đẳng và giáo viên,... phải cùng hành động, tăng cường hướng dẫn, hình thành lực lượng chung, thúc đẩy việc lập kế hoạch hợp lý cho sự nghiệp nghề nghiệp của giáo viên và đạt được sự phát triển lớn mạnh hơn.</w:t>
      </w:r>
    </w:p>
    <w:p>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Tài liệu tham khảo</w:t>
      </w:r>
    </w:p>
    <w:p>
      <w:pPr>
        <w:spacing w:before="40" w:after="0" w:line="240" w:lineRule="auto"/>
        <w:ind w:left="439" w:hanging="438" w:hangingChars="209"/>
        <w:jc w:val="both"/>
        <w:rPr>
          <w:rFonts w:ascii="Times New Roman" w:hAnsi="Times New Roman" w:eastAsia="SimSun" w:cs="Times New Roman"/>
          <w:sz w:val="21"/>
          <w:szCs w:val="21"/>
        </w:rPr>
      </w:pPr>
      <w:r>
        <w:rPr>
          <w:rFonts w:ascii="Times New Roman" w:hAnsi="Times New Roman" w:eastAsia="TimesNewRomanPSMT" w:cs="Times New Roman"/>
          <w:color w:val="000000"/>
          <w:sz w:val="21"/>
          <w:szCs w:val="21"/>
        </w:rPr>
        <w:t xml:space="preserve">Ban Chấp hành Trung ương Đảng Cộng sản Việt Nam (2013). </w:t>
      </w:r>
      <w:r>
        <w:rPr>
          <w:rFonts w:ascii="Times New Roman" w:hAnsi="Times New Roman" w:eastAsia="TimesNewRomanPS-ItalicMT" w:cs="Times New Roman"/>
          <w:iCs/>
          <w:color w:val="000000"/>
          <w:sz w:val="21"/>
          <w:szCs w:val="21"/>
        </w:rPr>
        <w:t xml:space="preserve">Chỉ thị 29-CT/TW về đổi mới căn bản, toàn diện giáo dục và đào tạo. </w:t>
      </w:r>
      <w:r>
        <w:rPr>
          <w:rFonts w:ascii="Times New Roman" w:hAnsi="Times New Roman" w:eastAsia="TimesNewRomanPSMT" w:cs="Times New Roman"/>
          <w:color w:val="000000"/>
          <w:sz w:val="21"/>
          <w:szCs w:val="21"/>
        </w:rPr>
        <w:t>Hà Nội.</w:t>
      </w:r>
      <w:r>
        <w:rPr>
          <w:rFonts w:ascii="Times New Roman" w:hAnsi="Times New Roman" w:eastAsia="SimSun" w:cs="Times New Roman"/>
          <w:sz w:val="21"/>
          <w:szCs w:val="21"/>
        </w:rPr>
        <w:t xml:space="preserve"> </w:t>
      </w:r>
    </w:p>
    <w:p>
      <w:pPr>
        <w:spacing w:before="40" w:after="0" w:line="240" w:lineRule="auto"/>
        <w:ind w:left="439" w:hanging="438" w:hangingChars="209"/>
        <w:jc w:val="both"/>
        <w:rPr>
          <w:rFonts w:ascii="Times New Roman" w:hAnsi="Times New Roman" w:cs="Times New Roman"/>
          <w:b/>
          <w:spacing w:val="-4"/>
          <w:w w:val="98"/>
          <w:sz w:val="21"/>
          <w:szCs w:val="26"/>
        </w:rPr>
      </w:pPr>
      <w:r>
        <w:rPr>
          <w:rFonts w:ascii="Times New Roman" w:hAnsi="Times New Roman" w:eastAsia="TimesNewRomanPSMT" w:cs="Times New Roman"/>
          <w:color w:val="000000"/>
          <w:sz w:val="21"/>
          <w:szCs w:val="21"/>
        </w:rPr>
        <w:t xml:space="preserve">Thủ tướng Chính phủ (2012). </w:t>
      </w:r>
      <w:r>
        <w:rPr>
          <w:rFonts w:ascii="Times New Roman" w:hAnsi="Times New Roman" w:eastAsia="TimesNewRomanPS-ItalicMT" w:cs="Times New Roman"/>
          <w:iCs/>
          <w:color w:val="000000"/>
          <w:sz w:val="21"/>
          <w:szCs w:val="21"/>
        </w:rPr>
        <w:t>Chiến lược phát triển giáo dục 2011 - 2020.</w:t>
      </w:r>
      <w:r>
        <w:rPr>
          <w:rFonts w:ascii="Times New Roman" w:hAnsi="Times New Roman" w:eastAsia="TimesNewRomanPS-ItalicMT" w:cs="Times New Roman"/>
          <w:i/>
          <w:color w:val="000000"/>
          <w:sz w:val="21"/>
          <w:szCs w:val="21"/>
        </w:rPr>
        <w:t xml:space="preserve"> Ban hành kèm theo Quyết định số 711/QĐ-TTg ngày 13/6/2012 của Thủ tướng Chính phủ. </w:t>
      </w:r>
      <w:r>
        <w:rPr>
          <w:rFonts w:ascii="Times New Roman" w:hAnsi="Times New Roman" w:eastAsia="TimesNewRomanPSMT" w:cs="Times New Roman"/>
          <w:i/>
          <w:color w:val="000000"/>
          <w:sz w:val="21"/>
          <w:szCs w:val="21"/>
        </w:rPr>
        <w:t>Hà Nội.</w:t>
      </w:r>
      <w:r>
        <w:rPr>
          <w:rFonts w:ascii="Times New Roman" w:hAnsi="Times New Roman" w:eastAsia="SimSun" w:cs="Times New Roman"/>
          <w:sz w:val="21"/>
          <w:szCs w:val="21"/>
        </w:rPr>
        <w:t xml:space="preserve"> </w:t>
      </w:r>
    </w:p>
    <w:p>
      <w:pPr>
        <w:spacing w:before="40" w:after="0" w:line="240" w:lineRule="auto"/>
        <w:ind w:left="401" w:hanging="401" w:hangingChars="191"/>
        <w:jc w:val="both"/>
        <w:rPr>
          <w:rFonts w:ascii="Times New Roman" w:hAnsi="Times New Roman" w:cs="Times New Roman"/>
          <w:b/>
          <w:spacing w:val="-4"/>
          <w:w w:val="98"/>
          <w:sz w:val="21"/>
          <w:szCs w:val="26"/>
        </w:rPr>
      </w:pPr>
      <w:r>
        <w:rPr>
          <w:rFonts w:ascii="Times New Roman" w:hAnsi="Times New Roman" w:eastAsia="TimesNewRoman" w:cs="Times New Roman"/>
          <w:color w:val="000000"/>
          <w:sz w:val="21"/>
          <w:szCs w:val="21"/>
        </w:rPr>
        <w:t xml:space="preserve">Nguyễn Văn Lâm (2015). Luận án tiến sỹ - </w:t>
      </w:r>
      <w:r>
        <w:rPr>
          <w:rFonts w:ascii="Times New Roman" w:hAnsi="Times New Roman" w:eastAsia="TimesNewRoman" w:cs="Times New Roman"/>
          <w:sz w:val="21"/>
          <w:szCs w:val="21"/>
        </w:rPr>
        <w:t>P</w:t>
      </w:r>
      <w:r>
        <w:rPr>
          <w:rStyle w:val="33"/>
          <w:rFonts w:ascii="Times New Roman" w:hAnsi="Times New Roman" w:cs="Times New Roman"/>
          <w:b w:val="0"/>
          <w:color w:val="auto"/>
          <w:sz w:val="21"/>
          <w:szCs w:val="21"/>
        </w:rPr>
        <w:t>hát triển đội ngũ giảng viên các trường cao đẳng giao thông vận tải thời kỳ công nghiệp hoá hiện đại hóa đất nước và hội nhập quốc tế</w:t>
      </w:r>
      <w:r>
        <w:rPr>
          <w:rFonts w:ascii="Times New Roman" w:hAnsi="Times New Roman" w:eastAsia="TimesNewRoman" w:cs="Times New Roman"/>
          <w:i/>
          <w:color w:val="000000"/>
          <w:sz w:val="21"/>
          <w:szCs w:val="21"/>
        </w:rPr>
        <w:t>. Viện khoa học giáo dục Việt Nam.</w:t>
      </w:r>
    </w:p>
    <w:p>
      <w:pPr>
        <w:spacing w:before="40" w:after="0" w:line="240" w:lineRule="auto"/>
        <w:ind w:left="401" w:hanging="401" w:hangingChars="191"/>
        <w:jc w:val="both"/>
        <w:rPr>
          <w:rFonts w:ascii="Times New Roman" w:hAnsi="Times New Roman" w:eastAsia="TimesNewRoman" w:cs="Times New Roman"/>
          <w:color w:val="000000"/>
          <w:sz w:val="21"/>
          <w:szCs w:val="21"/>
        </w:rPr>
      </w:pPr>
      <w:r>
        <w:rPr>
          <w:rFonts w:ascii="Times New Roman" w:hAnsi="Times New Roman" w:eastAsia="TimesNewRoman" w:cs="Times New Roman"/>
          <w:color w:val="000000"/>
          <w:sz w:val="21"/>
          <w:szCs w:val="21"/>
        </w:rPr>
        <w:t xml:space="preserve">Nguyễn Văn Lâm (2014), “Một số quan điểm và giải pháp về xây dựng và nâng cao chất lượng đội ngũ giảng viên các trường đại học, cao đẳng ngành Giao thôngvận tải”, </w:t>
      </w:r>
      <w:r>
        <w:rPr>
          <w:rFonts w:ascii="Times New Roman" w:hAnsi="Times New Roman" w:eastAsia="TimesNewRoman" w:cs="Times New Roman"/>
          <w:i/>
          <w:color w:val="000000"/>
          <w:sz w:val="21"/>
          <w:szCs w:val="21"/>
        </w:rPr>
        <w:t xml:space="preserve">Tạp chí Khoa học Giáo dục, </w:t>
      </w:r>
      <w:r>
        <w:rPr>
          <w:rFonts w:ascii="Times New Roman" w:hAnsi="Times New Roman" w:eastAsia="TimesNewRoman" w:cs="Times New Roman"/>
          <w:color w:val="000000"/>
          <w:sz w:val="21"/>
          <w:szCs w:val="21"/>
        </w:rPr>
        <w:t>số đặc biệt, tháng 01/2014, tr. 30 - 33</w:t>
      </w:r>
    </w:p>
    <w:p>
      <w:pPr>
        <w:pStyle w:val="2"/>
        <w:keepNext w:val="0"/>
        <w:keepLines w:val="0"/>
        <w:spacing w:before="36" w:after="36" w:line="216" w:lineRule="atLeast"/>
        <w:ind w:left="439" w:hanging="438" w:hangingChars="209"/>
        <w:rPr>
          <w:rFonts w:ascii="Times New Roman" w:hAnsi="Times New Roman" w:eastAsia="Helvetica" w:cs="Times New Roman"/>
          <w:color w:val="2A2A2A"/>
          <w:sz w:val="21"/>
          <w:szCs w:val="21"/>
          <w:shd w:val="clear" w:color="auto" w:fill="FFFFFF"/>
        </w:rPr>
      </w:pPr>
      <w:r>
        <w:rPr>
          <w:rFonts w:ascii="Times New Roman" w:hAnsi="Times New Roman" w:eastAsia="serif" w:cs="Times New Roman"/>
          <w:bCs/>
          <w:color w:val="auto"/>
          <w:sz w:val="21"/>
          <w:szCs w:val="21"/>
        </w:rPr>
        <w:t>Frances Sokel (2019).</w:t>
      </w:r>
      <w:r>
        <w:rPr>
          <w:rFonts w:ascii="Times New Roman" w:hAnsi="Times New Roman" w:eastAsia="serif" w:cs="Times New Roman"/>
          <w:bCs/>
          <w:i/>
          <w:iCs/>
          <w:color w:val="10147E"/>
          <w:sz w:val="21"/>
          <w:szCs w:val="21"/>
        </w:rPr>
        <w:t xml:space="preserve"> </w:t>
      </w:r>
      <w:r>
        <w:rPr>
          <w:rFonts w:ascii="Times New Roman" w:hAnsi="Times New Roman" w:eastAsia="serif" w:cs="Times New Roman"/>
          <w:bCs/>
          <w:color w:val="2A2A2A"/>
          <w:sz w:val="21"/>
          <w:szCs w:val="21"/>
          <w:shd w:val="clear" w:color="auto" w:fill="FFFFFF"/>
        </w:rPr>
        <w:t xml:space="preserve">The effectiveness of a professional development course: teachers’ perceptions. </w:t>
      </w:r>
      <w:r>
        <w:rPr>
          <w:rStyle w:val="11"/>
          <w:rFonts w:ascii="Times New Roman" w:hAnsi="Times New Roman" w:eastAsia="serif" w:cs="Times New Roman"/>
          <w:color w:val="2A2A2A"/>
          <w:sz w:val="21"/>
          <w:szCs w:val="21"/>
          <w:shd w:val="clear" w:color="auto" w:fill="FFFFFF"/>
        </w:rPr>
        <w:t xml:space="preserve">ELT Journal, </w:t>
      </w:r>
      <w:r>
        <w:rPr>
          <w:rFonts w:ascii="Times New Roman" w:hAnsi="Times New Roman" w:eastAsia="Helvetica" w:cs="Times New Roman"/>
          <w:color w:val="2A2A2A"/>
          <w:sz w:val="21"/>
          <w:szCs w:val="21"/>
          <w:shd w:val="clear" w:color="auto" w:fill="FFFFFF"/>
        </w:rPr>
        <w:t>Vol 73, Issue 4, Pages 409–418.</w:t>
      </w:r>
    </w:p>
    <w:p>
      <w:pPr>
        <w:pStyle w:val="2"/>
        <w:keepNext w:val="0"/>
        <w:keepLines w:val="0"/>
        <w:spacing w:before="36" w:after="36" w:line="216" w:lineRule="atLeast"/>
        <w:ind w:left="439" w:hanging="438" w:hangingChars="209"/>
        <w:jc w:val="both"/>
        <w:rPr>
          <w:rFonts w:ascii="Times New Roman" w:hAnsi="Times New Roman" w:eastAsia="SimSun" w:cs="Times New Roman"/>
          <w:i/>
          <w:iCs/>
          <w:color w:val="auto"/>
          <w:sz w:val="21"/>
          <w:szCs w:val="21"/>
        </w:rPr>
      </w:pPr>
      <w:r>
        <w:rPr>
          <w:rFonts w:ascii="Times New Roman" w:hAnsi="Times New Roman" w:eastAsia="SimSun" w:cs="Times New Roman"/>
          <w:color w:val="auto"/>
          <w:sz w:val="21"/>
          <w:szCs w:val="21"/>
        </w:rPr>
        <w:t xml:space="preserve">By Lisa Matherson, Tracy M. Windle (2019). What Do Teachers Want from Their Professional Development? Four Emerging Themes. </w:t>
      </w:r>
      <w:r>
        <w:rPr>
          <w:rFonts w:ascii="Times New Roman" w:hAnsi="Times New Roman" w:eastAsia="SimSun" w:cs="Times New Roman"/>
          <w:i/>
          <w:iCs/>
          <w:color w:val="auto"/>
          <w:sz w:val="21"/>
          <w:szCs w:val="21"/>
        </w:rPr>
        <w:t>International Journal for Professional Educators, Vol 83-3, pages 28-32.</w:t>
      </w:r>
    </w:p>
    <w:p>
      <w:pPr>
        <w:pStyle w:val="2"/>
        <w:keepNext w:val="0"/>
        <w:keepLines w:val="0"/>
        <w:spacing w:before="36" w:after="36" w:line="216" w:lineRule="atLeast"/>
        <w:ind w:left="439" w:hanging="438" w:hangingChars="209"/>
        <w:jc w:val="both"/>
        <w:rPr>
          <w:rFonts w:ascii="Times New Roman" w:hAnsi="Times New Roman" w:cs="Times New Roman" w:eastAsiaTheme="minorEastAsia"/>
          <w:spacing w:val="-4"/>
          <w:w w:val="98"/>
          <w:sz w:val="21"/>
          <w:szCs w:val="21"/>
        </w:rPr>
      </w:pPr>
      <w:r>
        <w:rPr>
          <w:rFonts w:ascii="Times New Roman" w:hAnsi="Times New Roman" w:eastAsia="TimesNewRoman" w:cs="Times New Roman"/>
          <w:color w:val="000000"/>
          <w:sz w:val="21"/>
          <w:szCs w:val="21"/>
        </w:rPr>
        <w:t xml:space="preserve">Julie Ernst, Deanna M. Erickson (2018). </w:t>
      </w:r>
      <w:r>
        <w:rPr>
          <w:rFonts w:ascii="Times New Roman" w:hAnsi="Times New Roman" w:eastAsia="Droid Serif" w:cs="Times New Roman"/>
          <w:color w:val="333333"/>
          <w:sz w:val="21"/>
          <w:szCs w:val="21"/>
        </w:rPr>
        <w:t xml:space="preserve">Environmental education professional development for teachers: A study of the impact and influence of mentoring. </w:t>
      </w:r>
      <w:r>
        <w:fldChar w:fldCharType="begin"/>
      </w:r>
      <w:r>
        <w:instrText xml:space="preserve"> HYPERLINK "https://www.tandfonline.com/toc/vjee20/current" </w:instrText>
      </w:r>
      <w:r>
        <w:fldChar w:fldCharType="separate"/>
      </w:r>
      <w:r>
        <w:rPr>
          <w:rStyle w:val="12"/>
          <w:rFonts w:ascii="Times New Roman" w:hAnsi="Times New Roman" w:eastAsia="serif" w:cs="Times New Roman"/>
          <w:bCs/>
          <w:i/>
          <w:iCs/>
          <w:color w:val="auto"/>
          <w:sz w:val="21"/>
          <w:szCs w:val="21"/>
          <w:u w:val="none"/>
        </w:rPr>
        <w:t>The Journal of Environmental Education</w:t>
      </w:r>
      <w:r>
        <w:rPr>
          <w:rStyle w:val="12"/>
          <w:rFonts w:ascii="Times New Roman" w:hAnsi="Times New Roman" w:eastAsia="serif" w:cs="Times New Roman"/>
          <w:bCs/>
          <w:i/>
          <w:iCs/>
          <w:color w:val="auto"/>
          <w:sz w:val="21"/>
          <w:szCs w:val="21"/>
          <w:u w:val="none"/>
        </w:rPr>
        <w:fldChar w:fldCharType="end"/>
      </w:r>
      <w:r>
        <w:rPr>
          <w:rFonts w:ascii="Times New Roman" w:hAnsi="Times New Roman" w:eastAsia="serif" w:cs="Times New Roman"/>
          <w:bCs/>
          <w:i/>
          <w:iCs/>
          <w:color w:val="auto"/>
          <w:sz w:val="21"/>
          <w:szCs w:val="21"/>
        </w:rPr>
        <w:t xml:space="preserve">, Vol 49, </w:t>
      </w:r>
      <w:r>
        <w:rPr>
          <w:rFonts w:ascii="Times New Roman" w:hAnsi="Times New Roman" w:eastAsia="sans-serif" w:cs="Times New Roman"/>
          <w:color w:val="auto"/>
          <w:sz w:val="21"/>
          <w:szCs w:val="21"/>
          <w:shd w:val="clear" w:color="auto" w:fill="FFFFFF"/>
        </w:rPr>
        <w:t>Pages 357-374.</w:t>
      </w:r>
      <w:r>
        <w:rPr>
          <w:rFonts w:ascii="Times New Roman" w:hAnsi="Times New Roman" w:eastAsia="serif" w:cs="Times New Roman"/>
          <w:bCs/>
          <w:i/>
          <w:iCs/>
          <w:color w:val="auto"/>
          <w:sz w:val="21"/>
          <w:szCs w:val="21"/>
        </w:rPr>
        <w:t xml:space="preserve"> </w:t>
      </w:r>
      <w:bookmarkEnd w:id="0"/>
      <w:bookmarkEnd w:id="1"/>
      <w:bookmarkEnd w:id="2"/>
    </w:p>
    <w:sectPr>
      <w:headerReference r:id="rId3" w:type="default"/>
      <w:footerReference r:id="rId4" w:type="default"/>
      <w:pgSz w:w="11907" w:h="16840"/>
      <w:pgMar w:top="1984" w:right="1418" w:bottom="2154" w:left="1418" w:header="1418" w:footer="1417"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imes New Roman Bold">
    <w:altName w:val="Times New Roman"/>
    <w:panose1 w:val="02020803070505020304"/>
    <w:charset w:val="00"/>
    <w:family w:val="roman"/>
    <w:pitch w:val="default"/>
    <w:sig w:usb0="00000000" w:usb1="00000000" w:usb2="00000000" w:usb3="00000000" w:csb0="00000000" w:csb1="00000000"/>
  </w:font>
  <w:font w:name="Bold">
    <w:altName w:val="Arial Rounded MT Bold"/>
    <w:panose1 w:val="00000000000000000000"/>
    <w:charset w:val="00"/>
    <w:family w:val="auto"/>
    <w:pitch w:val="default"/>
    <w:sig w:usb0="00000000" w:usb1="00000000" w:usb2="00000000" w:usb3="00000000" w:csb0="00000000" w:csb1="00000000"/>
  </w:font>
  <w:font w:name="TimesNewRomanPSMT">
    <w:altName w:val="Times New Roman"/>
    <w:panose1 w:val="00000000000000000000"/>
    <w:charset w:val="00"/>
    <w:family w:val="auto"/>
    <w:pitch w:val="default"/>
    <w:sig w:usb0="00000000" w:usb1="00000000" w:usb2="00000000" w:usb3="00000000" w:csb0="00000000" w:csb1="00000000"/>
  </w:font>
  <w:font w:name="TimesNewRomanPS-ItalicMT">
    <w:altName w:val="AMGDT"/>
    <w:panose1 w:val="00000000000000000000"/>
    <w:charset w:val="00"/>
    <w:family w:val="auto"/>
    <w:pitch w:val="default"/>
    <w:sig w:usb0="00000000" w:usb1="00000000" w:usb2="00000000" w:usb3="00000000" w:csb0="00000000" w:csb1="00000000"/>
  </w:font>
  <w:font w:name="TimesNewRoman">
    <w:altName w:val="Times New Roman"/>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serif">
    <w:altName w:val="Times New Roman"/>
    <w:panose1 w:val="00000000000000000000"/>
    <w:charset w:val="00"/>
    <w:family w:val="auto"/>
    <w:pitch w:val="default"/>
    <w:sig w:usb0="00000000" w:usb1="00000000" w:usb2="00000000" w:usb3="00000000" w:csb0="00000000" w:csb1="00000000"/>
  </w:font>
  <w:font w:name="Droid Serif">
    <w:altName w:val="AMGDT"/>
    <w:panose1 w:val="00000000000000000000"/>
    <w:charset w:val="00"/>
    <w:family w:val="auto"/>
    <w:pitch w:val="default"/>
    <w:sig w:usb0="00000000" w:usb1="00000000" w:usb2="00000000" w:usb3="00000000" w:csb0="00000000" w:csb1="00000000"/>
  </w:font>
  <w:font w:name="sans-serif">
    <w:altName w:val="AMGDT"/>
    <w:panose1 w:val="00000000000000000000"/>
    <w:charset w:val="00"/>
    <w:family w:val="auto"/>
    <w:pitch w:val="default"/>
    <w:sig w:usb0="00000000" w:usb1="00000000" w:usb2="00000000" w:usb3="00000000" w:csb0="00000000" w:csb1="00000000"/>
  </w:font>
  <w:font w:name="Arial Rounded MT Bold">
    <w:panose1 w:val="020F0704030504030204"/>
    <w:charset w:val="00"/>
    <w:family w:val="auto"/>
    <w:pitch w:val="default"/>
    <w:sig w:usb0="00000003" w:usb1="00000000" w:usb2="00000000" w:usb3="00000000" w:csb0="20000001"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80400690"/>
      <w:docPartObj>
        <w:docPartGallery w:val="autotext"/>
      </w:docPartObj>
    </w:sdtPr>
    <w:sdtContent>
      <w:p>
        <w:pPr>
          <w:pStyle w:val="7"/>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p>
    </w:sdtContent>
  </w:sdt>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3"/>
      <w:tblW w:w="5000" w:type="pct"/>
      <w:tblInd w:w="0" w:type="dxa"/>
      <w:tblLayout w:type="autofit"/>
      <w:tblCellMar>
        <w:top w:w="72" w:type="dxa"/>
        <w:left w:w="115" w:type="dxa"/>
        <w:bottom w:w="72" w:type="dxa"/>
        <w:right w:w="115" w:type="dxa"/>
      </w:tblCellMar>
    </w:tblPr>
    <w:tblGrid>
      <w:gridCol w:w="680"/>
      <w:gridCol w:w="8621"/>
    </w:tblGrid>
    <w:tr>
      <w:tblPrEx>
        <w:tblCellMar>
          <w:top w:w="72" w:type="dxa"/>
          <w:left w:w="115" w:type="dxa"/>
          <w:bottom w:w="72" w:type="dxa"/>
          <w:right w:w="115" w:type="dxa"/>
        </w:tblCellMar>
      </w:tblPrEx>
      <w:tc>
        <w:tcPr>
          <w:tcW w:w="365" w:type="pct"/>
          <w:tcBorders>
            <w:top w:val="single" w:color="943634" w:sz="18" w:space="0"/>
            <w:left w:val="single" w:color="943634" w:sz="18" w:space="0"/>
            <w:bottom w:val="single" w:color="943634" w:sz="18" w:space="0"/>
            <w:right w:val="single" w:color="943634" w:sz="18" w:space="0"/>
          </w:tcBorders>
          <w:shd w:val="clear" w:color="auto" w:fill="943634"/>
          <w:vAlign w:val="bottom"/>
        </w:tcPr>
        <w:p>
          <w:pPr>
            <w:tabs>
              <w:tab w:val="center" w:pos="4680"/>
              <w:tab w:val="right" w:pos="9360"/>
            </w:tabs>
            <w:spacing w:after="0" w:line="240" w:lineRule="auto"/>
            <w:jc w:val="center"/>
            <w:rPr>
              <w:rFonts w:ascii="Arial" w:hAnsi="Arial" w:eastAsia="Times New Roman" w:cs="Arial"/>
              <w:b/>
              <w:w w:val="80"/>
              <w:sz w:val="24"/>
              <w:szCs w:val="24"/>
            </w:rPr>
          </w:pPr>
          <w:r>
            <w:rPr>
              <w:rFonts w:ascii="Arial" w:hAnsi="Arial" w:eastAsia="Times New Roman" w:cs="Arial"/>
              <w:b/>
              <w:color w:val="FFFFFF"/>
              <w:w w:val="80"/>
            </w:rPr>
            <w:t>LTTC</w:t>
          </w:r>
        </w:p>
      </w:tc>
      <w:tc>
        <w:tcPr>
          <w:tcW w:w="4635" w:type="pct"/>
          <w:tcBorders>
            <w:left w:val="single" w:color="943634" w:sz="18" w:space="0"/>
            <w:bottom w:val="single" w:color="943634" w:sz="18" w:space="0"/>
          </w:tcBorders>
          <w:vAlign w:val="bottom"/>
        </w:tcPr>
        <w:p>
          <w:pPr>
            <w:tabs>
              <w:tab w:val="center" w:pos="4680"/>
              <w:tab w:val="right" w:pos="9360"/>
            </w:tabs>
            <w:spacing w:after="0" w:line="240" w:lineRule="auto"/>
            <w:rPr>
              <w:rFonts w:ascii="Arial" w:hAnsi="Arial" w:eastAsia="Times New Roman" w:cs="Arial"/>
              <w:w w:val="85"/>
              <w:sz w:val="24"/>
              <w:szCs w:val="24"/>
            </w:rPr>
          </w:pPr>
          <w:r>
            <w:rPr>
              <w:rFonts w:ascii="Arial" w:hAnsi="Arial" w:eastAsia="Times New Roman" w:cs="Arial"/>
              <w:bCs/>
              <w:w w:val="85"/>
              <w:sz w:val="18"/>
              <w:szCs w:val="24"/>
            </w:rPr>
            <w:t>Hội thảo khoa học 2021</w:t>
          </w:r>
        </w:p>
      </w:tc>
    </w:tr>
  </w:tbl>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C7D822"/>
    <w:multiLevelType w:val="singleLevel"/>
    <w:tmpl w:val="A5C7D822"/>
    <w:lvl w:ilvl="0" w:tentative="0">
      <w:start w:val="1"/>
      <w:numFmt w:val="decimal"/>
      <w:suff w:val="space"/>
      <w:lvlText w:val="%1."/>
      <w:lvlJc w:val="left"/>
    </w:lvl>
  </w:abstractNum>
  <w:abstractNum w:abstractNumId="1">
    <w:nsid w:val="207267D3"/>
    <w:multiLevelType w:val="multilevel"/>
    <w:tmpl w:val="207267D3"/>
    <w:lvl w:ilvl="0" w:tentative="0">
      <w:start w:val="1"/>
      <w:numFmt w:val="decimal"/>
      <w:pStyle w:val="25"/>
      <w:lvlText w:val="[%1]"/>
      <w:lvlJc w:val="left"/>
      <w:pPr>
        <w:ind w:left="360" w:hanging="360"/>
      </w:pPr>
      <w:rPr>
        <w:rFonts w:hint="default" w:ascii="Times New Roman" w:hAnsi="Times New Roman"/>
        <w:b w:val="0"/>
        <w:i w:val="0"/>
        <w:sz w:val="21"/>
        <w:szCs w:val="26"/>
      </w:rPr>
    </w:lvl>
    <w:lvl w:ilvl="1" w:tentative="0">
      <w:start w:val="1"/>
      <w:numFmt w:val="lowerLetter"/>
      <w:lvlText w:val="%2."/>
      <w:lvlJc w:val="left"/>
      <w:pPr>
        <w:ind w:left="6184" w:hanging="360"/>
      </w:pPr>
    </w:lvl>
    <w:lvl w:ilvl="2" w:tentative="0">
      <w:start w:val="1"/>
      <w:numFmt w:val="lowerRoman"/>
      <w:lvlText w:val="%3."/>
      <w:lvlJc w:val="right"/>
      <w:pPr>
        <w:ind w:left="6904" w:hanging="180"/>
      </w:pPr>
    </w:lvl>
    <w:lvl w:ilvl="3" w:tentative="0">
      <w:start w:val="1"/>
      <w:numFmt w:val="decimal"/>
      <w:lvlText w:val="%4."/>
      <w:lvlJc w:val="left"/>
      <w:pPr>
        <w:ind w:left="7624" w:hanging="360"/>
      </w:pPr>
    </w:lvl>
    <w:lvl w:ilvl="4" w:tentative="0">
      <w:start w:val="1"/>
      <w:numFmt w:val="lowerLetter"/>
      <w:lvlText w:val="%5."/>
      <w:lvlJc w:val="left"/>
      <w:pPr>
        <w:ind w:left="8344" w:hanging="360"/>
      </w:pPr>
    </w:lvl>
    <w:lvl w:ilvl="5" w:tentative="0">
      <w:start w:val="1"/>
      <w:numFmt w:val="lowerRoman"/>
      <w:lvlText w:val="%6."/>
      <w:lvlJc w:val="right"/>
      <w:pPr>
        <w:ind w:left="9064" w:hanging="180"/>
      </w:pPr>
    </w:lvl>
    <w:lvl w:ilvl="6" w:tentative="0">
      <w:start w:val="1"/>
      <w:numFmt w:val="decimal"/>
      <w:lvlText w:val="%7."/>
      <w:lvlJc w:val="left"/>
      <w:pPr>
        <w:ind w:left="9784" w:hanging="360"/>
      </w:pPr>
    </w:lvl>
    <w:lvl w:ilvl="7" w:tentative="0">
      <w:start w:val="1"/>
      <w:numFmt w:val="lowerLetter"/>
      <w:lvlText w:val="%8."/>
      <w:lvlJc w:val="left"/>
      <w:pPr>
        <w:ind w:left="10504" w:hanging="360"/>
      </w:pPr>
    </w:lvl>
    <w:lvl w:ilvl="8" w:tentative="0">
      <w:start w:val="1"/>
      <w:numFmt w:val="lowerRoman"/>
      <w:lvlText w:val="%9."/>
      <w:lvlJc w:val="right"/>
      <w:pPr>
        <w:ind w:left="1122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ocumentProtection w:enforcement="0"/>
  <w:defaultTabStop w:val="72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C1844"/>
    <w:rsid w:val="001115B9"/>
    <w:rsid w:val="00120037"/>
    <w:rsid w:val="00120CE9"/>
    <w:rsid w:val="00140CD7"/>
    <w:rsid w:val="00194B6C"/>
    <w:rsid w:val="001B188B"/>
    <w:rsid w:val="0021765F"/>
    <w:rsid w:val="002210B9"/>
    <w:rsid w:val="00265EDE"/>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B40FF"/>
    <w:rsid w:val="005C3A92"/>
    <w:rsid w:val="005D7646"/>
    <w:rsid w:val="005E29CE"/>
    <w:rsid w:val="005F5D1E"/>
    <w:rsid w:val="006010DC"/>
    <w:rsid w:val="00655093"/>
    <w:rsid w:val="00675072"/>
    <w:rsid w:val="006B7949"/>
    <w:rsid w:val="006C3395"/>
    <w:rsid w:val="007017A2"/>
    <w:rsid w:val="00717E07"/>
    <w:rsid w:val="00723E49"/>
    <w:rsid w:val="0072694B"/>
    <w:rsid w:val="007278A2"/>
    <w:rsid w:val="007B3644"/>
    <w:rsid w:val="007D2709"/>
    <w:rsid w:val="007E3259"/>
    <w:rsid w:val="00805012"/>
    <w:rsid w:val="008137CB"/>
    <w:rsid w:val="00815F87"/>
    <w:rsid w:val="0081733D"/>
    <w:rsid w:val="00862C30"/>
    <w:rsid w:val="008F19D9"/>
    <w:rsid w:val="0090451E"/>
    <w:rsid w:val="009271F9"/>
    <w:rsid w:val="00937563"/>
    <w:rsid w:val="0095001B"/>
    <w:rsid w:val="009564B0"/>
    <w:rsid w:val="00974357"/>
    <w:rsid w:val="00984FD5"/>
    <w:rsid w:val="009E2D8B"/>
    <w:rsid w:val="009E3CA5"/>
    <w:rsid w:val="009F7E01"/>
    <w:rsid w:val="00A04D58"/>
    <w:rsid w:val="00A850DC"/>
    <w:rsid w:val="00AC0136"/>
    <w:rsid w:val="00AC5F3D"/>
    <w:rsid w:val="00AD6DC1"/>
    <w:rsid w:val="00B0706E"/>
    <w:rsid w:val="00B42F41"/>
    <w:rsid w:val="00B45A2F"/>
    <w:rsid w:val="00B5290F"/>
    <w:rsid w:val="00B853BE"/>
    <w:rsid w:val="00B93300"/>
    <w:rsid w:val="00B94D05"/>
    <w:rsid w:val="00B95DB8"/>
    <w:rsid w:val="00C12412"/>
    <w:rsid w:val="00C42CE8"/>
    <w:rsid w:val="00C8708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72575"/>
    <w:rsid w:val="00E8025E"/>
    <w:rsid w:val="00EB0670"/>
    <w:rsid w:val="00EB771F"/>
    <w:rsid w:val="00EE7F2E"/>
    <w:rsid w:val="00F21BA9"/>
    <w:rsid w:val="00F6576D"/>
    <w:rsid w:val="00F97ECF"/>
    <w:rsid w:val="00FB5864"/>
    <w:rsid w:val="00FD12A8"/>
    <w:rsid w:val="00FF76AD"/>
    <w:rsid w:val="0A205D43"/>
    <w:rsid w:val="0C60699F"/>
    <w:rsid w:val="0D400D70"/>
    <w:rsid w:val="0DD81D4E"/>
    <w:rsid w:val="137943D9"/>
    <w:rsid w:val="13E00B82"/>
    <w:rsid w:val="2E9E7A8B"/>
    <w:rsid w:val="3D733BA4"/>
    <w:rsid w:val="4D863EAC"/>
    <w:rsid w:val="4E75470C"/>
    <w:rsid w:val="52BA2178"/>
    <w:rsid w:val="606B6FB5"/>
    <w:rsid w:val="6A002BA8"/>
    <w:rsid w:val="72216D2F"/>
    <w:rsid w:val="730D6250"/>
    <w:rsid w:val="73B40F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2"/>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9">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30"/>
    <w:semiHidden/>
    <w:unhideWhenUsed/>
    <w:qFormat/>
    <w:uiPriority w:val="99"/>
    <w:pPr>
      <w:spacing w:after="0" w:line="240" w:lineRule="auto"/>
    </w:pPr>
    <w:rPr>
      <w:rFonts w:ascii="Segoe UI" w:hAnsi="Segoe UI" w:cs="Segoe UI"/>
      <w:sz w:val="18"/>
      <w:szCs w:val="18"/>
    </w:rPr>
  </w:style>
  <w:style w:type="paragraph" w:styleId="4">
    <w:name w:val="Body Text"/>
    <w:basedOn w:val="1"/>
    <w:qFormat/>
    <w:uiPriority w:val="1"/>
    <w:pPr>
      <w:ind w:left="333"/>
      <w:jc w:val="both"/>
    </w:pPr>
    <w:rPr>
      <w:rFonts w:ascii="Times New Roman" w:hAnsi="Times New Roman" w:eastAsia="Times New Roman" w:cs="Times New Roman"/>
      <w:sz w:val="24"/>
      <w:szCs w:val="24"/>
    </w:rPr>
  </w:style>
  <w:style w:type="paragraph" w:styleId="5">
    <w:name w:val="annotation text"/>
    <w:basedOn w:val="1"/>
    <w:link w:val="31"/>
    <w:semiHidden/>
    <w:unhideWhenUsed/>
    <w:uiPriority w:val="99"/>
    <w:pPr>
      <w:spacing w:line="240" w:lineRule="auto"/>
    </w:pPr>
    <w:rPr>
      <w:sz w:val="20"/>
      <w:szCs w:val="20"/>
    </w:rPr>
  </w:style>
  <w:style w:type="paragraph" w:styleId="6">
    <w:name w:val="annotation subject"/>
    <w:basedOn w:val="5"/>
    <w:next w:val="5"/>
    <w:link w:val="32"/>
    <w:semiHidden/>
    <w:unhideWhenUsed/>
    <w:uiPriority w:val="99"/>
    <w:rPr>
      <w:b/>
      <w:bCs/>
    </w:rPr>
  </w:style>
  <w:style w:type="paragraph" w:styleId="7">
    <w:name w:val="footer"/>
    <w:basedOn w:val="1"/>
    <w:link w:val="28"/>
    <w:unhideWhenUsed/>
    <w:uiPriority w:val="99"/>
    <w:pPr>
      <w:tabs>
        <w:tab w:val="center" w:pos="4680"/>
        <w:tab w:val="right" w:pos="9360"/>
      </w:tabs>
      <w:spacing w:after="0" w:line="240" w:lineRule="auto"/>
    </w:pPr>
  </w:style>
  <w:style w:type="paragraph" w:styleId="8">
    <w:name w:val="header"/>
    <w:basedOn w:val="1"/>
    <w:link w:val="29"/>
    <w:unhideWhenUsed/>
    <w:uiPriority w:val="99"/>
    <w:pPr>
      <w:tabs>
        <w:tab w:val="center" w:pos="4680"/>
        <w:tab w:val="right" w:pos="9360"/>
      </w:tabs>
      <w:spacing w:after="0" w:line="240" w:lineRule="auto"/>
    </w:pPr>
  </w:style>
  <w:style w:type="character" w:styleId="10">
    <w:name w:val="annotation reference"/>
    <w:basedOn w:val="9"/>
    <w:semiHidden/>
    <w:unhideWhenUsed/>
    <w:uiPriority w:val="99"/>
    <w:rPr>
      <w:sz w:val="16"/>
      <w:szCs w:val="16"/>
    </w:rPr>
  </w:style>
  <w:style w:type="character" w:styleId="11">
    <w:name w:val="Emphasis"/>
    <w:basedOn w:val="9"/>
    <w:qFormat/>
    <w:uiPriority w:val="20"/>
    <w:rPr>
      <w:i/>
      <w:iCs/>
    </w:rPr>
  </w:style>
  <w:style w:type="character" w:styleId="12">
    <w:name w:val="Hyperlink"/>
    <w:basedOn w:val="9"/>
    <w:unhideWhenUsed/>
    <w:uiPriority w:val="99"/>
    <w:rPr>
      <w:color w:val="0563C1" w:themeColor="hyperlink"/>
      <w:u w:val="single"/>
      <w14:textFill>
        <w14:solidFill>
          <w14:schemeClr w14:val="hlink"/>
        </w14:solidFill>
      </w14:textFill>
    </w:rPr>
  </w:style>
  <w:style w:type="table" w:styleId="14">
    <w:name w:val="Table Grid"/>
    <w:basedOn w:val="13"/>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_Tóm tắt"/>
    <w:basedOn w:val="1"/>
    <w:qFormat/>
    <w:uiPriority w:val="0"/>
    <w:pPr>
      <w:spacing w:before="40" w:after="0" w:line="240" w:lineRule="auto"/>
      <w:ind w:left="567" w:right="567"/>
      <w:jc w:val="both"/>
    </w:pPr>
    <w:rPr>
      <w:rFonts w:ascii="Times New Roman" w:hAnsi="Times New Roman" w:eastAsia="Times New Roman" w:cs="Times New Roman"/>
      <w:bCs/>
      <w:kern w:val="32"/>
      <w:szCs w:val="28"/>
    </w:rPr>
  </w:style>
  <w:style w:type="paragraph" w:customStyle="1" w:styleId="16">
    <w:name w:val="+Noi dung"/>
    <w:basedOn w:val="1"/>
    <w:link w:val="17"/>
    <w:qFormat/>
    <w:uiPriority w:val="0"/>
    <w:pPr>
      <w:spacing w:after="0" w:line="240" w:lineRule="auto"/>
      <w:jc w:val="both"/>
    </w:pPr>
    <w:rPr>
      <w:rFonts w:asciiTheme="majorHAnsi" w:hAnsiTheme="majorHAnsi" w:eastAsiaTheme="minorEastAsia" w:cstheme="majorHAnsi"/>
      <w:spacing w:val="-4"/>
      <w:w w:val="98"/>
      <w:sz w:val="21"/>
      <w:szCs w:val="23"/>
    </w:rPr>
  </w:style>
  <w:style w:type="character" w:customStyle="1" w:styleId="17">
    <w:name w:val="+Noi dung Char"/>
    <w:basedOn w:val="9"/>
    <w:link w:val="16"/>
    <w:qFormat/>
    <w:uiPriority w:val="0"/>
    <w:rPr>
      <w:rFonts w:asciiTheme="majorHAnsi" w:hAnsiTheme="majorHAnsi" w:eastAsiaTheme="minorEastAsia" w:cstheme="majorHAnsi"/>
      <w:spacing w:val="-4"/>
      <w:w w:val="98"/>
      <w:sz w:val="21"/>
      <w:szCs w:val="23"/>
    </w:rPr>
  </w:style>
  <w:style w:type="paragraph" w:customStyle="1" w:styleId="18">
    <w:name w:val="+Tac gia"/>
    <w:basedOn w:val="1"/>
    <w:link w:val="19"/>
    <w:qFormat/>
    <w:uiPriority w:val="0"/>
    <w:pPr>
      <w:spacing w:after="0" w:line="240" w:lineRule="auto"/>
      <w:jc w:val="center"/>
    </w:pPr>
    <w:rPr>
      <w:rFonts w:asciiTheme="majorHAnsi" w:hAnsiTheme="majorHAnsi" w:eastAsiaTheme="minorEastAsia" w:cstheme="majorHAnsi"/>
      <w:spacing w:val="-4"/>
      <w:w w:val="98"/>
      <w:sz w:val="21"/>
      <w:szCs w:val="21"/>
    </w:rPr>
  </w:style>
  <w:style w:type="character" w:customStyle="1" w:styleId="19">
    <w:name w:val="+Tac gia Char"/>
    <w:basedOn w:val="9"/>
    <w:link w:val="18"/>
    <w:qFormat/>
    <w:uiPriority w:val="0"/>
    <w:rPr>
      <w:rFonts w:asciiTheme="majorHAnsi" w:hAnsiTheme="majorHAnsi" w:eastAsiaTheme="minorEastAsia" w:cstheme="majorHAnsi"/>
      <w:spacing w:val="-4"/>
      <w:w w:val="98"/>
      <w:sz w:val="21"/>
      <w:szCs w:val="21"/>
    </w:rPr>
  </w:style>
  <w:style w:type="paragraph" w:customStyle="1" w:styleId="20">
    <w:name w:val="+Tit bai"/>
    <w:basedOn w:val="2"/>
    <w:link w:val="21"/>
    <w:qFormat/>
    <w:uiPriority w:val="0"/>
    <w:pPr>
      <w:keepLines w:val="0"/>
      <w:spacing w:before="60" w:after="200" w:line="240" w:lineRule="auto"/>
      <w:jc w:val="center"/>
    </w:pPr>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1">
    <w:name w:val="+Tit bai Char"/>
    <w:basedOn w:val="9"/>
    <w:link w:val="20"/>
    <w:qFormat/>
    <w:uiPriority w:val="0"/>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2">
    <w:name w:val="Heading 1 Char"/>
    <w:basedOn w:val="9"/>
    <w:link w:val="2"/>
    <w:qFormat/>
    <w:uiPriority w:val="9"/>
    <w:rPr>
      <w:rFonts w:asciiTheme="majorHAnsi" w:hAnsiTheme="majorHAnsi" w:eastAsiaTheme="majorEastAsia" w:cstheme="majorBidi"/>
      <w:color w:val="2E75B6" w:themeColor="accent1" w:themeShade="BF"/>
      <w:sz w:val="32"/>
      <w:szCs w:val="32"/>
    </w:rPr>
  </w:style>
  <w:style w:type="paragraph" w:customStyle="1" w:styleId="23">
    <w:name w:val="+Tom tat"/>
    <w:basedOn w:val="1"/>
    <w:link w:val="24"/>
    <w:qFormat/>
    <w:uiPriority w:val="0"/>
    <w:pPr>
      <w:spacing w:after="0" w:line="240" w:lineRule="auto"/>
      <w:ind w:left="709" w:right="709"/>
      <w:jc w:val="both"/>
    </w:pPr>
    <w:rPr>
      <w:rFonts w:ascii="Times New Roman" w:hAnsi="Times New Roman" w:eastAsiaTheme="minorEastAsia" w:cstheme="majorHAnsi"/>
      <w:bCs/>
      <w:spacing w:val="-4"/>
      <w:w w:val="98"/>
      <w:sz w:val="21"/>
      <w:szCs w:val="21"/>
    </w:rPr>
  </w:style>
  <w:style w:type="character" w:customStyle="1" w:styleId="24">
    <w:name w:val="+Tom tat Char"/>
    <w:basedOn w:val="9"/>
    <w:link w:val="23"/>
    <w:qFormat/>
    <w:uiPriority w:val="0"/>
    <w:rPr>
      <w:rFonts w:ascii="Times New Roman" w:hAnsi="Times New Roman" w:eastAsiaTheme="minorEastAsia" w:cstheme="majorHAnsi"/>
      <w:bCs/>
      <w:spacing w:val="-4"/>
      <w:w w:val="98"/>
      <w:sz w:val="21"/>
      <w:szCs w:val="21"/>
    </w:rPr>
  </w:style>
  <w:style w:type="paragraph" w:customStyle="1" w:styleId="25">
    <w:name w:val="+TLTK"/>
    <w:basedOn w:val="26"/>
    <w:link w:val="27"/>
    <w:qFormat/>
    <w:uiPriority w:val="0"/>
    <w:pPr>
      <w:numPr>
        <w:ilvl w:val="0"/>
        <w:numId w:val="1"/>
      </w:numPr>
      <w:tabs>
        <w:tab w:val="left" w:pos="567"/>
      </w:tabs>
      <w:autoSpaceDE w:val="0"/>
      <w:autoSpaceDN w:val="0"/>
      <w:adjustRightInd w:val="0"/>
      <w:spacing w:before="40" w:after="0" w:line="240" w:lineRule="auto"/>
      <w:jc w:val="both"/>
    </w:pPr>
    <w:rPr>
      <w:rFonts w:ascii="Times New Roman" w:hAnsi="Times New Roman" w:eastAsiaTheme="minorEastAsia" w:cstheme="majorHAnsi"/>
      <w:spacing w:val="-4"/>
      <w:w w:val="98"/>
      <w:sz w:val="21"/>
      <w:szCs w:val="23"/>
    </w:rPr>
  </w:style>
  <w:style w:type="paragraph" w:styleId="26">
    <w:name w:val="List Paragraph"/>
    <w:basedOn w:val="1"/>
    <w:qFormat/>
    <w:uiPriority w:val="34"/>
    <w:pPr>
      <w:ind w:left="720"/>
      <w:contextualSpacing/>
    </w:pPr>
  </w:style>
  <w:style w:type="character" w:customStyle="1" w:styleId="27">
    <w:name w:val="+TLTK Char"/>
    <w:basedOn w:val="9"/>
    <w:link w:val="25"/>
    <w:uiPriority w:val="0"/>
    <w:rPr>
      <w:rFonts w:ascii="Times New Roman" w:hAnsi="Times New Roman" w:eastAsiaTheme="minorEastAsia" w:cstheme="majorHAnsi"/>
      <w:spacing w:val="-4"/>
      <w:w w:val="98"/>
      <w:sz w:val="21"/>
      <w:szCs w:val="23"/>
    </w:rPr>
  </w:style>
  <w:style w:type="character" w:customStyle="1" w:styleId="28">
    <w:name w:val="Footer Char"/>
    <w:basedOn w:val="9"/>
    <w:link w:val="7"/>
    <w:uiPriority w:val="99"/>
  </w:style>
  <w:style w:type="character" w:customStyle="1" w:styleId="29">
    <w:name w:val="Header Char"/>
    <w:basedOn w:val="9"/>
    <w:link w:val="8"/>
    <w:uiPriority w:val="99"/>
  </w:style>
  <w:style w:type="character" w:customStyle="1" w:styleId="30">
    <w:name w:val="Balloon Text Char"/>
    <w:basedOn w:val="9"/>
    <w:link w:val="3"/>
    <w:semiHidden/>
    <w:uiPriority w:val="99"/>
    <w:rPr>
      <w:rFonts w:ascii="Segoe UI" w:hAnsi="Segoe UI" w:cs="Segoe UI"/>
      <w:sz w:val="18"/>
      <w:szCs w:val="18"/>
    </w:rPr>
  </w:style>
  <w:style w:type="character" w:customStyle="1" w:styleId="31">
    <w:name w:val="Comment Text Char"/>
    <w:basedOn w:val="9"/>
    <w:link w:val="5"/>
    <w:semiHidden/>
    <w:uiPriority w:val="99"/>
    <w:rPr>
      <w:sz w:val="20"/>
      <w:szCs w:val="20"/>
    </w:rPr>
  </w:style>
  <w:style w:type="character" w:customStyle="1" w:styleId="32">
    <w:name w:val="Comment Subject Char"/>
    <w:basedOn w:val="31"/>
    <w:link w:val="6"/>
    <w:semiHidden/>
    <w:uiPriority w:val="99"/>
    <w:rPr>
      <w:b/>
      <w:bCs/>
      <w:sz w:val="20"/>
      <w:szCs w:val="20"/>
    </w:rPr>
  </w:style>
  <w:style w:type="character" w:customStyle="1" w:styleId="33">
    <w:name w:val="fontstyle01"/>
    <w:qFormat/>
    <w:uiPriority w:val="0"/>
    <w:rPr>
      <w:rFonts w:ascii="Bold" w:hAnsi="Bold" w:eastAsia="Bold" w:cs="Bold"/>
      <w:b/>
      <w:color w:val="000000"/>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2795</Words>
  <Characters>15936</Characters>
  <Lines>132</Lines>
  <Paragraphs>37</Paragraphs>
  <TotalTime>3</TotalTime>
  <ScaleCrop>false</ScaleCrop>
  <LinksUpToDate>false</LinksUpToDate>
  <CharactersWithSpaces>18694</CharactersWithSpaces>
  <Application>WPS Office_11.2.0.9669_F1E327BC-269C-435d-A152-05C5408002CA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2021-02-19T08:36:00Z</dcterms:created>
  <dc:creator>Truong Thao</dc:creator>
  <cp:lastModifiedBy>asus</cp:lastModifiedBy>
  <cp:lastPrinted>2021-02-23T08:08:00Z</cp:lastPrinted>
  <dcterms:modified xsi:type="dcterms:W3CDTF">2021-08-10T03:00:42Z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1033-11.2.0.9669</vt:lpwstr>
  </property>
</Properties>
</file>