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core.xml" ContentType="application/vnd.openxmlformats-package.core-properti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Default Extension="png" ContentType="image/png"/>
  <Default Extension="jpeg" ContentType="image/jpeg"/>
  <Override PartName="/word/header6.xml" ContentType="application/vnd.openxmlformats-officedocument.wordprocessingml.header+xml"/>
  <Override PartName="/docProps/custom.xml" ContentType="application/vnd.openxmlformats-officedocument.custom-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1" Type="http://schemas.openxmlformats.org/officeDocument/2006/relationships/extended-properties" Target="docProps/app.xml"/><Relationship Id="rId2" Type="http://schemas.openxmlformats.org/package/2006/relationships/metadata/core-properties" Target="docProps/core.xml"/><Relationship Id="rId3"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body>
    <w:p>
      <w:pPr>
        <w:spacing w:before="2"/>
        <w:ind w:left="1095" w:right="466" w:firstLine="0"/>
        <w:jc w:val="center"/>
        <w:rPr>
          <w:b/>
          <w:sz w:val="24"/>
        </w:rPr>
      </w:pPr>
      <w:r>
        <w:rPr/>
        <w:pict>
          <v:group style="position:absolute;margin-left:51pt;margin-top:37.45628pt;width:512.3pt;height:730.9pt;mso-position-horizontal-relative:page;mso-position-vertical-relative:page;z-index:-30478336" coordorigin="1020,749" coordsize="10246,14618">
            <v:line style="position:absolute" from="1020,765" to="11254,765" stroked="true" strokeweight="1.5874pt" strokecolor="#000000">
              <v:stroke dashstyle="solid"/>
            </v:line>
            <v:shape style="position:absolute;left:1086;top:838;width:10101;height:14397" coordorigin="1086,838" coordsize="10101,14397" path="m1086,838l11187,838m1119,867l1119,15234m11167,867l11167,15234e" filled="false" stroked="true" strokeweight="3.0898pt" strokecolor="#000000">
              <v:path arrowok="t"/>
              <v:stroke dashstyle="solid"/>
            </v:shape>
            <v:shape style="position:absolute;left:1020;top:750;width:10234;height:14604" coordorigin="1020,750" coordsize="10234,14604" path="m1036,750l1036,15353m1020,15351l11254,15351e" filled="false" stroked="true" strokeweight="1.5874pt" strokecolor="#000000">
              <v:path arrowok="t"/>
              <v:stroke dashstyle="solid"/>
            </v:shape>
            <v:line style="position:absolute" from="1086,15278" to="11187,15278" stroked="true" strokeweight="3.0898pt" strokecolor="#000000">
              <v:stroke dashstyle="solid"/>
            </v:line>
            <v:line style="position:absolute" from="11250,750" to="11250,15353" stroked="true" strokeweight="1.5874pt" strokecolor="#000000">
              <v:stroke dashstyle="solid"/>
            </v:line>
            <w10:wrap type="none"/>
          </v:group>
        </w:pict>
      </w:r>
      <w:r>
        <w:rPr>
          <w:b/>
          <w:sz w:val="24"/>
        </w:rPr>
        <w:t>--------------------oOo--------------------</w:t>
      </w:r>
    </w:p>
    <w:p>
      <w:pPr>
        <w:pStyle w:val="BodyText"/>
        <w:rPr>
          <w:b/>
        </w:rPr>
      </w:pPr>
    </w:p>
    <w:p>
      <w:pPr>
        <w:pStyle w:val="BodyText"/>
        <w:rPr>
          <w:b/>
        </w:rPr>
      </w:pPr>
    </w:p>
    <w:p>
      <w:pPr>
        <w:pStyle w:val="BodyText"/>
        <w:spacing w:before="9"/>
        <w:rPr>
          <w:b/>
        </w:rPr>
      </w:pPr>
    </w:p>
    <w:p>
      <w:pPr>
        <w:pStyle w:val="Heading4"/>
        <w:spacing w:before="0"/>
        <w:ind w:left="1095" w:right="387"/>
      </w:pPr>
      <w:r>
        <w:rPr/>
        <w:t>TS. HÀ MINH HIẾU</w:t>
      </w:r>
    </w:p>
    <w:p>
      <w:pPr>
        <w:pStyle w:val="BodyText"/>
        <w:rPr>
          <w:b/>
          <w:sz w:val="30"/>
        </w:rPr>
      </w:pPr>
    </w:p>
    <w:p>
      <w:pPr>
        <w:pStyle w:val="BodyText"/>
        <w:rPr>
          <w:b/>
          <w:sz w:val="30"/>
        </w:rPr>
      </w:pPr>
    </w:p>
    <w:p>
      <w:pPr>
        <w:pStyle w:val="BodyText"/>
        <w:spacing w:before="3"/>
        <w:rPr>
          <w:b/>
          <w:sz w:val="41"/>
        </w:rPr>
      </w:pPr>
    </w:p>
    <w:p>
      <w:pPr>
        <w:spacing w:line="360" w:lineRule="auto" w:before="1"/>
        <w:ind w:left="948" w:right="952" w:firstLine="0"/>
        <w:jc w:val="center"/>
        <w:rPr>
          <w:b/>
          <w:sz w:val="34"/>
        </w:rPr>
      </w:pPr>
      <w:r>
        <w:rPr>
          <w:b/>
          <w:sz w:val="34"/>
        </w:rPr>
        <w:t>NÂNG CAO LỢI THẾ CẠNH TRANH CHO CÁC CẢNG CONTAINER TẠI VIỆT NAM</w:t>
      </w:r>
    </w:p>
    <w:p>
      <w:pPr>
        <w:pStyle w:val="BodyText"/>
        <w:rPr>
          <w:b/>
          <w:sz w:val="38"/>
        </w:rPr>
      </w:pPr>
    </w:p>
    <w:p>
      <w:pPr>
        <w:pStyle w:val="BodyText"/>
        <w:rPr>
          <w:b/>
          <w:sz w:val="38"/>
        </w:rPr>
      </w:pPr>
    </w:p>
    <w:p>
      <w:pPr>
        <w:pStyle w:val="BodyText"/>
        <w:rPr>
          <w:b/>
          <w:sz w:val="38"/>
        </w:rPr>
      </w:pPr>
    </w:p>
    <w:p>
      <w:pPr>
        <w:pStyle w:val="BodyText"/>
        <w:rPr>
          <w:b/>
          <w:sz w:val="38"/>
        </w:rPr>
      </w:pPr>
    </w:p>
    <w:p>
      <w:pPr>
        <w:pStyle w:val="BodyText"/>
        <w:rPr>
          <w:b/>
          <w:sz w:val="38"/>
        </w:rPr>
      </w:pPr>
    </w:p>
    <w:p>
      <w:pPr>
        <w:pStyle w:val="BodyText"/>
        <w:rPr>
          <w:b/>
          <w:sz w:val="38"/>
        </w:rPr>
      </w:pPr>
    </w:p>
    <w:p>
      <w:pPr>
        <w:pStyle w:val="Heading3"/>
        <w:spacing w:before="338"/>
        <w:ind w:left="941" w:right="952"/>
      </w:pPr>
      <w:r>
        <w:rPr/>
        <w:t>NGHIÊN CỨU KHOA HỌC CẤP CƠ SỞ</w:t>
      </w:r>
    </w:p>
    <w:p>
      <w:pPr>
        <w:pStyle w:val="BodyText"/>
        <w:rPr>
          <w:b/>
          <w:sz w:val="34"/>
        </w:rPr>
      </w:pPr>
    </w:p>
    <w:p>
      <w:pPr>
        <w:pStyle w:val="BodyText"/>
        <w:rPr>
          <w:b/>
          <w:sz w:val="34"/>
        </w:rPr>
      </w:pPr>
    </w:p>
    <w:p>
      <w:pPr>
        <w:pStyle w:val="BodyText"/>
        <w:rPr>
          <w:b/>
          <w:sz w:val="34"/>
        </w:rPr>
      </w:pPr>
    </w:p>
    <w:p>
      <w:pPr>
        <w:pStyle w:val="BodyText"/>
        <w:rPr>
          <w:b/>
          <w:sz w:val="34"/>
        </w:rPr>
      </w:pPr>
    </w:p>
    <w:p>
      <w:pPr>
        <w:pStyle w:val="BodyText"/>
        <w:rPr>
          <w:b/>
          <w:sz w:val="34"/>
        </w:rPr>
      </w:pPr>
    </w:p>
    <w:p>
      <w:pPr>
        <w:pStyle w:val="BodyText"/>
        <w:rPr>
          <w:b/>
          <w:sz w:val="34"/>
        </w:rPr>
      </w:pPr>
    </w:p>
    <w:p>
      <w:pPr>
        <w:pStyle w:val="BodyText"/>
        <w:rPr>
          <w:b/>
          <w:sz w:val="34"/>
        </w:rPr>
      </w:pPr>
    </w:p>
    <w:p>
      <w:pPr>
        <w:pStyle w:val="BodyText"/>
        <w:rPr>
          <w:b/>
          <w:sz w:val="34"/>
        </w:rPr>
      </w:pPr>
    </w:p>
    <w:p>
      <w:pPr>
        <w:pStyle w:val="BodyText"/>
        <w:rPr>
          <w:b/>
          <w:sz w:val="34"/>
        </w:rPr>
      </w:pPr>
    </w:p>
    <w:p>
      <w:pPr>
        <w:pStyle w:val="BodyText"/>
        <w:rPr>
          <w:b/>
          <w:sz w:val="34"/>
        </w:rPr>
      </w:pPr>
    </w:p>
    <w:p>
      <w:pPr>
        <w:pStyle w:val="BodyText"/>
        <w:rPr>
          <w:b/>
          <w:sz w:val="34"/>
        </w:rPr>
      </w:pPr>
    </w:p>
    <w:p>
      <w:pPr>
        <w:pStyle w:val="BodyText"/>
        <w:rPr>
          <w:b/>
          <w:sz w:val="34"/>
        </w:rPr>
      </w:pPr>
    </w:p>
    <w:p>
      <w:pPr>
        <w:pStyle w:val="BodyText"/>
        <w:rPr>
          <w:b/>
          <w:sz w:val="34"/>
        </w:rPr>
      </w:pPr>
    </w:p>
    <w:p>
      <w:pPr>
        <w:pStyle w:val="BodyText"/>
        <w:spacing w:before="9"/>
        <w:rPr>
          <w:b/>
          <w:sz w:val="38"/>
        </w:rPr>
      </w:pPr>
    </w:p>
    <w:p>
      <w:pPr>
        <w:pStyle w:val="Heading5"/>
        <w:ind w:left="1095"/>
      </w:pPr>
      <w:r>
        <w:rPr/>
        <w:t>TP. HỒ CHÍ MINH - NĂM 2021</w:t>
      </w:r>
    </w:p>
    <w:p>
      <w:pPr>
        <w:spacing w:after="0"/>
        <w:sectPr>
          <w:headerReference w:type="default" r:id="rId5"/>
          <w:type w:val="continuous"/>
          <w:pgSz w:w="11910" w:h="16850"/>
          <w:pgMar w:header="1136" w:top="1840" w:bottom="280" w:left="820" w:right="240"/>
        </w:sectPr>
      </w:pPr>
    </w:p>
    <w:p>
      <w:pPr>
        <w:pStyle w:val="BodyText"/>
        <w:spacing w:before="10"/>
        <w:rPr>
          <w:sz w:val="23"/>
        </w:rPr>
      </w:pPr>
      <w:r>
        <w:rPr/>
        <w:pict>
          <v:group style="position:absolute;margin-left:51pt;margin-top:37.45628pt;width:512.3pt;height:730.9pt;mso-position-horizontal-relative:page;mso-position-vertical-relative:page;z-index:-30477824" coordorigin="1020,749" coordsize="10246,14618">
            <v:line style="position:absolute" from="1020,765" to="11254,765" stroked="true" strokeweight="1.5874pt" strokecolor="#000000">
              <v:stroke dashstyle="solid"/>
            </v:line>
            <v:shape style="position:absolute;left:1086;top:838;width:10101;height:14397" coordorigin="1086,838" coordsize="10101,14397" path="m1086,838l11187,838m1119,867l1119,15234m11167,867l11167,15234e" filled="false" stroked="true" strokeweight="3.0898pt" strokecolor="#000000">
              <v:path arrowok="t"/>
              <v:stroke dashstyle="solid"/>
            </v:shape>
            <v:shape style="position:absolute;left:1020;top:750;width:10234;height:14604" coordorigin="1020,750" coordsize="10234,14604" path="m1036,750l1036,15353m1020,15351l11254,15351e" filled="false" stroked="true" strokeweight="1.5874pt" strokecolor="#000000">
              <v:path arrowok="t"/>
              <v:stroke dashstyle="solid"/>
            </v:shape>
            <v:line style="position:absolute" from="1086,15278" to="11187,15278" stroked="true" strokeweight="3.0898pt" strokecolor="#000000">
              <v:stroke dashstyle="solid"/>
            </v:line>
            <v:line style="position:absolute" from="11250,750" to="11250,15353" stroked="true" strokeweight="1.5874pt" strokecolor="#000000">
              <v:stroke dashstyle="solid"/>
            </v:line>
            <w10:wrap type="none"/>
          </v:group>
        </w:pict>
      </w:r>
    </w:p>
    <w:p>
      <w:pPr>
        <w:spacing w:before="90"/>
        <w:ind w:left="924" w:right="952" w:firstLine="0"/>
        <w:jc w:val="center"/>
        <w:rPr>
          <w:b/>
          <w:sz w:val="24"/>
        </w:rPr>
      </w:pPr>
      <w:r>
        <w:rPr>
          <w:b/>
          <w:sz w:val="24"/>
        </w:rPr>
        <w:t>--------------------oOo--------------------</w:t>
      </w: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sz w:val="29"/>
        </w:rPr>
      </w:pPr>
    </w:p>
    <w:p>
      <w:pPr>
        <w:spacing w:line="360" w:lineRule="auto" w:before="0"/>
        <w:ind w:left="948" w:right="952" w:firstLine="0"/>
        <w:jc w:val="center"/>
        <w:rPr>
          <w:b/>
          <w:sz w:val="34"/>
        </w:rPr>
      </w:pPr>
      <w:r>
        <w:rPr>
          <w:b/>
          <w:sz w:val="34"/>
        </w:rPr>
        <w:t>NÂNG CAO LỢI THẾ CẠNH TRANH CHO CÁC CẢNG CONTAINER TẠI VIỆT NAM</w:t>
      </w:r>
    </w:p>
    <w:p>
      <w:pPr>
        <w:pStyle w:val="BodyText"/>
        <w:rPr>
          <w:b/>
          <w:sz w:val="38"/>
        </w:rPr>
      </w:pPr>
    </w:p>
    <w:p>
      <w:pPr>
        <w:pStyle w:val="BodyText"/>
        <w:rPr>
          <w:b/>
          <w:sz w:val="38"/>
        </w:rPr>
      </w:pPr>
    </w:p>
    <w:p>
      <w:pPr>
        <w:pStyle w:val="BodyText"/>
        <w:rPr>
          <w:b/>
          <w:sz w:val="38"/>
        </w:rPr>
      </w:pPr>
    </w:p>
    <w:p>
      <w:pPr>
        <w:pStyle w:val="BodyText"/>
        <w:spacing w:before="3"/>
        <w:rPr>
          <w:b/>
          <w:sz w:val="35"/>
        </w:rPr>
      </w:pPr>
    </w:p>
    <w:p>
      <w:pPr>
        <w:pStyle w:val="Heading3"/>
        <w:spacing w:before="1"/>
        <w:ind w:left="941" w:right="952"/>
      </w:pPr>
      <w:r>
        <w:rPr/>
        <w:t>NGHIÊN CỨU KHOA HỌC CẤP CƠ SỞ</w:t>
      </w:r>
    </w:p>
    <w:p>
      <w:pPr>
        <w:pStyle w:val="BodyText"/>
        <w:rPr>
          <w:b/>
          <w:sz w:val="34"/>
        </w:rPr>
      </w:pPr>
    </w:p>
    <w:p>
      <w:pPr>
        <w:pStyle w:val="BodyText"/>
        <w:rPr>
          <w:b/>
          <w:sz w:val="34"/>
        </w:rPr>
      </w:pPr>
    </w:p>
    <w:p>
      <w:pPr>
        <w:spacing w:before="203"/>
        <w:ind w:left="1060" w:right="952" w:firstLine="0"/>
        <w:jc w:val="center"/>
        <w:rPr>
          <w:sz w:val="30"/>
        </w:rPr>
      </w:pPr>
      <w:r>
        <w:rPr>
          <w:sz w:val="30"/>
        </w:rPr>
        <w:t>NGƯỜI THỰC</w:t>
      </w:r>
      <w:r>
        <w:rPr>
          <w:spacing w:val="-7"/>
          <w:sz w:val="30"/>
        </w:rPr>
        <w:t> </w:t>
      </w:r>
      <w:r>
        <w:rPr>
          <w:sz w:val="30"/>
        </w:rPr>
        <w:t>HIỆN</w:t>
      </w:r>
    </w:p>
    <w:p>
      <w:pPr>
        <w:pStyle w:val="BodyText"/>
        <w:spacing w:before="1"/>
        <w:rPr>
          <w:sz w:val="30"/>
        </w:rPr>
      </w:pPr>
    </w:p>
    <w:p>
      <w:pPr>
        <w:spacing w:before="0"/>
        <w:ind w:left="1062" w:right="952" w:firstLine="0"/>
        <w:jc w:val="center"/>
        <w:rPr>
          <w:b/>
          <w:sz w:val="30"/>
        </w:rPr>
      </w:pPr>
      <w:r>
        <w:rPr>
          <w:b/>
          <w:sz w:val="30"/>
        </w:rPr>
        <w:t>TS. HÀ MINH</w:t>
      </w:r>
      <w:r>
        <w:rPr>
          <w:b/>
          <w:spacing w:val="-9"/>
          <w:sz w:val="30"/>
        </w:rPr>
        <w:t> </w:t>
      </w:r>
      <w:r>
        <w:rPr>
          <w:b/>
          <w:sz w:val="30"/>
        </w:rPr>
        <w:t>HIẾU</w:t>
      </w:r>
    </w:p>
    <w:p>
      <w:pPr>
        <w:pStyle w:val="BodyText"/>
        <w:rPr>
          <w:b/>
          <w:sz w:val="32"/>
        </w:rPr>
      </w:pPr>
    </w:p>
    <w:p>
      <w:pPr>
        <w:pStyle w:val="BodyText"/>
        <w:rPr>
          <w:b/>
          <w:sz w:val="32"/>
        </w:rPr>
      </w:pPr>
    </w:p>
    <w:p>
      <w:pPr>
        <w:pStyle w:val="BodyText"/>
        <w:rPr>
          <w:b/>
          <w:sz w:val="32"/>
        </w:rPr>
      </w:pPr>
    </w:p>
    <w:p>
      <w:pPr>
        <w:pStyle w:val="BodyText"/>
        <w:rPr>
          <w:b/>
          <w:sz w:val="32"/>
        </w:rPr>
      </w:pPr>
    </w:p>
    <w:p>
      <w:pPr>
        <w:pStyle w:val="BodyText"/>
        <w:rPr>
          <w:b/>
          <w:sz w:val="32"/>
        </w:rPr>
      </w:pPr>
    </w:p>
    <w:p>
      <w:pPr>
        <w:pStyle w:val="BodyText"/>
        <w:rPr>
          <w:b/>
          <w:sz w:val="32"/>
        </w:rPr>
      </w:pPr>
    </w:p>
    <w:p>
      <w:pPr>
        <w:pStyle w:val="BodyText"/>
        <w:rPr>
          <w:b/>
          <w:sz w:val="32"/>
        </w:rPr>
      </w:pPr>
    </w:p>
    <w:p>
      <w:pPr>
        <w:pStyle w:val="BodyText"/>
        <w:rPr>
          <w:b/>
          <w:sz w:val="32"/>
        </w:rPr>
      </w:pPr>
    </w:p>
    <w:p>
      <w:pPr>
        <w:pStyle w:val="BodyText"/>
        <w:rPr>
          <w:b/>
          <w:sz w:val="32"/>
        </w:rPr>
      </w:pPr>
    </w:p>
    <w:p>
      <w:pPr>
        <w:spacing w:before="208"/>
        <w:ind w:left="1095" w:right="803" w:firstLine="0"/>
        <w:jc w:val="center"/>
        <w:rPr>
          <w:b/>
          <w:sz w:val="30"/>
        </w:rPr>
      </w:pPr>
      <w:r>
        <w:rPr>
          <w:b/>
          <w:sz w:val="30"/>
        </w:rPr>
        <w:t>TP. HỒ CHÍ MINH - NĂM 2021</w:t>
      </w:r>
    </w:p>
    <w:p>
      <w:pPr>
        <w:spacing w:after="0"/>
        <w:jc w:val="center"/>
        <w:rPr>
          <w:sz w:val="30"/>
        </w:rPr>
        <w:sectPr>
          <w:pgSz w:w="11910" w:h="16850"/>
          <w:pgMar w:header="1136" w:footer="0" w:top="1840" w:bottom="280" w:left="820" w:right="240"/>
        </w:sectPr>
      </w:pPr>
    </w:p>
    <w:p>
      <w:pPr>
        <w:pStyle w:val="Heading6"/>
        <w:spacing w:before="67"/>
        <w:ind w:left="940" w:right="952"/>
        <w:jc w:val="center"/>
      </w:pPr>
      <w:r>
        <w:rPr/>
        <w:t>LỜI CAM ĐOAN</w:t>
      </w:r>
    </w:p>
    <w:p>
      <w:pPr>
        <w:pStyle w:val="BodyText"/>
        <w:spacing w:line="360" w:lineRule="auto" w:before="150"/>
        <w:ind w:left="1189" w:right="953" w:firstLine="568"/>
        <w:jc w:val="both"/>
      </w:pPr>
      <w:r>
        <w:rPr/>
        <w:t>Tôi xin cam đoan đề tài “Nâng cao lợi thế cạnh tranh cho các cảng container tại Việt Nam” là công trình nghiên cứu của bản thân, được đúc kết từ quá trình giảng dạy và nghiên cứu thực tiễn trong thời gian qua. Các thông tin và số liệu được sử dụng trong đề án hoàn toàn trung thực và chưa từng công bố trong bất kỳ công trình nào khác</w:t>
      </w:r>
    </w:p>
    <w:p>
      <w:pPr>
        <w:pStyle w:val="BodyText"/>
        <w:spacing w:before="11"/>
        <w:rPr>
          <w:sz w:val="38"/>
        </w:rPr>
      </w:pPr>
    </w:p>
    <w:p>
      <w:pPr>
        <w:spacing w:before="0"/>
        <w:ind w:left="5353" w:right="0" w:firstLine="0"/>
        <w:jc w:val="left"/>
        <w:rPr>
          <w:i/>
          <w:sz w:val="26"/>
        </w:rPr>
      </w:pPr>
      <w:r>
        <w:rPr>
          <w:i/>
          <w:sz w:val="26"/>
        </w:rPr>
        <w:t>Thành phố Hồ Chí Minh năm 2021</w:t>
      </w:r>
    </w:p>
    <w:p>
      <w:pPr>
        <w:pStyle w:val="BodyText"/>
        <w:rPr>
          <w:i/>
          <w:sz w:val="28"/>
        </w:rPr>
      </w:pPr>
    </w:p>
    <w:p>
      <w:pPr>
        <w:pStyle w:val="BodyText"/>
        <w:spacing w:before="1"/>
        <w:rPr>
          <w:i/>
          <w:sz w:val="24"/>
        </w:rPr>
      </w:pPr>
    </w:p>
    <w:p>
      <w:pPr>
        <w:pStyle w:val="BodyText"/>
        <w:ind w:left="6119"/>
      </w:pPr>
      <w:r>
        <w:rPr/>
        <w:t>Người Nghiên cứu</w:t>
      </w:r>
    </w:p>
    <w:p>
      <w:pPr>
        <w:pStyle w:val="BodyText"/>
        <w:rPr>
          <w:sz w:val="28"/>
        </w:rPr>
      </w:pPr>
    </w:p>
    <w:p>
      <w:pPr>
        <w:pStyle w:val="BodyText"/>
        <w:rPr>
          <w:sz w:val="28"/>
        </w:rPr>
      </w:pPr>
    </w:p>
    <w:p>
      <w:pPr>
        <w:pStyle w:val="BodyText"/>
        <w:spacing w:before="1"/>
        <w:rPr>
          <w:sz w:val="35"/>
        </w:rPr>
      </w:pPr>
    </w:p>
    <w:p>
      <w:pPr>
        <w:pStyle w:val="Heading6"/>
        <w:ind w:left="6081"/>
        <w:jc w:val="left"/>
      </w:pPr>
      <w:r>
        <w:rPr/>
        <w:t>TS. Hà Minh Hiếu</w:t>
      </w:r>
    </w:p>
    <w:p>
      <w:pPr>
        <w:spacing w:after="0"/>
        <w:jc w:val="left"/>
        <w:sectPr>
          <w:headerReference w:type="default" r:id="rId6"/>
          <w:pgSz w:w="11910" w:h="16850"/>
          <w:pgMar w:header="0" w:footer="0" w:top="1180" w:bottom="280" w:left="820" w:right="240"/>
        </w:sectPr>
      </w:pPr>
    </w:p>
    <w:p>
      <w:pPr>
        <w:spacing w:before="67"/>
        <w:ind w:left="943" w:right="952" w:firstLine="0"/>
        <w:jc w:val="center"/>
        <w:rPr>
          <w:b/>
          <w:sz w:val="26"/>
        </w:rPr>
      </w:pPr>
      <w:r>
        <w:rPr>
          <w:b/>
          <w:sz w:val="26"/>
        </w:rPr>
        <w:t>LỜI CẢM ƠN</w:t>
      </w:r>
    </w:p>
    <w:p>
      <w:pPr>
        <w:pStyle w:val="BodyText"/>
        <w:spacing w:line="360" w:lineRule="auto" w:before="150"/>
        <w:ind w:left="1165" w:right="888" w:firstLine="849"/>
        <w:jc w:val="both"/>
      </w:pPr>
      <w:r>
        <w:rPr/>
        <w:t>Trước tiên tôi xin cảm ơn ban Giám hiệu, Phòng Quản lý Khoa học trường Đại học Tài chính Marketing đã xem xét, phê duyệt đồng ý cho tôi thực hiện đề tài khoa học cấp cơ sở này với sự hỗ trợ kinh phí bằng chính sách phát triển khoa học công nghệ của trường.</w:t>
      </w:r>
    </w:p>
    <w:p>
      <w:pPr>
        <w:pStyle w:val="BodyText"/>
        <w:spacing w:line="360" w:lineRule="auto" w:before="1"/>
        <w:ind w:left="1165" w:right="889" w:firstLine="849"/>
        <w:jc w:val="both"/>
      </w:pPr>
      <w:r>
        <w:rPr/>
        <w:t>Bằng trái tim chân thành tôi muốn gửi những lời cảm ơn chân thành và tri ân đến các anh chị trong Hiệp hội Logistics Việt Nam (VLA), các anh chị trong Viện nghiên cứu và phát triển Logistics VN (VLI), Hiệp hội nhân lực Logistics Việt Nam (VALOMA) đã hỗ trợ giúp đỡ và động viên tôi rất nhiều đặc biệt là Viện trưởng VLI là PGS.TS Hồ Thị Thu Hòa, ông Trần Thanh Hải cục phó cục XNK bộ Công Thương. Tôi cũng xin gởi lời cảm ơn đến với anh Nguyễn Đình Khương là tổng giám đốc Tân cảng Quy Nhơn, anh Võ Đắc Thiệu là giám đốc kế hoạch kinh doanh tổng Công ty Tân cảng Sài Gòn, anh Vũ Kỳ là trưởng kho bãi cảng VICT, anh Nguyễn Trương Linh là phó tổng giám đốc cảng container quốc tế VICT, anh Nguyễn Hoài Nam là phó tổng giám đốc công ty Tân Cảng SG...đã hỗ trợ giúp đỡ tôi trong khảo sát nghiên</w:t>
      </w:r>
      <w:r>
        <w:rPr>
          <w:spacing w:val="-3"/>
        </w:rPr>
        <w:t> </w:t>
      </w:r>
      <w:r>
        <w:rPr/>
        <w:t>cứu.</w:t>
      </w:r>
    </w:p>
    <w:p>
      <w:pPr>
        <w:pStyle w:val="BodyText"/>
        <w:spacing w:line="360" w:lineRule="auto"/>
        <w:ind w:left="1165" w:right="888" w:firstLine="849"/>
        <w:jc w:val="both"/>
      </w:pPr>
      <w:r>
        <w:rPr/>
        <w:t>Tiếp theo, tôi xin được gửi lời cảm ơn sâu sắc nhất đến thầy cô thuộc khoa Thương mại – Đại học Tài chính Marketing đã luôn động viên, giúp đỡ tôi để tôi có thời gian tập trung hoàn thành đề tài này. Đặc biệt là TS. Nguyễn Xuân Hiệp là người luôn động viên nhắc nhở tôi cố gắng hoàn thành đề tài, tạo điều kiện thuận lợi cho tôi trong công tác để tôi yên tâm hoàn thành nghiên cứu.</w:t>
      </w:r>
    </w:p>
    <w:p>
      <w:pPr>
        <w:pStyle w:val="BodyText"/>
        <w:spacing w:line="360" w:lineRule="auto"/>
        <w:ind w:left="1165" w:right="891" w:firstLine="849"/>
        <w:jc w:val="both"/>
      </w:pPr>
      <w:r>
        <w:rPr/>
        <w:t>Cuối cùng, tôi xin cảm ơn tất cả mọi người đã hỗ trợ tôi bằng cách này hay cách khác, trực tiếp hay gián tiếp trong suốt thời gian tôi thực hiện đề án này từ học viên, sinh viên, bạn bè đến những người thân yêu nhất của tôi. Nếu không có sự hỗ trợ từ họ thì có lẽ việc hoàn thành đế án này là một thách thức vô cùng to lớn đến nỗi khó mà tưởng tượng được một kết thúc tốt đẹp và hoàn</w:t>
      </w:r>
      <w:r>
        <w:rPr>
          <w:spacing w:val="-11"/>
        </w:rPr>
        <w:t> </w:t>
      </w:r>
      <w:r>
        <w:rPr/>
        <w:t>hảo.</w:t>
      </w:r>
    </w:p>
    <w:p>
      <w:pPr>
        <w:spacing w:before="2"/>
        <w:ind w:left="3762" w:right="0" w:firstLine="0"/>
        <w:jc w:val="both"/>
        <w:rPr>
          <w:i/>
          <w:sz w:val="26"/>
        </w:rPr>
      </w:pPr>
      <w:r>
        <w:rPr>
          <w:i/>
          <w:sz w:val="26"/>
        </w:rPr>
        <w:t>Thành phố Hồ Chí Minh, ngày 25 tháng 08 năm 2021</w:t>
      </w:r>
    </w:p>
    <w:p>
      <w:pPr>
        <w:spacing w:after="0"/>
        <w:jc w:val="both"/>
        <w:rPr>
          <w:sz w:val="26"/>
        </w:rPr>
        <w:sectPr>
          <w:headerReference w:type="default" r:id="rId7"/>
          <w:pgSz w:w="11910" w:h="16850"/>
          <w:pgMar w:header="0" w:footer="0" w:top="1180" w:bottom="280" w:left="820" w:right="240"/>
        </w:sectPr>
      </w:pPr>
    </w:p>
    <w:p>
      <w:pPr>
        <w:pStyle w:val="BodyText"/>
        <w:spacing w:before="3"/>
        <w:rPr>
          <w:i/>
          <w:sz w:val="16"/>
        </w:rPr>
      </w:pPr>
    </w:p>
    <w:p>
      <w:pPr>
        <w:pStyle w:val="Heading6"/>
        <w:spacing w:before="88"/>
        <w:ind w:left="261" w:right="952"/>
        <w:jc w:val="center"/>
      </w:pPr>
      <w:bookmarkStart w:name="_TOC_250055" w:id="1"/>
      <w:bookmarkEnd w:id="1"/>
      <w:r>
        <w:rPr/>
        <w:t>MỤC LỤC</w:t>
      </w:r>
    </w:p>
    <w:p>
      <w:pPr>
        <w:spacing w:line="360" w:lineRule="auto" w:before="151"/>
        <w:ind w:left="882" w:right="8361" w:firstLine="0"/>
        <w:jc w:val="both"/>
        <w:rPr>
          <w:b/>
          <w:sz w:val="26"/>
        </w:rPr>
      </w:pPr>
      <w:r>
        <w:rPr>
          <w:b/>
          <w:sz w:val="26"/>
        </w:rPr>
        <w:t>Trang phụ bìa Lời cam đoan Lời cảm ơn</w:t>
      </w:r>
    </w:p>
    <w:p>
      <w:pPr>
        <w:spacing w:after="0" w:line="360" w:lineRule="auto"/>
        <w:jc w:val="both"/>
        <w:rPr>
          <w:sz w:val="26"/>
        </w:rPr>
        <w:sectPr>
          <w:headerReference w:type="default" r:id="rId8"/>
          <w:pgSz w:w="11910" w:h="16850"/>
          <w:pgMar w:header="751" w:footer="0" w:top="960" w:bottom="1369" w:left="820" w:right="240"/>
          <w:pgNumType w:start="1"/>
        </w:sectPr>
      </w:pPr>
    </w:p>
    <w:sdt>
      <w:sdtPr>
        <w:docPartObj>
          <w:docPartGallery w:val="Table of Contents"/>
          <w:docPartUnique/>
        </w:docPartObj>
      </w:sdtPr>
      <w:sdtEndPr/>
      <w:sdtContent>
        <w:p>
          <w:pPr>
            <w:pStyle w:val="TOC1"/>
            <w:tabs>
              <w:tab w:pos="9600" w:val="left" w:leader="dot"/>
            </w:tabs>
            <w:spacing w:before="1"/>
          </w:pPr>
          <w:hyperlink w:history="true" w:anchor="_TOC_250055">
            <w:r>
              <w:rPr/>
              <w:t>Mục</w:t>
            </w:r>
            <w:r>
              <w:rPr>
                <w:spacing w:val="-2"/>
              </w:rPr>
              <w:t> </w:t>
            </w:r>
            <w:r>
              <w:rPr/>
              <w:t>lục</w:t>
              <w:tab/>
              <w:t>i</w:t>
            </w:r>
          </w:hyperlink>
        </w:p>
        <w:p>
          <w:pPr>
            <w:pStyle w:val="TOC1"/>
            <w:tabs>
              <w:tab w:pos="9470" w:val="left" w:leader="dot"/>
            </w:tabs>
            <w:spacing w:before="149"/>
          </w:pPr>
          <w:r>
            <w:rPr/>
            <w:t>Danh mục chữ</w:t>
          </w:r>
          <w:r>
            <w:rPr>
              <w:spacing w:val="-6"/>
            </w:rPr>
            <w:t> </w:t>
          </w:r>
          <w:r>
            <w:rPr/>
            <w:t>viết</w:t>
          </w:r>
          <w:r>
            <w:rPr>
              <w:spacing w:val="-2"/>
            </w:rPr>
            <w:t> </w:t>
          </w:r>
          <w:r>
            <w:rPr/>
            <w:t>tắt</w:t>
            <w:tab/>
            <w:t>iv</w:t>
          </w:r>
        </w:p>
        <w:p>
          <w:pPr>
            <w:pStyle w:val="TOC1"/>
            <w:tabs>
              <w:tab w:pos="9473" w:val="left" w:leader="dot"/>
            </w:tabs>
            <w:spacing w:before="148"/>
          </w:pPr>
          <w:hyperlink w:history="true" w:anchor="_TOC_250054">
            <w:r>
              <w:rPr/>
              <w:t>Danh</w:t>
            </w:r>
            <w:r>
              <w:rPr>
                <w:spacing w:val="-19"/>
              </w:rPr>
              <w:t> </w:t>
            </w:r>
            <w:r>
              <w:rPr/>
              <w:t>mục</w:t>
            </w:r>
            <w:r>
              <w:rPr>
                <w:spacing w:val="-2"/>
              </w:rPr>
              <w:t> </w:t>
            </w:r>
            <w:r>
              <w:rPr/>
              <w:t>bảng</w:t>
              <w:tab/>
              <w:t>vi</w:t>
            </w:r>
          </w:hyperlink>
        </w:p>
        <w:p>
          <w:pPr>
            <w:pStyle w:val="TOC1"/>
            <w:tabs>
              <w:tab w:pos="9401" w:val="left" w:leader="dot"/>
            </w:tabs>
          </w:pPr>
          <w:hyperlink w:history="true" w:anchor="_TOC_250053">
            <w:r>
              <w:rPr/>
              <w:t>Danh</w:t>
            </w:r>
            <w:r>
              <w:rPr>
                <w:spacing w:val="-6"/>
              </w:rPr>
              <w:t> </w:t>
            </w:r>
            <w:r>
              <w:rPr/>
              <w:t>mục</w:t>
            </w:r>
            <w:r>
              <w:rPr>
                <w:spacing w:val="-4"/>
              </w:rPr>
              <w:t> </w:t>
            </w:r>
            <w:r>
              <w:rPr/>
              <w:t>hình</w:t>
              <w:tab/>
              <w:t>vii</w:t>
            </w:r>
          </w:hyperlink>
        </w:p>
        <w:p>
          <w:pPr>
            <w:pStyle w:val="TOC4"/>
            <w:tabs>
              <w:tab w:pos="9542" w:val="left" w:leader="dot"/>
            </w:tabs>
            <w:spacing w:line="360" w:lineRule="auto"/>
          </w:pPr>
          <w:r>
            <w:rPr/>
            <w:t>Trang CHƯƠNG 1: TỔNG QUAN ĐỀ TÀI</w:t>
          </w:r>
          <w:r>
            <w:rPr>
              <w:spacing w:val="-11"/>
            </w:rPr>
            <w:t> </w:t>
          </w:r>
          <w:r>
            <w:rPr/>
            <w:t>NGHIÊN</w:t>
          </w:r>
          <w:r>
            <w:rPr>
              <w:spacing w:val="-3"/>
            </w:rPr>
            <w:t> </w:t>
          </w:r>
          <w:r>
            <w:rPr/>
            <w:t>CỨU</w:t>
            <w:tab/>
            <w:t>1</w:t>
          </w:r>
        </w:p>
        <w:p>
          <w:pPr>
            <w:pStyle w:val="TOC3"/>
            <w:numPr>
              <w:ilvl w:val="1"/>
              <w:numId w:val="1"/>
            </w:numPr>
            <w:tabs>
              <w:tab w:pos="1271" w:val="left" w:leader="none"/>
              <w:tab w:pos="9542" w:val="left" w:leader="dot"/>
            </w:tabs>
            <w:spacing w:line="240" w:lineRule="auto" w:before="1" w:after="0"/>
            <w:ind w:left="1270" w:right="0" w:hanging="389"/>
            <w:jc w:val="left"/>
          </w:pPr>
          <w:hyperlink w:history="true" w:anchor="_TOC_250052">
            <w:r>
              <w:rPr/>
              <w:t>Vấn đề</w:t>
            </w:r>
            <w:r>
              <w:rPr>
                <w:spacing w:val="-2"/>
              </w:rPr>
              <w:t> </w:t>
            </w:r>
            <w:r>
              <w:rPr/>
              <w:t>nghiên</w:t>
            </w:r>
            <w:r>
              <w:rPr>
                <w:spacing w:val="-2"/>
              </w:rPr>
              <w:t> </w:t>
            </w:r>
            <w:r>
              <w:rPr/>
              <w:t>cứu</w:t>
              <w:tab/>
              <w:t>1</w:t>
            </w:r>
          </w:hyperlink>
        </w:p>
        <w:p>
          <w:pPr>
            <w:pStyle w:val="TOC3"/>
            <w:numPr>
              <w:ilvl w:val="2"/>
              <w:numId w:val="1"/>
            </w:numPr>
            <w:tabs>
              <w:tab w:pos="1466" w:val="left" w:leader="none"/>
              <w:tab w:pos="9542" w:val="left" w:leader="dot"/>
            </w:tabs>
            <w:spacing w:line="240" w:lineRule="auto" w:before="150" w:after="0"/>
            <w:ind w:left="1465" w:right="0" w:hanging="584"/>
            <w:jc w:val="left"/>
          </w:pPr>
          <w:hyperlink w:history="true" w:anchor="_TOC_250051">
            <w:r>
              <w:rPr/>
              <w:t>Bối cảnh nghiên cứu lý thuyết của</w:t>
            </w:r>
            <w:r>
              <w:rPr>
                <w:spacing w:val="-8"/>
              </w:rPr>
              <w:t> </w:t>
            </w:r>
            <w:r>
              <w:rPr/>
              <w:t>đề</w:t>
            </w:r>
            <w:r>
              <w:rPr>
                <w:spacing w:val="-1"/>
              </w:rPr>
              <w:t> </w:t>
            </w:r>
            <w:r>
              <w:rPr/>
              <w:t>tài</w:t>
              <w:tab/>
              <w:t>1</w:t>
            </w:r>
          </w:hyperlink>
        </w:p>
        <w:p>
          <w:pPr>
            <w:pStyle w:val="TOC3"/>
            <w:numPr>
              <w:ilvl w:val="2"/>
              <w:numId w:val="1"/>
            </w:numPr>
            <w:tabs>
              <w:tab w:pos="1466" w:val="left" w:leader="none"/>
              <w:tab w:pos="9542" w:val="left" w:leader="dot"/>
            </w:tabs>
            <w:spacing w:line="240" w:lineRule="auto" w:before="149" w:after="0"/>
            <w:ind w:left="1465" w:right="0" w:hanging="584"/>
            <w:jc w:val="left"/>
          </w:pPr>
          <w:hyperlink w:history="true" w:anchor="_TOC_250050">
            <w:r>
              <w:rPr/>
              <w:t>Lý do</w:t>
            </w:r>
            <w:r>
              <w:rPr>
                <w:spacing w:val="-3"/>
              </w:rPr>
              <w:t> </w:t>
            </w:r>
            <w:r>
              <w:rPr/>
              <w:t>nghiên</w:t>
            </w:r>
            <w:r>
              <w:rPr>
                <w:spacing w:val="-1"/>
              </w:rPr>
              <w:t> </w:t>
            </w:r>
            <w:r>
              <w:rPr/>
              <w:t>cứu</w:t>
              <w:tab/>
              <w:t>3</w:t>
            </w:r>
          </w:hyperlink>
        </w:p>
        <w:p>
          <w:pPr>
            <w:pStyle w:val="TOC3"/>
            <w:numPr>
              <w:ilvl w:val="1"/>
              <w:numId w:val="1"/>
            </w:numPr>
            <w:tabs>
              <w:tab w:pos="1271" w:val="left" w:leader="none"/>
              <w:tab w:pos="9542" w:val="left" w:leader="dot"/>
            </w:tabs>
            <w:spacing w:line="240" w:lineRule="auto" w:before="148" w:after="0"/>
            <w:ind w:left="1270" w:right="0" w:hanging="389"/>
            <w:jc w:val="left"/>
          </w:pPr>
          <w:r>
            <w:rPr/>
            <w:t>Mục tiêu nghiên cứu của</w:t>
          </w:r>
          <w:r>
            <w:rPr>
              <w:spacing w:val="-8"/>
            </w:rPr>
            <w:t> </w:t>
          </w:r>
          <w:r>
            <w:rPr/>
            <w:t>đề</w:t>
          </w:r>
          <w:r>
            <w:rPr>
              <w:spacing w:val="-2"/>
            </w:rPr>
            <w:t> </w:t>
          </w:r>
          <w:r>
            <w:rPr/>
            <w:t>tài</w:t>
            <w:tab/>
            <w:t>5</w:t>
          </w:r>
        </w:p>
        <w:p>
          <w:pPr>
            <w:pStyle w:val="TOC3"/>
            <w:numPr>
              <w:ilvl w:val="1"/>
              <w:numId w:val="1"/>
            </w:numPr>
            <w:tabs>
              <w:tab w:pos="1271" w:val="left" w:leader="none"/>
              <w:tab w:pos="9542" w:val="left" w:leader="dot"/>
            </w:tabs>
            <w:spacing w:line="240" w:lineRule="auto" w:before="150" w:after="0"/>
            <w:ind w:left="1270" w:right="0" w:hanging="389"/>
            <w:jc w:val="left"/>
          </w:pPr>
          <w:hyperlink w:history="true" w:anchor="_TOC_250049">
            <w:r>
              <w:rPr/>
              <w:t>Phương pháp</w:t>
            </w:r>
            <w:r>
              <w:rPr>
                <w:spacing w:val="-2"/>
              </w:rPr>
              <w:t> </w:t>
            </w:r>
            <w:r>
              <w:rPr/>
              <w:t>nghiên</w:t>
            </w:r>
            <w:r>
              <w:rPr>
                <w:spacing w:val="-2"/>
              </w:rPr>
              <w:t> </w:t>
            </w:r>
            <w:r>
              <w:rPr/>
              <w:t>cứu</w:t>
              <w:tab/>
              <w:t>5</w:t>
            </w:r>
          </w:hyperlink>
        </w:p>
        <w:p>
          <w:pPr>
            <w:pStyle w:val="TOC3"/>
            <w:numPr>
              <w:ilvl w:val="1"/>
              <w:numId w:val="1"/>
            </w:numPr>
            <w:tabs>
              <w:tab w:pos="1271" w:val="left" w:leader="none"/>
              <w:tab w:pos="9542" w:val="left" w:leader="dot"/>
            </w:tabs>
            <w:spacing w:line="240" w:lineRule="auto" w:before="150" w:after="0"/>
            <w:ind w:left="1270" w:right="0" w:hanging="389"/>
            <w:jc w:val="left"/>
          </w:pPr>
          <w:hyperlink w:history="true" w:anchor="_TOC_250048">
            <w:r>
              <w:rPr/>
              <w:t>Đối tượng và phạm vi</w:t>
            </w:r>
            <w:r>
              <w:rPr>
                <w:spacing w:val="-6"/>
              </w:rPr>
              <w:t> </w:t>
            </w:r>
            <w:r>
              <w:rPr/>
              <w:t>nghiên</w:t>
            </w:r>
            <w:r>
              <w:rPr>
                <w:spacing w:val="-2"/>
              </w:rPr>
              <w:t> </w:t>
            </w:r>
            <w:r>
              <w:rPr/>
              <w:t>cứu</w:t>
              <w:tab/>
              <w:t>9</w:t>
            </w:r>
          </w:hyperlink>
        </w:p>
        <w:p>
          <w:pPr>
            <w:pStyle w:val="TOC3"/>
            <w:numPr>
              <w:ilvl w:val="2"/>
              <w:numId w:val="1"/>
            </w:numPr>
            <w:tabs>
              <w:tab w:pos="1466" w:val="left" w:leader="none"/>
              <w:tab w:pos="9542" w:val="left" w:leader="dot"/>
            </w:tabs>
            <w:spacing w:line="240" w:lineRule="auto" w:before="149" w:after="0"/>
            <w:ind w:left="1465" w:right="0" w:hanging="584"/>
            <w:jc w:val="left"/>
          </w:pPr>
          <w:hyperlink w:history="true" w:anchor="_TOC_250047">
            <w:r>
              <w:rPr/>
              <w:t>Đối tượng</w:t>
            </w:r>
            <w:r>
              <w:rPr>
                <w:spacing w:val="-4"/>
              </w:rPr>
              <w:t> </w:t>
            </w:r>
            <w:r>
              <w:rPr/>
              <w:t>nghiên</w:t>
            </w:r>
            <w:r>
              <w:rPr>
                <w:spacing w:val="2"/>
              </w:rPr>
              <w:t> </w:t>
            </w:r>
            <w:r>
              <w:rPr/>
              <w:t>cứu</w:t>
              <w:tab/>
              <w:t>9</w:t>
            </w:r>
          </w:hyperlink>
        </w:p>
        <w:p>
          <w:pPr>
            <w:pStyle w:val="TOC3"/>
            <w:numPr>
              <w:ilvl w:val="2"/>
              <w:numId w:val="1"/>
            </w:numPr>
            <w:tabs>
              <w:tab w:pos="1466" w:val="left" w:leader="none"/>
              <w:tab w:pos="9542" w:val="left" w:leader="dot"/>
            </w:tabs>
            <w:spacing w:line="240" w:lineRule="auto" w:before="151" w:after="0"/>
            <w:ind w:left="1465" w:right="0" w:hanging="584"/>
            <w:jc w:val="left"/>
          </w:pPr>
          <w:hyperlink w:history="true" w:anchor="_TOC_250046">
            <w:r>
              <w:rPr/>
              <w:t>Phạm vi</w:t>
            </w:r>
            <w:r>
              <w:rPr>
                <w:spacing w:val="-3"/>
              </w:rPr>
              <w:t> </w:t>
            </w:r>
            <w:r>
              <w:rPr/>
              <w:t>nghiên</w:t>
            </w:r>
            <w:r>
              <w:rPr>
                <w:spacing w:val="-2"/>
              </w:rPr>
              <w:t> </w:t>
            </w:r>
            <w:r>
              <w:rPr/>
              <w:t>cứu</w:t>
              <w:tab/>
              <w:t>9</w:t>
            </w:r>
          </w:hyperlink>
        </w:p>
        <w:p>
          <w:pPr>
            <w:pStyle w:val="TOC3"/>
            <w:numPr>
              <w:ilvl w:val="1"/>
              <w:numId w:val="1"/>
            </w:numPr>
            <w:tabs>
              <w:tab w:pos="1271" w:val="left" w:leader="none"/>
              <w:tab w:pos="9413" w:val="left" w:leader="dot"/>
            </w:tabs>
            <w:spacing w:line="240" w:lineRule="auto" w:before="149" w:after="0"/>
            <w:ind w:left="1270" w:right="0" w:hanging="389"/>
            <w:jc w:val="left"/>
          </w:pPr>
          <w:hyperlink w:history="true" w:anchor="_TOC_250045">
            <w:r>
              <w:rPr/>
              <w:t>Ý nghĩa đóng góp mới của</w:t>
            </w:r>
            <w:r>
              <w:rPr>
                <w:spacing w:val="-6"/>
              </w:rPr>
              <w:t> </w:t>
            </w:r>
            <w:r>
              <w:rPr/>
              <w:t>đề</w:t>
            </w:r>
            <w:r>
              <w:rPr>
                <w:spacing w:val="1"/>
              </w:rPr>
              <w:t> </w:t>
            </w:r>
            <w:r>
              <w:rPr/>
              <w:t>tài</w:t>
              <w:tab/>
              <w:t>10</w:t>
            </w:r>
          </w:hyperlink>
        </w:p>
        <w:p>
          <w:pPr>
            <w:pStyle w:val="TOC3"/>
            <w:numPr>
              <w:ilvl w:val="2"/>
              <w:numId w:val="1"/>
            </w:numPr>
            <w:tabs>
              <w:tab w:pos="1466" w:val="left" w:leader="none"/>
              <w:tab w:pos="9413" w:val="left" w:leader="dot"/>
            </w:tabs>
            <w:spacing w:line="240" w:lineRule="auto" w:before="150" w:after="0"/>
            <w:ind w:left="1465" w:right="0" w:hanging="584"/>
            <w:jc w:val="left"/>
          </w:pPr>
          <w:hyperlink w:history="true" w:anchor="_TOC_250044">
            <w:r>
              <w:rPr/>
              <w:t>Ý nghĩa về mặt</w:t>
            </w:r>
            <w:r>
              <w:rPr>
                <w:spacing w:val="-6"/>
              </w:rPr>
              <w:t> </w:t>
            </w:r>
            <w:r>
              <w:rPr/>
              <w:t>lý</w:t>
            </w:r>
            <w:r>
              <w:rPr>
                <w:spacing w:val="1"/>
              </w:rPr>
              <w:t> </w:t>
            </w:r>
            <w:r>
              <w:rPr/>
              <w:t>luận</w:t>
              <w:tab/>
              <w:t>10</w:t>
            </w:r>
          </w:hyperlink>
        </w:p>
        <w:p>
          <w:pPr>
            <w:pStyle w:val="TOC3"/>
            <w:numPr>
              <w:ilvl w:val="2"/>
              <w:numId w:val="1"/>
            </w:numPr>
            <w:tabs>
              <w:tab w:pos="1466" w:val="left" w:leader="none"/>
              <w:tab w:pos="9413" w:val="left" w:leader="dot"/>
            </w:tabs>
            <w:spacing w:line="240" w:lineRule="auto" w:before="148" w:after="0"/>
            <w:ind w:left="1465" w:right="0" w:hanging="584"/>
            <w:jc w:val="left"/>
          </w:pPr>
          <w:hyperlink w:history="true" w:anchor="_TOC_250043">
            <w:r>
              <w:rPr/>
              <w:t>Ý nghĩa về mặt</w:t>
            </w:r>
            <w:r>
              <w:rPr>
                <w:spacing w:val="-5"/>
              </w:rPr>
              <w:t> </w:t>
            </w:r>
            <w:r>
              <w:rPr/>
              <w:t>thực</w:t>
            </w:r>
            <w:r>
              <w:rPr>
                <w:spacing w:val="-1"/>
              </w:rPr>
              <w:t> </w:t>
            </w:r>
            <w:r>
              <w:rPr/>
              <w:t>tiễn</w:t>
              <w:tab/>
              <w:t>11</w:t>
            </w:r>
          </w:hyperlink>
        </w:p>
        <w:p>
          <w:pPr>
            <w:pStyle w:val="TOC3"/>
            <w:numPr>
              <w:ilvl w:val="1"/>
              <w:numId w:val="1"/>
            </w:numPr>
            <w:tabs>
              <w:tab w:pos="1271" w:val="left" w:leader="none"/>
              <w:tab w:pos="9413" w:val="left" w:leader="dot"/>
            </w:tabs>
            <w:spacing w:line="240" w:lineRule="auto" w:before="149" w:after="0"/>
            <w:ind w:left="1270" w:right="0" w:hanging="389"/>
            <w:jc w:val="left"/>
          </w:pPr>
          <w:hyperlink w:history="true" w:anchor="_TOC_250042">
            <w:r>
              <w:rPr/>
              <w:t>Kết cấu của</w:t>
            </w:r>
            <w:r>
              <w:rPr>
                <w:spacing w:val="-3"/>
              </w:rPr>
              <w:t> </w:t>
            </w:r>
            <w:r>
              <w:rPr/>
              <w:t>nghiên cứu</w:t>
              <w:tab/>
              <w:t>11</w:t>
            </w:r>
          </w:hyperlink>
        </w:p>
        <w:p>
          <w:pPr>
            <w:pStyle w:val="TOC3"/>
            <w:tabs>
              <w:tab w:pos="9413" w:val="left" w:leader="dot"/>
            </w:tabs>
            <w:ind w:left="882" w:firstLine="0"/>
          </w:pPr>
          <w:hyperlink w:history="true" w:anchor="_TOC_250041">
            <w:r>
              <w:rPr/>
              <w:t>Tóm tắt</w:t>
            </w:r>
            <w:r>
              <w:rPr>
                <w:spacing w:val="-3"/>
              </w:rPr>
              <w:t> </w:t>
            </w:r>
            <w:r>
              <w:rPr/>
              <w:t>chương</w:t>
            </w:r>
            <w:r>
              <w:rPr>
                <w:spacing w:val="-2"/>
              </w:rPr>
              <w:t> </w:t>
            </w:r>
            <w:r>
              <w:rPr/>
              <w:t>1</w:t>
              <w:tab/>
              <w:t>12</w:t>
            </w:r>
          </w:hyperlink>
        </w:p>
        <w:p>
          <w:pPr>
            <w:pStyle w:val="TOC1"/>
            <w:tabs>
              <w:tab w:pos="9413" w:val="left" w:leader="dot"/>
            </w:tabs>
            <w:spacing w:line="360" w:lineRule="auto"/>
            <w:ind w:right="924"/>
          </w:pPr>
          <w:hyperlink w:history="true" w:anchor="_TOC_250040">
            <w:r>
              <w:rPr/>
              <w:t>CHƯƠNG 2: CƠ SỞ LÝ THUYẾT VỀ LỢI THẾ CẠNH TRANH VÀ CÁC ĐẶC TRƯNG KINH DOANH</w:t>
            </w:r>
            <w:r>
              <w:rPr>
                <w:spacing w:val="-5"/>
              </w:rPr>
              <w:t> </w:t>
            </w:r>
            <w:r>
              <w:rPr/>
              <w:t>CẢNG</w:t>
            </w:r>
            <w:r>
              <w:rPr>
                <w:spacing w:val="-4"/>
              </w:rPr>
              <w:t> </w:t>
            </w:r>
            <w:r>
              <w:rPr/>
              <w:t>CONTAINER</w:t>
              <w:tab/>
              <w:t>13</w:t>
            </w:r>
          </w:hyperlink>
        </w:p>
        <w:p>
          <w:pPr>
            <w:pStyle w:val="TOC3"/>
            <w:numPr>
              <w:ilvl w:val="1"/>
              <w:numId w:val="2"/>
            </w:numPr>
            <w:tabs>
              <w:tab w:pos="1271" w:val="left" w:leader="none"/>
              <w:tab w:pos="9413" w:val="left" w:leader="dot"/>
            </w:tabs>
            <w:spacing w:line="240" w:lineRule="auto" w:before="1" w:after="0"/>
            <w:ind w:left="1270" w:right="0" w:hanging="389"/>
            <w:jc w:val="left"/>
          </w:pPr>
          <w:hyperlink w:history="true" w:anchor="_TOC_250039">
            <w:r>
              <w:rPr/>
              <w:t>Cạnh tranh và lợi thế</w:t>
            </w:r>
            <w:r>
              <w:rPr>
                <w:spacing w:val="-7"/>
              </w:rPr>
              <w:t> </w:t>
            </w:r>
            <w:r>
              <w:rPr/>
              <w:t>cạnh tranh</w:t>
              <w:tab/>
              <w:t>13</w:t>
            </w:r>
          </w:hyperlink>
        </w:p>
        <w:p>
          <w:pPr>
            <w:pStyle w:val="TOC3"/>
            <w:numPr>
              <w:ilvl w:val="2"/>
              <w:numId w:val="2"/>
            </w:numPr>
            <w:tabs>
              <w:tab w:pos="1466" w:val="left" w:leader="none"/>
              <w:tab w:pos="9413" w:val="left" w:leader="dot"/>
            </w:tabs>
            <w:spacing w:line="240" w:lineRule="auto" w:before="150" w:after="0"/>
            <w:ind w:left="1465" w:right="0" w:hanging="584"/>
            <w:jc w:val="left"/>
          </w:pPr>
          <w:hyperlink w:history="true" w:anchor="_TOC_250038">
            <w:r>
              <w:rPr/>
              <w:t>Khái niệm về cạnh</w:t>
            </w:r>
            <w:r>
              <w:rPr>
                <w:spacing w:val="-2"/>
              </w:rPr>
              <w:t> </w:t>
            </w:r>
            <w:r>
              <w:rPr/>
              <w:t>tranh</w:t>
              <w:tab/>
              <w:t>13</w:t>
            </w:r>
          </w:hyperlink>
        </w:p>
        <w:p>
          <w:pPr>
            <w:pStyle w:val="TOC3"/>
            <w:numPr>
              <w:ilvl w:val="2"/>
              <w:numId w:val="2"/>
            </w:numPr>
            <w:tabs>
              <w:tab w:pos="1466" w:val="left" w:leader="none"/>
              <w:tab w:pos="9413" w:val="left" w:leader="dot"/>
            </w:tabs>
            <w:spacing w:line="240" w:lineRule="auto" w:before="148" w:after="0"/>
            <w:ind w:left="1465" w:right="0" w:hanging="584"/>
            <w:jc w:val="left"/>
          </w:pPr>
          <w:hyperlink w:history="true" w:anchor="_TOC_250037">
            <w:r>
              <w:rPr/>
              <w:t>Khái niệm về lợi thế</w:t>
            </w:r>
            <w:r>
              <w:rPr>
                <w:spacing w:val="-2"/>
              </w:rPr>
              <w:t> </w:t>
            </w:r>
            <w:r>
              <w:rPr/>
              <w:t>cạnh</w:t>
            </w:r>
            <w:r>
              <w:rPr>
                <w:spacing w:val="-1"/>
              </w:rPr>
              <w:t> </w:t>
            </w:r>
            <w:r>
              <w:rPr/>
              <w:t>tranh</w:t>
              <w:tab/>
              <w:t>17</w:t>
            </w:r>
          </w:hyperlink>
        </w:p>
        <w:p>
          <w:pPr>
            <w:pStyle w:val="TOC3"/>
            <w:numPr>
              <w:ilvl w:val="1"/>
              <w:numId w:val="2"/>
            </w:numPr>
            <w:tabs>
              <w:tab w:pos="1271" w:val="left" w:leader="none"/>
              <w:tab w:pos="9413" w:val="left" w:leader="dot"/>
            </w:tabs>
            <w:spacing w:line="240" w:lineRule="auto" w:before="149" w:after="0"/>
            <w:ind w:left="1270" w:right="0" w:hanging="389"/>
            <w:jc w:val="left"/>
          </w:pPr>
          <w:hyperlink w:history="true" w:anchor="_TOC_250036">
            <w:r>
              <w:rPr/>
              <w:t>Các yếu tố tạo lợi thế cạnh tranh cho</w:t>
            </w:r>
            <w:r>
              <w:rPr>
                <w:spacing w:val="-9"/>
              </w:rPr>
              <w:t> </w:t>
            </w:r>
            <w:r>
              <w:rPr/>
              <w:t>doanh</w:t>
            </w:r>
            <w:r>
              <w:rPr>
                <w:spacing w:val="-1"/>
              </w:rPr>
              <w:t> </w:t>
            </w:r>
            <w:r>
              <w:rPr/>
              <w:t>nghiệp</w:t>
              <w:tab/>
              <w:t>17</w:t>
            </w:r>
          </w:hyperlink>
        </w:p>
        <w:p>
          <w:pPr>
            <w:pStyle w:val="TOC3"/>
            <w:numPr>
              <w:ilvl w:val="2"/>
              <w:numId w:val="2"/>
            </w:numPr>
            <w:tabs>
              <w:tab w:pos="1466" w:val="left" w:leader="none"/>
              <w:tab w:pos="9413" w:val="left" w:leader="dot"/>
            </w:tabs>
            <w:spacing w:line="240" w:lineRule="auto" w:before="150" w:after="0"/>
            <w:ind w:left="1465" w:right="0" w:hanging="584"/>
            <w:jc w:val="left"/>
          </w:pPr>
          <w:hyperlink w:history="true" w:anchor="_TOC_250035">
            <w:r>
              <w:rPr/>
              <w:t>Tiếp cận từ phía</w:t>
            </w:r>
            <w:r>
              <w:rPr>
                <w:spacing w:val="-2"/>
              </w:rPr>
              <w:t> </w:t>
            </w:r>
            <w:r>
              <w:rPr/>
              <w:t>doanh</w:t>
            </w:r>
            <w:r>
              <w:rPr>
                <w:spacing w:val="-2"/>
              </w:rPr>
              <w:t> </w:t>
            </w:r>
            <w:r>
              <w:rPr/>
              <w:t>nghiệp</w:t>
              <w:tab/>
              <w:t>17</w:t>
            </w:r>
          </w:hyperlink>
        </w:p>
        <w:p>
          <w:pPr>
            <w:pStyle w:val="TOC3"/>
            <w:numPr>
              <w:ilvl w:val="2"/>
              <w:numId w:val="2"/>
            </w:numPr>
            <w:tabs>
              <w:tab w:pos="1466" w:val="left" w:leader="none"/>
              <w:tab w:pos="9413" w:val="left" w:leader="dot"/>
            </w:tabs>
            <w:spacing w:line="240" w:lineRule="auto" w:before="150" w:after="0"/>
            <w:ind w:left="1465" w:right="0" w:hanging="584"/>
            <w:jc w:val="left"/>
          </w:pPr>
          <w:hyperlink w:history="true" w:anchor="_TOC_250034">
            <w:r>
              <w:rPr/>
              <w:t>Tiếp cận từ phía</w:t>
            </w:r>
            <w:r>
              <w:rPr>
                <w:spacing w:val="-5"/>
              </w:rPr>
              <w:t> </w:t>
            </w:r>
            <w:r>
              <w:rPr/>
              <w:t>khách</w:t>
            </w:r>
            <w:r>
              <w:rPr>
                <w:spacing w:val="-1"/>
              </w:rPr>
              <w:t> </w:t>
            </w:r>
            <w:r>
              <w:rPr/>
              <w:t>hàng</w:t>
              <w:tab/>
              <w:t>19</w:t>
            </w:r>
          </w:hyperlink>
        </w:p>
        <w:p>
          <w:pPr>
            <w:pStyle w:val="TOC3"/>
            <w:numPr>
              <w:ilvl w:val="3"/>
              <w:numId w:val="2"/>
            </w:numPr>
            <w:tabs>
              <w:tab w:pos="1660" w:val="left" w:leader="none"/>
              <w:tab w:pos="9413" w:val="left" w:leader="dot"/>
            </w:tabs>
            <w:spacing w:line="240" w:lineRule="auto" w:before="150" w:after="20"/>
            <w:ind w:left="1659" w:right="0" w:hanging="778"/>
            <w:jc w:val="left"/>
          </w:pPr>
          <w:hyperlink w:history="true" w:anchor="_TOC_250033">
            <w:r>
              <w:rPr/>
              <w:t>Quan điểm của Michael</w:t>
            </w:r>
            <w:r>
              <w:rPr>
                <w:spacing w:val="-4"/>
              </w:rPr>
              <w:t> </w:t>
            </w:r>
            <w:r>
              <w:rPr/>
              <w:t>E. Porter</w:t>
              <w:tab/>
              <w:t>19</w:t>
            </w:r>
          </w:hyperlink>
        </w:p>
        <w:p>
          <w:pPr>
            <w:pStyle w:val="TOC3"/>
            <w:numPr>
              <w:ilvl w:val="3"/>
              <w:numId w:val="2"/>
            </w:numPr>
            <w:tabs>
              <w:tab w:pos="1660" w:val="left" w:leader="none"/>
              <w:tab w:pos="9413" w:val="left" w:leader="dot"/>
            </w:tabs>
            <w:spacing w:line="240" w:lineRule="auto" w:before="275" w:after="0"/>
            <w:ind w:left="1659" w:right="0" w:hanging="778"/>
            <w:jc w:val="left"/>
          </w:pPr>
          <w:hyperlink w:history="true" w:anchor="_TOC_250032">
            <w:r>
              <w:rPr/>
              <w:t>Quan điểm của</w:t>
            </w:r>
            <w:r>
              <w:rPr>
                <w:spacing w:val="-4"/>
              </w:rPr>
              <w:t> </w:t>
            </w:r>
            <w:r>
              <w:rPr/>
              <w:t>Philip</w:t>
            </w:r>
            <w:r>
              <w:rPr>
                <w:spacing w:val="-3"/>
              </w:rPr>
              <w:t> </w:t>
            </w:r>
            <w:r>
              <w:rPr/>
              <w:t>Kotler</w:t>
              <w:tab/>
              <w:t>22</w:t>
            </w:r>
          </w:hyperlink>
        </w:p>
        <w:p>
          <w:pPr>
            <w:pStyle w:val="TOC3"/>
            <w:numPr>
              <w:ilvl w:val="2"/>
              <w:numId w:val="2"/>
            </w:numPr>
            <w:tabs>
              <w:tab w:pos="1466" w:val="left" w:leader="none"/>
              <w:tab w:pos="9413" w:val="left" w:leader="dot"/>
            </w:tabs>
            <w:spacing w:line="240" w:lineRule="auto" w:before="151" w:after="0"/>
            <w:ind w:left="1465" w:right="0" w:hanging="584"/>
            <w:jc w:val="left"/>
          </w:pPr>
          <w:hyperlink w:history="true" w:anchor="_TOC_250031">
            <w:r>
              <w:rPr/>
              <w:t>Đánh giá các quan điểm về các yếu tố tạo lợi thế cạnh tranh</w:t>
            </w:r>
            <w:r>
              <w:rPr>
                <w:spacing w:val="-13"/>
              </w:rPr>
              <w:t> </w:t>
            </w:r>
            <w:r>
              <w:rPr/>
              <w:t>cho</w:t>
            </w:r>
            <w:r>
              <w:rPr>
                <w:spacing w:val="1"/>
              </w:rPr>
              <w:t> </w:t>
            </w:r>
            <w:r>
              <w:rPr/>
              <w:t>DN</w:t>
              <w:tab/>
              <w:t>24</w:t>
            </w:r>
          </w:hyperlink>
        </w:p>
        <w:p>
          <w:pPr>
            <w:pStyle w:val="TOC3"/>
            <w:numPr>
              <w:ilvl w:val="1"/>
              <w:numId w:val="2"/>
            </w:numPr>
            <w:tabs>
              <w:tab w:pos="1271" w:val="left" w:leader="none"/>
              <w:tab w:pos="9413" w:val="left" w:leader="dot"/>
            </w:tabs>
            <w:spacing w:line="240" w:lineRule="auto" w:before="149" w:after="0"/>
            <w:ind w:left="1270" w:right="0" w:hanging="389"/>
            <w:jc w:val="left"/>
          </w:pPr>
          <w:hyperlink w:history="true" w:anchor="_TOC_250030">
            <w:r>
              <w:rPr/>
              <w:t>Các đặc trưng kinh doanh</w:t>
            </w:r>
            <w:r>
              <w:rPr>
                <w:spacing w:val="-6"/>
              </w:rPr>
              <w:t> </w:t>
            </w:r>
            <w:r>
              <w:rPr/>
              <w:t>cảng container</w:t>
              <w:tab/>
              <w:t>27</w:t>
            </w:r>
          </w:hyperlink>
        </w:p>
        <w:p>
          <w:pPr>
            <w:pStyle w:val="TOC3"/>
            <w:tabs>
              <w:tab w:pos="9413" w:val="left" w:leader="dot"/>
            </w:tabs>
            <w:ind w:left="882" w:firstLine="0"/>
          </w:pPr>
          <w:r>
            <w:rPr/>
            <w:t>Tóm tắc</w:t>
          </w:r>
          <w:r>
            <w:rPr>
              <w:spacing w:val="-3"/>
            </w:rPr>
            <w:t> </w:t>
          </w:r>
          <w:r>
            <w:rPr/>
            <w:t>chương</w:t>
          </w:r>
          <w:r>
            <w:rPr>
              <w:spacing w:val="-2"/>
            </w:rPr>
            <w:t> </w:t>
          </w:r>
          <w:r>
            <w:rPr/>
            <w:t>2</w:t>
            <w:tab/>
            <w:t>29</w:t>
          </w:r>
        </w:p>
        <w:p>
          <w:pPr>
            <w:pStyle w:val="TOC1"/>
            <w:tabs>
              <w:tab w:pos="9413" w:val="left" w:leader="dot"/>
            </w:tabs>
            <w:spacing w:line="360" w:lineRule="auto"/>
            <w:ind w:right="1172"/>
          </w:pPr>
          <w:hyperlink w:history="true" w:anchor="_TOC_250029">
            <w:r>
              <w:rPr/>
              <w:t>CHƯƠNG 3: XÂY DỰNG VÀ KIỂM ĐỊNH MÔ HÌNH LỢI THẾ CẠNH TRANH CHO CẢNG CONTAINER TẠI</w:t>
            </w:r>
            <w:r>
              <w:rPr>
                <w:spacing w:val="-11"/>
              </w:rPr>
              <w:t> </w:t>
            </w:r>
            <w:r>
              <w:rPr/>
              <w:t>VIỆT</w:t>
            </w:r>
            <w:r>
              <w:rPr>
                <w:spacing w:val="-3"/>
              </w:rPr>
              <w:t> </w:t>
            </w:r>
            <w:r>
              <w:rPr/>
              <w:t>NAM</w:t>
              <w:tab/>
            </w:r>
            <w:r>
              <w:rPr>
                <w:spacing w:val="-9"/>
              </w:rPr>
              <w:t>30</w:t>
            </w:r>
          </w:hyperlink>
        </w:p>
        <w:p>
          <w:pPr>
            <w:pStyle w:val="TOC3"/>
            <w:numPr>
              <w:ilvl w:val="1"/>
              <w:numId w:val="3"/>
            </w:numPr>
            <w:tabs>
              <w:tab w:pos="1271" w:val="left" w:leader="none"/>
              <w:tab w:pos="9413" w:val="left" w:leader="dot"/>
            </w:tabs>
            <w:spacing w:line="297" w:lineRule="exact" w:before="0" w:after="0"/>
            <w:ind w:left="1270" w:right="0" w:hanging="389"/>
            <w:jc w:val="left"/>
          </w:pPr>
          <w:r>
            <w:rPr/>
            <w:t>Tổng quan các công trình nghiên cứu lợi thế cạnh tranh của</w:t>
          </w:r>
          <w:r>
            <w:rPr>
              <w:spacing w:val="-17"/>
            </w:rPr>
            <w:t> </w:t>
          </w:r>
          <w:r>
            <w:rPr/>
            <w:t>cảng container</w:t>
            <w:tab/>
            <w:t>30</w:t>
          </w:r>
        </w:p>
        <w:p>
          <w:pPr>
            <w:pStyle w:val="TOC3"/>
            <w:numPr>
              <w:ilvl w:val="1"/>
              <w:numId w:val="3"/>
            </w:numPr>
            <w:tabs>
              <w:tab w:pos="1271" w:val="left" w:leader="none"/>
              <w:tab w:pos="9413" w:val="left" w:leader="dot"/>
            </w:tabs>
            <w:spacing w:line="240" w:lineRule="auto" w:before="150" w:after="0"/>
            <w:ind w:left="1270" w:right="0" w:hanging="389"/>
            <w:jc w:val="left"/>
          </w:pPr>
          <w:r>
            <w:rPr/>
            <w:t>Kết quả nghiên cứu định tính để phát triển</w:t>
          </w:r>
          <w:r>
            <w:rPr>
              <w:spacing w:val="-7"/>
            </w:rPr>
            <w:t> </w:t>
          </w:r>
          <w:r>
            <w:rPr/>
            <w:t>thang</w:t>
          </w:r>
          <w:r>
            <w:rPr>
              <w:spacing w:val="-2"/>
            </w:rPr>
            <w:t> </w:t>
          </w:r>
          <w:r>
            <w:rPr/>
            <w:t>đo</w:t>
            <w:tab/>
            <w:t>34</w:t>
          </w:r>
        </w:p>
        <w:p>
          <w:pPr>
            <w:pStyle w:val="TOC3"/>
            <w:numPr>
              <w:ilvl w:val="1"/>
              <w:numId w:val="3"/>
            </w:numPr>
            <w:tabs>
              <w:tab w:pos="1271" w:val="left" w:leader="none"/>
              <w:tab w:pos="9413" w:val="left" w:leader="dot"/>
            </w:tabs>
            <w:spacing w:line="240" w:lineRule="auto" w:before="150" w:after="0"/>
            <w:ind w:left="1270" w:right="0" w:hanging="389"/>
            <w:jc w:val="left"/>
          </w:pPr>
          <w:hyperlink w:history="true" w:anchor="_TOC_250028">
            <w:r>
              <w:rPr/>
              <w:t>Kết quả nghiên cứu định lượng sơ bộ để đánh giá các</w:t>
            </w:r>
            <w:r>
              <w:rPr>
                <w:spacing w:val="-14"/>
              </w:rPr>
              <w:t> </w:t>
            </w:r>
            <w:r>
              <w:rPr/>
              <w:t>thang</w:t>
            </w:r>
            <w:r>
              <w:rPr>
                <w:spacing w:val="-1"/>
              </w:rPr>
              <w:t> </w:t>
            </w:r>
            <w:r>
              <w:rPr/>
              <w:t>đo</w:t>
              <w:tab/>
              <w:t>44</w:t>
            </w:r>
          </w:hyperlink>
        </w:p>
        <w:p>
          <w:pPr>
            <w:pStyle w:val="TOC3"/>
            <w:numPr>
              <w:ilvl w:val="2"/>
              <w:numId w:val="3"/>
            </w:numPr>
            <w:tabs>
              <w:tab w:pos="1466" w:val="left" w:leader="none"/>
              <w:tab w:pos="9413" w:val="left" w:leader="dot"/>
            </w:tabs>
            <w:spacing w:line="240" w:lineRule="auto" w:before="150" w:after="0"/>
            <w:ind w:left="1465" w:right="0" w:hanging="584"/>
            <w:jc w:val="left"/>
          </w:pPr>
          <w:hyperlink w:history="true" w:anchor="_TOC_250027">
            <w:r>
              <w:rPr/>
              <w:t>Mô tả nghiên cứu định lượng</w:t>
            </w:r>
            <w:r>
              <w:rPr>
                <w:spacing w:val="-7"/>
              </w:rPr>
              <w:t> </w:t>
            </w:r>
            <w:r>
              <w:rPr/>
              <w:t>sơ</w:t>
            </w:r>
            <w:r>
              <w:rPr>
                <w:spacing w:val="-1"/>
              </w:rPr>
              <w:t> </w:t>
            </w:r>
            <w:r>
              <w:rPr/>
              <w:t>bộ</w:t>
              <w:tab/>
              <w:t>44</w:t>
            </w:r>
          </w:hyperlink>
        </w:p>
        <w:p>
          <w:pPr>
            <w:pStyle w:val="TOC3"/>
            <w:numPr>
              <w:ilvl w:val="2"/>
              <w:numId w:val="3"/>
            </w:numPr>
            <w:tabs>
              <w:tab w:pos="1466" w:val="left" w:leader="none"/>
              <w:tab w:pos="9413" w:val="left" w:leader="dot"/>
            </w:tabs>
            <w:spacing w:line="240" w:lineRule="auto" w:before="150" w:after="0"/>
            <w:ind w:left="1465" w:right="0" w:hanging="584"/>
            <w:jc w:val="left"/>
          </w:pPr>
          <w:hyperlink w:history="true" w:anchor="_TOC_250026">
            <w:r>
              <w:rPr/>
              <w:t>Mô tả mẫu cho định lượng</w:t>
            </w:r>
            <w:r>
              <w:rPr>
                <w:spacing w:val="-9"/>
              </w:rPr>
              <w:t> </w:t>
            </w:r>
            <w:r>
              <w:rPr/>
              <w:t>sơ</w:t>
            </w:r>
            <w:r>
              <w:rPr>
                <w:spacing w:val="1"/>
              </w:rPr>
              <w:t> </w:t>
            </w:r>
            <w:r>
              <w:rPr/>
              <w:t>bộ</w:t>
              <w:tab/>
              <w:t>45</w:t>
            </w:r>
          </w:hyperlink>
        </w:p>
        <w:p>
          <w:pPr>
            <w:pStyle w:val="TOC3"/>
            <w:numPr>
              <w:ilvl w:val="2"/>
              <w:numId w:val="3"/>
            </w:numPr>
            <w:tabs>
              <w:tab w:pos="1466" w:val="left" w:leader="none"/>
              <w:tab w:pos="9413" w:val="left" w:leader="dot"/>
            </w:tabs>
            <w:spacing w:line="240" w:lineRule="auto" w:before="150" w:after="0"/>
            <w:ind w:left="1465" w:right="0" w:hanging="584"/>
            <w:jc w:val="left"/>
          </w:pPr>
          <w:hyperlink w:history="true" w:anchor="_TOC_250025">
            <w:r>
              <w:rPr/>
              <w:t>Kết quả đánh giá độ tin cậy</w:t>
            </w:r>
            <w:r>
              <w:rPr>
                <w:spacing w:val="-8"/>
              </w:rPr>
              <w:t> </w:t>
            </w:r>
            <w:r>
              <w:rPr/>
              <w:t>thang</w:t>
            </w:r>
            <w:r>
              <w:rPr>
                <w:spacing w:val="-2"/>
              </w:rPr>
              <w:t> </w:t>
            </w:r>
            <w:r>
              <w:rPr/>
              <w:t>đo</w:t>
              <w:tab/>
              <w:t>45</w:t>
            </w:r>
          </w:hyperlink>
        </w:p>
        <w:p>
          <w:pPr>
            <w:pStyle w:val="TOC3"/>
            <w:numPr>
              <w:ilvl w:val="2"/>
              <w:numId w:val="3"/>
            </w:numPr>
            <w:tabs>
              <w:tab w:pos="1466" w:val="left" w:leader="none"/>
              <w:tab w:pos="9413" w:val="left" w:leader="dot"/>
            </w:tabs>
            <w:spacing w:line="240" w:lineRule="auto" w:before="150" w:after="0"/>
            <w:ind w:left="1465" w:right="0" w:hanging="584"/>
            <w:jc w:val="left"/>
          </w:pPr>
          <w:hyperlink w:history="true" w:anchor="_TOC_250024">
            <w:r>
              <w:rPr/>
              <w:t>Kết quả EFA cho từng thành phần giá trị</w:t>
            </w:r>
            <w:r>
              <w:rPr>
                <w:spacing w:val="-6"/>
              </w:rPr>
              <w:t> </w:t>
            </w:r>
            <w:r>
              <w:rPr/>
              <w:t>thang</w:t>
            </w:r>
            <w:r>
              <w:rPr>
                <w:spacing w:val="-1"/>
              </w:rPr>
              <w:t> </w:t>
            </w:r>
            <w:r>
              <w:rPr/>
              <w:t>đo</w:t>
              <w:tab/>
              <w:t>47</w:t>
            </w:r>
          </w:hyperlink>
        </w:p>
        <w:p>
          <w:pPr>
            <w:pStyle w:val="TOC3"/>
            <w:numPr>
              <w:ilvl w:val="1"/>
              <w:numId w:val="3"/>
            </w:numPr>
            <w:tabs>
              <w:tab w:pos="1271" w:val="left" w:leader="none"/>
              <w:tab w:pos="9413" w:val="left" w:leader="dot"/>
            </w:tabs>
            <w:spacing w:line="240" w:lineRule="auto" w:before="147" w:after="0"/>
            <w:ind w:left="1270" w:right="0" w:hanging="389"/>
            <w:jc w:val="left"/>
          </w:pPr>
          <w:hyperlink w:history="true" w:anchor="_TOC_250023">
            <w:r>
              <w:rPr/>
              <w:t>Kết quả nghiên cứu định lượng</w:t>
            </w:r>
            <w:r>
              <w:rPr>
                <w:spacing w:val="-7"/>
              </w:rPr>
              <w:t> </w:t>
            </w:r>
            <w:r>
              <w:rPr/>
              <w:t>chính</w:t>
            </w:r>
            <w:r>
              <w:rPr>
                <w:spacing w:val="-2"/>
              </w:rPr>
              <w:t> </w:t>
            </w:r>
            <w:r>
              <w:rPr/>
              <w:t>thức</w:t>
              <w:tab/>
              <w:t>49</w:t>
            </w:r>
          </w:hyperlink>
        </w:p>
        <w:p>
          <w:pPr>
            <w:pStyle w:val="TOC3"/>
            <w:numPr>
              <w:ilvl w:val="2"/>
              <w:numId w:val="3"/>
            </w:numPr>
            <w:tabs>
              <w:tab w:pos="1466" w:val="left" w:leader="none"/>
              <w:tab w:pos="9413" w:val="left" w:leader="dot"/>
            </w:tabs>
            <w:spacing w:line="240" w:lineRule="auto" w:before="150" w:after="0"/>
            <w:ind w:left="1465" w:right="0" w:hanging="584"/>
            <w:jc w:val="left"/>
          </w:pPr>
          <w:hyperlink w:history="true" w:anchor="_TOC_250022">
            <w:r>
              <w:rPr/>
              <w:t>Mô tả mẫu cho định lượng</w:t>
            </w:r>
            <w:r>
              <w:rPr>
                <w:spacing w:val="-7"/>
              </w:rPr>
              <w:t> </w:t>
            </w:r>
            <w:r>
              <w:rPr/>
              <w:t>chính</w:t>
            </w:r>
            <w:r>
              <w:rPr>
                <w:spacing w:val="-2"/>
              </w:rPr>
              <w:t> </w:t>
            </w:r>
            <w:r>
              <w:rPr/>
              <w:t>thức</w:t>
              <w:tab/>
              <w:t>50</w:t>
            </w:r>
          </w:hyperlink>
        </w:p>
        <w:p>
          <w:pPr>
            <w:pStyle w:val="TOC3"/>
            <w:numPr>
              <w:ilvl w:val="2"/>
              <w:numId w:val="3"/>
            </w:numPr>
            <w:tabs>
              <w:tab w:pos="1466" w:val="left" w:leader="none"/>
              <w:tab w:pos="9413" w:val="left" w:leader="dot"/>
            </w:tabs>
            <w:spacing w:line="240" w:lineRule="auto" w:before="150" w:after="0"/>
            <w:ind w:left="1465" w:right="0" w:hanging="584"/>
            <w:jc w:val="left"/>
          </w:pPr>
          <w:hyperlink w:history="true" w:anchor="_TOC_250021">
            <w:r>
              <w:rPr/>
              <w:t>Phân tích thống kê mô tả dữ liệu</w:t>
            </w:r>
            <w:r>
              <w:rPr>
                <w:spacing w:val="-8"/>
              </w:rPr>
              <w:t> </w:t>
            </w:r>
            <w:r>
              <w:rPr/>
              <w:t>nghiên</w:t>
            </w:r>
            <w:r>
              <w:rPr>
                <w:spacing w:val="1"/>
              </w:rPr>
              <w:t> </w:t>
            </w:r>
            <w:r>
              <w:rPr/>
              <w:t>cứu</w:t>
              <w:tab/>
              <w:t>50</w:t>
            </w:r>
          </w:hyperlink>
        </w:p>
        <w:p>
          <w:pPr>
            <w:pStyle w:val="TOC3"/>
            <w:numPr>
              <w:ilvl w:val="2"/>
              <w:numId w:val="3"/>
            </w:numPr>
            <w:tabs>
              <w:tab w:pos="1466" w:val="left" w:leader="none"/>
              <w:tab w:pos="9413" w:val="left" w:leader="dot"/>
            </w:tabs>
            <w:spacing w:line="240" w:lineRule="auto" w:before="150" w:after="0"/>
            <w:ind w:left="1465" w:right="0" w:hanging="584"/>
            <w:jc w:val="left"/>
          </w:pPr>
          <w:hyperlink w:history="true" w:anchor="_TOC_250020">
            <w:r>
              <w:rPr/>
              <w:t>Đánh giá độ tin cậy thang đo bằng phương pháp</w:t>
            </w:r>
            <w:r>
              <w:rPr>
                <w:spacing w:val="-12"/>
              </w:rPr>
              <w:t> </w:t>
            </w:r>
            <w:r>
              <w:rPr/>
              <w:t>cronbach’s Alpha</w:t>
              <w:tab/>
              <w:t>52</w:t>
            </w:r>
          </w:hyperlink>
        </w:p>
        <w:p>
          <w:pPr>
            <w:pStyle w:val="TOC3"/>
            <w:numPr>
              <w:ilvl w:val="2"/>
              <w:numId w:val="3"/>
            </w:numPr>
            <w:tabs>
              <w:tab w:pos="1466" w:val="left" w:leader="none"/>
              <w:tab w:pos="9413" w:val="left" w:leader="dot"/>
            </w:tabs>
            <w:spacing w:line="240" w:lineRule="auto" w:before="150" w:after="0"/>
            <w:ind w:left="1465" w:right="0" w:hanging="584"/>
            <w:jc w:val="left"/>
          </w:pPr>
          <w:hyperlink w:history="true" w:anchor="_TOC_250019">
            <w:r>
              <w:rPr/>
              <w:t>Kiểm định sự phù hợp của</w:t>
            </w:r>
            <w:r>
              <w:rPr>
                <w:spacing w:val="-6"/>
              </w:rPr>
              <w:t> </w:t>
            </w:r>
            <w:r>
              <w:rPr/>
              <w:t>mô</w:t>
            </w:r>
            <w:r>
              <w:rPr>
                <w:spacing w:val="-2"/>
              </w:rPr>
              <w:t> </w:t>
            </w:r>
            <w:r>
              <w:rPr/>
              <w:t>hình</w:t>
              <w:tab/>
              <w:t>55</w:t>
            </w:r>
          </w:hyperlink>
        </w:p>
        <w:p>
          <w:pPr>
            <w:pStyle w:val="TOC3"/>
            <w:numPr>
              <w:ilvl w:val="2"/>
              <w:numId w:val="3"/>
            </w:numPr>
            <w:tabs>
              <w:tab w:pos="1466" w:val="left" w:leader="none"/>
              <w:tab w:pos="9413" w:val="left" w:leader="dot"/>
            </w:tabs>
            <w:spacing w:line="240" w:lineRule="auto" w:before="150" w:after="0"/>
            <w:ind w:left="1465" w:right="0" w:hanging="584"/>
            <w:jc w:val="left"/>
          </w:pPr>
          <w:r>
            <w:rPr/>
            <w:t>Đánh giá độ tin cậy</w:t>
          </w:r>
          <w:r>
            <w:rPr>
              <w:spacing w:val="-4"/>
            </w:rPr>
            <w:t> </w:t>
          </w:r>
          <w:r>
            <w:rPr/>
            <w:t>thang</w:t>
          </w:r>
          <w:r>
            <w:rPr>
              <w:spacing w:val="-1"/>
            </w:rPr>
            <w:t> </w:t>
          </w:r>
          <w:r>
            <w:rPr/>
            <w:t>đo</w:t>
            <w:tab/>
            <w:t>56</w:t>
          </w:r>
        </w:p>
        <w:p>
          <w:pPr>
            <w:pStyle w:val="TOC3"/>
            <w:numPr>
              <w:ilvl w:val="2"/>
              <w:numId w:val="3"/>
            </w:numPr>
            <w:tabs>
              <w:tab w:pos="1466" w:val="left" w:leader="none"/>
              <w:tab w:pos="9413" w:val="left" w:leader="dot"/>
            </w:tabs>
            <w:spacing w:line="240" w:lineRule="auto" w:before="149" w:after="0"/>
            <w:ind w:left="1465" w:right="0" w:hanging="584"/>
            <w:jc w:val="left"/>
          </w:pPr>
          <w:r>
            <w:rPr/>
            <w:t>Kiểm định giá trị</w:t>
          </w:r>
          <w:r>
            <w:rPr>
              <w:spacing w:val="-2"/>
            </w:rPr>
            <w:t> </w:t>
          </w:r>
          <w:r>
            <w:rPr/>
            <w:t>hội</w:t>
          </w:r>
          <w:r>
            <w:rPr>
              <w:spacing w:val="-2"/>
            </w:rPr>
            <w:t> </w:t>
          </w:r>
          <w:r>
            <w:rPr/>
            <w:t>tụ</w:t>
            <w:tab/>
            <w:t>57</w:t>
          </w:r>
        </w:p>
        <w:p>
          <w:pPr>
            <w:pStyle w:val="TOC3"/>
            <w:numPr>
              <w:ilvl w:val="2"/>
              <w:numId w:val="3"/>
            </w:numPr>
            <w:tabs>
              <w:tab w:pos="1466" w:val="left" w:leader="none"/>
              <w:tab w:pos="9413" w:val="left" w:leader="dot"/>
            </w:tabs>
            <w:spacing w:line="240" w:lineRule="auto" w:before="148" w:after="0"/>
            <w:ind w:left="1465" w:right="0" w:hanging="584"/>
            <w:jc w:val="left"/>
          </w:pPr>
          <w:r>
            <w:rPr/>
            <w:t>Tính đơn nguyên và giá trị</w:t>
          </w:r>
          <w:r>
            <w:rPr>
              <w:spacing w:val="-7"/>
            </w:rPr>
            <w:t> </w:t>
          </w:r>
          <w:r>
            <w:rPr/>
            <w:t>phân</w:t>
          </w:r>
          <w:r>
            <w:rPr>
              <w:spacing w:val="-2"/>
            </w:rPr>
            <w:t> </w:t>
          </w:r>
          <w:r>
            <w:rPr/>
            <w:t>biệt</w:t>
            <w:tab/>
            <w:t>59</w:t>
          </w:r>
        </w:p>
        <w:p>
          <w:pPr>
            <w:pStyle w:val="TOC3"/>
            <w:numPr>
              <w:ilvl w:val="2"/>
              <w:numId w:val="3"/>
            </w:numPr>
            <w:tabs>
              <w:tab w:pos="1466" w:val="left" w:leader="none"/>
              <w:tab w:pos="9413" w:val="left" w:leader="dot"/>
            </w:tabs>
            <w:spacing w:line="240" w:lineRule="auto" w:before="150" w:after="0"/>
            <w:ind w:left="1465" w:right="0" w:hanging="584"/>
            <w:jc w:val="left"/>
          </w:pPr>
          <w:r>
            <w:rPr/>
            <w:t>Kiểm định thang đo</w:t>
          </w:r>
          <w:r>
            <w:rPr>
              <w:spacing w:val="-3"/>
            </w:rPr>
            <w:t> </w:t>
          </w:r>
          <w:r>
            <w:rPr/>
            <w:t>bằng</w:t>
          </w:r>
          <w:r>
            <w:rPr>
              <w:spacing w:val="-2"/>
            </w:rPr>
            <w:t> </w:t>
          </w:r>
          <w:r>
            <w:rPr/>
            <w:t>CFA</w:t>
            <w:tab/>
            <w:t>60</w:t>
          </w:r>
        </w:p>
        <w:p>
          <w:pPr>
            <w:pStyle w:val="TOC3"/>
            <w:numPr>
              <w:ilvl w:val="2"/>
              <w:numId w:val="3"/>
            </w:numPr>
            <w:tabs>
              <w:tab w:pos="1466" w:val="left" w:leader="none"/>
              <w:tab w:pos="9413" w:val="left" w:leader="dot"/>
            </w:tabs>
            <w:spacing w:line="240" w:lineRule="auto" w:before="149" w:after="0"/>
            <w:ind w:left="1465" w:right="0" w:hanging="584"/>
            <w:jc w:val="left"/>
          </w:pPr>
          <w:r>
            <w:rPr/>
            <w:t>Kiểm định mô hình và giả thuyết nghiên cứu</w:t>
          </w:r>
          <w:r>
            <w:rPr>
              <w:spacing w:val="-9"/>
            </w:rPr>
            <w:t> </w:t>
          </w:r>
          <w:r>
            <w:rPr/>
            <w:t>bằng</w:t>
          </w:r>
          <w:r>
            <w:rPr>
              <w:spacing w:val="-2"/>
            </w:rPr>
            <w:t> </w:t>
          </w:r>
          <w:r>
            <w:rPr/>
            <w:t>SEM</w:t>
            <w:tab/>
            <w:t>61</w:t>
          </w:r>
        </w:p>
        <w:p>
          <w:pPr>
            <w:pStyle w:val="TOC3"/>
            <w:numPr>
              <w:ilvl w:val="2"/>
              <w:numId w:val="3"/>
            </w:numPr>
            <w:tabs>
              <w:tab w:pos="1595" w:val="left" w:leader="none"/>
              <w:tab w:pos="9413" w:val="left" w:leader="dot"/>
            </w:tabs>
            <w:spacing w:line="240" w:lineRule="auto" w:before="150" w:after="0"/>
            <w:ind w:left="1594" w:right="0" w:hanging="713"/>
            <w:jc w:val="left"/>
          </w:pPr>
          <w:r>
            <w:rPr/>
            <w:t>Kiểm định ước lượng bằng mô</w:t>
          </w:r>
          <w:r>
            <w:rPr>
              <w:spacing w:val="-11"/>
            </w:rPr>
            <w:t> </w:t>
          </w:r>
          <w:r>
            <w:rPr/>
            <w:t>hình Boottrap</w:t>
            <w:tab/>
            <w:t>63</w:t>
          </w:r>
        </w:p>
        <w:p>
          <w:pPr>
            <w:pStyle w:val="TOC3"/>
            <w:numPr>
              <w:ilvl w:val="2"/>
              <w:numId w:val="3"/>
            </w:numPr>
            <w:tabs>
              <w:tab w:pos="1595" w:val="left" w:leader="none"/>
              <w:tab w:pos="9413" w:val="left" w:leader="dot"/>
            </w:tabs>
            <w:spacing w:line="240" w:lineRule="auto" w:before="150" w:after="0"/>
            <w:ind w:left="1594" w:right="0" w:hanging="713"/>
            <w:jc w:val="left"/>
          </w:pPr>
          <w:r>
            <w:rPr/>
            <w:t>Kiểm định giả thuyết</w:t>
          </w:r>
          <w:r>
            <w:rPr>
              <w:spacing w:val="-3"/>
            </w:rPr>
            <w:t> </w:t>
          </w:r>
          <w:r>
            <w:rPr/>
            <w:t>nghiên</w:t>
          </w:r>
          <w:r>
            <w:rPr>
              <w:spacing w:val="-2"/>
            </w:rPr>
            <w:t> </w:t>
          </w:r>
          <w:r>
            <w:rPr/>
            <w:t>cứu</w:t>
            <w:tab/>
            <w:t>63</w:t>
          </w:r>
        </w:p>
        <w:p>
          <w:pPr>
            <w:pStyle w:val="TOC3"/>
            <w:numPr>
              <w:ilvl w:val="1"/>
              <w:numId w:val="3"/>
            </w:numPr>
            <w:tabs>
              <w:tab w:pos="1271" w:val="left" w:leader="none"/>
              <w:tab w:pos="9413" w:val="left" w:leader="dot"/>
            </w:tabs>
            <w:spacing w:line="240" w:lineRule="auto" w:before="151" w:after="0"/>
            <w:ind w:left="1270" w:right="0" w:hanging="389"/>
            <w:jc w:val="left"/>
          </w:pPr>
          <w:r>
            <w:rPr/>
            <w:t>Phân tích kết quả định tính</w:t>
          </w:r>
          <w:r>
            <w:rPr>
              <w:spacing w:val="-9"/>
            </w:rPr>
            <w:t> </w:t>
          </w:r>
          <w:r>
            <w:rPr/>
            <w:t>chính</w:t>
          </w:r>
          <w:r>
            <w:rPr>
              <w:spacing w:val="-2"/>
            </w:rPr>
            <w:t> </w:t>
          </w:r>
          <w:r>
            <w:rPr/>
            <w:t>thức</w:t>
            <w:tab/>
            <w:t>66</w:t>
          </w:r>
        </w:p>
        <w:p>
          <w:pPr>
            <w:pStyle w:val="TOC3"/>
            <w:numPr>
              <w:ilvl w:val="2"/>
              <w:numId w:val="3"/>
            </w:numPr>
            <w:tabs>
              <w:tab w:pos="1466" w:val="left" w:leader="none"/>
              <w:tab w:pos="9413" w:val="left" w:leader="dot"/>
            </w:tabs>
            <w:spacing w:line="240" w:lineRule="auto" w:before="149" w:after="0"/>
            <w:ind w:left="1465" w:right="0" w:hanging="584"/>
            <w:jc w:val="left"/>
          </w:pPr>
          <w:r>
            <w:rPr/>
            <w:t>Đối với kết quả nghiên cứu định tính chính thức</w:t>
          </w:r>
          <w:r>
            <w:rPr>
              <w:spacing w:val="-12"/>
            </w:rPr>
            <w:t> </w:t>
          </w:r>
          <w:r>
            <w:rPr/>
            <w:t>chấp</w:t>
          </w:r>
          <w:r>
            <w:rPr>
              <w:spacing w:val="-2"/>
            </w:rPr>
            <w:t> </w:t>
          </w:r>
          <w:r>
            <w:rPr/>
            <w:t>nhận</w:t>
            <w:tab/>
            <w:t>66</w:t>
          </w:r>
        </w:p>
        <w:p>
          <w:pPr>
            <w:pStyle w:val="TOC3"/>
            <w:numPr>
              <w:ilvl w:val="2"/>
              <w:numId w:val="3"/>
            </w:numPr>
            <w:tabs>
              <w:tab w:pos="1466" w:val="left" w:leader="none"/>
              <w:tab w:pos="9413" w:val="left" w:leader="dot"/>
            </w:tabs>
            <w:spacing w:line="240" w:lineRule="auto" w:before="148" w:after="0"/>
            <w:ind w:left="1465" w:right="0" w:hanging="584"/>
            <w:jc w:val="left"/>
          </w:pPr>
          <w:r>
            <w:rPr/>
            <w:t>Đối với kết quả nghiên cứu định tính chính thức bị</w:t>
          </w:r>
          <w:r>
            <w:rPr>
              <w:spacing w:val="-12"/>
            </w:rPr>
            <w:t> </w:t>
          </w:r>
          <w:r>
            <w:rPr/>
            <w:t>bác</w:t>
          </w:r>
          <w:r>
            <w:rPr>
              <w:spacing w:val="1"/>
            </w:rPr>
            <w:t> </w:t>
          </w:r>
          <w:r>
            <w:rPr/>
            <w:t>bỏ</w:t>
            <w:tab/>
            <w:t>68</w:t>
          </w:r>
        </w:p>
        <w:p>
          <w:pPr>
            <w:pStyle w:val="TOC3"/>
            <w:tabs>
              <w:tab w:pos="9413" w:val="left" w:leader="dot"/>
            </w:tabs>
            <w:ind w:left="882" w:firstLine="0"/>
          </w:pPr>
          <w:r>
            <w:rPr/>
            <w:t>Tóm tắc</w:t>
          </w:r>
          <w:r>
            <w:rPr>
              <w:spacing w:val="-3"/>
            </w:rPr>
            <w:t> </w:t>
          </w:r>
          <w:r>
            <w:rPr/>
            <w:t>chương</w:t>
          </w:r>
          <w:r>
            <w:rPr>
              <w:spacing w:val="-2"/>
            </w:rPr>
            <w:t> </w:t>
          </w:r>
          <w:r>
            <w:rPr/>
            <w:t>3</w:t>
            <w:tab/>
            <w:t>69</w:t>
          </w:r>
        </w:p>
        <w:p>
          <w:pPr>
            <w:pStyle w:val="TOC1"/>
            <w:tabs>
              <w:tab w:pos="9413" w:val="left" w:leader="dot"/>
            </w:tabs>
            <w:spacing w:line="360" w:lineRule="auto" w:before="149"/>
            <w:ind w:right="1172"/>
          </w:pPr>
          <w:hyperlink w:history="true" w:anchor="_TOC_250018">
            <w:r>
              <w:rPr/>
              <w:t>CHƯƠNG 4: THỰC TRẠNG CÁC YẾU TỐ TẠO LỢI THẾ CẠNH TRANH CHO CẢNG CONTAINER TẠI</w:t>
            </w:r>
            <w:r>
              <w:rPr>
                <w:spacing w:val="-10"/>
              </w:rPr>
              <w:t> </w:t>
            </w:r>
            <w:r>
              <w:rPr/>
              <w:t>VIỆT</w:t>
            </w:r>
            <w:r>
              <w:rPr>
                <w:spacing w:val="-3"/>
              </w:rPr>
              <w:t> </w:t>
            </w:r>
            <w:r>
              <w:rPr/>
              <w:t>NAM</w:t>
              <w:tab/>
            </w:r>
            <w:r>
              <w:rPr>
                <w:spacing w:val="-9"/>
              </w:rPr>
              <w:t>70</w:t>
            </w:r>
          </w:hyperlink>
        </w:p>
        <w:p>
          <w:pPr>
            <w:pStyle w:val="TOC3"/>
            <w:numPr>
              <w:ilvl w:val="1"/>
              <w:numId w:val="4"/>
            </w:numPr>
            <w:tabs>
              <w:tab w:pos="1271" w:val="left" w:leader="none"/>
              <w:tab w:pos="9413" w:val="left" w:leader="dot"/>
            </w:tabs>
            <w:spacing w:line="240" w:lineRule="auto" w:before="1" w:after="20"/>
            <w:ind w:left="1270" w:right="0" w:hanging="389"/>
            <w:jc w:val="left"/>
          </w:pPr>
          <w:hyperlink w:history="true" w:anchor="_TOC_250017">
            <w:r>
              <w:rPr/>
              <w:t>Tổng quan</w:t>
            </w:r>
            <w:r>
              <w:rPr>
                <w:spacing w:val="-4"/>
              </w:rPr>
              <w:t> </w:t>
            </w:r>
            <w:r>
              <w:rPr/>
              <w:t>cảng</w:t>
            </w:r>
            <w:r>
              <w:rPr>
                <w:spacing w:val="1"/>
              </w:rPr>
              <w:t> </w:t>
            </w:r>
            <w:r>
              <w:rPr/>
              <w:t>container</w:t>
              <w:tab/>
              <w:t>70</w:t>
            </w:r>
          </w:hyperlink>
        </w:p>
        <w:p>
          <w:pPr>
            <w:pStyle w:val="TOC3"/>
            <w:numPr>
              <w:ilvl w:val="2"/>
              <w:numId w:val="4"/>
            </w:numPr>
            <w:tabs>
              <w:tab w:pos="1466" w:val="left" w:leader="none"/>
              <w:tab w:pos="9413" w:val="left" w:leader="dot"/>
            </w:tabs>
            <w:spacing w:line="240" w:lineRule="auto" w:before="275" w:after="0"/>
            <w:ind w:left="1465" w:right="0" w:hanging="584"/>
            <w:jc w:val="left"/>
          </w:pPr>
          <w:hyperlink w:history="true" w:anchor="_TOC_250016">
            <w:r>
              <w:rPr/>
              <w:t>Khái niệm</w:t>
            </w:r>
            <w:r>
              <w:rPr>
                <w:spacing w:val="-1"/>
              </w:rPr>
              <w:t> </w:t>
            </w:r>
            <w:r>
              <w:rPr/>
              <w:t>cảng</w:t>
            </w:r>
            <w:r>
              <w:rPr>
                <w:spacing w:val="-2"/>
              </w:rPr>
              <w:t> </w:t>
            </w:r>
            <w:r>
              <w:rPr/>
              <w:t>container</w:t>
              <w:tab/>
              <w:t>70</w:t>
            </w:r>
          </w:hyperlink>
        </w:p>
        <w:p>
          <w:pPr>
            <w:pStyle w:val="TOC3"/>
            <w:numPr>
              <w:ilvl w:val="2"/>
              <w:numId w:val="4"/>
            </w:numPr>
            <w:tabs>
              <w:tab w:pos="1466" w:val="left" w:leader="none"/>
              <w:tab w:pos="9413" w:val="left" w:leader="dot"/>
            </w:tabs>
            <w:spacing w:line="240" w:lineRule="auto" w:before="151" w:after="0"/>
            <w:ind w:left="1465" w:right="0" w:hanging="584"/>
            <w:jc w:val="left"/>
          </w:pPr>
          <w:hyperlink w:history="true" w:anchor="_TOC_250015">
            <w:r>
              <w:rPr/>
              <w:t>Phân loại</w:t>
              <w:tab/>
              <w:t>71</w:t>
            </w:r>
          </w:hyperlink>
        </w:p>
        <w:p>
          <w:pPr>
            <w:pStyle w:val="TOC3"/>
            <w:numPr>
              <w:ilvl w:val="1"/>
              <w:numId w:val="4"/>
            </w:numPr>
            <w:tabs>
              <w:tab w:pos="1271" w:val="left" w:leader="none"/>
              <w:tab w:pos="9413" w:val="left" w:leader="dot"/>
            </w:tabs>
            <w:spacing w:line="240" w:lineRule="auto" w:before="149" w:after="0"/>
            <w:ind w:left="1270" w:right="0" w:hanging="389"/>
            <w:jc w:val="left"/>
          </w:pPr>
          <w:hyperlink w:history="true" w:anchor="_TOC_250014">
            <w:r>
              <w:rPr/>
              <w:t>Cấu trúc của</w:t>
            </w:r>
            <w:r>
              <w:rPr>
                <w:spacing w:val="-4"/>
              </w:rPr>
              <w:t> </w:t>
            </w:r>
            <w:r>
              <w:rPr/>
              <w:t>cảng</w:t>
            </w:r>
            <w:r>
              <w:rPr>
                <w:spacing w:val="-2"/>
              </w:rPr>
              <w:t> </w:t>
            </w:r>
            <w:r>
              <w:rPr/>
              <w:t>container</w:t>
              <w:tab/>
              <w:t>73</w:t>
            </w:r>
          </w:hyperlink>
        </w:p>
        <w:p>
          <w:pPr>
            <w:pStyle w:val="TOC3"/>
            <w:numPr>
              <w:ilvl w:val="1"/>
              <w:numId w:val="4"/>
            </w:numPr>
            <w:tabs>
              <w:tab w:pos="1271" w:val="left" w:leader="none"/>
              <w:tab w:pos="9413" w:val="left" w:leader="dot"/>
            </w:tabs>
            <w:spacing w:line="240" w:lineRule="auto" w:before="150" w:after="0"/>
            <w:ind w:left="1270" w:right="0" w:hanging="389"/>
            <w:jc w:val="left"/>
          </w:pPr>
          <w:r>
            <w:rPr/>
            <w:t>Thực trạng các yếu tố tạo lợi thế cạnh tranh cho cảng container</w:t>
          </w:r>
          <w:r>
            <w:rPr>
              <w:spacing w:val="-12"/>
            </w:rPr>
            <w:t> </w:t>
          </w:r>
          <w:r>
            <w:rPr/>
            <w:t>tại</w:t>
          </w:r>
          <w:r>
            <w:rPr>
              <w:spacing w:val="-2"/>
            </w:rPr>
            <w:t> </w:t>
          </w:r>
          <w:r>
            <w:rPr/>
            <w:t>VN</w:t>
            <w:tab/>
            <w:t>75</w:t>
          </w:r>
        </w:p>
        <w:p>
          <w:pPr>
            <w:pStyle w:val="TOC3"/>
            <w:numPr>
              <w:ilvl w:val="2"/>
              <w:numId w:val="4"/>
            </w:numPr>
            <w:tabs>
              <w:tab w:pos="1466" w:val="left" w:leader="none"/>
              <w:tab w:pos="9413" w:val="left" w:leader="dot"/>
            </w:tabs>
            <w:spacing w:line="240" w:lineRule="auto" w:before="150" w:after="0"/>
            <w:ind w:left="1465" w:right="0" w:hanging="584"/>
            <w:jc w:val="left"/>
          </w:pPr>
          <w:r>
            <w:rPr/>
            <w:t>Thực trạng cơ sở vật chất hạ tầng</w:t>
          </w:r>
          <w:r>
            <w:rPr>
              <w:spacing w:val="-8"/>
            </w:rPr>
            <w:t> </w:t>
          </w:r>
          <w:r>
            <w:rPr/>
            <w:t>cảng container</w:t>
            <w:tab/>
            <w:t>75</w:t>
          </w:r>
        </w:p>
        <w:p>
          <w:pPr>
            <w:pStyle w:val="TOC3"/>
            <w:numPr>
              <w:ilvl w:val="2"/>
              <w:numId w:val="4"/>
            </w:numPr>
            <w:tabs>
              <w:tab w:pos="1466" w:val="left" w:leader="none"/>
              <w:tab w:pos="9413" w:val="left" w:leader="dot"/>
            </w:tabs>
            <w:spacing w:line="240" w:lineRule="auto" w:before="150" w:after="0"/>
            <w:ind w:left="1465" w:right="0" w:hanging="584"/>
            <w:jc w:val="left"/>
          </w:pPr>
          <w:hyperlink w:history="true" w:anchor="_TOC_250013">
            <w:r>
              <w:rPr/>
              <w:t>Thực trạng vị trí</w:t>
            </w:r>
            <w:r>
              <w:rPr>
                <w:spacing w:val="-4"/>
              </w:rPr>
              <w:t> </w:t>
            </w:r>
            <w:r>
              <w:rPr/>
              <w:t>cảng</w:t>
            </w:r>
            <w:r>
              <w:rPr>
                <w:spacing w:val="-1"/>
              </w:rPr>
              <w:t> </w:t>
            </w:r>
            <w:r>
              <w:rPr/>
              <w:t>container</w:t>
              <w:tab/>
              <w:t>76</w:t>
            </w:r>
          </w:hyperlink>
        </w:p>
        <w:p>
          <w:pPr>
            <w:pStyle w:val="TOC3"/>
            <w:numPr>
              <w:ilvl w:val="2"/>
              <w:numId w:val="4"/>
            </w:numPr>
            <w:tabs>
              <w:tab w:pos="1466" w:val="left" w:leader="none"/>
              <w:tab w:pos="9413" w:val="left" w:leader="dot"/>
            </w:tabs>
            <w:spacing w:line="240" w:lineRule="auto" w:before="147" w:after="0"/>
            <w:ind w:left="1465" w:right="0" w:hanging="584"/>
            <w:jc w:val="left"/>
          </w:pPr>
          <w:hyperlink w:history="true" w:anchor="_TOC_250012">
            <w:r>
              <w:rPr/>
              <w:t>Thực trạng năng lực kết nối</w:t>
            </w:r>
            <w:r>
              <w:rPr>
                <w:spacing w:val="-8"/>
              </w:rPr>
              <w:t> </w:t>
            </w:r>
            <w:r>
              <w:rPr/>
              <w:t>nội</w:t>
            </w:r>
            <w:r>
              <w:rPr>
                <w:spacing w:val="1"/>
              </w:rPr>
              <w:t> </w:t>
            </w:r>
            <w:r>
              <w:rPr/>
              <w:t>địa</w:t>
              <w:tab/>
              <w:t>77</w:t>
            </w:r>
          </w:hyperlink>
        </w:p>
        <w:p>
          <w:pPr>
            <w:pStyle w:val="TOC3"/>
            <w:numPr>
              <w:ilvl w:val="2"/>
              <w:numId w:val="4"/>
            </w:numPr>
            <w:tabs>
              <w:tab w:pos="1466" w:val="left" w:leader="none"/>
              <w:tab w:pos="9413" w:val="left" w:leader="dot"/>
            </w:tabs>
            <w:spacing w:line="240" w:lineRule="auto" w:before="150" w:after="0"/>
            <w:ind w:left="1465" w:right="0" w:hanging="584"/>
            <w:jc w:val="left"/>
          </w:pPr>
          <w:hyperlink w:history="true" w:anchor="_TOC_250011">
            <w:r>
              <w:rPr/>
              <w:t>Thực trạng chất lượng dịch vụ</w:t>
            </w:r>
            <w:r>
              <w:rPr>
                <w:spacing w:val="-11"/>
              </w:rPr>
              <w:t> </w:t>
            </w:r>
            <w:r>
              <w:rPr/>
              <w:t>logistics cảng</w:t>
              <w:tab/>
              <w:t>78</w:t>
            </w:r>
          </w:hyperlink>
        </w:p>
        <w:p>
          <w:pPr>
            <w:pStyle w:val="TOC3"/>
            <w:numPr>
              <w:ilvl w:val="2"/>
              <w:numId w:val="4"/>
            </w:numPr>
            <w:tabs>
              <w:tab w:pos="1466" w:val="left" w:leader="none"/>
              <w:tab w:pos="9413" w:val="left" w:leader="dot"/>
            </w:tabs>
            <w:spacing w:line="240" w:lineRule="auto" w:before="150" w:after="0"/>
            <w:ind w:left="1465" w:right="0" w:hanging="584"/>
            <w:jc w:val="left"/>
          </w:pPr>
          <w:r>
            <w:rPr/>
            <w:t>Thực trạng độ tin cậy của</w:t>
          </w:r>
          <w:r>
            <w:rPr>
              <w:spacing w:val="-5"/>
            </w:rPr>
            <w:t> </w:t>
          </w:r>
          <w:r>
            <w:rPr/>
            <w:t>cảng</w:t>
          </w:r>
          <w:r>
            <w:rPr>
              <w:spacing w:val="1"/>
            </w:rPr>
            <w:t> </w:t>
          </w:r>
          <w:r>
            <w:rPr/>
            <w:t>container</w:t>
            <w:tab/>
            <w:t>78</w:t>
          </w:r>
        </w:p>
        <w:p>
          <w:pPr>
            <w:pStyle w:val="TOC3"/>
            <w:numPr>
              <w:ilvl w:val="2"/>
              <w:numId w:val="4"/>
            </w:numPr>
            <w:tabs>
              <w:tab w:pos="1466" w:val="left" w:leader="none"/>
              <w:tab w:pos="9413" w:val="left" w:leader="dot"/>
            </w:tabs>
            <w:spacing w:line="240" w:lineRule="auto" w:before="150" w:after="0"/>
            <w:ind w:left="1465" w:right="0" w:hanging="584"/>
            <w:jc w:val="left"/>
          </w:pPr>
          <w:r>
            <w:rPr/>
            <w:t>Thực trạng về chi phí dịch vụ logistics</w:t>
          </w:r>
          <w:r>
            <w:rPr>
              <w:spacing w:val="-9"/>
            </w:rPr>
            <w:t> </w:t>
          </w:r>
          <w:r>
            <w:rPr/>
            <w:t>cảng</w:t>
          </w:r>
          <w:r>
            <w:rPr>
              <w:spacing w:val="-2"/>
            </w:rPr>
            <w:t> </w:t>
          </w:r>
          <w:r>
            <w:rPr/>
            <w:t>container</w:t>
            <w:tab/>
            <w:t>80</w:t>
          </w:r>
        </w:p>
        <w:p>
          <w:pPr>
            <w:pStyle w:val="TOC3"/>
            <w:numPr>
              <w:ilvl w:val="1"/>
              <w:numId w:val="4"/>
            </w:numPr>
            <w:tabs>
              <w:tab w:pos="1271" w:val="left" w:leader="none"/>
              <w:tab w:pos="9413" w:val="left" w:leader="dot"/>
            </w:tabs>
            <w:spacing w:line="240" w:lineRule="auto" w:before="150" w:after="0"/>
            <w:ind w:left="1270" w:right="0" w:hanging="389"/>
            <w:jc w:val="left"/>
          </w:pPr>
          <w:hyperlink w:history="true" w:anchor="_TOC_250010">
            <w:r>
              <w:rPr/>
              <w:t>Dự báo sản lượng container thông qua cảng biển</w:t>
            </w:r>
            <w:r>
              <w:rPr>
                <w:spacing w:val="-11"/>
              </w:rPr>
              <w:t> </w:t>
            </w:r>
            <w:r>
              <w:rPr/>
              <w:t>Việt</w:t>
            </w:r>
            <w:r>
              <w:rPr>
                <w:spacing w:val="1"/>
              </w:rPr>
              <w:t> </w:t>
            </w:r>
            <w:r>
              <w:rPr/>
              <w:t>Nam</w:t>
              <w:tab/>
              <w:t>80</w:t>
            </w:r>
          </w:hyperlink>
        </w:p>
        <w:p>
          <w:pPr>
            <w:pStyle w:val="TOC3"/>
            <w:tabs>
              <w:tab w:pos="9413" w:val="left" w:leader="dot"/>
            </w:tabs>
            <w:ind w:left="882" w:firstLine="0"/>
          </w:pPr>
          <w:r>
            <w:rPr/>
            <w:t>Tóm tắc</w:t>
          </w:r>
          <w:r>
            <w:rPr>
              <w:spacing w:val="-3"/>
            </w:rPr>
            <w:t> </w:t>
          </w:r>
          <w:r>
            <w:rPr/>
            <w:t>chương</w:t>
          </w:r>
          <w:r>
            <w:rPr>
              <w:spacing w:val="-2"/>
            </w:rPr>
            <w:t> </w:t>
          </w:r>
          <w:r>
            <w:rPr/>
            <w:t>4</w:t>
            <w:tab/>
            <w:t>90</w:t>
          </w:r>
        </w:p>
        <w:p>
          <w:pPr>
            <w:pStyle w:val="TOC1"/>
            <w:tabs>
              <w:tab w:pos="9413" w:val="left" w:leader="dot"/>
            </w:tabs>
            <w:spacing w:line="357" w:lineRule="auto"/>
            <w:ind w:right="1172"/>
          </w:pPr>
          <w:r>
            <w:rPr/>
            <w:t>CHƯƠNG 5: MỘT SỐ GIẢI PHÁP NHẰM NÂNG CAO LỢI THẾ CẠNH TRANH CHO CẢNG CONTAINER TẠI</w:t>
          </w:r>
          <w:r>
            <w:rPr>
              <w:spacing w:val="-11"/>
            </w:rPr>
            <w:t> </w:t>
          </w:r>
          <w:r>
            <w:rPr/>
            <w:t>VIỆT</w:t>
          </w:r>
          <w:r>
            <w:rPr>
              <w:spacing w:val="-3"/>
            </w:rPr>
            <w:t> </w:t>
          </w:r>
          <w:r>
            <w:rPr/>
            <w:t>NAM</w:t>
            <w:tab/>
          </w:r>
          <w:r>
            <w:rPr>
              <w:spacing w:val="-9"/>
            </w:rPr>
            <w:t>91</w:t>
          </w:r>
        </w:p>
        <w:p>
          <w:pPr>
            <w:pStyle w:val="TOC3"/>
            <w:numPr>
              <w:ilvl w:val="1"/>
              <w:numId w:val="5"/>
            </w:numPr>
            <w:tabs>
              <w:tab w:pos="1271" w:val="left" w:leader="none"/>
              <w:tab w:pos="9413" w:val="left" w:leader="dot"/>
            </w:tabs>
            <w:spacing w:line="240" w:lineRule="auto" w:before="4" w:after="0"/>
            <w:ind w:left="1270" w:right="0" w:hanging="389"/>
            <w:jc w:val="left"/>
          </w:pPr>
          <w:hyperlink w:history="true" w:anchor="_TOC_250009">
            <w:r>
              <w:rPr/>
              <w:t>Kết luận</w:t>
            </w:r>
            <w:r>
              <w:rPr>
                <w:spacing w:val="-3"/>
              </w:rPr>
              <w:t> </w:t>
            </w:r>
            <w:r>
              <w:rPr/>
              <w:t>nghiên</w:t>
            </w:r>
            <w:r>
              <w:rPr>
                <w:spacing w:val="-1"/>
              </w:rPr>
              <w:t> </w:t>
            </w:r>
            <w:r>
              <w:rPr/>
              <w:t>cứu</w:t>
              <w:tab/>
              <w:t>91</w:t>
            </w:r>
          </w:hyperlink>
        </w:p>
        <w:p>
          <w:pPr>
            <w:pStyle w:val="TOC3"/>
            <w:numPr>
              <w:ilvl w:val="2"/>
              <w:numId w:val="5"/>
            </w:numPr>
            <w:tabs>
              <w:tab w:pos="1466" w:val="left" w:leader="none"/>
              <w:tab w:pos="9413" w:val="left" w:leader="dot"/>
            </w:tabs>
            <w:spacing w:line="240" w:lineRule="auto" w:before="150" w:after="0"/>
            <w:ind w:left="1465" w:right="0" w:hanging="584"/>
            <w:jc w:val="left"/>
          </w:pPr>
          <w:hyperlink w:history="true" w:anchor="_TOC_250008">
            <w:r>
              <w:rPr/>
              <w:t>Kết quả xây dựng và phát triển thang đo</w:t>
            </w:r>
            <w:r>
              <w:rPr>
                <w:spacing w:val="-9"/>
              </w:rPr>
              <w:t> </w:t>
            </w:r>
            <w:r>
              <w:rPr/>
              <w:t>khái</w:t>
            </w:r>
            <w:r>
              <w:rPr>
                <w:spacing w:val="-2"/>
              </w:rPr>
              <w:t> </w:t>
            </w:r>
            <w:r>
              <w:rPr/>
              <w:t>niệm</w:t>
              <w:tab/>
              <w:t>92</w:t>
            </w:r>
          </w:hyperlink>
        </w:p>
        <w:p>
          <w:pPr>
            <w:pStyle w:val="TOC3"/>
            <w:numPr>
              <w:ilvl w:val="2"/>
              <w:numId w:val="5"/>
            </w:numPr>
            <w:tabs>
              <w:tab w:pos="1466" w:val="left" w:leader="none"/>
              <w:tab w:pos="9413" w:val="left" w:leader="dot"/>
            </w:tabs>
            <w:spacing w:line="240" w:lineRule="auto" w:before="150" w:after="0"/>
            <w:ind w:left="1465" w:right="0" w:hanging="584"/>
            <w:jc w:val="left"/>
          </w:pPr>
          <w:hyperlink w:history="true" w:anchor="_TOC_250007">
            <w:r>
              <w:rPr/>
              <w:t>Kết quả đề xuất mô hình</w:t>
            </w:r>
            <w:r>
              <w:rPr>
                <w:spacing w:val="-9"/>
              </w:rPr>
              <w:t> </w:t>
            </w:r>
            <w:r>
              <w:rPr/>
              <w:t>lý</w:t>
            </w:r>
            <w:r>
              <w:rPr>
                <w:spacing w:val="1"/>
              </w:rPr>
              <w:t> </w:t>
            </w:r>
            <w:r>
              <w:rPr/>
              <w:t>thuyết</w:t>
              <w:tab/>
              <w:t>94</w:t>
            </w:r>
          </w:hyperlink>
        </w:p>
        <w:p>
          <w:pPr>
            <w:pStyle w:val="TOC3"/>
            <w:numPr>
              <w:ilvl w:val="2"/>
              <w:numId w:val="5"/>
            </w:numPr>
            <w:tabs>
              <w:tab w:pos="1466" w:val="left" w:leader="none"/>
              <w:tab w:pos="9413" w:val="left" w:leader="dot"/>
            </w:tabs>
            <w:spacing w:line="240" w:lineRule="auto" w:before="150" w:after="0"/>
            <w:ind w:left="1465" w:right="0" w:hanging="584"/>
            <w:jc w:val="left"/>
          </w:pPr>
          <w:hyperlink w:history="true" w:anchor="_TOC_250006">
            <w:r>
              <w:rPr/>
              <w:t>Kết quả mô hình</w:t>
            </w:r>
            <w:r>
              <w:rPr>
                <w:spacing w:val="-3"/>
              </w:rPr>
              <w:t> </w:t>
            </w:r>
            <w:r>
              <w:rPr/>
              <w:t>dự</w:t>
            </w:r>
            <w:r>
              <w:rPr>
                <w:spacing w:val="-1"/>
              </w:rPr>
              <w:t> </w:t>
            </w:r>
            <w:r>
              <w:rPr/>
              <w:t>báo</w:t>
              <w:tab/>
              <w:t>95</w:t>
            </w:r>
          </w:hyperlink>
        </w:p>
        <w:p>
          <w:pPr>
            <w:pStyle w:val="TOC3"/>
            <w:numPr>
              <w:ilvl w:val="1"/>
              <w:numId w:val="5"/>
            </w:numPr>
            <w:tabs>
              <w:tab w:pos="1271" w:val="left" w:leader="none"/>
              <w:tab w:pos="9413" w:val="left" w:leader="dot"/>
            </w:tabs>
            <w:spacing w:line="240" w:lineRule="auto" w:before="150" w:after="0"/>
            <w:ind w:left="1270" w:right="0" w:hanging="389"/>
            <w:jc w:val="left"/>
          </w:pPr>
          <w:hyperlink w:history="true" w:anchor="_TOC_250005">
            <w:r>
              <w:rPr/>
              <w:t>Giải pháp nâng cao năng lực cạnh tranh cảng container tại</w:t>
            </w:r>
            <w:r>
              <w:rPr>
                <w:spacing w:val="-12"/>
              </w:rPr>
              <w:t> </w:t>
            </w:r>
            <w:r>
              <w:rPr/>
              <w:t>Việt</w:t>
            </w:r>
            <w:r>
              <w:rPr>
                <w:spacing w:val="1"/>
              </w:rPr>
              <w:t> </w:t>
            </w:r>
            <w:r>
              <w:rPr/>
              <w:t>Nam</w:t>
              <w:tab/>
              <w:t>95</w:t>
            </w:r>
          </w:hyperlink>
        </w:p>
        <w:p>
          <w:pPr>
            <w:pStyle w:val="TOC3"/>
            <w:numPr>
              <w:ilvl w:val="2"/>
              <w:numId w:val="5"/>
            </w:numPr>
            <w:tabs>
              <w:tab w:pos="1466" w:val="left" w:leader="none"/>
              <w:tab w:pos="9413" w:val="left" w:leader="dot"/>
            </w:tabs>
            <w:spacing w:line="240" w:lineRule="auto" w:before="150" w:after="0"/>
            <w:ind w:left="1465" w:right="0" w:hanging="584"/>
            <w:jc w:val="left"/>
          </w:pPr>
          <w:hyperlink w:history="true" w:anchor="_TOC_250004">
            <w:r>
              <w:rPr/>
              <w:t>Giải pháp tổng thể cho hệ thống cảng container</w:t>
            </w:r>
            <w:r>
              <w:rPr>
                <w:spacing w:val="-11"/>
              </w:rPr>
              <w:t> </w:t>
            </w:r>
            <w:r>
              <w:rPr/>
              <w:t>Việt Nam</w:t>
              <w:tab/>
              <w:t>95</w:t>
            </w:r>
          </w:hyperlink>
        </w:p>
        <w:p>
          <w:pPr>
            <w:pStyle w:val="TOC3"/>
            <w:numPr>
              <w:ilvl w:val="2"/>
              <w:numId w:val="5"/>
            </w:numPr>
            <w:tabs>
              <w:tab w:pos="1466" w:val="left" w:leader="none"/>
              <w:tab w:pos="9413" w:val="left" w:leader="dot"/>
            </w:tabs>
            <w:spacing w:line="240" w:lineRule="auto" w:before="147" w:after="0"/>
            <w:ind w:left="1465" w:right="0" w:hanging="584"/>
            <w:jc w:val="left"/>
          </w:pPr>
          <w:r>
            <w:rPr/>
            <w:t>Giải pháp chi tiết để nâng cao năng lực cạnh tranh cho cảng</w:t>
          </w:r>
          <w:r>
            <w:rPr>
              <w:spacing w:val="-12"/>
            </w:rPr>
            <w:t> </w:t>
          </w:r>
          <w:r>
            <w:rPr/>
            <w:t>container</w:t>
          </w:r>
          <w:r>
            <w:rPr>
              <w:spacing w:val="-2"/>
            </w:rPr>
            <w:t> </w:t>
          </w:r>
          <w:r>
            <w:rPr/>
            <w:t>VN</w:t>
            <w:tab/>
            <w:t>98</w:t>
          </w:r>
        </w:p>
        <w:p>
          <w:pPr>
            <w:pStyle w:val="TOC3"/>
            <w:numPr>
              <w:ilvl w:val="1"/>
              <w:numId w:val="5"/>
            </w:numPr>
            <w:tabs>
              <w:tab w:pos="1271" w:val="left" w:leader="none"/>
              <w:tab w:pos="9281" w:val="left" w:leader="dot"/>
            </w:tabs>
            <w:spacing w:line="240" w:lineRule="auto" w:before="150" w:after="0"/>
            <w:ind w:left="1270" w:right="0" w:hanging="389"/>
            <w:jc w:val="left"/>
          </w:pPr>
          <w:hyperlink w:history="true" w:anchor="_TOC_250003">
            <w:r>
              <w:rPr/>
              <w:t>Hạn chế và hướng nghiên cứu</w:t>
            </w:r>
            <w:r>
              <w:rPr>
                <w:spacing w:val="-8"/>
              </w:rPr>
              <w:t> </w:t>
            </w:r>
            <w:r>
              <w:rPr/>
              <w:t>tiếp theo.</w:t>
              <w:tab/>
              <w:t>107</w:t>
            </w:r>
          </w:hyperlink>
        </w:p>
        <w:p>
          <w:pPr>
            <w:pStyle w:val="TOC2"/>
            <w:tabs>
              <w:tab w:pos="9281" w:val="left" w:leader="dot"/>
            </w:tabs>
            <w:rPr>
              <w:i/>
            </w:rPr>
          </w:pPr>
          <w:hyperlink w:history="true" w:anchor="_TOC_250002">
            <w:r>
              <w:rPr>
                <w:i/>
              </w:rPr>
              <w:t>Kết</w:t>
            </w:r>
            <w:r>
              <w:rPr>
                <w:i/>
                <w:spacing w:val="-3"/>
              </w:rPr>
              <w:t> </w:t>
            </w:r>
            <w:r>
              <w:rPr>
                <w:i/>
              </w:rPr>
              <w:t>luận</w:t>
            </w:r>
            <w:r>
              <w:rPr>
                <w:i/>
                <w:spacing w:val="-3"/>
              </w:rPr>
              <w:t> </w:t>
            </w:r>
            <w:r>
              <w:rPr>
                <w:i/>
              </w:rPr>
              <w:t>chung</w:t>
              <w:tab/>
              <w:t>108</w:t>
            </w:r>
          </w:hyperlink>
        </w:p>
        <w:p>
          <w:pPr>
            <w:pStyle w:val="TOC1"/>
            <w:tabs>
              <w:tab w:pos="9281" w:val="left" w:leader="dot"/>
            </w:tabs>
            <w:spacing w:line="360" w:lineRule="auto"/>
            <w:ind w:right="1174"/>
          </w:pPr>
          <w:hyperlink w:history="true" w:anchor="_TOC_250001">
            <w:r>
              <w:rPr/>
              <w:t>CÔNG TRÌNH NGHIÊN CỨU CỦA TÁC GIẢ ĐÃ CÔNG BỐ LIÊN QUAN ĐẾN</w:t>
            </w:r>
            <w:r>
              <w:rPr>
                <w:spacing w:val="-3"/>
              </w:rPr>
              <w:t> </w:t>
            </w:r>
            <w:r>
              <w:rPr/>
              <w:t>ĐỀ TÀI</w:t>
              <w:tab/>
            </w:r>
            <w:r>
              <w:rPr>
                <w:spacing w:val="-6"/>
              </w:rPr>
              <w:t>110</w:t>
            </w:r>
          </w:hyperlink>
        </w:p>
        <w:p>
          <w:pPr>
            <w:pStyle w:val="TOC1"/>
            <w:tabs>
              <w:tab w:pos="9281" w:val="left" w:leader="dot"/>
            </w:tabs>
            <w:spacing w:before="1"/>
          </w:pPr>
          <w:hyperlink w:history="true" w:anchor="_TOC_250000">
            <w:r>
              <w:rPr/>
              <w:t>TÀI LIỆU</w:t>
            </w:r>
            <w:r>
              <w:rPr>
                <w:spacing w:val="-4"/>
              </w:rPr>
              <w:t> </w:t>
            </w:r>
            <w:r>
              <w:rPr/>
              <w:t>THAM</w:t>
            </w:r>
            <w:r>
              <w:rPr>
                <w:spacing w:val="-1"/>
              </w:rPr>
              <w:t> </w:t>
            </w:r>
            <w:r>
              <w:rPr/>
              <w:t>KHẢO</w:t>
              <w:tab/>
              <w:t>111</w:t>
            </w:r>
          </w:hyperlink>
        </w:p>
      </w:sdtContent>
    </w:sdt>
    <w:p>
      <w:pPr>
        <w:spacing w:after="0"/>
        <w:sectPr>
          <w:type w:val="continuous"/>
          <w:pgSz w:w="11910" w:h="16850"/>
          <w:pgMar w:top="981" w:bottom="1369" w:left="820" w:right="240"/>
        </w:sectPr>
      </w:pPr>
    </w:p>
    <w:p>
      <w:pPr>
        <w:spacing w:before="150"/>
        <w:ind w:left="882" w:right="0" w:firstLine="0"/>
        <w:jc w:val="left"/>
        <w:rPr>
          <w:b/>
          <w:sz w:val="26"/>
        </w:rPr>
      </w:pPr>
      <w:r>
        <w:rPr>
          <w:b/>
          <w:sz w:val="26"/>
        </w:rPr>
        <w:t>PHỤ LỤC</w:t>
      </w:r>
    </w:p>
    <w:p>
      <w:pPr>
        <w:spacing w:after="0"/>
        <w:jc w:val="left"/>
        <w:rPr>
          <w:sz w:val="26"/>
        </w:rPr>
        <w:sectPr>
          <w:type w:val="continuous"/>
          <w:pgSz w:w="11910" w:h="16850"/>
          <w:pgMar w:top="960" w:bottom="280" w:left="820" w:right="240"/>
        </w:sectPr>
      </w:pPr>
    </w:p>
    <w:p>
      <w:pPr>
        <w:spacing w:before="275"/>
        <w:ind w:left="943" w:right="952" w:firstLine="0"/>
        <w:jc w:val="center"/>
        <w:rPr>
          <w:b/>
          <w:sz w:val="26"/>
        </w:rPr>
      </w:pPr>
      <w:r>
        <w:rPr>
          <w:b/>
          <w:sz w:val="26"/>
        </w:rPr>
        <w:t>DANH MỤC CÁC CHỮ VIẾT TẮT</w:t>
      </w:r>
    </w:p>
    <w:p>
      <w:pPr>
        <w:pStyle w:val="BodyText"/>
        <w:spacing w:before="10"/>
        <w:rPr>
          <w:b/>
          <w:sz w:val="12"/>
        </w:rPr>
      </w:pPr>
    </w:p>
    <w:tbl>
      <w:tblPr>
        <w:tblW w:w="0" w:type="auto"/>
        <w:jc w:val="left"/>
        <w:tblInd w:w="77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1385"/>
        <w:gridCol w:w="3827"/>
        <w:gridCol w:w="3795"/>
      </w:tblGrid>
      <w:tr>
        <w:trPr>
          <w:trHeight w:val="448" w:hRule="atLeast"/>
        </w:trPr>
        <w:tc>
          <w:tcPr>
            <w:tcW w:w="1385" w:type="dxa"/>
          </w:tcPr>
          <w:p>
            <w:pPr>
              <w:pStyle w:val="TableParagraph"/>
              <w:spacing w:before="2"/>
              <w:ind w:left="275"/>
              <w:rPr>
                <w:b/>
                <w:sz w:val="26"/>
              </w:rPr>
            </w:pPr>
            <w:r>
              <w:rPr>
                <w:b/>
                <w:sz w:val="26"/>
              </w:rPr>
              <w:t>Viết tắt</w:t>
            </w:r>
          </w:p>
        </w:tc>
        <w:tc>
          <w:tcPr>
            <w:tcW w:w="3827" w:type="dxa"/>
          </w:tcPr>
          <w:p>
            <w:pPr>
              <w:pStyle w:val="TableParagraph"/>
              <w:spacing w:before="2"/>
              <w:ind w:left="88" w:right="87"/>
              <w:jc w:val="center"/>
              <w:rPr>
                <w:b/>
                <w:sz w:val="26"/>
              </w:rPr>
            </w:pPr>
            <w:r>
              <w:rPr>
                <w:b/>
                <w:sz w:val="26"/>
              </w:rPr>
              <w:t>Diễn giải</w:t>
            </w:r>
          </w:p>
        </w:tc>
        <w:tc>
          <w:tcPr>
            <w:tcW w:w="3795" w:type="dxa"/>
          </w:tcPr>
          <w:p>
            <w:pPr>
              <w:pStyle w:val="TableParagraph"/>
              <w:spacing w:before="2"/>
              <w:ind w:left="1436" w:right="1434"/>
              <w:jc w:val="center"/>
              <w:rPr>
                <w:b/>
                <w:sz w:val="26"/>
              </w:rPr>
            </w:pPr>
            <w:r>
              <w:rPr>
                <w:b/>
                <w:sz w:val="26"/>
              </w:rPr>
              <w:t>Ý nghĩa</w:t>
            </w:r>
          </w:p>
        </w:tc>
      </w:tr>
      <w:tr>
        <w:trPr>
          <w:trHeight w:val="448" w:hRule="atLeast"/>
        </w:trPr>
        <w:tc>
          <w:tcPr>
            <w:tcW w:w="1385" w:type="dxa"/>
          </w:tcPr>
          <w:p>
            <w:pPr>
              <w:pStyle w:val="TableParagraph"/>
              <w:spacing w:before="2"/>
              <w:ind w:left="107"/>
              <w:rPr>
                <w:sz w:val="26"/>
              </w:rPr>
            </w:pPr>
            <w:r>
              <w:rPr>
                <w:sz w:val="26"/>
              </w:rPr>
              <w:t>AMOS</w:t>
            </w:r>
          </w:p>
        </w:tc>
        <w:tc>
          <w:tcPr>
            <w:tcW w:w="3827" w:type="dxa"/>
          </w:tcPr>
          <w:p>
            <w:pPr>
              <w:pStyle w:val="TableParagraph"/>
              <w:spacing w:before="2"/>
              <w:ind w:left="105"/>
              <w:rPr>
                <w:sz w:val="26"/>
              </w:rPr>
            </w:pPr>
            <w:r>
              <w:rPr>
                <w:sz w:val="26"/>
              </w:rPr>
              <w:t>Analysis Moment of Structures</w:t>
            </w:r>
          </w:p>
        </w:tc>
        <w:tc>
          <w:tcPr>
            <w:tcW w:w="3795" w:type="dxa"/>
          </w:tcPr>
          <w:p>
            <w:pPr>
              <w:pStyle w:val="TableParagraph"/>
              <w:spacing w:before="2"/>
              <w:ind w:left="107"/>
              <w:rPr>
                <w:sz w:val="26"/>
              </w:rPr>
            </w:pPr>
            <w:r>
              <w:rPr>
                <w:sz w:val="26"/>
              </w:rPr>
              <w:t>Phân tích cấu trúc mô măng</w:t>
            </w:r>
          </w:p>
        </w:tc>
      </w:tr>
      <w:tr>
        <w:trPr>
          <w:trHeight w:val="448" w:hRule="atLeast"/>
        </w:trPr>
        <w:tc>
          <w:tcPr>
            <w:tcW w:w="1385" w:type="dxa"/>
          </w:tcPr>
          <w:p>
            <w:pPr>
              <w:pStyle w:val="TableParagraph"/>
              <w:spacing w:before="2"/>
              <w:ind w:left="107"/>
              <w:rPr>
                <w:sz w:val="26"/>
              </w:rPr>
            </w:pPr>
            <w:r>
              <w:rPr>
                <w:sz w:val="26"/>
              </w:rPr>
              <w:t>CFA</w:t>
            </w:r>
          </w:p>
        </w:tc>
        <w:tc>
          <w:tcPr>
            <w:tcW w:w="3827" w:type="dxa"/>
          </w:tcPr>
          <w:p>
            <w:pPr>
              <w:pStyle w:val="TableParagraph"/>
              <w:spacing w:before="2"/>
              <w:ind w:left="105"/>
              <w:rPr>
                <w:sz w:val="26"/>
              </w:rPr>
            </w:pPr>
            <w:r>
              <w:rPr>
                <w:sz w:val="26"/>
              </w:rPr>
              <w:t>Confirmatory Factor Analysis</w:t>
            </w:r>
          </w:p>
        </w:tc>
        <w:tc>
          <w:tcPr>
            <w:tcW w:w="3795" w:type="dxa"/>
          </w:tcPr>
          <w:p>
            <w:pPr>
              <w:pStyle w:val="TableParagraph"/>
              <w:spacing w:before="2"/>
              <w:ind w:left="107"/>
              <w:rPr>
                <w:sz w:val="26"/>
              </w:rPr>
            </w:pPr>
            <w:r>
              <w:rPr>
                <w:sz w:val="26"/>
              </w:rPr>
              <w:t>Phân tích nhân tố khẳng định</w:t>
            </w:r>
          </w:p>
        </w:tc>
      </w:tr>
      <w:tr>
        <w:trPr>
          <w:trHeight w:val="448" w:hRule="atLeast"/>
        </w:trPr>
        <w:tc>
          <w:tcPr>
            <w:tcW w:w="1385" w:type="dxa"/>
          </w:tcPr>
          <w:p>
            <w:pPr>
              <w:pStyle w:val="TableParagraph"/>
              <w:spacing w:before="2"/>
              <w:ind w:left="107"/>
              <w:rPr>
                <w:sz w:val="26"/>
              </w:rPr>
            </w:pPr>
            <w:r>
              <w:rPr>
                <w:sz w:val="26"/>
              </w:rPr>
              <w:t>CMIT</w:t>
            </w:r>
          </w:p>
        </w:tc>
        <w:tc>
          <w:tcPr>
            <w:tcW w:w="3827" w:type="dxa"/>
          </w:tcPr>
          <w:p>
            <w:pPr>
              <w:pStyle w:val="TableParagraph"/>
              <w:spacing w:before="2"/>
              <w:ind w:left="105"/>
              <w:rPr>
                <w:sz w:val="26"/>
              </w:rPr>
            </w:pPr>
            <w:r>
              <w:rPr>
                <w:sz w:val="26"/>
              </w:rPr>
              <w:t>Cai Mep International Terminal</w:t>
            </w:r>
          </w:p>
        </w:tc>
        <w:tc>
          <w:tcPr>
            <w:tcW w:w="3795" w:type="dxa"/>
          </w:tcPr>
          <w:p>
            <w:pPr>
              <w:pStyle w:val="TableParagraph"/>
              <w:spacing w:before="2"/>
              <w:ind w:left="107"/>
              <w:rPr>
                <w:sz w:val="24"/>
              </w:rPr>
            </w:pPr>
            <w:r>
              <w:rPr>
                <w:sz w:val="26"/>
              </w:rPr>
              <w:t>C</w:t>
            </w:r>
            <w:r>
              <w:rPr>
                <w:sz w:val="24"/>
              </w:rPr>
              <w:t>ảng container quốc tế Cái Mép</w:t>
            </w:r>
          </w:p>
        </w:tc>
      </w:tr>
      <w:tr>
        <w:trPr>
          <w:trHeight w:val="448" w:hRule="atLeast"/>
        </w:trPr>
        <w:tc>
          <w:tcPr>
            <w:tcW w:w="1385" w:type="dxa"/>
          </w:tcPr>
          <w:p>
            <w:pPr>
              <w:pStyle w:val="TableParagraph"/>
              <w:spacing w:before="2"/>
              <w:ind w:left="107"/>
              <w:rPr>
                <w:sz w:val="26"/>
              </w:rPr>
            </w:pPr>
            <w:r>
              <w:rPr>
                <w:sz w:val="26"/>
              </w:rPr>
              <w:t>CFS</w:t>
            </w:r>
          </w:p>
        </w:tc>
        <w:tc>
          <w:tcPr>
            <w:tcW w:w="3827" w:type="dxa"/>
          </w:tcPr>
          <w:p>
            <w:pPr>
              <w:pStyle w:val="TableParagraph"/>
              <w:spacing w:before="2"/>
              <w:ind w:left="105"/>
              <w:rPr>
                <w:sz w:val="26"/>
              </w:rPr>
            </w:pPr>
            <w:r>
              <w:rPr>
                <w:sz w:val="26"/>
              </w:rPr>
              <w:t>Container Freight Station</w:t>
            </w:r>
          </w:p>
        </w:tc>
        <w:tc>
          <w:tcPr>
            <w:tcW w:w="3795" w:type="dxa"/>
          </w:tcPr>
          <w:p>
            <w:pPr>
              <w:pStyle w:val="TableParagraph"/>
              <w:spacing w:before="2"/>
              <w:ind w:left="107"/>
              <w:rPr>
                <w:sz w:val="26"/>
              </w:rPr>
            </w:pPr>
            <w:r>
              <w:rPr>
                <w:sz w:val="26"/>
              </w:rPr>
              <w:t>Trạm gửi hàng lẻ</w:t>
            </w:r>
          </w:p>
        </w:tc>
      </w:tr>
      <w:tr>
        <w:trPr>
          <w:trHeight w:val="448" w:hRule="atLeast"/>
        </w:trPr>
        <w:tc>
          <w:tcPr>
            <w:tcW w:w="1385" w:type="dxa"/>
          </w:tcPr>
          <w:p>
            <w:pPr>
              <w:pStyle w:val="TableParagraph"/>
              <w:spacing w:before="2"/>
              <w:ind w:left="107"/>
              <w:rPr>
                <w:sz w:val="26"/>
              </w:rPr>
            </w:pPr>
            <w:r>
              <w:rPr>
                <w:sz w:val="26"/>
              </w:rPr>
              <w:t>CFI</w:t>
            </w:r>
          </w:p>
        </w:tc>
        <w:tc>
          <w:tcPr>
            <w:tcW w:w="3827" w:type="dxa"/>
          </w:tcPr>
          <w:p>
            <w:pPr>
              <w:pStyle w:val="TableParagraph"/>
              <w:spacing w:before="2"/>
              <w:ind w:left="105"/>
              <w:rPr>
                <w:sz w:val="26"/>
              </w:rPr>
            </w:pPr>
            <w:r>
              <w:rPr>
                <w:sz w:val="26"/>
              </w:rPr>
              <w:t>Comparatrive Fit Index</w:t>
            </w:r>
          </w:p>
        </w:tc>
        <w:tc>
          <w:tcPr>
            <w:tcW w:w="3795" w:type="dxa"/>
          </w:tcPr>
          <w:p>
            <w:pPr>
              <w:pStyle w:val="TableParagraph"/>
              <w:spacing w:before="2"/>
              <w:ind w:left="107"/>
              <w:rPr>
                <w:sz w:val="26"/>
              </w:rPr>
            </w:pPr>
            <w:r>
              <w:rPr>
                <w:sz w:val="26"/>
              </w:rPr>
              <w:t>Chỉ số thích hợp so sánh</w:t>
            </w:r>
          </w:p>
        </w:tc>
      </w:tr>
      <w:tr>
        <w:trPr>
          <w:trHeight w:val="448" w:hRule="atLeast"/>
        </w:trPr>
        <w:tc>
          <w:tcPr>
            <w:tcW w:w="1385" w:type="dxa"/>
          </w:tcPr>
          <w:p>
            <w:pPr>
              <w:pStyle w:val="TableParagraph"/>
              <w:spacing w:before="2"/>
              <w:ind w:left="107"/>
              <w:rPr>
                <w:sz w:val="26"/>
              </w:rPr>
            </w:pPr>
            <w:r>
              <w:rPr>
                <w:sz w:val="26"/>
              </w:rPr>
              <w:t>LTCT</w:t>
            </w:r>
          </w:p>
        </w:tc>
        <w:tc>
          <w:tcPr>
            <w:tcW w:w="3827" w:type="dxa"/>
          </w:tcPr>
          <w:p>
            <w:pPr>
              <w:pStyle w:val="TableParagraph"/>
              <w:spacing w:before="2"/>
              <w:ind w:left="105"/>
              <w:rPr>
                <w:sz w:val="26"/>
              </w:rPr>
            </w:pPr>
            <w:r>
              <w:rPr>
                <w:sz w:val="26"/>
              </w:rPr>
              <w:t>Lợi Thế Cạnh Tranh</w:t>
            </w:r>
          </w:p>
        </w:tc>
        <w:tc>
          <w:tcPr>
            <w:tcW w:w="3795" w:type="dxa"/>
          </w:tcPr>
          <w:p>
            <w:pPr>
              <w:pStyle w:val="TableParagraph"/>
              <w:spacing w:before="2"/>
              <w:ind w:left="107"/>
              <w:rPr>
                <w:sz w:val="26"/>
              </w:rPr>
            </w:pPr>
            <w:r>
              <w:rPr>
                <w:sz w:val="26"/>
              </w:rPr>
              <w:t>Lợi thế cạnh tranh</w:t>
            </w:r>
          </w:p>
        </w:tc>
      </w:tr>
      <w:tr>
        <w:trPr>
          <w:trHeight w:val="448" w:hRule="atLeast"/>
        </w:trPr>
        <w:tc>
          <w:tcPr>
            <w:tcW w:w="1385" w:type="dxa"/>
          </w:tcPr>
          <w:p>
            <w:pPr>
              <w:pStyle w:val="TableParagraph"/>
              <w:spacing w:before="2"/>
              <w:ind w:left="107"/>
              <w:rPr>
                <w:sz w:val="26"/>
              </w:rPr>
            </w:pPr>
            <w:r>
              <w:rPr>
                <w:sz w:val="26"/>
              </w:rPr>
              <w:t>DEA</w:t>
            </w:r>
          </w:p>
        </w:tc>
        <w:tc>
          <w:tcPr>
            <w:tcW w:w="3827" w:type="dxa"/>
          </w:tcPr>
          <w:p>
            <w:pPr>
              <w:pStyle w:val="TableParagraph"/>
              <w:spacing w:before="2"/>
              <w:ind w:left="105"/>
              <w:rPr>
                <w:sz w:val="26"/>
              </w:rPr>
            </w:pPr>
            <w:r>
              <w:rPr>
                <w:sz w:val="26"/>
              </w:rPr>
              <w:t>Data Envelopment Analysis</w:t>
            </w:r>
          </w:p>
        </w:tc>
        <w:tc>
          <w:tcPr>
            <w:tcW w:w="3795" w:type="dxa"/>
          </w:tcPr>
          <w:p>
            <w:pPr>
              <w:pStyle w:val="TableParagraph"/>
              <w:spacing w:before="2"/>
              <w:ind w:left="107"/>
              <w:rPr>
                <w:sz w:val="26"/>
              </w:rPr>
            </w:pPr>
            <w:r>
              <w:rPr>
                <w:sz w:val="26"/>
              </w:rPr>
              <w:t>Phương pháp mô hình bao số liệu</w:t>
            </w:r>
          </w:p>
        </w:tc>
      </w:tr>
      <w:tr>
        <w:trPr>
          <w:trHeight w:val="448" w:hRule="atLeast"/>
        </w:trPr>
        <w:tc>
          <w:tcPr>
            <w:tcW w:w="1385" w:type="dxa"/>
          </w:tcPr>
          <w:p>
            <w:pPr>
              <w:pStyle w:val="TableParagraph"/>
              <w:spacing w:before="2"/>
              <w:ind w:left="107"/>
              <w:rPr>
                <w:sz w:val="26"/>
              </w:rPr>
            </w:pPr>
            <w:r>
              <w:rPr>
                <w:sz w:val="26"/>
              </w:rPr>
              <w:t>DWT</w:t>
            </w:r>
          </w:p>
        </w:tc>
        <w:tc>
          <w:tcPr>
            <w:tcW w:w="3827" w:type="dxa"/>
          </w:tcPr>
          <w:p>
            <w:pPr>
              <w:pStyle w:val="TableParagraph"/>
              <w:spacing w:before="2"/>
              <w:ind w:left="105"/>
              <w:rPr>
                <w:sz w:val="26"/>
              </w:rPr>
            </w:pPr>
            <w:r>
              <w:rPr>
                <w:sz w:val="26"/>
              </w:rPr>
              <w:t>Dead Weight Tonnage</w:t>
            </w:r>
          </w:p>
        </w:tc>
        <w:tc>
          <w:tcPr>
            <w:tcW w:w="3795" w:type="dxa"/>
          </w:tcPr>
          <w:p>
            <w:pPr>
              <w:pStyle w:val="TableParagraph"/>
              <w:spacing w:before="2"/>
              <w:ind w:left="107"/>
              <w:rPr>
                <w:sz w:val="26"/>
              </w:rPr>
            </w:pPr>
            <w:r>
              <w:rPr>
                <w:sz w:val="26"/>
              </w:rPr>
              <w:t>Tấn trọng tải chết</w:t>
            </w:r>
          </w:p>
        </w:tc>
      </w:tr>
      <w:tr>
        <w:trPr>
          <w:trHeight w:val="448" w:hRule="atLeast"/>
        </w:trPr>
        <w:tc>
          <w:tcPr>
            <w:tcW w:w="1385" w:type="dxa"/>
          </w:tcPr>
          <w:p>
            <w:pPr>
              <w:pStyle w:val="TableParagraph"/>
              <w:spacing w:before="2"/>
              <w:ind w:left="107"/>
              <w:rPr>
                <w:sz w:val="26"/>
              </w:rPr>
            </w:pPr>
            <w:r>
              <w:rPr>
                <w:sz w:val="26"/>
              </w:rPr>
              <w:t>EFA</w:t>
            </w:r>
          </w:p>
        </w:tc>
        <w:tc>
          <w:tcPr>
            <w:tcW w:w="3827" w:type="dxa"/>
          </w:tcPr>
          <w:p>
            <w:pPr>
              <w:pStyle w:val="TableParagraph"/>
              <w:spacing w:before="2"/>
              <w:ind w:left="105"/>
              <w:rPr>
                <w:sz w:val="26"/>
              </w:rPr>
            </w:pPr>
            <w:r>
              <w:rPr>
                <w:sz w:val="26"/>
              </w:rPr>
              <w:t>Exploratory Factor Analysis</w:t>
            </w:r>
          </w:p>
        </w:tc>
        <w:tc>
          <w:tcPr>
            <w:tcW w:w="3795" w:type="dxa"/>
          </w:tcPr>
          <w:p>
            <w:pPr>
              <w:pStyle w:val="TableParagraph"/>
              <w:spacing w:before="2"/>
              <w:ind w:left="107"/>
              <w:rPr>
                <w:sz w:val="26"/>
              </w:rPr>
            </w:pPr>
            <w:r>
              <w:rPr>
                <w:sz w:val="26"/>
              </w:rPr>
              <w:t>Phân tích nhân tố khám phá</w:t>
            </w:r>
          </w:p>
        </w:tc>
      </w:tr>
      <w:tr>
        <w:trPr>
          <w:trHeight w:val="448" w:hRule="atLeast"/>
        </w:trPr>
        <w:tc>
          <w:tcPr>
            <w:tcW w:w="1385" w:type="dxa"/>
          </w:tcPr>
          <w:p>
            <w:pPr>
              <w:pStyle w:val="TableParagraph"/>
              <w:spacing w:before="2"/>
              <w:ind w:left="107"/>
              <w:rPr>
                <w:sz w:val="26"/>
              </w:rPr>
            </w:pPr>
            <w:r>
              <w:rPr>
                <w:sz w:val="26"/>
              </w:rPr>
              <w:t>GDP</w:t>
            </w:r>
          </w:p>
        </w:tc>
        <w:tc>
          <w:tcPr>
            <w:tcW w:w="3827" w:type="dxa"/>
          </w:tcPr>
          <w:p>
            <w:pPr>
              <w:pStyle w:val="TableParagraph"/>
              <w:spacing w:before="2"/>
              <w:ind w:left="105"/>
              <w:rPr>
                <w:sz w:val="26"/>
              </w:rPr>
            </w:pPr>
            <w:r>
              <w:rPr>
                <w:sz w:val="26"/>
              </w:rPr>
              <w:t>Gross Domestics Product</w:t>
            </w:r>
          </w:p>
        </w:tc>
        <w:tc>
          <w:tcPr>
            <w:tcW w:w="3795" w:type="dxa"/>
          </w:tcPr>
          <w:p>
            <w:pPr>
              <w:pStyle w:val="TableParagraph"/>
              <w:spacing w:before="2"/>
              <w:ind w:left="107"/>
              <w:rPr>
                <w:sz w:val="26"/>
              </w:rPr>
            </w:pPr>
            <w:r>
              <w:rPr>
                <w:sz w:val="26"/>
              </w:rPr>
              <w:t>Tổng sản phẩm quốc nội</w:t>
            </w:r>
          </w:p>
        </w:tc>
      </w:tr>
      <w:tr>
        <w:trPr>
          <w:trHeight w:val="448" w:hRule="atLeast"/>
        </w:trPr>
        <w:tc>
          <w:tcPr>
            <w:tcW w:w="1385" w:type="dxa"/>
          </w:tcPr>
          <w:p>
            <w:pPr>
              <w:pStyle w:val="TableParagraph"/>
              <w:spacing w:before="4"/>
              <w:ind w:left="107"/>
              <w:rPr>
                <w:sz w:val="26"/>
              </w:rPr>
            </w:pPr>
            <w:r>
              <w:rPr>
                <w:sz w:val="26"/>
              </w:rPr>
              <w:t>GRT</w:t>
            </w:r>
          </w:p>
        </w:tc>
        <w:tc>
          <w:tcPr>
            <w:tcW w:w="3827" w:type="dxa"/>
          </w:tcPr>
          <w:p>
            <w:pPr>
              <w:pStyle w:val="TableParagraph"/>
              <w:spacing w:before="4"/>
              <w:ind w:left="105"/>
              <w:rPr>
                <w:sz w:val="26"/>
              </w:rPr>
            </w:pPr>
            <w:r>
              <w:rPr>
                <w:sz w:val="26"/>
              </w:rPr>
              <w:t>Gross Register Tonnage</w:t>
            </w:r>
          </w:p>
        </w:tc>
        <w:tc>
          <w:tcPr>
            <w:tcW w:w="3795" w:type="dxa"/>
          </w:tcPr>
          <w:p>
            <w:pPr>
              <w:pStyle w:val="TableParagraph"/>
              <w:spacing w:before="4"/>
              <w:ind w:left="107"/>
              <w:rPr>
                <w:sz w:val="26"/>
              </w:rPr>
            </w:pPr>
            <w:r>
              <w:rPr>
                <w:sz w:val="26"/>
              </w:rPr>
              <w:t>Tổng trọng tải đăng kiểm</w:t>
            </w:r>
          </w:p>
        </w:tc>
      </w:tr>
      <w:tr>
        <w:trPr>
          <w:trHeight w:val="448" w:hRule="atLeast"/>
        </w:trPr>
        <w:tc>
          <w:tcPr>
            <w:tcW w:w="1385" w:type="dxa"/>
          </w:tcPr>
          <w:p>
            <w:pPr>
              <w:pStyle w:val="TableParagraph"/>
              <w:spacing w:before="4"/>
              <w:ind w:left="107"/>
              <w:rPr>
                <w:sz w:val="26"/>
              </w:rPr>
            </w:pPr>
            <w:r>
              <w:rPr>
                <w:sz w:val="26"/>
              </w:rPr>
              <w:t>GFI</w:t>
            </w:r>
          </w:p>
        </w:tc>
        <w:tc>
          <w:tcPr>
            <w:tcW w:w="3827" w:type="dxa"/>
          </w:tcPr>
          <w:p>
            <w:pPr>
              <w:pStyle w:val="TableParagraph"/>
              <w:spacing w:before="4"/>
              <w:ind w:left="105"/>
              <w:rPr>
                <w:sz w:val="26"/>
              </w:rPr>
            </w:pPr>
            <w:r>
              <w:rPr>
                <w:sz w:val="26"/>
              </w:rPr>
              <w:t>Goodness of Fit Index</w:t>
            </w:r>
          </w:p>
        </w:tc>
        <w:tc>
          <w:tcPr>
            <w:tcW w:w="3795" w:type="dxa"/>
          </w:tcPr>
          <w:p>
            <w:pPr>
              <w:pStyle w:val="TableParagraph"/>
              <w:spacing w:before="4"/>
              <w:ind w:left="107"/>
              <w:rPr>
                <w:sz w:val="26"/>
              </w:rPr>
            </w:pPr>
            <w:r>
              <w:rPr>
                <w:sz w:val="26"/>
              </w:rPr>
              <w:t>Chỉ số thống kê trong phân tích</w:t>
            </w:r>
          </w:p>
        </w:tc>
      </w:tr>
      <w:tr>
        <w:trPr>
          <w:trHeight w:val="448" w:hRule="atLeast"/>
        </w:trPr>
        <w:tc>
          <w:tcPr>
            <w:tcW w:w="1385" w:type="dxa"/>
          </w:tcPr>
          <w:p>
            <w:pPr>
              <w:pStyle w:val="TableParagraph"/>
              <w:spacing w:before="4"/>
              <w:ind w:left="107"/>
              <w:rPr>
                <w:sz w:val="26"/>
              </w:rPr>
            </w:pPr>
            <w:r>
              <w:rPr>
                <w:sz w:val="26"/>
              </w:rPr>
              <w:t>HT</w:t>
            </w:r>
          </w:p>
        </w:tc>
        <w:tc>
          <w:tcPr>
            <w:tcW w:w="3827" w:type="dxa"/>
          </w:tcPr>
          <w:p>
            <w:pPr>
              <w:pStyle w:val="TableParagraph"/>
              <w:spacing w:before="4"/>
              <w:ind w:left="105"/>
              <w:rPr>
                <w:sz w:val="26"/>
              </w:rPr>
            </w:pPr>
            <w:r>
              <w:rPr>
                <w:sz w:val="26"/>
              </w:rPr>
              <w:t>Hạ tầng</w:t>
            </w:r>
          </w:p>
        </w:tc>
        <w:tc>
          <w:tcPr>
            <w:tcW w:w="3795" w:type="dxa"/>
          </w:tcPr>
          <w:p>
            <w:pPr>
              <w:pStyle w:val="TableParagraph"/>
              <w:spacing w:before="4"/>
              <w:ind w:left="107"/>
              <w:rPr>
                <w:sz w:val="26"/>
              </w:rPr>
            </w:pPr>
            <w:r>
              <w:rPr>
                <w:sz w:val="26"/>
              </w:rPr>
              <w:t>Hạ tầng</w:t>
            </w:r>
          </w:p>
        </w:tc>
      </w:tr>
      <w:tr>
        <w:trPr>
          <w:trHeight w:val="448" w:hRule="atLeast"/>
        </w:trPr>
        <w:tc>
          <w:tcPr>
            <w:tcW w:w="1385" w:type="dxa"/>
          </w:tcPr>
          <w:p>
            <w:pPr>
              <w:pStyle w:val="TableParagraph"/>
              <w:spacing w:before="4"/>
              <w:ind w:left="107"/>
              <w:rPr>
                <w:sz w:val="24"/>
              </w:rPr>
            </w:pPr>
            <w:r>
              <w:rPr>
                <w:sz w:val="26"/>
              </w:rPr>
              <w:t>H</w:t>
            </w:r>
            <w:r>
              <w:rPr>
                <w:sz w:val="24"/>
              </w:rPr>
              <w:t>L</w:t>
            </w:r>
          </w:p>
        </w:tc>
        <w:tc>
          <w:tcPr>
            <w:tcW w:w="3827" w:type="dxa"/>
          </w:tcPr>
          <w:p>
            <w:pPr>
              <w:pStyle w:val="TableParagraph"/>
              <w:spacing w:before="4"/>
              <w:ind w:left="105"/>
              <w:rPr>
                <w:sz w:val="26"/>
              </w:rPr>
            </w:pPr>
            <w:r>
              <w:rPr>
                <w:sz w:val="26"/>
              </w:rPr>
              <w:t>Hài lòng</w:t>
            </w:r>
          </w:p>
        </w:tc>
        <w:tc>
          <w:tcPr>
            <w:tcW w:w="3795" w:type="dxa"/>
          </w:tcPr>
          <w:p>
            <w:pPr>
              <w:pStyle w:val="TableParagraph"/>
              <w:spacing w:before="4"/>
              <w:ind w:left="107"/>
              <w:rPr>
                <w:sz w:val="26"/>
              </w:rPr>
            </w:pPr>
            <w:r>
              <w:rPr>
                <w:sz w:val="26"/>
              </w:rPr>
              <w:t>Hài lòng</w:t>
            </w:r>
          </w:p>
        </w:tc>
      </w:tr>
      <w:tr>
        <w:trPr>
          <w:trHeight w:val="448" w:hRule="atLeast"/>
        </w:trPr>
        <w:tc>
          <w:tcPr>
            <w:tcW w:w="1385" w:type="dxa"/>
          </w:tcPr>
          <w:p>
            <w:pPr>
              <w:pStyle w:val="TableParagraph"/>
              <w:spacing w:before="4"/>
              <w:ind w:left="107"/>
              <w:rPr>
                <w:sz w:val="26"/>
              </w:rPr>
            </w:pPr>
            <w:r>
              <w:rPr>
                <w:sz w:val="26"/>
              </w:rPr>
              <w:t>LI</w:t>
            </w:r>
          </w:p>
        </w:tc>
        <w:tc>
          <w:tcPr>
            <w:tcW w:w="3827" w:type="dxa"/>
          </w:tcPr>
          <w:p>
            <w:pPr>
              <w:pStyle w:val="TableParagraph"/>
              <w:spacing w:before="4"/>
              <w:ind w:left="105"/>
              <w:rPr>
                <w:sz w:val="26"/>
              </w:rPr>
            </w:pPr>
            <w:r>
              <w:rPr>
                <w:sz w:val="26"/>
              </w:rPr>
              <w:t>Lợi ích</w:t>
            </w:r>
          </w:p>
        </w:tc>
        <w:tc>
          <w:tcPr>
            <w:tcW w:w="3795" w:type="dxa"/>
          </w:tcPr>
          <w:p>
            <w:pPr>
              <w:pStyle w:val="TableParagraph"/>
              <w:spacing w:before="4"/>
              <w:ind w:left="107"/>
              <w:rPr>
                <w:sz w:val="26"/>
              </w:rPr>
            </w:pPr>
            <w:r>
              <w:rPr>
                <w:sz w:val="26"/>
              </w:rPr>
              <w:t>Lợi ích</w:t>
            </w:r>
          </w:p>
        </w:tc>
      </w:tr>
      <w:tr>
        <w:trPr>
          <w:trHeight w:val="450" w:hRule="atLeast"/>
        </w:trPr>
        <w:tc>
          <w:tcPr>
            <w:tcW w:w="1385" w:type="dxa"/>
          </w:tcPr>
          <w:p>
            <w:pPr>
              <w:pStyle w:val="TableParagraph"/>
              <w:spacing w:before="4"/>
              <w:ind w:left="107"/>
              <w:rPr>
                <w:sz w:val="26"/>
              </w:rPr>
            </w:pPr>
            <w:r>
              <w:rPr>
                <w:sz w:val="26"/>
              </w:rPr>
              <w:t>Hieuqua</w:t>
            </w:r>
          </w:p>
        </w:tc>
        <w:tc>
          <w:tcPr>
            <w:tcW w:w="3827" w:type="dxa"/>
          </w:tcPr>
          <w:p>
            <w:pPr>
              <w:pStyle w:val="TableParagraph"/>
              <w:spacing w:before="4"/>
              <w:ind w:left="105"/>
              <w:rPr>
                <w:sz w:val="26"/>
              </w:rPr>
            </w:pPr>
            <w:r>
              <w:rPr>
                <w:sz w:val="26"/>
              </w:rPr>
              <w:t>Hiệu quả</w:t>
            </w:r>
          </w:p>
        </w:tc>
        <w:tc>
          <w:tcPr>
            <w:tcW w:w="3795" w:type="dxa"/>
          </w:tcPr>
          <w:p>
            <w:pPr>
              <w:pStyle w:val="TableParagraph"/>
              <w:spacing w:before="4"/>
              <w:ind w:left="107"/>
              <w:rPr>
                <w:sz w:val="26"/>
              </w:rPr>
            </w:pPr>
            <w:r>
              <w:rPr>
                <w:sz w:val="26"/>
              </w:rPr>
              <w:t>Hiệu quả</w:t>
            </w:r>
          </w:p>
        </w:tc>
      </w:tr>
      <w:tr>
        <w:trPr>
          <w:trHeight w:val="448" w:hRule="atLeast"/>
        </w:trPr>
        <w:tc>
          <w:tcPr>
            <w:tcW w:w="1385" w:type="dxa"/>
          </w:tcPr>
          <w:p>
            <w:pPr>
              <w:pStyle w:val="TableParagraph"/>
              <w:spacing w:before="2"/>
              <w:ind w:left="107"/>
              <w:rPr>
                <w:sz w:val="26"/>
              </w:rPr>
            </w:pPr>
            <w:r>
              <w:rPr>
                <w:sz w:val="26"/>
              </w:rPr>
              <w:t>ICD</w:t>
            </w:r>
          </w:p>
        </w:tc>
        <w:tc>
          <w:tcPr>
            <w:tcW w:w="3827" w:type="dxa"/>
          </w:tcPr>
          <w:p>
            <w:pPr>
              <w:pStyle w:val="TableParagraph"/>
              <w:spacing w:before="2"/>
              <w:ind w:left="105"/>
              <w:rPr>
                <w:sz w:val="26"/>
              </w:rPr>
            </w:pPr>
            <w:r>
              <w:rPr>
                <w:sz w:val="26"/>
              </w:rPr>
              <w:t>Inland Clearance Depot</w:t>
            </w:r>
          </w:p>
        </w:tc>
        <w:tc>
          <w:tcPr>
            <w:tcW w:w="3795" w:type="dxa"/>
          </w:tcPr>
          <w:p>
            <w:pPr>
              <w:pStyle w:val="TableParagraph"/>
              <w:spacing w:before="2"/>
              <w:ind w:left="107"/>
              <w:rPr>
                <w:sz w:val="26"/>
              </w:rPr>
            </w:pPr>
            <w:r>
              <w:rPr>
                <w:sz w:val="26"/>
              </w:rPr>
              <w:t>Điểm thông quan nội địa</w:t>
            </w:r>
          </w:p>
        </w:tc>
      </w:tr>
      <w:tr>
        <w:trPr>
          <w:trHeight w:val="448" w:hRule="atLeast"/>
        </w:trPr>
        <w:tc>
          <w:tcPr>
            <w:tcW w:w="1385" w:type="dxa"/>
          </w:tcPr>
          <w:p>
            <w:pPr>
              <w:pStyle w:val="TableParagraph"/>
              <w:spacing w:before="2"/>
              <w:ind w:left="107"/>
              <w:rPr>
                <w:sz w:val="26"/>
              </w:rPr>
            </w:pPr>
            <w:r>
              <w:rPr>
                <w:sz w:val="26"/>
              </w:rPr>
              <w:t>KMO</w:t>
            </w:r>
          </w:p>
        </w:tc>
        <w:tc>
          <w:tcPr>
            <w:tcW w:w="3827" w:type="dxa"/>
          </w:tcPr>
          <w:p>
            <w:pPr>
              <w:pStyle w:val="TableParagraph"/>
              <w:spacing w:before="2"/>
              <w:ind w:left="105"/>
              <w:rPr>
                <w:sz w:val="26"/>
              </w:rPr>
            </w:pPr>
            <w:r>
              <w:rPr>
                <w:sz w:val="26"/>
              </w:rPr>
              <w:t>Kaiser-Meyer-Olkin</w:t>
            </w:r>
          </w:p>
        </w:tc>
        <w:tc>
          <w:tcPr>
            <w:tcW w:w="3795" w:type="dxa"/>
          </w:tcPr>
          <w:p>
            <w:pPr>
              <w:pStyle w:val="TableParagraph"/>
              <w:spacing w:before="2"/>
              <w:ind w:left="107"/>
              <w:rPr>
                <w:sz w:val="26"/>
              </w:rPr>
            </w:pPr>
            <w:r>
              <w:rPr>
                <w:sz w:val="26"/>
              </w:rPr>
              <w:t>Chỉ số kiểm định</w:t>
            </w:r>
          </w:p>
        </w:tc>
      </w:tr>
      <w:tr>
        <w:trPr>
          <w:trHeight w:val="470" w:hRule="atLeast"/>
        </w:trPr>
        <w:tc>
          <w:tcPr>
            <w:tcW w:w="1385" w:type="dxa"/>
          </w:tcPr>
          <w:p>
            <w:pPr>
              <w:pStyle w:val="TableParagraph"/>
              <w:spacing w:before="2"/>
              <w:ind w:left="107"/>
              <w:rPr>
                <w:sz w:val="26"/>
              </w:rPr>
            </w:pPr>
            <w:r>
              <w:rPr>
                <w:sz w:val="26"/>
              </w:rPr>
              <w:t>CP</w:t>
            </w:r>
          </w:p>
        </w:tc>
        <w:tc>
          <w:tcPr>
            <w:tcW w:w="3827" w:type="dxa"/>
          </w:tcPr>
          <w:p>
            <w:pPr>
              <w:pStyle w:val="TableParagraph"/>
              <w:spacing w:before="16"/>
              <w:ind w:left="105"/>
              <w:rPr>
                <w:sz w:val="24"/>
              </w:rPr>
            </w:pPr>
            <w:r>
              <w:rPr>
                <w:sz w:val="26"/>
              </w:rPr>
              <w:t>C</w:t>
            </w:r>
            <w:r>
              <w:rPr>
                <w:sz w:val="24"/>
              </w:rPr>
              <w:t>hi phí</w:t>
            </w:r>
          </w:p>
        </w:tc>
        <w:tc>
          <w:tcPr>
            <w:tcW w:w="3795" w:type="dxa"/>
          </w:tcPr>
          <w:p>
            <w:pPr>
              <w:pStyle w:val="TableParagraph"/>
              <w:spacing w:before="35"/>
              <w:ind w:left="107"/>
              <w:rPr>
                <w:sz w:val="24"/>
              </w:rPr>
            </w:pPr>
            <w:r>
              <w:rPr>
                <w:sz w:val="24"/>
              </w:rPr>
              <w:t>Chi phí</w:t>
            </w:r>
          </w:p>
        </w:tc>
      </w:tr>
      <w:tr>
        <w:trPr>
          <w:trHeight w:val="448" w:hRule="atLeast"/>
        </w:trPr>
        <w:tc>
          <w:tcPr>
            <w:tcW w:w="1385" w:type="dxa"/>
          </w:tcPr>
          <w:p>
            <w:pPr>
              <w:pStyle w:val="TableParagraph"/>
              <w:spacing w:before="2"/>
              <w:ind w:left="107"/>
              <w:rPr>
                <w:sz w:val="26"/>
              </w:rPr>
            </w:pPr>
            <w:r>
              <w:rPr>
                <w:sz w:val="26"/>
              </w:rPr>
              <w:t>CLDV</w:t>
            </w:r>
          </w:p>
        </w:tc>
        <w:tc>
          <w:tcPr>
            <w:tcW w:w="3827" w:type="dxa"/>
          </w:tcPr>
          <w:p>
            <w:pPr>
              <w:pStyle w:val="TableParagraph"/>
              <w:spacing w:before="2"/>
              <w:ind w:left="105"/>
              <w:rPr>
                <w:sz w:val="26"/>
              </w:rPr>
            </w:pPr>
            <w:r>
              <w:rPr>
                <w:sz w:val="26"/>
              </w:rPr>
              <w:t>Chất lượng dịch vụ</w:t>
            </w:r>
          </w:p>
        </w:tc>
        <w:tc>
          <w:tcPr>
            <w:tcW w:w="3795" w:type="dxa"/>
          </w:tcPr>
          <w:p>
            <w:pPr>
              <w:pStyle w:val="TableParagraph"/>
              <w:spacing w:before="2"/>
              <w:ind w:left="107"/>
              <w:rPr>
                <w:sz w:val="26"/>
              </w:rPr>
            </w:pPr>
            <w:r>
              <w:rPr>
                <w:sz w:val="26"/>
              </w:rPr>
              <w:t>Chất lượng dịch vụ</w:t>
            </w:r>
          </w:p>
        </w:tc>
      </w:tr>
      <w:tr>
        <w:trPr>
          <w:trHeight w:val="448" w:hRule="atLeast"/>
        </w:trPr>
        <w:tc>
          <w:tcPr>
            <w:tcW w:w="1385" w:type="dxa"/>
          </w:tcPr>
          <w:p>
            <w:pPr>
              <w:pStyle w:val="TableParagraph"/>
              <w:spacing w:before="2"/>
              <w:ind w:left="107"/>
              <w:rPr>
                <w:sz w:val="26"/>
              </w:rPr>
            </w:pPr>
            <w:r>
              <w:rPr>
                <w:sz w:val="26"/>
              </w:rPr>
              <w:t>NRT</w:t>
            </w:r>
          </w:p>
        </w:tc>
        <w:tc>
          <w:tcPr>
            <w:tcW w:w="3827" w:type="dxa"/>
          </w:tcPr>
          <w:p>
            <w:pPr>
              <w:pStyle w:val="TableParagraph"/>
              <w:spacing w:before="2"/>
              <w:ind w:left="105"/>
              <w:rPr>
                <w:sz w:val="26"/>
              </w:rPr>
            </w:pPr>
            <w:r>
              <w:rPr>
                <w:sz w:val="26"/>
              </w:rPr>
              <w:t>Net Register Tonnage</w:t>
            </w:r>
          </w:p>
        </w:tc>
        <w:tc>
          <w:tcPr>
            <w:tcW w:w="3795" w:type="dxa"/>
          </w:tcPr>
          <w:p>
            <w:pPr>
              <w:pStyle w:val="TableParagraph"/>
              <w:spacing w:before="2"/>
              <w:ind w:left="107"/>
              <w:rPr>
                <w:sz w:val="26"/>
              </w:rPr>
            </w:pPr>
            <w:r>
              <w:rPr>
                <w:sz w:val="26"/>
              </w:rPr>
              <w:t>Trọng tải đăng kiểm tịnh</w:t>
            </w:r>
          </w:p>
        </w:tc>
      </w:tr>
      <w:tr>
        <w:trPr>
          <w:trHeight w:val="448" w:hRule="atLeast"/>
        </w:trPr>
        <w:tc>
          <w:tcPr>
            <w:tcW w:w="1385" w:type="dxa"/>
          </w:tcPr>
          <w:p>
            <w:pPr>
              <w:pStyle w:val="TableParagraph"/>
              <w:spacing w:before="2"/>
              <w:ind w:left="107"/>
              <w:rPr>
                <w:sz w:val="26"/>
              </w:rPr>
            </w:pPr>
            <w:r>
              <w:rPr>
                <w:sz w:val="26"/>
              </w:rPr>
              <w:t>TC</w:t>
            </w:r>
          </w:p>
        </w:tc>
        <w:tc>
          <w:tcPr>
            <w:tcW w:w="3827" w:type="dxa"/>
          </w:tcPr>
          <w:p>
            <w:pPr>
              <w:pStyle w:val="TableParagraph"/>
              <w:spacing w:before="2"/>
              <w:ind w:left="105"/>
              <w:rPr>
                <w:sz w:val="26"/>
              </w:rPr>
            </w:pPr>
            <w:r>
              <w:rPr>
                <w:sz w:val="26"/>
              </w:rPr>
              <w:t>Tin cậy</w:t>
            </w:r>
          </w:p>
        </w:tc>
        <w:tc>
          <w:tcPr>
            <w:tcW w:w="3795" w:type="dxa"/>
          </w:tcPr>
          <w:p>
            <w:pPr>
              <w:pStyle w:val="TableParagraph"/>
              <w:spacing w:before="2"/>
              <w:ind w:left="107"/>
              <w:rPr>
                <w:sz w:val="26"/>
              </w:rPr>
            </w:pPr>
            <w:r>
              <w:rPr>
                <w:sz w:val="26"/>
              </w:rPr>
              <w:t>Tin cậy</w:t>
            </w:r>
          </w:p>
        </w:tc>
      </w:tr>
      <w:tr>
        <w:trPr>
          <w:trHeight w:val="449" w:hRule="atLeast"/>
        </w:trPr>
        <w:tc>
          <w:tcPr>
            <w:tcW w:w="1385" w:type="dxa"/>
          </w:tcPr>
          <w:p>
            <w:pPr>
              <w:pStyle w:val="TableParagraph"/>
              <w:spacing w:before="2"/>
              <w:ind w:left="107"/>
              <w:rPr>
                <w:sz w:val="26"/>
              </w:rPr>
            </w:pPr>
            <w:r>
              <w:rPr>
                <w:sz w:val="26"/>
              </w:rPr>
              <w:t>ND</w:t>
            </w:r>
          </w:p>
        </w:tc>
        <w:tc>
          <w:tcPr>
            <w:tcW w:w="3827" w:type="dxa"/>
          </w:tcPr>
          <w:p>
            <w:pPr>
              <w:pStyle w:val="TableParagraph"/>
              <w:spacing w:before="2"/>
              <w:ind w:left="105"/>
              <w:rPr>
                <w:sz w:val="26"/>
              </w:rPr>
            </w:pPr>
            <w:r>
              <w:rPr>
                <w:sz w:val="26"/>
              </w:rPr>
              <w:t>Nội địa</w:t>
            </w:r>
          </w:p>
        </w:tc>
        <w:tc>
          <w:tcPr>
            <w:tcW w:w="3795" w:type="dxa"/>
          </w:tcPr>
          <w:p>
            <w:pPr>
              <w:pStyle w:val="TableParagraph"/>
              <w:spacing w:before="2"/>
              <w:ind w:left="107"/>
              <w:rPr>
                <w:sz w:val="26"/>
              </w:rPr>
            </w:pPr>
            <w:r>
              <w:rPr>
                <w:sz w:val="26"/>
              </w:rPr>
              <w:t>Nội địa</w:t>
            </w:r>
          </w:p>
        </w:tc>
      </w:tr>
      <w:tr>
        <w:trPr>
          <w:trHeight w:val="448" w:hRule="atLeast"/>
        </w:trPr>
        <w:tc>
          <w:tcPr>
            <w:tcW w:w="1385" w:type="dxa"/>
          </w:tcPr>
          <w:p>
            <w:pPr>
              <w:pStyle w:val="TableParagraph"/>
              <w:spacing w:before="2"/>
              <w:ind w:left="107"/>
              <w:rPr>
                <w:sz w:val="26"/>
              </w:rPr>
            </w:pPr>
            <w:r>
              <w:rPr>
                <w:sz w:val="26"/>
              </w:rPr>
              <w:t>MTMM</w:t>
            </w:r>
          </w:p>
        </w:tc>
        <w:tc>
          <w:tcPr>
            <w:tcW w:w="3827" w:type="dxa"/>
          </w:tcPr>
          <w:p>
            <w:pPr>
              <w:pStyle w:val="TableParagraph"/>
              <w:spacing w:before="2"/>
              <w:ind w:left="105"/>
              <w:rPr>
                <w:sz w:val="26"/>
              </w:rPr>
            </w:pPr>
            <w:r>
              <w:rPr>
                <w:sz w:val="26"/>
              </w:rPr>
              <w:t>Multitrait –. Multimethod</w:t>
            </w:r>
          </w:p>
        </w:tc>
        <w:tc>
          <w:tcPr>
            <w:tcW w:w="3795" w:type="dxa"/>
          </w:tcPr>
          <w:p>
            <w:pPr>
              <w:pStyle w:val="TableParagraph"/>
              <w:spacing w:before="2"/>
              <w:ind w:left="107"/>
              <w:rPr>
                <w:sz w:val="26"/>
              </w:rPr>
            </w:pPr>
            <w:r>
              <w:rPr>
                <w:sz w:val="26"/>
              </w:rPr>
              <w:t>Đa khái niệm đa phương pháp</w:t>
            </w:r>
          </w:p>
        </w:tc>
      </w:tr>
      <w:tr>
        <w:trPr>
          <w:trHeight w:val="448" w:hRule="atLeast"/>
        </w:trPr>
        <w:tc>
          <w:tcPr>
            <w:tcW w:w="1385" w:type="dxa"/>
          </w:tcPr>
          <w:p>
            <w:pPr>
              <w:pStyle w:val="TableParagraph"/>
              <w:spacing w:before="2"/>
              <w:ind w:left="107"/>
              <w:rPr>
                <w:sz w:val="26"/>
              </w:rPr>
            </w:pPr>
            <w:r>
              <w:rPr>
                <w:sz w:val="26"/>
              </w:rPr>
              <w:t>ODA</w:t>
            </w:r>
          </w:p>
        </w:tc>
        <w:tc>
          <w:tcPr>
            <w:tcW w:w="3827" w:type="dxa"/>
          </w:tcPr>
          <w:p>
            <w:pPr>
              <w:pStyle w:val="TableParagraph"/>
              <w:spacing w:before="2"/>
              <w:ind w:left="105"/>
              <w:rPr>
                <w:sz w:val="26"/>
              </w:rPr>
            </w:pPr>
            <w:r>
              <w:rPr>
                <w:sz w:val="26"/>
              </w:rPr>
              <w:t>Official Development Assistance</w:t>
            </w:r>
          </w:p>
        </w:tc>
        <w:tc>
          <w:tcPr>
            <w:tcW w:w="3795" w:type="dxa"/>
          </w:tcPr>
          <w:p>
            <w:pPr>
              <w:pStyle w:val="TableParagraph"/>
              <w:spacing w:before="2"/>
              <w:ind w:left="107"/>
              <w:rPr>
                <w:sz w:val="26"/>
              </w:rPr>
            </w:pPr>
            <w:r>
              <w:rPr>
                <w:sz w:val="26"/>
              </w:rPr>
              <w:t>Hỗ trợ phát triển chính thức</w:t>
            </w:r>
          </w:p>
        </w:tc>
      </w:tr>
      <w:tr>
        <w:trPr>
          <w:trHeight w:val="448" w:hRule="atLeast"/>
        </w:trPr>
        <w:tc>
          <w:tcPr>
            <w:tcW w:w="1385" w:type="dxa"/>
          </w:tcPr>
          <w:p>
            <w:pPr>
              <w:pStyle w:val="TableParagraph"/>
              <w:spacing w:before="2"/>
              <w:ind w:left="107"/>
              <w:rPr>
                <w:sz w:val="26"/>
              </w:rPr>
            </w:pPr>
            <w:r>
              <w:rPr>
                <w:sz w:val="26"/>
              </w:rPr>
              <w:t>PAF</w:t>
            </w:r>
          </w:p>
        </w:tc>
        <w:tc>
          <w:tcPr>
            <w:tcW w:w="3827" w:type="dxa"/>
          </w:tcPr>
          <w:p>
            <w:pPr>
              <w:pStyle w:val="TableParagraph"/>
              <w:spacing w:before="2"/>
              <w:ind w:left="105"/>
              <w:rPr>
                <w:sz w:val="26"/>
              </w:rPr>
            </w:pPr>
            <w:r>
              <w:rPr>
                <w:sz w:val="26"/>
              </w:rPr>
              <w:t>Principal Axis Factoring</w:t>
            </w:r>
          </w:p>
        </w:tc>
        <w:tc>
          <w:tcPr>
            <w:tcW w:w="3795" w:type="dxa"/>
          </w:tcPr>
          <w:p>
            <w:pPr>
              <w:pStyle w:val="TableParagraph"/>
              <w:spacing w:before="2"/>
              <w:ind w:left="107"/>
              <w:rPr>
                <w:sz w:val="26"/>
              </w:rPr>
            </w:pPr>
            <w:r>
              <w:rPr>
                <w:sz w:val="26"/>
              </w:rPr>
              <w:t>Phương pháp trích nhân tố</w:t>
            </w:r>
          </w:p>
        </w:tc>
      </w:tr>
      <w:tr>
        <w:trPr>
          <w:trHeight w:val="448" w:hRule="atLeast"/>
        </w:trPr>
        <w:tc>
          <w:tcPr>
            <w:tcW w:w="1385" w:type="dxa"/>
          </w:tcPr>
          <w:p>
            <w:pPr>
              <w:pStyle w:val="TableParagraph"/>
              <w:spacing w:before="2"/>
              <w:ind w:left="107"/>
              <w:rPr>
                <w:sz w:val="26"/>
              </w:rPr>
            </w:pPr>
            <w:r>
              <w:rPr>
                <w:sz w:val="26"/>
              </w:rPr>
              <w:t>PCA</w:t>
            </w:r>
          </w:p>
        </w:tc>
        <w:tc>
          <w:tcPr>
            <w:tcW w:w="3827" w:type="dxa"/>
          </w:tcPr>
          <w:p>
            <w:pPr>
              <w:pStyle w:val="TableParagraph"/>
              <w:spacing w:before="2"/>
              <w:ind w:left="105"/>
              <w:rPr>
                <w:sz w:val="26"/>
              </w:rPr>
            </w:pPr>
            <w:r>
              <w:rPr>
                <w:sz w:val="26"/>
              </w:rPr>
              <w:t>Principal Component Analysis</w:t>
            </w:r>
          </w:p>
        </w:tc>
        <w:tc>
          <w:tcPr>
            <w:tcW w:w="3795" w:type="dxa"/>
          </w:tcPr>
          <w:p>
            <w:pPr>
              <w:pStyle w:val="TableParagraph"/>
              <w:spacing w:before="2"/>
              <w:ind w:left="107"/>
              <w:rPr>
                <w:sz w:val="26"/>
              </w:rPr>
            </w:pPr>
            <w:r>
              <w:rPr>
                <w:sz w:val="26"/>
              </w:rPr>
              <w:t>Phân tích thành phần chính</w:t>
            </w:r>
          </w:p>
        </w:tc>
      </w:tr>
      <w:tr>
        <w:trPr>
          <w:trHeight w:val="448" w:hRule="atLeast"/>
        </w:trPr>
        <w:tc>
          <w:tcPr>
            <w:tcW w:w="1385" w:type="dxa"/>
          </w:tcPr>
          <w:p>
            <w:pPr>
              <w:pStyle w:val="TableParagraph"/>
              <w:spacing w:before="2"/>
              <w:ind w:left="107"/>
              <w:rPr>
                <w:sz w:val="26"/>
              </w:rPr>
            </w:pPr>
            <w:r>
              <w:rPr>
                <w:sz w:val="26"/>
              </w:rPr>
              <w:t>SEM</w:t>
            </w:r>
          </w:p>
        </w:tc>
        <w:tc>
          <w:tcPr>
            <w:tcW w:w="3827" w:type="dxa"/>
          </w:tcPr>
          <w:p>
            <w:pPr>
              <w:pStyle w:val="TableParagraph"/>
              <w:spacing w:before="2"/>
              <w:ind w:left="105"/>
              <w:rPr>
                <w:sz w:val="26"/>
              </w:rPr>
            </w:pPr>
            <w:r>
              <w:rPr>
                <w:sz w:val="26"/>
              </w:rPr>
              <w:t>Structural Equation Modeling</w:t>
            </w:r>
          </w:p>
        </w:tc>
        <w:tc>
          <w:tcPr>
            <w:tcW w:w="3795" w:type="dxa"/>
          </w:tcPr>
          <w:p>
            <w:pPr>
              <w:pStyle w:val="TableParagraph"/>
              <w:spacing w:before="2"/>
              <w:ind w:left="107"/>
              <w:rPr>
                <w:sz w:val="26"/>
              </w:rPr>
            </w:pPr>
            <w:r>
              <w:rPr>
                <w:sz w:val="26"/>
              </w:rPr>
              <w:t>Mô hình cấu trúc tuyến tính</w:t>
            </w:r>
          </w:p>
        </w:tc>
      </w:tr>
      <w:tr>
        <w:trPr>
          <w:trHeight w:val="448" w:hRule="atLeast"/>
        </w:trPr>
        <w:tc>
          <w:tcPr>
            <w:tcW w:w="1385" w:type="dxa"/>
          </w:tcPr>
          <w:p>
            <w:pPr>
              <w:pStyle w:val="TableParagraph"/>
              <w:spacing w:before="2"/>
              <w:ind w:left="107"/>
              <w:rPr>
                <w:sz w:val="26"/>
              </w:rPr>
            </w:pPr>
            <w:r>
              <w:rPr>
                <w:sz w:val="26"/>
              </w:rPr>
              <w:t>SE</w:t>
            </w:r>
          </w:p>
        </w:tc>
        <w:tc>
          <w:tcPr>
            <w:tcW w:w="3827" w:type="dxa"/>
          </w:tcPr>
          <w:p>
            <w:pPr>
              <w:pStyle w:val="TableParagraph"/>
              <w:spacing w:before="2"/>
              <w:ind w:left="105"/>
              <w:rPr>
                <w:sz w:val="26"/>
              </w:rPr>
            </w:pPr>
            <w:r>
              <w:rPr>
                <w:sz w:val="26"/>
              </w:rPr>
              <w:t>Standard error</w:t>
            </w:r>
          </w:p>
        </w:tc>
        <w:tc>
          <w:tcPr>
            <w:tcW w:w="3795" w:type="dxa"/>
          </w:tcPr>
          <w:p>
            <w:pPr>
              <w:pStyle w:val="TableParagraph"/>
              <w:spacing w:before="2"/>
              <w:ind w:left="107"/>
              <w:rPr>
                <w:sz w:val="26"/>
              </w:rPr>
            </w:pPr>
            <w:r>
              <w:rPr>
                <w:sz w:val="26"/>
              </w:rPr>
              <w:t>Sai lệch chuẩn</w:t>
            </w:r>
          </w:p>
        </w:tc>
      </w:tr>
    </w:tbl>
    <w:p>
      <w:pPr>
        <w:spacing w:after="0"/>
        <w:rPr>
          <w:sz w:val="26"/>
        </w:rPr>
        <w:sectPr>
          <w:pgSz w:w="11910" w:h="16850"/>
          <w:pgMar w:header="751" w:footer="0" w:top="960" w:bottom="280" w:left="820" w:right="240"/>
        </w:sectPr>
      </w:pPr>
    </w:p>
    <w:p>
      <w:pPr>
        <w:pStyle w:val="BodyText"/>
        <w:spacing w:before="9"/>
        <w:rPr>
          <w:b/>
          <w:sz w:val="23"/>
        </w:rPr>
      </w:pPr>
    </w:p>
    <w:tbl>
      <w:tblPr>
        <w:tblW w:w="0" w:type="auto"/>
        <w:jc w:val="left"/>
        <w:tblInd w:w="77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1385"/>
        <w:gridCol w:w="3827"/>
        <w:gridCol w:w="3795"/>
      </w:tblGrid>
      <w:tr>
        <w:trPr>
          <w:trHeight w:val="448" w:hRule="atLeast"/>
        </w:trPr>
        <w:tc>
          <w:tcPr>
            <w:tcW w:w="1385" w:type="dxa"/>
          </w:tcPr>
          <w:p>
            <w:pPr>
              <w:pStyle w:val="TableParagraph"/>
              <w:spacing w:before="2"/>
              <w:ind w:left="107"/>
              <w:rPr>
                <w:sz w:val="26"/>
              </w:rPr>
            </w:pPr>
            <w:r>
              <w:rPr>
                <w:sz w:val="26"/>
              </w:rPr>
              <w:t>SFA</w:t>
            </w:r>
          </w:p>
        </w:tc>
        <w:tc>
          <w:tcPr>
            <w:tcW w:w="3827" w:type="dxa"/>
          </w:tcPr>
          <w:p>
            <w:pPr>
              <w:pStyle w:val="TableParagraph"/>
              <w:spacing w:before="2"/>
              <w:ind w:left="105"/>
              <w:rPr>
                <w:sz w:val="26"/>
              </w:rPr>
            </w:pPr>
            <w:r>
              <w:rPr>
                <w:sz w:val="26"/>
              </w:rPr>
              <w:t>Stochastic Frontier Analysis</w:t>
            </w:r>
          </w:p>
        </w:tc>
        <w:tc>
          <w:tcPr>
            <w:tcW w:w="3795" w:type="dxa"/>
          </w:tcPr>
          <w:p>
            <w:pPr>
              <w:pStyle w:val="TableParagraph"/>
              <w:spacing w:before="2"/>
              <w:ind w:left="107"/>
              <w:rPr>
                <w:sz w:val="26"/>
              </w:rPr>
            </w:pPr>
            <w:r>
              <w:rPr>
                <w:sz w:val="26"/>
              </w:rPr>
              <w:t>Phương pháp biên ngẫu nhiên</w:t>
            </w:r>
          </w:p>
        </w:tc>
      </w:tr>
      <w:tr>
        <w:trPr>
          <w:trHeight w:val="897" w:hRule="atLeast"/>
        </w:trPr>
        <w:tc>
          <w:tcPr>
            <w:tcW w:w="1385" w:type="dxa"/>
          </w:tcPr>
          <w:p>
            <w:pPr>
              <w:pStyle w:val="TableParagraph"/>
              <w:spacing w:before="2"/>
              <w:ind w:left="107"/>
              <w:rPr>
                <w:sz w:val="26"/>
              </w:rPr>
            </w:pPr>
            <w:r>
              <w:rPr>
                <w:sz w:val="26"/>
              </w:rPr>
              <w:t>SPSS</w:t>
            </w:r>
          </w:p>
        </w:tc>
        <w:tc>
          <w:tcPr>
            <w:tcW w:w="3827" w:type="dxa"/>
          </w:tcPr>
          <w:p>
            <w:pPr>
              <w:pStyle w:val="TableParagraph"/>
              <w:spacing w:before="2"/>
              <w:ind w:left="105"/>
              <w:rPr>
                <w:sz w:val="26"/>
              </w:rPr>
            </w:pPr>
            <w:r>
              <w:rPr>
                <w:sz w:val="26"/>
              </w:rPr>
              <w:t>Statistical Package for the Social</w:t>
            </w:r>
          </w:p>
          <w:p>
            <w:pPr>
              <w:pStyle w:val="TableParagraph"/>
              <w:spacing w:before="150"/>
              <w:ind w:left="105"/>
              <w:rPr>
                <w:sz w:val="26"/>
              </w:rPr>
            </w:pPr>
            <w:r>
              <w:rPr>
                <w:sz w:val="26"/>
              </w:rPr>
              <w:t>Sciences</w:t>
            </w:r>
          </w:p>
        </w:tc>
        <w:tc>
          <w:tcPr>
            <w:tcW w:w="3795" w:type="dxa"/>
          </w:tcPr>
          <w:p>
            <w:pPr>
              <w:pStyle w:val="TableParagraph"/>
              <w:spacing w:before="2"/>
              <w:ind w:left="107"/>
              <w:rPr>
                <w:sz w:val="26"/>
              </w:rPr>
            </w:pPr>
            <w:r>
              <w:rPr>
                <w:sz w:val="26"/>
              </w:rPr>
              <w:t>Phần mềm máy tính phục vụ công</w:t>
            </w:r>
          </w:p>
          <w:p>
            <w:pPr>
              <w:pStyle w:val="TableParagraph"/>
              <w:spacing w:before="150"/>
              <w:ind w:left="107"/>
              <w:rPr>
                <w:sz w:val="26"/>
              </w:rPr>
            </w:pPr>
            <w:r>
              <w:rPr>
                <w:sz w:val="26"/>
              </w:rPr>
              <w:t>tác phân tích thống kê</w:t>
            </w:r>
          </w:p>
        </w:tc>
      </w:tr>
      <w:tr>
        <w:trPr>
          <w:trHeight w:val="897" w:hRule="atLeast"/>
        </w:trPr>
        <w:tc>
          <w:tcPr>
            <w:tcW w:w="1385" w:type="dxa"/>
          </w:tcPr>
          <w:p>
            <w:pPr>
              <w:pStyle w:val="TableParagraph"/>
              <w:spacing w:before="2"/>
              <w:ind w:left="107"/>
              <w:rPr>
                <w:sz w:val="26"/>
              </w:rPr>
            </w:pPr>
            <w:r>
              <w:rPr>
                <w:sz w:val="26"/>
              </w:rPr>
              <w:t>RMSEA</w:t>
            </w:r>
          </w:p>
        </w:tc>
        <w:tc>
          <w:tcPr>
            <w:tcW w:w="3827" w:type="dxa"/>
          </w:tcPr>
          <w:p>
            <w:pPr>
              <w:pStyle w:val="TableParagraph"/>
              <w:spacing w:before="2"/>
              <w:ind w:left="105"/>
              <w:rPr>
                <w:sz w:val="26"/>
              </w:rPr>
            </w:pPr>
            <w:r>
              <w:rPr>
                <w:sz w:val="26"/>
              </w:rPr>
              <w:t>Root Mean Square Erro</w:t>
            </w:r>
          </w:p>
          <w:p>
            <w:pPr>
              <w:pStyle w:val="TableParagraph"/>
              <w:spacing w:before="149"/>
              <w:ind w:left="105"/>
              <w:rPr>
                <w:sz w:val="26"/>
              </w:rPr>
            </w:pPr>
            <w:r>
              <w:rPr>
                <w:sz w:val="26"/>
              </w:rPr>
              <w:t>Approximation</w:t>
            </w:r>
          </w:p>
        </w:tc>
        <w:tc>
          <w:tcPr>
            <w:tcW w:w="3795" w:type="dxa"/>
          </w:tcPr>
          <w:p>
            <w:pPr>
              <w:pStyle w:val="TableParagraph"/>
              <w:spacing w:before="2"/>
              <w:ind w:left="107"/>
              <w:rPr>
                <w:sz w:val="26"/>
              </w:rPr>
            </w:pPr>
            <w:r>
              <w:rPr>
                <w:sz w:val="26"/>
              </w:rPr>
              <w:t>Chỉ số trong phân tích đánh giá</w:t>
            </w:r>
          </w:p>
          <w:p>
            <w:pPr>
              <w:pStyle w:val="TableParagraph"/>
              <w:spacing w:before="149"/>
              <w:ind w:left="107"/>
              <w:rPr>
                <w:sz w:val="26"/>
              </w:rPr>
            </w:pPr>
            <w:r>
              <w:rPr>
                <w:sz w:val="26"/>
              </w:rPr>
              <w:t>CFA</w:t>
            </w:r>
          </w:p>
        </w:tc>
      </w:tr>
      <w:tr>
        <w:trPr>
          <w:trHeight w:val="448" w:hRule="atLeast"/>
        </w:trPr>
        <w:tc>
          <w:tcPr>
            <w:tcW w:w="1385" w:type="dxa"/>
          </w:tcPr>
          <w:p>
            <w:pPr>
              <w:pStyle w:val="TableParagraph"/>
              <w:spacing w:before="2"/>
              <w:ind w:left="107"/>
              <w:rPr>
                <w:sz w:val="26"/>
              </w:rPr>
            </w:pPr>
            <w:r>
              <w:rPr>
                <w:sz w:val="26"/>
              </w:rPr>
              <w:t>TCIT</w:t>
            </w:r>
          </w:p>
        </w:tc>
        <w:tc>
          <w:tcPr>
            <w:tcW w:w="3827" w:type="dxa"/>
          </w:tcPr>
          <w:p>
            <w:pPr>
              <w:pStyle w:val="TableParagraph"/>
              <w:spacing w:before="2"/>
              <w:ind w:left="105"/>
              <w:rPr>
                <w:sz w:val="26"/>
              </w:rPr>
            </w:pPr>
            <w:r>
              <w:rPr>
                <w:sz w:val="26"/>
              </w:rPr>
              <w:t>Tan Cang International Terminal</w:t>
            </w:r>
          </w:p>
        </w:tc>
        <w:tc>
          <w:tcPr>
            <w:tcW w:w="3795" w:type="dxa"/>
          </w:tcPr>
          <w:p>
            <w:pPr>
              <w:pStyle w:val="TableParagraph"/>
              <w:spacing w:before="2"/>
              <w:ind w:left="107"/>
              <w:rPr>
                <w:sz w:val="26"/>
              </w:rPr>
            </w:pPr>
            <w:r>
              <w:rPr>
                <w:sz w:val="26"/>
              </w:rPr>
              <w:t>Cảng container quốc tế Tân Cảng</w:t>
            </w:r>
          </w:p>
        </w:tc>
      </w:tr>
      <w:tr>
        <w:trPr>
          <w:trHeight w:val="448" w:hRule="atLeast"/>
        </w:trPr>
        <w:tc>
          <w:tcPr>
            <w:tcW w:w="1385" w:type="dxa"/>
          </w:tcPr>
          <w:p>
            <w:pPr>
              <w:pStyle w:val="TableParagraph"/>
              <w:spacing w:before="2"/>
              <w:ind w:left="107"/>
              <w:rPr>
                <w:sz w:val="26"/>
              </w:rPr>
            </w:pPr>
            <w:r>
              <w:rPr>
                <w:sz w:val="26"/>
              </w:rPr>
              <w:t>TOD</w:t>
            </w:r>
          </w:p>
        </w:tc>
        <w:tc>
          <w:tcPr>
            <w:tcW w:w="3827" w:type="dxa"/>
          </w:tcPr>
          <w:p>
            <w:pPr>
              <w:pStyle w:val="TableParagraph"/>
              <w:spacing w:before="2"/>
              <w:ind w:left="105"/>
              <w:rPr>
                <w:sz w:val="26"/>
              </w:rPr>
            </w:pPr>
            <w:r>
              <w:rPr>
                <w:sz w:val="26"/>
              </w:rPr>
              <w:t>Terminal of Origin Destination</w:t>
            </w:r>
          </w:p>
        </w:tc>
        <w:tc>
          <w:tcPr>
            <w:tcW w:w="3795" w:type="dxa"/>
          </w:tcPr>
          <w:p>
            <w:pPr>
              <w:pStyle w:val="TableParagraph"/>
              <w:spacing w:before="2"/>
              <w:ind w:left="107"/>
              <w:rPr>
                <w:sz w:val="26"/>
              </w:rPr>
            </w:pPr>
            <w:r>
              <w:rPr>
                <w:sz w:val="26"/>
              </w:rPr>
              <w:t>Cảng đầu mối</w:t>
            </w:r>
          </w:p>
        </w:tc>
      </w:tr>
      <w:tr>
        <w:trPr>
          <w:trHeight w:val="448" w:hRule="atLeast"/>
        </w:trPr>
        <w:tc>
          <w:tcPr>
            <w:tcW w:w="1385" w:type="dxa"/>
          </w:tcPr>
          <w:p>
            <w:pPr>
              <w:pStyle w:val="TableParagraph"/>
              <w:spacing w:before="2"/>
              <w:ind w:left="107"/>
              <w:rPr>
                <w:sz w:val="26"/>
              </w:rPr>
            </w:pPr>
            <w:r>
              <w:rPr>
                <w:sz w:val="26"/>
              </w:rPr>
              <w:t>TEU</w:t>
            </w:r>
          </w:p>
        </w:tc>
        <w:tc>
          <w:tcPr>
            <w:tcW w:w="3827" w:type="dxa"/>
          </w:tcPr>
          <w:p>
            <w:pPr>
              <w:pStyle w:val="TableParagraph"/>
              <w:spacing w:before="2"/>
              <w:ind w:left="105"/>
              <w:rPr>
                <w:sz w:val="26"/>
              </w:rPr>
            </w:pPr>
            <w:r>
              <w:rPr>
                <w:sz w:val="26"/>
              </w:rPr>
              <w:t>Twenty Equipvalent Unit</w:t>
            </w:r>
          </w:p>
        </w:tc>
        <w:tc>
          <w:tcPr>
            <w:tcW w:w="3795" w:type="dxa"/>
          </w:tcPr>
          <w:p>
            <w:pPr>
              <w:pStyle w:val="TableParagraph"/>
              <w:spacing w:before="2"/>
              <w:ind w:left="107"/>
              <w:rPr>
                <w:sz w:val="26"/>
              </w:rPr>
            </w:pPr>
            <w:r>
              <w:rPr>
                <w:sz w:val="26"/>
              </w:rPr>
              <w:t>Đơn vị đo lường = 1 container 20</w:t>
            </w:r>
          </w:p>
        </w:tc>
      </w:tr>
      <w:tr>
        <w:trPr>
          <w:trHeight w:val="449" w:hRule="atLeast"/>
        </w:trPr>
        <w:tc>
          <w:tcPr>
            <w:tcW w:w="1385" w:type="dxa"/>
          </w:tcPr>
          <w:p>
            <w:pPr>
              <w:pStyle w:val="TableParagraph"/>
              <w:spacing w:before="2"/>
              <w:ind w:left="107"/>
              <w:rPr>
                <w:sz w:val="26"/>
              </w:rPr>
            </w:pPr>
            <w:r>
              <w:rPr>
                <w:sz w:val="26"/>
              </w:rPr>
              <w:t>TLI</w:t>
            </w:r>
          </w:p>
        </w:tc>
        <w:tc>
          <w:tcPr>
            <w:tcW w:w="3827" w:type="dxa"/>
          </w:tcPr>
          <w:p>
            <w:pPr>
              <w:pStyle w:val="TableParagraph"/>
              <w:spacing w:before="2"/>
              <w:ind w:left="105"/>
              <w:rPr>
                <w:sz w:val="26"/>
              </w:rPr>
            </w:pPr>
            <w:r>
              <w:rPr>
                <w:sz w:val="26"/>
              </w:rPr>
              <w:t>Tucker and Levis Index</w:t>
            </w:r>
          </w:p>
        </w:tc>
        <w:tc>
          <w:tcPr>
            <w:tcW w:w="3795" w:type="dxa"/>
          </w:tcPr>
          <w:p>
            <w:pPr>
              <w:pStyle w:val="TableParagraph"/>
              <w:spacing w:before="2"/>
              <w:ind w:left="107"/>
              <w:rPr>
                <w:sz w:val="26"/>
              </w:rPr>
            </w:pPr>
            <w:r>
              <w:rPr>
                <w:sz w:val="26"/>
              </w:rPr>
              <w:t>Chỉ số phù hợp mô hình</w:t>
            </w:r>
          </w:p>
        </w:tc>
      </w:tr>
      <w:tr>
        <w:trPr>
          <w:trHeight w:val="448" w:hRule="atLeast"/>
        </w:trPr>
        <w:tc>
          <w:tcPr>
            <w:tcW w:w="1385" w:type="dxa"/>
          </w:tcPr>
          <w:p>
            <w:pPr>
              <w:pStyle w:val="TableParagraph"/>
              <w:spacing w:before="2"/>
              <w:ind w:left="107"/>
              <w:rPr>
                <w:sz w:val="26"/>
              </w:rPr>
            </w:pPr>
            <w:r>
              <w:rPr>
                <w:sz w:val="26"/>
              </w:rPr>
              <w:t>TP.HCM</w:t>
            </w:r>
          </w:p>
        </w:tc>
        <w:tc>
          <w:tcPr>
            <w:tcW w:w="3827" w:type="dxa"/>
          </w:tcPr>
          <w:p>
            <w:pPr>
              <w:pStyle w:val="TableParagraph"/>
              <w:spacing w:before="2"/>
              <w:ind w:left="105"/>
              <w:rPr>
                <w:sz w:val="26"/>
              </w:rPr>
            </w:pPr>
            <w:r>
              <w:rPr>
                <w:sz w:val="26"/>
              </w:rPr>
              <w:t>Thành Phố Hồ Chí Minh</w:t>
            </w:r>
          </w:p>
        </w:tc>
        <w:tc>
          <w:tcPr>
            <w:tcW w:w="3795" w:type="dxa"/>
          </w:tcPr>
          <w:p>
            <w:pPr>
              <w:pStyle w:val="TableParagraph"/>
              <w:spacing w:before="2"/>
              <w:ind w:left="107"/>
              <w:rPr>
                <w:sz w:val="26"/>
              </w:rPr>
            </w:pPr>
            <w:r>
              <w:rPr>
                <w:sz w:val="26"/>
              </w:rPr>
              <w:t>Thành Phố Hồ Chí Minh</w:t>
            </w:r>
          </w:p>
        </w:tc>
      </w:tr>
      <w:tr>
        <w:trPr>
          <w:trHeight w:val="897" w:hRule="atLeast"/>
        </w:trPr>
        <w:tc>
          <w:tcPr>
            <w:tcW w:w="1385" w:type="dxa"/>
          </w:tcPr>
          <w:p>
            <w:pPr>
              <w:pStyle w:val="TableParagraph"/>
              <w:spacing w:before="2"/>
              <w:ind w:left="107"/>
              <w:rPr>
                <w:sz w:val="26"/>
              </w:rPr>
            </w:pPr>
            <w:r>
              <w:rPr>
                <w:sz w:val="26"/>
              </w:rPr>
              <w:t>UNCTAD</w:t>
            </w:r>
          </w:p>
        </w:tc>
        <w:tc>
          <w:tcPr>
            <w:tcW w:w="3827" w:type="dxa"/>
          </w:tcPr>
          <w:p>
            <w:pPr>
              <w:pStyle w:val="TableParagraph"/>
              <w:spacing w:before="2"/>
              <w:ind w:left="105"/>
              <w:rPr>
                <w:sz w:val="26"/>
              </w:rPr>
            </w:pPr>
            <w:r>
              <w:rPr>
                <w:sz w:val="26"/>
              </w:rPr>
              <w:t>United Nations Conference On</w:t>
            </w:r>
          </w:p>
          <w:p>
            <w:pPr>
              <w:pStyle w:val="TableParagraph"/>
              <w:spacing w:before="149"/>
              <w:ind w:left="105"/>
              <w:rPr>
                <w:sz w:val="26"/>
              </w:rPr>
            </w:pPr>
            <w:r>
              <w:rPr>
                <w:sz w:val="26"/>
              </w:rPr>
              <w:t>Trade And Development</w:t>
            </w:r>
          </w:p>
        </w:tc>
        <w:tc>
          <w:tcPr>
            <w:tcW w:w="3795" w:type="dxa"/>
          </w:tcPr>
          <w:p>
            <w:pPr>
              <w:pStyle w:val="TableParagraph"/>
              <w:spacing w:before="2"/>
              <w:ind w:left="107"/>
              <w:rPr>
                <w:sz w:val="26"/>
              </w:rPr>
            </w:pPr>
            <w:r>
              <w:rPr>
                <w:sz w:val="26"/>
              </w:rPr>
              <w:t>Hội nghị Liên Hiệp Quốc</w:t>
            </w:r>
          </w:p>
        </w:tc>
      </w:tr>
      <w:tr>
        <w:trPr>
          <w:trHeight w:val="897" w:hRule="atLeast"/>
        </w:trPr>
        <w:tc>
          <w:tcPr>
            <w:tcW w:w="1385" w:type="dxa"/>
          </w:tcPr>
          <w:p>
            <w:pPr>
              <w:pStyle w:val="TableParagraph"/>
              <w:spacing w:before="2"/>
              <w:ind w:left="107"/>
              <w:rPr>
                <w:sz w:val="26"/>
              </w:rPr>
            </w:pPr>
            <w:r>
              <w:rPr>
                <w:sz w:val="26"/>
              </w:rPr>
              <w:t>VLA</w:t>
            </w:r>
          </w:p>
        </w:tc>
        <w:tc>
          <w:tcPr>
            <w:tcW w:w="3827" w:type="dxa"/>
          </w:tcPr>
          <w:p>
            <w:pPr>
              <w:pStyle w:val="TableParagraph"/>
              <w:spacing w:before="2"/>
              <w:ind w:left="105"/>
              <w:rPr>
                <w:sz w:val="26"/>
              </w:rPr>
            </w:pPr>
            <w:r>
              <w:rPr>
                <w:sz w:val="26"/>
              </w:rPr>
              <w:t>Vietnam Logistics Association</w:t>
            </w:r>
          </w:p>
        </w:tc>
        <w:tc>
          <w:tcPr>
            <w:tcW w:w="3795" w:type="dxa"/>
          </w:tcPr>
          <w:p>
            <w:pPr>
              <w:pStyle w:val="TableParagraph"/>
              <w:spacing w:before="2"/>
              <w:ind w:left="107"/>
              <w:rPr>
                <w:sz w:val="26"/>
              </w:rPr>
            </w:pPr>
            <w:r>
              <w:rPr>
                <w:sz w:val="26"/>
              </w:rPr>
              <w:t>Hiệp Hội Dịch Vụ Logistics Việt</w:t>
            </w:r>
          </w:p>
          <w:p>
            <w:pPr>
              <w:pStyle w:val="TableParagraph"/>
              <w:spacing w:before="149"/>
              <w:ind w:left="107"/>
              <w:rPr>
                <w:sz w:val="26"/>
              </w:rPr>
            </w:pPr>
            <w:r>
              <w:rPr>
                <w:sz w:val="26"/>
              </w:rPr>
              <w:t>Nam</w:t>
            </w:r>
          </w:p>
        </w:tc>
      </w:tr>
      <w:tr>
        <w:trPr>
          <w:trHeight w:val="448" w:hRule="atLeast"/>
        </w:trPr>
        <w:tc>
          <w:tcPr>
            <w:tcW w:w="1385" w:type="dxa"/>
          </w:tcPr>
          <w:p>
            <w:pPr>
              <w:pStyle w:val="TableParagraph"/>
              <w:spacing w:before="2"/>
              <w:ind w:left="107"/>
              <w:rPr>
                <w:sz w:val="26"/>
              </w:rPr>
            </w:pPr>
            <w:r>
              <w:rPr>
                <w:sz w:val="26"/>
              </w:rPr>
              <w:t>VLR</w:t>
            </w:r>
          </w:p>
        </w:tc>
        <w:tc>
          <w:tcPr>
            <w:tcW w:w="3827" w:type="dxa"/>
          </w:tcPr>
          <w:p>
            <w:pPr>
              <w:pStyle w:val="TableParagraph"/>
              <w:spacing w:before="2"/>
              <w:ind w:left="105"/>
              <w:rPr>
                <w:sz w:val="26"/>
              </w:rPr>
            </w:pPr>
            <w:r>
              <w:rPr>
                <w:sz w:val="26"/>
              </w:rPr>
              <w:t>Vietnam Logistics Review</w:t>
            </w:r>
          </w:p>
        </w:tc>
        <w:tc>
          <w:tcPr>
            <w:tcW w:w="3795" w:type="dxa"/>
          </w:tcPr>
          <w:p>
            <w:pPr>
              <w:pStyle w:val="TableParagraph"/>
              <w:spacing w:before="2"/>
              <w:ind w:left="107"/>
              <w:rPr>
                <w:sz w:val="26"/>
              </w:rPr>
            </w:pPr>
            <w:r>
              <w:rPr>
                <w:sz w:val="26"/>
              </w:rPr>
              <w:t>Tạp chí Logistics Việt Nam</w:t>
            </w:r>
          </w:p>
        </w:tc>
      </w:tr>
      <w:tr>
        <w:trPr>
          <w:trHeight w:val="897" w:hRule="atLeast"/>
        </w:trPr>
        <w:tc>
          <w:tcPr>
            <w:tcW w:w="1385" w:type="dxa"/>
          </w:tcPr>
          <w:p>
            <w:pPr>
              <w:pStyle w:val="TableParagraph"/>
              <w:spacing w:before="2"/>
              <w:ind w:left="107"/>
              <w:rPr>
                <w:sz w:val="26"/>
              </w:rPr>
            </w:pPr>
            <w:r>
              <w:rPr>
                <w:sz w:val="26"/>
              </w:rPr>
              <w:t>VLI</w:t>
            </w:r>
          </w:p>
        </w:tc>
        <w:tc>
          <w:tcPr>
            <w:tcW w:w="3827" w:type="dxa"/>
          </w:tcPr>
          <w:p>
            <w:pPr>
              <w:pStyle w:val="TableParagraph"/>
              <w:spacing w:before="2"/>
              <w:ind w:left="105"/>
              <w:rPr>
                <w:sz w:val="26"/>
              </w:rPr>
            </w:pPr>
            <w:r>
              <w:rPr>
                <w:sz w:val="26"/>
              </w:rPr>
              <w:t>Vietnam Logistics institute</w:t>
            </w:r>
          </w:p>
        </w:tc>
        <w:tc>
          <w:tcPr>
            <w:tcW w:w="3795" w:type="dxa"/>
          </w:tcPr>
          <w:p>
            <w:pPr>
              <w:pStyle w:val="TableParagraph"/>
              <w:spacing w:before="2"/>
              <w:ind w:left="107"/>
              <w:rPr>
                <w:sz w:val="26"/>
              </w:rPr>
            </w:pPr>
            <w:r>
              <w:rPr>
                <w:sz w:val="26"/>
              </w:rPr>
              <w:t>Viện nghiên cứu và phát triển</w:t>
            </w:r>
          </w:p>
          <w:p>
            <w:pPr>
              <w:pStyle w:val="TableParagraph"/>
              <w:spacing w:before="149"/>
              <w:ind w:left="107"/>
              <w:rPr>
                <w:sz w:val="26"/>
              </w:rPr>
            </w:pPr>
            <w:r>
              <w:rPr>
                <w:sz w:val="26"/>
              </w:rPr>
              <w:t>Logistics Việt Nam</w:t>
            </w:r>
          </w:p>
        </w:tc>
      </w:tr>
      <w:tr>
        <w:trPr>
          <w:trHeight w:val="448" w:hRule="atLeast"/>
        </w:trPr>
        <w:tc>
          <w:tcPr>
            <w:tcW w:w="1385" w:type="dxa"/>
          </w:tcPr>
          <w:p>
            <w:pPr>
              <w:pStyle w:val="TableParagraph"/>
              <w:spacing w:before="2"/>
              <w:ind w:left="107"/>
              <w:rPr>
                <w:sz w:val="26"/>
              </w:rPr>
            </w:pPr>
            <w:r>
              <w:rPr>
                <w:sz w:val="26"/>
              </w:rPr>
              <w:t>VPA</w:t>
            </w:r>
          </w:p>
        </w:tc>
        <w:tc>
          <w:tcPr>
            <w:tcW w:w="3827" w:type="dxa"/>
          </w:tcPr>
          <w:p>
            <w:pPr>
              <w:pStyle w:val="TableParagraph"/>
              <w:spacing w:before="2"/>
              <w:ind w:left="105"/>
              <w:rPr>
                <w:sz w:val="26"/>
              </w:rPr>
            </w:pPr>
            <w:r>
              <w:rPr>
                <w:sz w:val="26"/>
              </w:rPr>
              <w:t>Vietnam Port Association</w:t>
            </w:r>
          </w:p>
        </w:tc>
        <w:tc>
          <w:tcPr>
            <w:tcW w:w="3795" w:type="dxa"/>
          </w:tcPr>
          <w:p>
            <w:pPr>
              <w:pStyle w:val="TableParagraph"/>
              <w:spacing w:before="2"/>
              <w:ind w:left="107"/>
              <w:rPr>
                <w:sz w:val="26"/>
              </w:rPr>
            </w:pPr>
            <w:r>
              <w:rPr>
                <w:sz w:val="26"/>
              </w:rPr>
              <w:t>Hiệp hội cảng biển VN</w:t>
            </w:r>
          </w:p>
        </w:tc>
      </w:tr>
      <w:tr>
        <w:trPr>
          <w:trHeight w:val="448" w:hRule="atLeast"/>
        </w:trPr>
        <w:tc>
          <w:tcPr>
            <w:tcW w:w="1385" w:type="dxa"/>
          </w:tcPr>
          <w:p>
            <w:pPr>
              <w:pStyle w:val="TableParagraph"/>
              <w:spacing w:before="2"/>
              <w:ind w:left="107"/>
              <w:rPr>
                <w:sz w:val="26"/>
              </w:rPr>
            </w:pPr>
            <w:r>
              <w:rPr>
                <w:sz w:val="26"/>
              </w:rPr>
              <w:t>VT</w:t>
            </w:r>
          </w:p>
        </w:tc>
        <w:tc>
          <w:tcPr>
            <w:tcW w:w="3827" w:type="dxa"/>
          </w:tcPr>
          <w:p>
            <w:pPr>
              <w:pStyle w:val="TableParagraph"/>
              <w:spacing w:before="2"/>
              <w:ind w:left="105"/>
              <w:rPr>
                <w:sz w:val="26"/>
              </w:rPr>
            </w:pPr>
            <w:r>
              <w:rPr>
                <w:sz w:val="26"/>
              </w:rPr>
              <w:t>Vị trí</w:t>
            </w:r>
          </w:p>
        </w:tc>
        <w:tc>
          <w:tcPr>
            <w:tcW w:w="3795" w:type="dxa"/>
          </w:tcPr>
          <w:p>
            <w:pPr>
              <w:pStyle w:val="TableParagraph"/>
              <w:spacing w:before="2"/>
              <w:ind w:left="107"/>
              <w:rPr>
                <w:sz w:val="26"/>
              </w:rPr>
            </w:pPr>
            <w:r>
              <w:rPr>
                <w:sz w:val="26"/>
              </w:rPr>
              <w:t>Vị trí</w:t>
            </w:r>
          </w:p>
        </w:tc>
      </w:tr>
      <w:tr>
        <w:trPr>
          <w:trHeight w:val="897" w:hRule="atLeast"/>
        </w:trPr>
        <w:tc>
          <w:tcPr>
            <w:tcW w:w="1385" w:type="dxa"/>
          </w:tcPr>
          <w:p>
            <w:pPr>
              <w:pStyle w:val="TableParagraph"/>
              <w:spacing w:before="2"/>
              <w:ind w:left="107"/>
              <w:rPr>
                <w:sz w:val="26"/>
              </w:rPr>
            </w:pPr>
            <w:r>
              <w:rPr>
                <w:sz w:val="26"/>
              </w:rPr>
              <w:t>VICT</w:t>
            </w:r>
          </w:p>
        </w:tc>
        <w:tc>
          <w:tcPr>
            <w:tcW w:w="3827" w:type="dxa"/>
          </w:tcPr>
          <w:p>
            <w:pPr>
              <w:pStyle w:val="TableParagraph"/>
              <w:spacing w:before="2"/>
              <w:ind w:left="105"/>
              <w:rPr>
                <w:sz w:val="26"/>
              </w:rPr>
            </w:pPr>
            <w:r>
              <w:rPr>
                <w:sz w:val="26"/>
              </w:rPr>
              <w:t>Vietnam International Container</w:t>
            </w:r>
          </w:p>
          <w:p>
            <w:pPr>
              <w:pStyle w:val="TableParagraph"/>
              <w:spacing w:before="149"/>
              <w:ind w:left="105"/>
              <w:rPr>
                <w:sz w:val="26"/>
              </w:rPr>
            </w:pPr>
            <w:r>
              <w:rPr>
                <w:sz w:val="26"/>
              </w:rPr>
              <w:t>Terminal</w:t>
            </w:r>
          </w:p>
        </w:tc>
        <w:tc>
          <w:tcPr>
            <w:tcW w:w="3795" w:type="dxa"/>
          </w:tcPr>
          <w:p>
            <w:pPr>
              <w:pStyle w:val="TableParagraph"/>
              <w:spacing w:before="2"/>
              <w:ind w:left="107"/>
              <w:rPr>
                <w:sz w:val="26"/>
              </w:rPr>
            </w:pPr>
            <w:r>
              <w:rPr>
                <w:sz w:val="26"/>
              </w:rPr>
              <w:t>Cảng container quốc tế Việt Nam</w:t>
            </w:r>
          </w:p>
        </w:tc>
      </w:tr>
      <w:tr>
        <w:trPr>
          <w:trHeight w:val="448" w:hRule="atLeast"/>
        </w:trPr>
        <w:tc>
          <w:tcPr>
            <w:tcW w:w="1385" w:type="dxa"/>
          </w:tcPr>
          <w:p>
            <w:pPr>
              <w:pStyle w:val="TableParagraph"/>
              <w:spacing w:before="2"/>
              <w:ind w:left="107"/>
              <w:rPr>
                <w:sz w:val="26"/>
              </w:rPr>
            </w:pPr>
            <w:r>
              <w:rPr>
                <w:sz w:val="26"/>
              </w:rPr>
              <w:t>VN</w:t>
            </w:r>
          </w:p>
        </w:tc>
        <w:tc>
          <w:tcPr>
            <w:tcW w:w="3827" w:type="dxa"/>
          </w:tcPr>
          <w:p>
            <w:pPr>
              <w:pStyle w:val="TableParagraph"/>
              <w:spacing w:before="2"/>
              <w:ind w:left="105"/>
              <w:rPr>
                <w:sz w:val="26"/>
              </w:rPr>
            </w:pPr>
            <w:r>
              <w:rPr>
                <w:sz w:val="26"/>
              </w:rPr>
              <w:t>Việt Nam</w:t>
            </w:r>
          </w:p>
        </w:tc>
        <w:tc>
          <w:tcPr>
            <w:tcW w:w="3795" w:type="dxa"/>
          </w:tcPr>
          <w:p>
            <w:pPr>
              <w:pStyle w:val="TableParagraph"/>
              <w:spacing w:before="2"/>
              <w:ind w:left="107"/>
              <w:rPr>
                <w:sz w:val="26"/>
              </w:rPr>
            </w:pPr>
            <w:r>
              <w:rPr>
                <w:sz w:val="26"/>
              </w:rPr>
              <w:t>Việt Nam</w:t>
            </w:r>
          </w:p>
        </w:tc>
      </w:tr>
    </w:tbl>
    <w:p>
      <w:pPr>
        <w:spacing w:after="0"/>
        <w:rPr>
          <w:sz w:val="26"/>
        </w:rPr>
        <w:sectPr>
          <w:pgSz w:w="11910" w:h="16850"/>
          <w:pgMar w:header="751" w:footer="0" w:top="960" w:bottom="280" w:left="820" w:right="240"/>
        </w:sectPr>
      </w:pPr>
    </w:p>
    <w:p>
      <w:pPr>
        <w:pStyle w:val="BodyText"/>
        <w:spacing w:before="3"/>
        <w:rPr>
          <w:b/>
          <w:sz w:val="16"/>
        </w:rPr>
      </w:pPr>
    </w:p>
    <w:p>
      <w:pPr>
        <w:pStyle w:val="Heading6"/>
        <w:spacing w:before="88"/>
        <w:ind w:left="940" w:right="952"/>
        <w:jc w:val="center"/>
      </w:pPr>
      <w:bookmarkStart w:name="_TOC_250054" w:id="2"/>
      <w:bookmarkEnd w:id="2"/>
      <w:r>
        <w:rPr/>
        <w:t>DANH MỤC BẢNG</w:t>
      </w:r>
    </w:p>
    <w:p>
      <w:pPr>
        <w:spacing w:before="151"/>
        <w:ind w:left="0" w:right="1051" w:firstLine="0"/>
        <w:jc w:val="right"/>
        <w:rPr>
          <w:b/>
          <w:i/>
          <w:sz w:val="26"/>
        </w:rPr>
      </w:pPr>
      <w:r>
        <w:rPr>
          <w:b/>
          <w:i/>
          <w:spacing w:val="-1"/>
          <w:sz w:val="26"/>
          <w:u w:val="thick"/>
        </w:rPr>
        <w:t>Trang</w:t>
      </w:r>
    </w:p>
    <w:p>
      <w:pPr>
        <w:pStyle w:val="BodyText"/>
        <w:tabs>
          <w:tab w:pos="9413" w:val="left" w:leader="dot"/>
        </w:tabs>
        <w:spacing w:before="183"/>
        <w:ind w:left="882"/>
      </w:pPr>
      <w:r>
        <w:rPr/>
        <w:t>Bảng 3.1 Tổng kết thang đo các</w:t>
      </w:r>
      <w:r>
        <w:rPr>
          <w:spacing w:val="-7"/>
        </w:rPr>
        <w:t> </w:t>
      </w:r>
      <w:r>
        <w:rPr/>
        <w:t>khái</w:t>
      </w:r>
      <w:r>
        <w:rPr>
          <w:spacing w:val="-2"/>
        </w:rPr>
        <w:t> </w:t>
      </w:r>
      <w:r>
        <w:rPr/>
        <w:t>niệm</w:t>
        <w:tab/>
        <w:t>38</w:t>
      </w:r>
    </w:p>
    <w:p>
      <w:pPr>
        <w:pStyle w:val="BodyText"/>
        <w:tabs>
          <w:tab w:pos="9413" w:val="left" w:leader="dot"/>
        </w:tabs>
        <w:spacing w:before="150"/>
        <w:ind w:left="882"/>
      </w:pPr>
      <w:r>
        <w:rPr/>
        <w:t>Bảng 3.2 Thống kê mẫu nghiên cứu</w:t>
      </w:r>
      <w:r>
        <w:rPr>
          <w:spacing w:val="-8"/>
        </w:rPr>
        <w:t> </w:t>
      </w:r>
      <w:r>
        <w:rPr/>
        <w:t>sơ</w:t>
      </w:r>
      <w:r>
        <w:rPr>
          <w:spacing w:val="-2"/>
        </w:rPr>
        <w:t> </w:t>
      </w:r>
      <w:r>
        <w:rPr/>
        <w:t>bộ</w:t>
        <w:tab/>
        <w:t>45</w:t>
      </w:r>
    </w:p>
    <w:p>
      <w:pPr>
        <w:pStyle w:val="BodyText"/>
        <w:tabs>
          <w:tab w:pos="9413" w:val="left" w:leader="dot"/>
        </w:tabs>
        <w:spacing w:before="150"/>
        <w:ind w:left="882"/>
      </w:pPr>
      <w:r>
        <w:rPr/>
        <w:t>Bảng 3.3 Kết quả Cronbch’s Alpha các thành phần trong phân tích</w:t>
      </w:r>
      <w:r>
        <w:rPr>
          <w:spacing w:val="-12"/>
        </w:rPr>
        <w:t> </w:t>
      </w:r>
      <w:r>
        <w:rPr/>
        <w:t>sơ bộ</w:t>
        <w:tab/>
        <w:t>45</w:t>
      </w:r>
    </w:p>
    <w:p>
      <w:pPr>
        <w:pStyle w:val="BodyText"/>
        <w:tabs>
          <w:tab w:pos="9413" w:val="left" w:leader="dot"/>
        </w:tabs>
        <w:spacing w:before="147"/>
        <w:ind w:left="882"/>
      </w:pPr>
      <w:r>
        <w:rPr/>
        <w:t>Bảng 3.4 Kết quả Cronbch’s Alpha cho từng thang đo các khái niệm</w:t>
      </w:r>
      <w:r>
        <w:rPr>
          <w:spacing w:val="-12"/>
        </w:rPr>
        <w:t> </w:t>
      </w:r>
      <w:r>
        <w:rPr/>
        <w:t>sau</w:t>
      </w:r>
      <w:r>
        <w:rPr>
          <w:spacing w:val="-2"/>
        </w:rPr>
        <w:t> </w:t>
      </w:r>
      <w:r>
        <w:rPr/>
        <w:t>EFA</w:t>
        <w:tab/>
        <w:t>48</w:t>
      </w:r>
    </w:p>
    <w:p>
      <w:pPr>
        <w:pStyle w:val="BodyText"/>
        <w:tabs>
          <w:tab w:pos="9413" w:val="left" w:leader="dot"/>
        </w:tabs>
        <w:spacing w:before="150"/>
        <w:ind w:left="882"/>
      </w:pPr>
      <w:r>
        <w:rPr/>
        <w:t>Bảng 3.5 Thống kê mẫu nghiên cứu</w:t>
      </w:r>
      <w:r>
        <w:rPr>
          <w:spacing w:val="-7"/>
        </w:rPr>
        <w:t> </w:t>
      </w:r>
      <w:r>
        <w:rPr/>
        <w:t>chính</w:t>
      </w:r>
      <w:r>
        <w:rPr>
          <w:spacing w:val="-2"/>
        </w:rPr>
        <w:t> </w:t>
      </w:r>
      <w:r>
        <w:rPr/>
        <w:t>thức</w:t>
        <w:tab/>
        <w:t>50</w:t>
      </w:r>
    </w:p>
    <w:p>
      <w:pPr>
        <w:pStyle w:val="BodyText"/>
        <w:tabs>
          <w:tab w:pos="9413" w:val="left" w:leader="dot"/>
        </w:tabs>
        <w:spacing w:before="150"/>
        <w:ind w:left="882"/>
      </w:pPr>
      <w:r>
        <w:rPr/>
        <w:t>Bảng 3.6 Thống kê mô tả dữ liệu trong nghiên cứu</w:t>
      </w:r>
      <w:r>
        <w:rPr>
          <w:spacing w:val="-11"/>
        </w:rPr>
        <w:t> </w:t>
      </w:r>
      <w:r>
        <w:rPr/>
        <w:t>chính</w:t>
      </w:r>
      <w:r>
        <w:rPr>
          <w:spacing w:val="-2"/>
        </w:rPr>
        <w:t> </w:t>
      </w:r>
      <w:r>
        <w:rPr/>
        <w:t>thức</w:t>
        <w:tab/>
        <w:t>50</w:t>
      </w:r>
    </w:p>
    <w:p>
      <w:pPr>
        <w:pStyle w:val="BodyText"/>
        <w:tabs>
          <w:tab w:pos="9413" w:val="left" w:leader="dot"/>
        </w:tabs>
        <w:spacing w:before="150"/>
        <w:ind w:left="882"/>
      </w:pPr>
      <w:r>
        <w:rPr/>
        <w:t>Bảng 3.7 Kiểm</w:t>
      </w:r>
      <w:r>
        <w:rPr>
          <w:spacing w:val="-4"/>
        </w:rPr>
        <w:t> </w:t>
      </w:r>
      <w:r>
        <w:rPr/>
        <w:t>định</w:t>
      </w:r>
      <w:r>
        <w:rPr>
          <w:spacing w:val="-2"/>
        </w:rPr>
        <w:t> </w:t>
      </w:r>
      <w:r>
        <w:rPr/>
        <w:t>KMO</w:t>
        <w:tab/>
        <w:t>52</w:t>
      </w:r>
    </w:p>
    <w:p>
      <w:pPr>
        <w:pStyle w:val="BodyText"/>
        <w:tabs>
          <w:tab w:pos="9413" w:val="left" w:leader="dot"/>
        </w:tabs>
        <w:spacing w:before="150"/>
        <w:ind w:left="882"/>
      </w:pPr>
      <w:r>
        <w:rPr/>
        <w:t>Bảng 3.8 Đánh giá độ tin cậy thang đo của các thành phần</w:t>
      </w:r>
      <w:r>
        <w:rPr>
          <w:spacing w:val="-8"/>
        </w:rPr>
        <w:t> </w:t>
      </w:r>
      <w:r>
        <w:rPr/>
        <w:t>khái</w:t>
      </w:r>
      <w:r>
        <w:rPr>
          <w:spacing w:val="-1"/>
        </w:rPr>
        <w:t> </w:t>
      </w:r>
      <w:r>
        <w:rPr/>
        <w:t>niệm</w:t>
        <w:tab/>
        <w:t>53</w:t>
      </w:r>
    </w:p>
    <w:p>
      <w:pPr>
        <w:pStyle w:val="BodyText"/>
        <w:tabs>
          <w:tab w:pos="9413" w:val="left" w:leader="dot"/>
        </w:tabs>
        <w:spacing w:before="150"/>
        <w:ind w:left="882"/>
      </w:pPr>
      <w:r>
        <w:rPr/>
        <w:t>Bảng 3.9 Các chỉ số đánh giá sự phù hợp của mô hình với dữ liệu</w:t>
      </w:r>
      <w:r>
        <w:rPr>
          <w:spacing w:val="-15"/>
        </w:rPr>
        <w:t> </w:t>
      </w:r>
      <w:r>
        <w:rPr/>
        <w:t>nghiên</w:t>
      </w:r>
      <w:r>
        <w:rPr>
          <w:spacing w:val="-1"/>
        </w:rPr>
        <w:t> </w:t>
      </w:r>
      <w:r>
        <w:rPr/>
        <w:t>cứu</w:t>
        <w:tab/>
        <w:t>55</w:t>
      </w:r>
    </w:p>
    <w:p>
      <w:pPr>
        <w:pStyle w:val="BodyText"/>
        <w:tabs>
          <w:tab w:pos="9413" w:val="left" w:leader="dot"/>
        </w:tabs>
        <w:spacing w:before="150"/>
        <w:ind w:left="882"/>
      </w:pPr>
      <w:r>
        <w:rPr/>
        <w:t>Bảng 3.10 Độ tin cậy tổng hợp và tổng phương sai</w:t>
      </w:r>
      <w:r>
        <w:rPr>
          <w:spacing w:val="-11"/>
        </w:rPr>
        <w:t> </w:t>
      </w:r>
      <w:r>
        <w:rPr/>
        <w:t>rút</w:t>
      </w:r>
      <w:r>
        <w:rPr>
          <w:spacing w:val="-2"/>
        </w:rPr>
        <w:t> </w:t>
      </w:r>
      <w:r>
        <w:rPr/>
        <w:t>trích</w:t>
        <w:tab/>
        <w:t>56</w:t>
      </w:r>
    </w:p>
    <w:p>
      <w:pPr>
        <w:pStyle w:val="BodyText"/>
        <w:tabs>
          <w:tab w:pos="9413" w:val="left" w:leader="dot"/>
        </w:tabs>
        <w:spacing w:before="147"/>
        <w:ind w:left="882"/>
      </w:pPr>
      <w:r>
        <w:rPr/>
        <w:t>Bảng 3.11 Các hệ số chưa chuẩn hoá và đã</w:t>
      </w:r>
      <w:r>
        <w:rPr>
          <w:spacing w:val="-10"/>
        </w:rPr>
        <w:t> </w:t>
      </w:r>
      <w:r>
        <w:rPr/>
        <w:t>chuẩn hoá</w:t>
        <w:tab/>
        <w:t>57</w:t>
      </w:r>
    </w:p>
    <w:p>
      <w:pPr>
        <w:pStyle w:val="BodyText"/>
        <w:tabs>
          <w:tab w:pos="9413" w:val="left" w:leader="dot"/>
        </w:tabs>
        <w:spacing w:line="360" w:lineRule="auto" w:before="150"/>
        <w:ind w:left="882" w:right="907"/>
      </w:pPr>
      <w:r>
        <w:rPr/>
        <w:t>Bảng 3.12 Kết quả kiểm định giá trị phân biệt giữa các thành phần thang đo ảnh hưởng đến lợi thế</w:t>
      </w:r>
      <w:r>
        <w:rPr>
          <w:spacing w:val="-2"/>
        </w:rPr>
        <w:t> </w:t>
      </w:r>
      <w:r>
        <w:rPr/>
        <w:t>cạnh</w:t>
      </w:r>
      <w:r>
        <w:rPr>
          <w:spacing w:val="-2"/>
        </w:rPr>
        <w:t> </w:t>
      </w:r>
      <w:r>
        <w:rPr/>
        <w:t>tranh</w:t>
        <w:tab/>
        <w:t>59</w:t>
      </w:r>
    </w:p>
    <w:p>
      <w:pPr>
        <w:pStyle w:val="BodyText"/>
        <w:tabs>
          <w:tab w:pos="9413" w:val="left" w:leader="dot"/>
        </w:tabs>
        <w:spacing w:before="1"/>
        <w:ind w:left="882"/>
      </w:pPr>
      <w:r>
        <w:rPr/>
        <w:t>Bảng 3.13 Tổng phương sai rút trích của các</w:t>
      </w:r>
      <w:r>
        <w:rPr>
          <w:spacing w:val="-9"/>
        </w:rPr>
        <w:t> </w:t>
      </w:r>
      <w:r>
        <w:rPr/>
        <w:t>nhan</w:t>
      </w:r>
      <w:r>
        <w:rPr>
          <w:spacing w:val="-2"/>
        </w:rPr>
        <w:t> </w:t>
      </w:r>
      <w:r>
        <w:rPr/>
        <w:t>tố</w:t>
        <w:tab/>
        <w:t>60</w:t>
      </w:r>
    </w:p>
    <w:p>
      <w:pPr>
        <w:pStyle w:val="BodyText"/>
        <w:tabs>
          <w:tab w:pos="9413" w:val="left" w:leader="dot"/>
        </w:tabs>
        <w:spacing w:before="149"/>
        <w:ind w:left="882"/>
      </w:pPr>
      <w:r>
        <w:rPr/>
        <w:t>Bảng 3.14 Ma trận tương quan giữa các</w:t>
      </w:r>
      <w:r>
        <w:rPr>
          <w:spacing w:val="-11"/>
        </w:rPr>
        <w:t> </w:t>
      </w:r>
      <w:r>
        <w:rPr/>
        <w:t>khái niệm</w:t>
        <w:tab/>
        <w:t>60</w:t>
      </w:r>
    </w:p>
    <w:p>
      <w:pPr>
        <w:pStyle w:val="BodyText"/>
        <w:tabs>
          <w:tab w:pos="9413" w:val="left" w:leader="dot"/>
        </w:tabs>
        <w:spacing w:before="151"/>
        <w:ind w:left="882"/>
      </w:pPr>
      <w:r>
        <w:rPr/>
        <w:t>Bảng 3.15 Kết quả ước lượng thang đo lợi thế cạnh tranh</w:t>
      </w:r>
      <w:r>
        <w:rPr>
          <w:spacing w:val="-10"/>
        </w:rPr>
        <w:t> </w:t>
      </w:r>
      <w:r>
        <w:rPr/>
        <w:t>cảng</w:t>
      </w:r>
      <w:r>
        <w:rPr>
          <w:spacing w:val="-2"/>
        </w:rPr>
        <w:t> </w:t>
      </w:r>
      <w:r>
        <w:rPr/>
        <w:t>container</w:t>
        <w:tab/>
        <w:t>63</w:t>
      </w:r>
    </w:p>
    <w:p>
      <w:pPr>
        <w:pStyle w:val="BodyText"/>
        <w:tabs>
          <w:tab w:pos="9413" w:val="left" w:leader="dot"/>
        </w:tabs>
        <w:spacing w:before="149"/>
        <w:ind w:left="882"/>
      </w:pPr>
      <w:r>
        <w:rPr/>
        <w:t>Bảng 3.16 Kết quả ước lượng ằng Boottrap</w:t>
      </w:r>
      <w:r>
        <w:rPr>
          <w:spacing w:val="-11"/>
        </w:rPr>
        <w:t> </w:t>
      </w:r>
      <w:r>
        <w:rPr/>
        <w:t>với</w:t>
      </w:r>
      <w:r>
        <w:rPr>
          <w:spacing w:val="-3"/>
        </w:rPr>
        <w:t> </w:t>
      </w:r>
      <w:r>
        <w:rPr/>
        <w:t>N=1000</w:t>
        <w:tab/>
        <w:t>63</w:t>
      </w:r>
    </w:p>
    <w:p>
      <w:pPr>
        <w:pStyle w:val="BodyText"/>
        <w:tabs>
          <w:tab w:pos="9413" w:val="left" w:leader="dot"/>
        </w:tabs>
        <w:spacing w:before="150"/>
        <w:ind w:left="882"/>
      </w:pPr>
      <w:r>
        <w:rPr/>
        <w:t>Bảng 3.17 Kết quả nghiên cứu được chấp thuận và</w:t>
      </w:r>
      <w:r>
        <w:rPr>
          <w:spacing w:val="-10"/>
        </w:rPr>
        <w:t> </w:t>
      </w:r>
      <w:r>
        <w:rPr/>
        <w:t>bác</w:t>
      </w:r>
      <w:r>
        <w:rPr>
          <w:spacing w:val="-2"/>
        </w:rPr>
        <w:t> </w:t>
      </w:r>
      <w:r>
        <w:rPr/>
        <w:t>bỏ</w:t>
        <w:tab/>
        <w:t>66</w:t>
      </w:r>
    </w:p>
    <w:p>
      <w:pPr>
        <w:pStyle w:val="BodyText"/>
        <w:tabs>
          <w:tab w:pos="9413" w:val="left" w:leader="dot"/>
        </w:tabs>
        <w:spacing w:before="148"/>
        <w:ind w:left="882"/>
      </w:pPr>
      <w:r>
        <w:rPr/>
        <w:t>Bảng 4.1 Sản lượng container thông qua cảng biển VN giai</w:t>
      </w:r>
      <w:r>
        <w:rPr>
          <w:spacing w:val="-11"/>
        </w:rPr>
        <w:t> </w:t>
      </w:r>
      <w:r>
        <w:rPr/>
        <w:t>đoạn</w:t>
      </w:r>
      <w:r>
        <w:rPr>
          <w:spacing w:val="1"/>
        </w:rPr>
        <w:t> </w:t>
      </w:r>
      <w:r>
        <w:rPr/>
        <w:t>2000-2020</w:t>
        <w:tab/>
        <w:t>81</w:t>
      </w:r>
    </w:p>
    <w:p>
      <w:pPr>
        <w:pStyle w:val="BodyText"/>
        <w:tabs>
          <w:tab w:pos="9413" w:val="left" w:leader="dot"/>
        </w:tabs>
        <w:spacing w:before="150"/>
        <w:ind w:left="882"/>
      </w:pPr>
      <w:r>
        <w:rPr/>
        <w:t>Bảng 4.2 Kết quả kiểm định tính dừng của các chuỗi</w:t>
      </w:r>
      <w:r>
        <w:rPr>
          <w:spacing w:val="-15"/>
        </w:rPr>
        <w:t> </w:t>
      </w:r>
      <w:r>
        <w:rPr/>
        <w:t>dữ</w:t>
      </w:r>
      <w:r>
        <w:rPr>
          <w:spacing w:val="-1"/>
        </w:rPr>
        <w:t> </w:t>
      </w:r>
      <w:r>
        <w:rPr/>
        <w:t>liệu</w:t>
        <w:tab/>
        <w:t>86</w:t>
      </w:r>
    </w:p>
    <w:p>
      <w:pPr>
        <w:pStyle w:val="BodyText"/>
        <w:tabs>
          <w:tab w:pos="9413" w:val="left" w:leader="dot"/>
        </w:tabs>
        <w:spacing w:before="149"/>
        <w:ind w:left="882"/>
      </w:pPr>
      <w:r>
        <w:rPr/>
        <w:t>Bảng 4.3 Kết quả lựa chọn mô hình tốt nhất theo tiêu</w:t>
      </w:r>
      <w:r>
        <w:rPr>
          <w:spacing w:val="-17"/>
        </w:rPr>
        <w:t> </w:t>
      </w:r>
      <w:r>
        <w:rPr/>
        <w:t>chuẩn</w:t>
      </w:r>
      <w:r>
        <w:rPr>
          <w:spacing w:val="-2"/>
        </w:rPr>
        <w:t> </w:t>
      </w:r>
      <w:r>
        <w:rPr/>
        <w:t>AIC</w:t>
        <w:tab/>
        <w:t>87</w:t>
      </w:r>
    </w:p>
    <w:p>
      <w:pPr>
        <w:pStyle w:val="BodyText"/>
        <w:tabs>
          <w:tab w:pos="9413" w:val="left" w:leader="dot"/>
        </w:tabs>
        <w:spacing w:before="150"/>
        <w:ind w:left="882"/>
      </w:pPr>
      <w:r>
        <w:rPr/>
        <w:t>Bảng 4.4 Kết quả ước lượng mô hình ARIMA cho các chuỗi</w:t>
      </w:r>
      <w:r>
        <w:rPr>
          <w:spacing w:val="-12"/>
        </w:rPr>
        <w:t> </w:t>
      </w:r>
      <w:r>
        <w:rPr/>
        <w:t>dữ</w:t>
      </w:r>
      <w:r>
        <w:rPr>
          <w:spacing w:val="-1"/>
        </w:rPr>
        <w:t> </w:t>
      </w:r>
      <w:r>
        <w:rPr/>
        <w:t>liệu</w:t>
        <w:tab/>
        <w:t>87</w:t>
      </w:r>
    </w:p>
    <w:p>
      <w:pPr>
        <w:pStyle w:val="BodyText"/>
        <w:tabs>
          <w:tab w:pos="9413" w:val="left" w:leader="dot"/>
        </w:tabs>
        <w:spacing w:before="150"/>
        <w:ind w:left="882"/>
      </w:pPr>
      <w:r>
        <w:rPr/>
        <w:t>Bảng 4.5 Kiểm định phần dư của</w:t>
      </w:r>
      <w:r>
        <w:rPr>
          <w:spacing w:val="-10"/>
        </w:rPr>
        <w:t> </w:t>
      </w:r>
      <w:r>
        <w:rPr/>
        <w:t>mô</w:t>
      </w:r>
      <w:r>
        <w:rPr>
          <w:spacing w:val="-2"/>
        </w:rPr>
        <w:t> </w:t>
      </w:r>
      <w:r>
        <w:rPr/>
        <w:t>hình</w:t>
        <w:tab/>
        <w:t>88</w:t>
      </w:r>
    </w:p>
    <w:p>
      <w:pPr>
        <w:pStyle w:val="BodyText"/>
        <w:tabs>
          <w:tab w:pos="9413" w:val="left" w:leader="dot"/>
        </w:tabs>
        <w:spacing w:before="150"/>
        <w:ind w:left="882"/>
      </w:pPr>
      <w:r>
        <w:rPr/>
        <w:t>Bảng 4.6 Kiểm định tính dừng của</w:t>
      </w:r>
      <w:r>
        <w:rPr>
          <w:spacing w:val="-10"/>
        </w:rPr>
        <w:t> </w:t>
      </w:r>
      <w:r>
        <w:rPr/>
        <w:t>phần</w:t>
      </w:r>
      <w:r>
        <w:rPr>
          <w:spacing w:val="-2"/>
        </w:rPr>
        <w:t> </w:t>
      </w:r>
      <w:r>
        <w:rPr/>
        <w:t>dư</w:t>
        <w:tab/>
        <w:t>88</w:t>
      </w:r>
    </w:p>
    <w:p>
      <w:pPr>
        <w:pStyle w:val="BodyText"/>
        <w:tabs>
          <w:tab w:pos="9413" w:val="left" w:leader="dot"/>
        </w:tabs>
        <w:spacing w:before="150"/>
        <w:ind w:left="882"/>
        <w:jc w:val="both"/>
      </w:pPr>
      <w:r>
        <w:rPr/>
        <w:t>Bảng 4.7 Kiểm định tính phân phối chuẩn của</w:t>
      </w:r>
      <w:r>
        <w:rPr>
          <w:spacing w:val="-9"/>
        </w:rPr>
        <w:t> </w:t>
      </w:r>
      <w:r>
        <w:rPr/>
        <w:t>phần</w:t>
      </w:r>
      <w:r>
        <w:rPr>
          <w:spacing w:val="-2"/>
        </w:rPr>
        <w:t> </w:t>
      </w:r>
      <w:r>
        <w:rPr/>
        <w:t>dư</w:t>
        <w:tab/>
        <w:t>89</w:t>
      </w:r>
    </w:p>
    <w:p>
      <w:pPr>
        <w:pStyle w:val="BodyText"/>
        <w:spacing w:before="148"/>
        <w:ind w:left="882"/>
        <w:jc w:val="both"/>
      </w:pPr>
      <w:r>
        <w:rPr/>
        <w:t>Bảng 4.8 Dự báo sản lượng container thông qua cụm cảng phía bắc 2021-2025     89</w:t>
      </w:r>
    </w:p>
    <w:p>
      <w:pPr>
        <w:pStyle w:val="BodyText"/>
        <w:spacing w:line="360" w:lineRule="auto" w:before="150"/>
        <w:ind w:left="882" w:right="1172"/>
        <w:jc w:val="both"/>
      </w:pPr>
      <w:r>
        <w:rPr/>
        <w:t>Bảng 4.9 Dự báo sản lượng container thông qua cụm cảng miền trung 2021-2025</w:t>
      </w:r>
      <w:r>
        <w:rPr>
          <w:spacing w:val="-57"/>
        </w:rPr>
        <w:t> </w:t>
      </w:r>
      <w:r>
        <w:rPr>
          <w:spacing w:val="-4"/>
        </w:rPr>
        <w:t>.89 </w:t>
      </w:r>
      <w:r>
        <w:rPr/>
        <w:t>Bảng 4.10 Dự báo sản lượng container thông qua cụm cảng phía nam 2021-2025.</w:t>
      </w:r>
      <w:r>
        <w:rPr>
          <w:spacing w:val="-20"/>
        </w:rPr>
        <w:t> </w:t>
      </w:r>
      <w:r>
        <w:rPr/>
        <w:t>89 Bảng 4.11 Dự báo sản lượng container thông qua cảng biển VN 2021-2025         </w:t>
      </w:r>
      <w:r>
        <w:rPr>
          <w:spacing w:val="47"/>
        </w:rPr>
        <w:t> </w:t>
      </w:r>
      <w:r>
        <w:rPr/>
        <w:t>90</w:t>
      </w:r>
    </w:p>
    <w:p>
      <w:pPr>
        <w:spacing w:after="0" w:line="360" w:lineRule="auto"/>
        <w:jc w:val="both"/>
        <w:sectPr>
          <w:pgSz w:w="11910" w:h="16850"/>
          <w:pgMar w:header="751" w:footer="0" w:top="960" w:bottom="280" w:left="820" w:right="240"/>
        </w:sectPr>
      </w:pPr>
    </w:p>
    <w:p>
      <w:pPr>
        <w:pStyle w:val="BodyText"/>
        <w:tabs>
          <w:tab w:pos="9413" w:val="left" w:leader="dot"/>
        </w:tabs>
        <w:spacing w:line="360" w:lineRule="auto" w:before="275"/>
        <w:ind w:left="882" w:right="903"/>
      </w:pPr>
      <w:r>
        <w:rPr/>
        <w:t>Bảng 5.1 Bảng tóm tắt thang đo khái niệm ảnh hưởng lợi thế cạnh tranh cảng container Việt</w:t>
      </w:r>
      <w:r>
        <w:rPr>
          <w:spacing w:val="-2"/>
        </w:rPr>
        <w:t> </w:t>
      </w:r>
      <w:r>
        <w:rPr/>
        <w:t>Nam</w:t>
        <w:tab/>
        <w:t>91</w:t>
      </w:r>
    </w:p>
    <w:p>
      <w:pPr>
        <w:pStyle w:val="BodyText"/>
        <w:tabs>
          <w:tab w:pos="9413" w:val="left" w:leader="dot"/>
        </w:tabs>
        <w:spacing w:line="360" w:lineRule="auto" w:before="1"/>
        <w:ind w:left="882" w:right="1172"/>
      </w:pPr>
      <w:r>
        <w:rPr/>
        <w:t>Bảng 5.2 Thống kê tốc độ tăng trưởng cảng container tại Việt Nam theo mô hình dự báo ARIMA giai</w:t>
      </w:r>
      <w:r>
        <w:rPr>
          <w:spacing w:val="-6"/>
        </w:rPr>
        <w:t> </w:t>
      </w:r>
      <w:r>
        <w:rPr/>
        <w:t>doạn</w:t>
      </w:r>
      <w:r>
        <w:rPr>
          <w:spacing w:val="1"/>
        </w:rPr>
        <w:t> </w:t>
      </w:r>
      <w:r>
        <w:rPr/>
        <w:t>2021-2025</w:t>
        <w:tab/>
      </w:r>
      <w:r>
        <w:rPr>
          <w:spacing w:val="-9"/>
        </w:rPr>
        <w:t>95</w:t>
      </w:r>
    </w:p>
    <w:p>
      <w:pPr>
        <w:pStyle w:val="Heading6"/>
        <w:spacing w:before="450"/>
        <w:ind w:left="940" w:right="952"/>
        <w:jc w:val="center"/>
      </w:pPr>
      <w:bookmarkStart w:name="_TOC_250053" w:id="3"/>
      <w:bookmarkEnd w:id="3"/>
      <w:r>
        <w:rPr/>
        <w:t>DANH MỤC HÌNH</w:t>
      </w:r>
    </w:p>
    <w:p>
      <w:pPr>
        <w:spacing w:before="147"/>
        <w:ind w:left="0" w:right="987" w:firstLine="0"/>
        <w:jc w:val="right"/>
        <w:rPr>
          <w:b/>
          <w:i/>
          <w:sz w:val="26"/>
        </w:rPr>
      </w:pPr>
      <w:r>
        <w:rPr>
          <w:b/>
          <w:i/>
          <w:w w:val="95"/>
          <w:sz w:val="26"/>
          <w:u w:val="thick"/>
        </w:rPr>
        <w:t>Trang</w:t>
      </w:r>
    </w:p>
    <w:p>
      <w:pPr>
        <w:pStyle w:val="BodyText"/>
        <w:tabs>
          <w:tab w:pos="9542" w:val="left" w:leader="dot"/>
        </w:tabs>
        <w:spacing w:before="150"/>
        <w:ind w:left="882"/>
      </w:pPr>
      <w:r>
        <w:rPr/>
        <w:t>Hình 1.1: Phương thức nghiên cứu tổng quát của</w:t>
      </w:r>
      <w:r>
        <w:rPr>
          <w:spacing w:val="-14"/>
        </w:rPr>
        <w:t> </w:t>
      </w:r>
      <w:r>
        <w:rPr/>
        <w:t>đề</w:t>
      </w:r>
      <w:r>
        <w:rPr>
          <w:spacing w:val="-2"/>
        </w:rPr>
        <w:t> </w:t>
      </w:r>
      <w:r>
        <w:rPr/>
        <w:t>tài</w:t>
        <w:tab/>
        <w:t>6</w:t>
      </w:r>
    </w:p>
    <w:p>
      <w:pPr>
        <w:pStyle w:val="BodyText"/>
        <w:tabs>
          <w:tab w:pos="9542" w:val="left" w:leader="dot"/>
        </w:tabs>
        <w:spacing w:before="150"/>
        <w:ind w:left="882"/>
      </w:pPr>
      <w:r>
        <w:rPr/>
        <w:t>Hình 1.2: Quy trình</w:t>
      </w:r>
      <w:r>
        <w:rPr>
          <w:spacing w:val="-5"/>
        </w:rPr>
        <w:t> </w:t>
      </w:r>
      <w:r>
        <w:rPr/>
        <w:t>nghiên</w:t>
      </w:r>
      <w:r>
        <w:rPr>
          <w:spacing w:val="-1"/>
        </w:rPr>
        <w:t> </w:t>
      </w:r>
      <w:r>
        <w:rPr/>
        <w:t>cứu</w:t>
        <w:tab/>
        <w:t>6</w:t>
      </w:r>
    </w:p>
    <w:p>
      <w:pPr>
        <w:pStyle w:val="BodyText"/>
        <w:tabs>
          <w:tab w:pos="9413" w:val="left" w:leader="dot"/>
        </w:tabs>
        <w:spacing w:before="150"/>
        <w:ind w:left="882"/>
      </w:pPr>
      <w:r>
        <w:rPr/>
        <w:t>Hình 2.1: Các yếu tố quyết định giá trị dành cho</w:t>
      </w:r>
      <w:r>
        <w:rPr>
          <w:spacing w:val="-16"/>
        </w:rPr>
        <w:t> </w:t>
      </w:r>
      <w:r>
        <w:rPr/>
        <w:t>khách</w:t>
      </w:r>
      <w:r>
        <w:rPr>
          <w:spacing w:val="-1"/>
        </w:rPr>
        <w:t> </w:t>
      </w:r>
      <w:r>
        <w:rPr/>
        <w:t>hàng</w:t>
        <w:tab/>
        <w:t>22</w:t>
      </w:r>
    </w:p>
    <w:p>
      <w:pPr>
        <w:pStyle w:val="BodyText"/>
        <w:tabs>
          <w:tab w:pos="9413" w:val="left" w:leader="dot"/>
        </w:tabs>
        <w:spacing w:before="150"/>
        <w:ind w:left="882"/>
      </w:pPr>
      <w:r>
        <w:rPr/>
        <w:t>Hình 3.1: Mô hình nghiên cứu của G-T Yeo và</w:t>
      </w:r>
      <w:r>
        <w:rPr>
          <w:spacing w:val="-13"/>
        </w:rPr>
        <w:t> </w:t>
      </w:r>
      <w:r>
        <w:rPr/>
        <w:t>cộng</w:t>
      </w:r>
      <w:r>
        <w:rPr>
          <w:spacing w:val="-2"/>
        </w:rPr>
        <w:t> </w:t>
      </w:r>
      <w:r>
        <w:rPr/>
        <w:t>sự</w:t>
        <w:tab/>
        <w:t>31</w:t>
      </w:r>
    </w:p>
    <w:p>
      <w:pPr>
        <w:pStyle w:val="BodyText"/>
        <w:tabs>
          <w:tab w:pos="9413" w:val="left" w:leader="dot"/>
        </w:tabs>
        <w:spacing w:before="150"/>
        <w:ind w:left="882"/>
      </w:pPr>
      <w:r>
        <w:rPr/>
        <w:t>Hình 3.2: Mô hình nghiên cứu của Yap và</w:t>
      </w:r>
      <w:r>
        <w:rPr>
          <w:spacing w:val="-13"/>
        </w:rPr>
        <w:t> </w:t>
      </w:r>
      <w:r>
        <w:rPr/>
        <w:t>Notteboom</w:t>
      </w:r>
      <w:r>
        <w:rPr>
          <w:spacing w:val="-2"/>
        </w:rPr>
        <w:t> </w:t>
      </w:r>
      <w:r>
        <w:rPr/>
        <w:t>(2011)</w:t>
        <w:tab/>
        <w:t>32</w:t>
      </w:r>
    </w:p>
    <w:p>
      <w:pPr>
        <w:pStyle w:val="BodyText"/>
        <w:tabs>
          <w:tab w:pos="9413" w:val="left" w:leader="dot"/>
        </w:tabs>
        <w:spacing w:before="150"/>
        <w:ind w:left="882"/>
      </w:pPr>
      <w:r>
        <w:rPr/>
        <w:t>Hình 3.3: Mô hình nghiên cứu của Ahmed Shaheen và Hany</w:t>
      </w:r>
      <w:r>
        <w:rPr>
          <w:spacing w:val="-20"/>
        </w:rPr>
        <w:t> </w:t>
      </w:r>
      <w:r>
        <w:rPr/>
        <w:t>Mahmoud</w:t>
      </w:r>
      <w:r>
        <w:rPr>
          <w:spacing w:val="-2"/>
        </w:rPr>
        <w:t> </w:t>
      </w:r>
      <w:r>
        <w:rPr/>
        <w:t>(2018)</w:t>
        <w:tab/>
        <w:t>33</w:t>
      </w:r>
    </w:p>
    <w:p>
      <w:pPr>
        <w:pStyle w:val="BodyText"/>
        <w:tabs>
          <w:tab w:pos="9413" w:val="left" w:leader="dot"/>
        </w:tabs>
        <w:spacing w:before="147"/>
        <w:ind w:left="882"/>
      </w:pPr>
      <w:r>
        <w:rPr/>
        <w:t>Hình 3.4: Mô hình nghiên cứu đề xuất của</w:t>
      </w:r>
      <w:r>
        <w:rPr>
          <w:spacing w:val="-11"/>
        </w:rPr>
        <w:t> </w:t>
      </w:r>
      <w:r>
        <w:rPr/>
        <w:t>tác</w:t>
      </w:r>
      <w:r>
        <w:rPr>
          <w:spacing w:val="1"/>
        </w:rPr>
        <w:t> </w:t>
      </w:r>
      <w:r>
        <w:rPr/>
        <w:t>giả</w:t>
        <w:tab/>
        <w:t>38</w:t>
      </w:r>
    </w:p>
    <w:p>
      <w:pPr>
        <w:pStyle w:val="BodyText"/>
        <w:tabs>
          <w:tab w:pos="9413" w:val="left" w:leader="dot"/>
        </w:tabs>
        <w:spacing w:before="150"/>
        <w:ind w:left="882"/>
      </w:pPr>
      <w:r>
        <w:rPr/>
        <w:t>Hình 3.5: Kết quả CFA thang đo các</w:t>
      </w:r>
      <w:r>
        <w:rPr>
          <w:spacing w:val="-5"/>
        </w:rPr>
        <w:t> </w:t>
      </w:r>
      <w:r>
        <w:rPr/>
        <w:t>khái</w:t>
      </w:r>
      <w:r>
        <w:rPr>
          <w:spacing w:val="-2"/>
        </w:rPr>
        <w:t> </w:t>
      </w:r>
      <w:r>
        <w:rPr/>
        <w:t>niệm</w:t>
        <w:tab/>
        <w:t>61</w:t>
      </w:r>
    </w:p>
    <w:p>
      <w:pPr>
        <w:pStyle w:val="BodyText"/>
        <w:tabs>
          <w:tab w:pos="9413" w:val="left" w:leader="dot"/>
        </w:tabs>
        <w:spacing w:before="150"/>
        <w:ind w:left="882"/>
      </w:pPr>
      <w:r>
        <w:rPr/>
        <w:t>Hình 3.6: Kết quả SEM của mô hình lý thuyết chuẩn hoá lợi thế</w:t>
      </w:r>
      <w:r>
        <w:rPr>
          <w:spacing w:val="-13"/>
        </w:rPr>
        <w:t> </w:t>
      </w:r>
      <w:r>
        <w:rPr/>
        <w:t>cạnh</w:t>
      </w:r>
      <w:r>
        <w:rPr>
          <w:spacing w:val="-2"/>
        </w:rPr>
        <w:t> </w:t>
      </w:r>
      <w:r>
        <w:rPr/>
        <w:t>tranh</w:t>
        <w:tab/>
        <w:t>62</w:t>
      </w:r>
    </w:p>
    <w:p>
      <w:pPr>
        <w:pStyle w:val="BodyText"/>
        <w:tabs>
          <w:tab w:pos="9413" w:val="left" w:leader="dot"/>
        </w:tabs>
        <w:spacing w:before="150"/>
        <w:ind w:left="882"/>
      </w:pPr>
      <w:r>
        <w:rPr/>
        <w:t>Hình 3.7: Mô hình nâng cao năng lực cạnh tranh cảng</w:t>
      </w:r>
      <w:r>
        <w:rPr>
          <w:spacing w:val="-16"/>
        </w:rPr>
        <w:t> </w:t>
      </w:r>
      <w:r>
        <w:rPr/>
        <w:t>container</w:t>
      </w:r>
      <w:r>
        <w:rPr>
          <w:spacing w:val="-2"/>
        </w:rPr>
        <w:t> </w:t>
      </w:r>
      <w:r>
        <w:rPr/>
        <w:t>VN</w:t>
        <w:tab/>
        <w:t>65</w:t>
      </w:r>
    </w:p>
    <w:p>
      <w:pPr>
        <w:pStyle w:val="BodyText"/>
        <w:tabs>
          <w:tab w:pos="9413" w:val="left" w:leader="dot"/>
        </w:tabs>
        <w:spacing w:before="150"/>
        <w:ind w:left="882"/>
      </w:pPr>
      <w:r>
        <w:rPr/>
        <w:t>Hình 4.1: Sơ đồ tuyến vận tải container đến cảng</w:t>
      </w:r>
      <w:r>
        <w:rPr>
          <w:spacing w:val="-10"/>
        </w:rPr>
        <w:t> </w:t>
      </w:r>
      <w:r>
        <w:rPr/>
        <w:t>chuyển</w:t>
      </w:r>
      <w:r>
        <w:rPr>
          <w:spacing w:val="1"/>
        </w:rPr>
        <w:t> </w:t>
      </w:r>
      <w:r>
        <w:rPr/>
        <w:t>tải</w:t>
        <w:tab/>
        <w:t>71</w:t>
      </w:r>
    </w:p>
    <w:p>
      <w:pPr>
        <w:pStyle w:val="BodyText"/>
        <w:tabs>
          <w:tab w:pos="9413" w:val="left" w:leader="dot"/>
        </w:tabs>
        <w:spacing w:before="150"/>
        <w:ind w:left="882"/>
      </w:pPr>
      <w:r>
        <w:rPr/>
        <w:t>Hình 4.2: Sơ đồ tuyến vận chuyển container tới khu bến</w:t>
      </w:r>
      <w:r>
        <w:rPr>
          <w:spacing w:val="-10"/>
        </w:rPr>
        <w:t> </w:t>
      </w:r>
      <w:r>
        <w:rPr/>
        <w:t>đầu</w:t>
      </w:r>
      <w:r>
        <w:rPr>
          <w:spacing w:val="-1"/>
        </w:rPr>
        <w:t> </w:t>
      </w:r>
      <w:r>
        <w:rPr/>
        <w:t>mối</w:t>
        <w:tab/>
        <w:t>72</w:t>
      </w:r>
    </w:p>
    <w:p>
      <w:pPr>
        <w:pStyle w:val="BodyText"/>
        <w:tabs>
          <w:tab w:pos="9413" w:val="left" w:leader="dot"/>
        </w:tabs>
        <w:spacing w:before="150"/>
        <w:ind w:left="882"/>
      </w:pPr>
      <w:r>
        <w:rPr/>
        <w:t>Hình 4.3: Sơ đồ tuyến vận chuyển container tới khu</w:t>
      </w:r>
      <w:r>
        <w:rPr>
          <w:spacing w:val="-10"/>
        </w:rPr>
        <w:t> </w:t>
      </w:r>
      <w:r>
        <w:rPr/>
        <w:t>bến</w:t>
      </w:r>
      <w:r>
        <w:rPr>
          <w:spacing w:val="-2"/>
        </w:rPr>
        <w:t> </w:t>
      </w:r>
      <w:r>
        <w:rPr/>
        <w:t>nhánh</w:t>
        <w:tab/>
        <w:t>72</w:t>
      </w:r>
    </w:p>
    <w:p>
      <w:pPr>
        <w:pStyle w:val="BodyText"/>
        <w:tabs>
          <w:tab w:pos="9413" w:val="left" w:leader="dot"/>
        </w:tabs>
        <w:spacing w:before="147"/>
        <w:ind w:left="882"/>
      </w:pPr>
      <w:r>
        <w:rPr/>
        <w:t>Hình 4.4: Đồ thị sản lượng container thông qua</w:t>
      </w:r>
      <w:r>
        <w:rPr>
          <w:spacing w:val="-11"/>
        </w:rPr>
        <w:t> </w:t>
      </w:r>
      <w:r>
        <w:rPr/>
        <w:t>các</w:t>
      </w:r>
      <w:r>
        <w:rPr>
          <w:spacing w:val="-1"/>
        </w:rPr>
        <w:t> </w:t>
      </w:r>
      <w:r>
        <w:rPr/>
        <w:t>cảng</w:t>
        <w:tab/>
        <w:t>85</w:t>
      </w:r>
    </w:p>
    <w:p>
      <w:pPr>
        <w:pStyle w:val="BodyText"/>
        <w:tabs>
          <w:tab w:pos="9413" w:val="left" w:leader="dot"/>
        </w:tabs>
        <w:spacing w:before="150"/>
        <w:ind w:left="882"/>
      </w:pPr>
      <w:r>
        <w:rPr/>
        <w:t>Hình 4.5: Đồ thị sai phân</w:t>
      </w:r>
      <w:r>
        <w:rPr>
          <w:spacing w:val="-7"/>
        </w:rPr>
        <w:t> </w:t>
      </w:r>
      <w:r>
        <w:rPr/>
        <w:t>bậc</w:t>
      </w:r>
      <w:r>
        <w:rPr>
          <w:spacing w:val="-2"/>
        </w:rPr>
        <w:t> </w:t>
      </w:r>
      <w:r>
        <w:rPr/>
        <w:t>2</w:t>
        <w:tab/>
        <w:t>85</w:t>
      </w:r>
    </w:p>
    <w:p>
      <w:pPr>
        <w:pStyle w:val="BodyText"/>
        <w:tabs>
          <w:tab w:pos="9413" w:val="left" w:leader="dot"/>
        </w:tabs>
        <w:spacing w:before="150"/>
        <w:ind w:left="882"/>
      </w:pPr>
      <w:r>
        <w:rPr/>
        <w:t>Hình 4.6: Biểu đồ tương</w:t>
      </w:r>
      <w:r>
        <w:rPr>
          <w:spacing w:val="-7"/>
        </w:rPr>
        <w:t> </w:t>
      </w:r>
      <w:r>
        <w:rPr/>
        <w:t>quan</w:t>
      </w:r>
      <w:r>
        <w:rPr>
          <w:spacing w:val="-2"/>
        </w:rPr>
        <w:t> </w:t>
      </w:r>
      <w:r>
        <w:rPr/>
        <w:t>ACF</w:t>
        <w:tab/>
        <w:t>86</w:t>
      </w:r>
    </w:p>
    <w:p>
      <w:pPr>
        <w:pStyle w:val="BodyText"/>
        <w:tabs>
          <w:tab w:pos="9413" w:val="left" w:leader="dot"/>
        </w:tabs>
        <w:spacing w:before="150"/>
        <w:ind w:left="882"/>
      </w:pPr>
      <w:r>
        <w:rPr/>
        <w:t>Hình 4.7: Biểu đồ tương</w:t>
      </w:r>
      <w:r>
        <w:rPr>
          <w:spacing w:val="-7"/>
        </w:rPr>
        <w:t> </w:t>
      </w:r>
      <w:r>
        <w:rPr/>
        <w:t>quan</w:t>
      </w:r>
      <w:r>
        <w:rPr>
          <w:spacing w:val="-1"/>
        </w:rPr>
        <w:t> </w:t>
      </w:r>
      <w:r>
        <w:rPr/>
        <w:t>PACF</w:t>
        <w:tab/>
        <w:t>86</w:t>
      </w:r>
    </w:p>
    <w:p>
      <w:pPr>
        <w:pStyle w:val="BodyText"/>
        <w:tabs>
          <w:tab w:pos="9413" w:val="left" w:leader="dot"/>
        </w:tabs>
        <w:spacing w:before="149"/>
        <w:ind w:left="882"/>
      </w:pPr>
      <w:r>
        <w:rPr/>
        <w:t>Hình 4.8. Đồ thị phần dư của mô</w:t>
      </w:r>
      <w:r>
        <w:rPr>
          <w:spacing w:val="-7"/>
        </w:rPr>
        <w:t> </w:t>
      </w:r>
      <w:r>
        <w:rPr/>
        <w:t>hình</w:t>
      </w:r>
      <w:r>
        <w:rPr>
          <w:spacing w:val="-2"/>
        </w:rPr>
        <w:t> </w:t>
      </w:r>
      <w:r>
        <w:rPr/>
        <w:t>ARIMA</w:t>
        <w:tab/>
        <w:t>88</w:t>
      </w:r>
    </w:p>
    <w:p>
      <w:pPr>
        <w:pStyle w:val="BodyText"/>
        <w:tabs>
          <w:tab w:pos="9281" w:val="left" w:leader="dot"/>
        </w:tabs>
        <w:spacing w:before="151"/>
        <w:ind w:left="882"/>
      </w:pPr>
      <w:r>
        <w:rPr/>
        <w:t>Hình 4.11: Kết quả phân tích mô hình cấu trúc tuyến</w:t>
      </w:r>
      <w:r>
        <w:rPr>
          <w:spacing w:val="-12"/>
        </w:rPr>
        <w:t> </w:t>
      </w:r>
      <w:r>
        <w:rPr/>
        <w:t>tính</w:t>
      </w:r>
      <w:r>
        <w:rPr>
          <w:spacing w:val="1"/>
        </w:rPr>
        <w:t> </w:t>
      </w:r>
      <w:r>
        <w:rPr/>
        <w:t>SEM</w:t>
        <w:tab/>
        <w:t>123</w:t>
      </w:r>
    </w:p>
    <w:p>
      <w:pPr>
        <w:pStyle w:val="BodyText"/>
        <w:tabs>
          <w:tab w:pos="9281" w:val="left" w:leader="dot"/>
        </w:tabs>
        <w:spacing w:line="357" w:lineRule="auto" w:before="150"/>
        <w:ind w:left="882" w:right="1174"/>
      </w:pPr>
      <w:r>
        <w:rPr/>
        <w:t>Hình 4.12: Mô hình ảnh hưởng đặc tính cảng tác động đến hiệu quả khai thác cảng container</w:t>
        <w:tab/>
      </w:r>
      <w:r>
        <w:rPr>
          <w:spacing w:val="-6"/>
        </w:rPr>
        <w:t>128</w:t>
      </w:r>
    </w:p>
    <w:p>
      <w:pPr>
        <w:spacing w:after="0" w:line="357" w:lineRule="auto"/>
        <w:sectPr>
          <w:pgSz w:w="11910" w:h="16850"/>
          <w:pgMar w:header="751" w:footer="0" w:top="960" w:bottom="280" w:left="820" w:right="240"/>
        </w:sectPr>
      </w:pPr>
    </w:p>
    <w:p>
      <w:pPr>
        <w:pStyle w:val="BodyText"/>
        <w:rPr>
          <w:sz w:val="20"/>
        </w:rPr>
      </w:pPr>
    </w:p>
    <w:p>
      <w:pPr>
        <w:pStyle w:val="BodyText"/>
        <w:spacing w:before="7"/>
        <w:rPr>
          <w:sz w:val="23"/>
        </w:rPr>
      </w:pPr>
    </w:p>
    <w:p>
      <w:pPr>
        <w:pStyle w:val="Heading6"/>
        <w:spacing w:before="89"/>
        <w:ind w:left="942" w:right="952"/>
        <w:jc w:val="center"/>
      </w:pPr>
      <w:r>
        <w:rPr/>
        <w:t>CHƯƠNG 1: TỔNG QUAN ĐỀ TÀI NGHIÊN CỨU</w:t>
      </w:r>
    </w:p>
    <w:p>
      <w:pPr>
        <w:pStyle w:val="Heading6"/>
        <w:numPr>
          <w:ilvl w:val="1"/>
          <w:numId w:val="6"/>
        </w:numPr>
        <w:tabs>
          <w:tab w:pos="1271" w:val="left" w:leader="none"/>
        </w:tabs>
        <w:spacing w:line="240" w:lineRule="auto" w:before="150" w:after="0"/>
        <w:ind w:left="1270" w:right="0" w:hanging="389"/>
        <w:jc w:val="both"/>
      </w:pPr>
      <w:bookmarkStart w:name="_TOC_250052" w:id="4"/>
      <w:r>
        <w:rPr/>
        <w:t>Vấn đề nghiên</w:t>
      </w:r>
      <w:r>
        <w:rPr>
          <w:spacing w:val="-2"/>
        </w:rPr>
        <w:t> </w:t>
      </w:r>
      <w:bookmarkEnd w:id="4"/>
      <w:r>
        <w:rPr/>
        <w:t>cứu</w:t>
      </w:r>
    </w:p>
    <w:p>
      <w:pPr>
        <w:pStyle w:val="Heading6"/>
        <w:numPr>
          <w:ilvl w:val="2"/>
          <w:numId w:val="6"/>
        </w:numPr>
        <w:tabs>
          <w:tab w:pos="1466" w:val="left" w:leader="none"/>
        </w:tabs>
        <w:spacing w:line="240" w:lineRule="auto" w:before="149" w:after="0"/>
        <w:ind w:left="1465" w:right="0" w:hanging="584"/>
        <w:jc w:val="both"/>
      </w:pPr>
      <w:bookmarkStart w:name="_TOC_250051" w:id="5"/>
      <w:r>
        <w:rPr/>
        <w:t>Bối cảnh nghiên cứu lý thuyết của đề</w:t>
      </w:r>
      <w:r>
        <w:rPr>
          <w:spacing w:val="-2"/>
        </w:rPr>
        <w:t> </w:t>
      </w:r>
      <w:bookmarkEnd w:id="5"/>
      <w:r>
        <w:rPr/>
        <w:t>tài</w:t>
      </w:r>
    </w:p>
    <w:p>
      <w:pPr>
        <w:pStyle w:val="BodyText"/>
        <w:spacing w:line="360" w:lineRule="auto" w:before="148"/>
        <w:ind w:left="882" w:right="867" w:firstLine="719"/>
        <w:jc w:val="both"/>
      </w:pPr>
      <w:r>
        <w:rPr/>
        <w:t>Cảng container đóng vai trò quan trọng mấu chốt trong hoạt động Logistics vận chuyển hàng hóa bằng container trên toàn cầu (Baird, 2006) và chúng cũng có thể đáp ứng được các yêu cầu trong nền Logistics hội nhập. Khả năng cung cấp dich vụ Logistics trở thành một vấn đề quan trọng sống còn cho cảng, cũng như tạo ra dịch vụ giá trị gia tăng và đáp ứng nhu cầu khách hàng (Juang và Roe, 2010).</w:t>
      </w:r>
    </w:p>
    <w:p>
      <w:pPr>
        <w:pStyle w:val="BodyText"/>
        <w:spacing w:line="360" w:lineRule="auto" w:before="2"/>
        <w:ind w:left="882" w:right="867" w:firstLine="719"/>
        <w:jc w:val="both"/>
      </w:pPr>
      <w:r>
        <w:rPr/>
        <w:t>Cảng container hiện nay phải đối mặt với những thách thức chưa từng có trong một môi trường cạnh tranh gay gắt trong bối cảnh áp lực ngày càng tăng từ các bên liên quan nhằm trở thành động lực cho tăng trưởng kinh tế. Với khả năng thương  lượng của những liên minh, tập đoàn vận chuyển toàn cầu đã làm tăng thêm sự cạnh tranh ngày một khốc liệt giữa các cảng. Do đó, các cảng đang thua lỗ, khi họ phải đối mặt với việc cạnh tranh giữa các cảng ngày một nghiêm trọng và đang bị đe dọa bởi khả năng đàm phán của tập đoàn toàn</w:t>
      </w:r>
      <w:r>
        <w:rPr>
          <w:spacing w:val="-4"/>
        </w:rPr>
        <w:t> </w:t>
      </w:r>
      <w:r>
        <w:rPr/>
        <w:t>cầu.</w:t>
      </w:r>
    </w:p>
    <w:p>
      <w:pPr>
        <w:pStyle w:val="BodyText"/>
        <w:spacing w:line="360" w:lineRule="auto"/>
        <w:ind w:left="882" w:right="886" w:firstLine="391"/>
        <w:jc w:val="both"/>
      </w:pPr>
      <w:r>
        <w:rPr/>
        <w:t>Để duy trì vị trí của cảng trên thị trường, cảng phải nâng cao hơn nữa lợi thế cạnh tranh của bản thân so với các đối thủ cạnh tranh. Cụ thể là cần đáp ứng các yêu cầu khác nhau của các hãng tàu, các doanh nghiệp xuất nhập khẩu cũng như các công ty kinh doanh dịch vụ Logistics… và do đó cố gắng để thích nghi với một môi trường luôn thay đổi. Nếu không có sự thay đổi sẽ bị các đối thủ cạnh tranh tranh giành và  qua mặt một cách nhanh chóng. Trong thực tế, cảng cần phải nỗ lực nhằm tìm hiểu các yếu tố nào tạo lợi thế cạnh tranh trong kinh doanh dịch vụ cảng để từ đó đưa ra các chính sách nhằm nâng cao lợi thế cạnh tranh trong khai thác cảng</w:t>
      </w:r>
      <w:r>
        <w:rPr>
          <w:spacing w:val="-5"/>
        </w:rPr>
        <w:t> </w:t>
      </w:r>
      <w:r>
        <w:rPr/>
        <w:t>biển.</w:t>
      </w:r>
    </w:p>
    <w:p>
      <w:pPr>
        <w:pStyle w:val="BodyText"/>
        <w:spacing w:line="360" w:lineRule="auto" w:before="1"/>
        <w:ind w:left="882" w:right="888" w:firstLine="719"/>
        <w:jc w:val="both"/>
      </w:pPr>
      <w:r>
        <w:rPr/>
        <w:t>Các lý thuyết về lợi thế cạnh tranh cảng biền không phát triển theo một đường thẳng, những đột phá về vận chuyển hàng hải quốc tế bằng container đã làm tăng các cuộc tranh luận về cạnh tranh giữa các cảng giành quyền trở thành trung tâm kết nối vận tải trong thương mại quốc tế. Các nghiên cứu có ảnh hưởng to lớn đến cạnh tranh cảng container có thể kể như nghiên cứu của Murphy (1991,1992); Willingdale (1994) và Tongzon, J., J. (1994) nhóm các tác giả này đã chỉ ra được rằng một cảng container có lợi thế cạnh tranh khi có vị trí địa lý thuận lợi, có tần số tàu ghé cảng nhiều và quan trọng là cảng phí phù hợp. Những năm sau đó Tongzon, J., J. và cộng sự (2002) bổ</w:t>
      </w:r>
    </w:p>
    <w:p>
      <w:pPr>
        <w:spacing w:after="0" w:line="360" w:lineRule="auto"/>
        <w:jc w:val="both"/>
        <w:sectPr>
          <w:headerReference w:type="default" r:id="rId9"/>
          <w:pgSz w:w="11910" w:h="16850"/>
          <w:pgMar w:header="751" w:footer="0" w:top="960" w:bottom="280" w:left="820" w:right="240"/>
          <w:pgNumType w:start="1"/>
        </w:sectPr>
      </w:pPr>
    </w:p>
    <w:p>
      <w:pPr>
        <w:pStyle w:val="BodyText"/>
        <w:rPr>
          <w:sz w:val="20"/>
        </w:rPr>
      </w:pPr>
    </w:p>
    <w:p>
      <w:pPr>
        <w:pStyle w:val="BodyText"/>
        <w:spacing w:before="7"/>
        <w:rPr>
          <w:sz w:val="23"/>
        </w:rPr>
      </w:pPr>
    </w:p>
    <w:p>
      <w:pPr>
        <w:pStyle w:val="BodyText"/>
        <w:spacing w:line="360" w:lineRule="auto" w:before="89"/>
        <w:ind w:left="882" w:right="888"/>
        <w:jc w:val="both"/>
      </w:pPr>
      <w:r>
        <w:rPr/>
        <w:t>sung thêm yếu tố cơ sở vật chất cảng và cho rằng một cảng container có điều kiện cơ sở vật chất tốt bên cạnh vị trí phù hợp và cảng phí tốt sẽ là điều kiện để khách hàng lựa chọn trong môi trường cạnh tranh. Tiếp theo các nghiên cứu về lợi thế cạnh tranh cảng container trong nghiên cứu của mình về chi phí hàng hải trong vận tải container quốc tế tác giả Gordon Wilmsmeier và cộng sự (2006) cho rằng khả năng kết nối của cảng và năng động trong trao đổi thông tin với khách hàng sẽ làm giảm chi phí cho các hãng vận tải từ đó sẽ quyết định đến việc lựa chọn cảng container của chủ tàu, chủ hàng từ đó sẽ làm tăng lợi thế cạnh tranh và hiệu quả khai thác cảng. Trong giai đoạn phát triển cảng hiện đại nghiên cứu về lợi thế cạnh tranh cảng container một số nhà nghiên cứu như Notteboom (2011); Vitor Caldeirinha (2012); Joana Coeloho (2013) cho rằng các yếu tố của cảng container bao gồm ở tuyến tiền phương và hậu phương là các đặc tính cảng sẽ ảnh hưởng đến lợi thế cạnh tranh cảng bao gồm các yếu tố vị trí, tính năng động, khả năng kết nối, tổ chức hoạt động dịch vụ CLDV logistics cảng, cơ sở hạ tầng cảng sẽ quyết định đến lợi thế cạnh tranh cảng container thông qua sự hài lòng khách hàng cảng ngoài chủ tàu, chủ hàng còn có các doanh nghiệp đại lý giao nhận bên cạnh lượng tàu ra vào cảng và năng suất, hiệu suất cảng từ đó các cảng sẽ nâng cao lợi thế cạnh tranh. Tuy nhiên các lý thuyết này chưa giải thích được những quốc gia có hệ thống cảng biển phần lớn nằm trên các nhánh sông và sâu trong đất liền như Việt Nam thì các đặc tính nào sẽ quyết định đến lợi thế cạnh tranh cảng container. Bên cạnh đó cũng có nhiều nhà nghiên cứu ở Việt Nam nghiên cứu các lý thuyết và </w:t>
      </w:r>
      <w:r>
        <w:rPr>
          <w:spacing w:val="5"/>
        </w:rPr>
        <w:t>đề </w:t>
      </w:r>
      <w:r>
        <w:rPr/>
        <w:t>xuất giải pháp nhằm nâng cao lợi thế cạnh tranh hệ thống cảng của Việt Nam tiêu biểu như tác giả Nguyễn Kim Chung (2001) trong nghiên cứu “</w:t>
      </w:r>
      <w:r>
        <w:rPr>
          <w:i/>
        </w:rPr>
        <w:t>Những giải pháp phát triển cảng </w:t>
      </w:r>
      <w:r>
        <w:rPr>
          <w:i/>
        </w:rPr>
        <w:t>biển phía Nam đến năm 2010</w:t>
      </w:r>
      <w:r>
        <w:rPr/>
        <w:t>” tác giả đã tổng hợp lý thuyết và phân tích những nguy cơ, thời cơ, điểm mạnh điểm yếu của cụm cảng phía nam với những vị trí, cơ sở hạ tầng, lợi thế kết nối nội địa sẽ ảnh hưởng đến hoạt động kinh doanh hiệu quả của cảng cũng như lợi thế cạnh tranh của cảng. Trong khi đó tác giả Nguyễn Ngọc Thanh  (2002) trong nghiên cứu “</w:t>
      </w:r>
      <w:r>
        <w:rPr>
          <w:i/>
        </w:rPr>
        <w:t>Giải pháp chiến lược phát triển cảng biển khu vực Tp.HCM</w:t>
      </w:r>
      <w:r>
        <w:rPr/>
        <w:t>” cũng cho rằng cơ sở hạ tầng và khả năng kết nối cũng như các dịch vụ Logistics sẽ ảnh hưởng đến phát triển cảng biển tuy nhiên các nghiên cứu này chưa cập nhật các vấn đề mới phát sinh trong quy hoạch phát triển cảng biển Việt Nam của Bộ Giao Thông Vận Tải</w:t>
      </w:r>
      <w:r>
        <w:rPr>
          <w:spacing w:val="17"/>
        </w:rPr>
        <w:t> </w:t>
      </w:r>
      <w:r>
        <w:rPr/>
        <w:t>đến</w:t>
      </w:r>
      <w:r>
        <w:rPr>
          <w:spacing w:val="19"/>
        </w:rPr>
        <w:t> </w:t>
      </w:r>
      <w:r>
        <w:rPr/>
        <w:t>năm</w:t>
      </w:r>
      <w:r>
        <w:rPr>
          <w:spacing w:val="19"/>
        </w:rPr>
        <w:t> </w:t>
      </w:r>
      <w:r>
        <w:rPr/>
        <w:t>2020</w:t>
      </w:r>
      <w:r>
        <w:rPr>
          <w:spacing w:val="19"/>
        </w:rPr>
        <w:t> </w:t>
      </w:r>
      <w:r>
        <w:rPr/>
        <w:t>và</w:t>
      </w:r>
      <w:r>
        <w:rPr>
          <w:spacing w:val="18"/>
        </w:rPr>
        <w:t> </w:t>
      </w:r>
      <w:r>
        <w:rPr/>
        <w:t>tầm</w:t>
      </w:r>
      <w:r>
        <w:rPr>
          <w:spacing w:val="20"/>
        </w:rPr>
        <w:t> </w:t>
      </w:r>
      <w:r>
        <w:rPr/>
        <w:t>nhìn</w:t>
      </w:r>
      <w:r>
        <w:rPr>
          <w:spacing w:val="17"/>
        </w:rPr>
        <w:t> </w:t>
      </w:r>
      <w:r>
        <w:rPr/>
        <w:t>đến</w:t>
      </w:r>
      <w:r>
        <w:rPr>
          <w:spacing w:val="18"/>
        </w:rPr>
        <w:t> </w:t>
      </w:r>
      <w:r>
        <w:rPr/>
        <w:t>năm</w:t>
      </w:r>
      <w:r>
        <w:rPr>
          <w:spacing w:val="17"/>
        </w:rPr>
        <w:t> </w:t>
      </w:r>
      <w:r>
        <w:rPr/>
        <w:t>2030</w:t>
      </w:r>
      <w:r>
        <w:rPr>
          <w:spacing w:val="18"/>
        </w:rPr>
        <w:t> </w:t>
      </w:r>
      <w:r>
        <w:rPr/>
        <w:t>cũng</w:t>
      </w:r>
      <w:r>
        <w:rPr>
          <w:spacing w:val="17"/>
        </w:rPr>
        <w:t> </w:t>
      </w:r>
      <w:r>
        <w:rPr/>
        <w:t>như</w:t>
      </w:r>
      <w:r>
        <w:rPr>
          <w:spacing w:val="19"/>
        </w:rPr>
        <w:t> </w:t>
      </w:r>
      <w:r>
        <w:rPr/>
        <w:t>quyết</w:t>
      </w:r>
      <w:r>
        <w:rPr>
          <w:spacing w:val="17"/>
        </w:rPr>
        <w:t> </w:t>
      </w:r>
      <w:r>
        <w:rPr/>
        <w:t>định</w:t>
      </w:r>
      <w:r>
        <w:rPr>
          <w:spacing w:val="20"/>
        </w:rPr>
        <w:t> </w:t>
      </w:r>
      <w:r>
        <w:rPr/>
        <w:t>số</w:t>
      </w:r>
      <w:r>
        <w:rPr>
          <w:spacing w:val="18"/>
        </w:rPr>
        <w:t> </w:t>
      </w:r>
      <w:r>
        <w:rPr/>
        <w:t>1037/QĐ-TTg</w:t>
      </w:r>
    </w:p>
    <w:p>
      <w:pPr>
        <w:spacing w:after="0" w:line="360" w:lineRule="auto"/>
        <w:jc w:val="both"/>
        <w:sectPr>
          <w:pgSz w:w="11910" w:h="16850"/>
          <w:pgMar w:header="751" w:footer="0" w:top="960" w:bottom="280" w:left="820" w:right="240"/>
        </w:sectPr>
      </w:pPr>
    </w:p>
    <w:p>
      <w:pPr>
        <w:pStyle w:val="BodyText"/>
        <w:rPr>
          <w:sz w:val="20"/>
        </w:rPr>
      </w:pPr>
    </w:p>
    <w:p>
      <w:pPr>
        <w:pStyle w:val="BodyText"/>
        <w:spacing w:before="7"/>
        <w:rPr>
          <w:sz w:val="23"/>
        </w:rPr>
      </w:pPr>
    </w:p>
    <w:p>
      <w:pPr>
        <w:spacing w:line="360" w:lineRule="auto" w:before="89"/>
        <w:ind w:left="882" w:right="888" w:firstLine="0"/>
        <w:jc w:val="both"/>
        <w:rPr>
          <w:sz w:val="26"/>
        </w:rPr>
      </w:pPr>
      <w:r>
        <w:rPr>
          <w:sz w:val="26"/>
        </w:rPr>
        <w:t>ngày 24/06 năm 2014 của Thủ Tướng Chính Phủ về việc phê duyệt điều chỉnh quy hoạch phát triển hệ thống cảng biển đến năm 2020 và định hướng đến năm 2030. Cùng với hướng nghiên cứu trên tác giả Nguyễn Thị Phương (2008) trong nghiên cứu “</w:t>
      </w:r>
      <w:r>
        <w:rPr>
          <w:i/>
          <w:sz w:val="26"/>
        </w:rPr>
        <w:t>Các </w:t>
      </w:r>
      <w:r>
        <w:rPr>
          <w:i/>
          <w:sz w:val="26"/>
        </w:rPr>
        <w:t>giải pháp cơ bản hoàn thiện và khai thác cảng container phục vụ vận tải đa phương thức</w:t>
      </w:r>
      <w:r>
        <w:rPr>
          <w:sz w:val="26"/>
        </w:rPr>
        <w:t>” tác giả cho rằng một cảng container nâng cao lợi thế cạnh tranh thì cần cải tiến công nghệ xếp dỡ, công nghệ thông tin kết nối, dịch vụ Logistics cảng cũng như đội ngũ lao động. Ngoài ra một số tác giả cũng nghiên cứu lý thuyết nâng cao lợi thế cạnh tranh cảng container nhưng theo hướng quy hoạch, dự án và còn khá rời rạc như Nguyễn Văn Khoảng (2012) nghiên cứu về “</w:t>
      </w:r>
      <w:r>
        <w:rPr>
          <w:i/>
          <w:sz w:val="26"/>
        </w:rPr>
        <w:t>Phát triển cảng container khu vực đầu </w:t>
      </w:r>
      <w:r>
        <w:rPr>
          <w:i/>
          <w:sz w:val="26"/>
        </w:rPr>
        <w:t>mối phía nam</w:t>
      </w:r>
      <w:r>
        <w:rPr>
          <w:sz w:val="26"/>
        </w:rPr>
        <w:t>”; tác giả Dương Văn Bạo (2005) nghiên cứu “</w:t>
      </w:r>
      <w:r>
        <w:rPr>
          <w:i/>
          <w:sz w:val="26"/>
        </w:rPr>
        <w:t>Hoàn thiện phương pháp </w:t>
      </w:r>
      <w:r>
        <w:rPr>
          <w:i/>
          <w:sz w:val="26"/>
        </w:rPr>
        <w:t>quy hoạch bến cảng container và áp dụng vào khu vực kinh tế phía bắc Việt Nam</w:t>
      </w:r>
      <w:r>
        <w:rPr>
          <w:sz w:val="26"/>
        </w:rPr>
        <w:t>” hay tác giả Nguyễn Thị Thu Hà (2013) nghiên cứu “</w:t>
      </w:r>
      <w:r>
        <w:rPr>
          <w:i/>
          <w:sz w:val="26"/>
        </w:rPr>
        <w:t>Đầu tư phát triển cảng biển Việt Nam </w:t>
      </w:r>
      <w:r>
        <w:rPr>
          <w:i/>
          <w:sz w:val="26"/>
        </w:rPr>
        <w:t>giai đoạn 2005-2020</w:t>
      </w:r>
      <w:r>
        <w:rPr>
          <w:sz w:val="26"/>
        </w:rPr>
        <w:t>”. Và cho đến nay chưa có một công trình nghiên cứu nào nghiên cứu một cách đầy đủ, nghiên cứu đo lường tác động tổng hợp nâng cao lợi thế cạnh tranh cảng container của Việt Nam và đây cũng chính là một điểm trống về học thuật mà đề án muốn giải quyết.</w:t>
      </w:r>
    </w:p>
    <w:p>
      <w:pPr>
        <w:pStyle w:val="Heading6"/>
        <w:numPr>
          <w:ilvl w:val="2"/>
          <w:numId w:val="6"/>
        </w:numPr>
        <w:tabs>
          <w:tab w:pos="1466" w:val="left" w:leader="none"/>
        </w:tabs>
        <w:spacing w:line="240" w:lineRule="auto" w:before="1" w:after="0"/>
        <w:ind w:left="1465" w:right="0" w:hanging="584"/>
        <w:jc w:val="both"/>
      </w:pPr>
      <w:bookmarkStart w:name="_TOC_250050" w:id="6"/>
      <w:r>
        <w:rPr/>
        <w:t>Lý do nghiên</w:t>
      </w:r>
      <w:r>
        <w:rPr>
          <w:spacing w:val="-2"/>
        </w:rPr>
        <w:t> </w:t>
      </w:r>
      <w:bookmarkEnd w:id="6"/>
      <w:r>
        <w:rPr/>
        <w:t>cứu</w:t>
      </w:r>
    </w:p>
    <w:p>
      <w:pPr>
        <w:pStyle w:val="BodyText"/>
        <w:spacing w:line="360" w:lineRule="auto" w:before="150"/>
        <w:ind w:left="882" w:right="888" w:firstLine="719"/>
        <w:jc w:val="both"/>
      </w:pPr>
      <w:r>
        <w:rPr/>
        <w:t>Tiếp cận từ gốc độ thực tiễn, kinh tế Việt Nam tăng trưởng tốt trong những năm gần đây đã kéo theo sự gia tăng nhu cầu vận chuyển hàng hóa mạnh mẽ tương ứng. Trong vòng 10 năm qua khối lượng vận chuyển hàng hóa tăng gấp đôi, đạt hơn 293 triệu tấn vào năm 2018 tương ứng 13 triệu TEU và năm 2020 sản lượng đạt gần 370 triệu tấn đạt gần 20 triệu TEU mặc dù đây là giai đoạn dịch bệnh covid-19 hoành hành. Trong cơ cấu vận tải biển hàng hóa xuất nhập khẩu chiếm khoảng 60% và hàng nội địa 40%. Điều này cho thấy vai trò của ngành vận tải biển không ngừng tăng lên, đặc biệt là đối với phương thức vận chuyển bằng container để phục vụ cho hoạt động thương mại quốc tế đã và đang phát triển mạnh theo xu thế gia tăng hội nhập kinh tế quốc tế của Việt Nam và khối lượng vận chuyển bằng container thường chiếm tỷ lệ áp đảo trong hoạt động xuất nhập khẩu hàng hóa. Do đó, việc đầu tư hoàn thiện hệ thống cảng container để nâng cao lợi thế cạnh tranh đã thực sự trở thành một yêu cầu cấp thiết đối với nền kinh tế. Hiện Việt Nam có 45 cảng biển, 251 bến, 87,5 km cầu cảng, 18 khu neo đậu chuyển tải và 33 ICD (Hiệp hội Doanh Nghiệp Dịch Vụ Logistics VN, 2018,</w:t>
      </w:r>
    </w:p>
    <w:p>
      <w:pPr>
        <w:spacing w:after="0" w:line="360" w:lineRule="auto"/>
        <w:jc w:val="both"/>
        <w:sectPr>
          <w:pgSz w:w="11910" w:h="16850"/>
          <w:pgMar w:header="751" w:footer="0" w:top="960" w:bottom="280" w:left="820" w:right="240"/>
        </w:sectPr>
      </w:pPr>
    </w:p>
    <w:p>
      <w:pPr>
        <w:pStyle w:val="BodyText"/>
        <w:rPr>
          <w:sz w:val="20"/>
        </w:rPr>
      </w:pPr>
    </w:p>
    <w:p>
      <w:pPr>
        <w:pStyle w:val="BodyText"/>
        <w:spacing w:before="7"/>
        <w:rPr>
          <w:sz w:val="23"/>
        </w:rPr>
      </w:pPr>
    </w:p>
    <w:p>
      <w:pPr>
        <w:pStyle w:val="BodyText"/>
        <w:spacing w:line="360" w:lineRule="auto" w:before="89"/>
        <w:ind w:left="882" w:right="888"/>
        <w:jc w:val="both"/>
      </w:pPr>
      <w:r>
        <w:rPr/>
        <w:t>tr 41) nhưng số lượng cảng nước sâu và các cảng làm hàng container thì quá ít và phần lớn chỉ đáp ứng được nhu cầu của tàu trọng tải nhỏ trong khi đó nhu cầu vận chuyển hàng container lớn, các hãng tàu muốn giảm chi phí nên đưa tàu container có dung tích lớn vào khai thác điều này đã khiến các cảng biển VN bắt đầu bộc lộ nhiều khuyết điểm như thiếu đường dẫn, một số cảng bị than phiền về hạ tầng, đường sá ùn tắc thường xuyên, vị trí cảng ở trong thành phố chật chội, gây bất tiện cho giao thông. Từ những thực trạng trên có thể thấy hệ thống cảng biển nói chung và cảng container nói riêng ở Việt Nam đến nay vẫn chưa đáp ứng được các yêu cầu phát triển tương xứng.</w:t>
      </w:r>
    </w:p>
    <w:p>
      <w:pPr>
        <w:pStyle w:val="BodyText"/>
        <w:spacing w:line="360" w:lineRule="auto" w:before="1"/>
        <w:ind w:left="882" w:right="886" w:firstLine="707"/>
        <w:jc w:val="both"/>
      </w:pPr>
      <w:r>
        <w:rPr/>
        <w:t>Tuy nhiên, do nhiều nguyên nhân khác nhau, cả chủ quan và khách quan, hiệu quả sử dụng, khai thác, lợi thế cạnh tranh hệ thống cảng container của nước ta còn thấp, chưa tương xứng với tiềm năng, lợi thế. Hiện tại, phần lớn </w:t>
      </w:r>
      <w:r>
        <w:rPr>
          <w:spacing w:val="2"/>
        </w:rPr>
        <w:t>các </w:t>
      </w:r>
      <w:r>
        <w:rPr/>
        <w:t>cảng container vẫn sử dụng công nghệ quản lý, khai thác lạc hậu, năng suất xếp dỡ hạn chế (chỉ đạt 45% - 50% mức tiên tiến của thế giới). Trong khi đó, một số bến cảng container, do quy hoạch thiếu tầm nhìn, nặng về đối phó với tăng trưởng cục bộ, nên khó có thể kết nối để thiết lập mạng lưới giao thông quốc gia đồng bộ, chặt chẽ. Điều này không chỉ dẫn tới tình trạng cảng nhiều, hàng hóa ít, mà còn làm suy yếu lợi thế thông quan hàng hóa ở các cảng vốn là đô thị lớn, nhưng phải chịu sức ép về dân số tăng nhanh và hạ tầng giao thông xuống cấp và hiện nay các cảng vẫn chưa phát triển kịp theo kế hoạch định hướng của Chính Phủ, nhiều cảng vẫn đang trong tình trạng chờ hàng, chờ tàu, thiếu kết nối, khai thác kém hiệu</w:t>
      </w:r>
      <w:r>
        <w:rPr>
          <w:spacing w:val="-5"/>
        </w:rPr>
        <w:t> </w:t>
      </w:r>
      <w:r>
        <w:rPr/>
        <w:t>quả.</w:t>
      </w:r>
    </w:p>
    <w:p>
      <w:pPr>
        <w:pStyle w:val="BodyText"/>
        <w:spacing w:line="360" w:lineRule="auto"/>
        <w:ind w:left="882" w:right="889" w:firstLine="707"/>
        <w:jc w:val="both"/>
      </w:pPr>
      <w:r>
        <w:rPr/>
        <w:t>Mặt khác tiếp cận từ gốc độ lý luận về hoạt động Logistics và lược khảo các nghiên cứu thực nghiệm ở nhiều nơi trên thế giới như các nghiên cứu của Tongzon, J. (2002); Gordon Wilmsmeier và cộng sự (2006); Notteboom (2011); Vitor Caldeirinha (2013; 2014) cũng cho thấy đang tồn tại một khoảng trống nghiên cứu liên quan đến vấn đề lợi thế cạnh tranh cảng container. Mặc dù đã có nhiều công trình nghiên cứu về lợi thế cạnh tranh cảng container nhưng phần lớn chỉ nghiên cứu tác động mang tính riêng biệt của các yếu tố tổ chức hoạt động của cảng đến lợi thế cạnh tranh cảng mà chưa có công trình nào nghiên cứu đo lường tác động tổng hợp (mang tính tương hỗ) giữa các yếu tố đặc trưng của cảng để nâng cao lợi thế cạnh tranh của cảng container tại Việt</w:t>
      </w:r>
      <w:r>
        <w:rPr>
          <w:spacing w:val="-1"/>
        </w:rPr>
        <w:t> </w:t>
      </w:r>
      <w:r>
        <w:rPr/>
        <w:t>Nam</w:t>
      </w:r>
    </w:p>
    <w:p>
      <w:pPr>
        <w:spacing w:after="0" w:line="360" w:lineRule="auto"/>
        <w:jc w:val="both"/>
        <w:sectPr>
          <w:pgSz w:w="11910" w:h="16850"/>
          <w:pgMar w:header="751" w:footer="0" w:top="960" w:bottom="280" w:left="820" w:right="240"/>
        </w:sectPr>
      </w:pPr>
    </w:p>
    <w:p>
      <w:pPr>
        <w:pStyle w:val="BodyText"/>
        <w:rPr>
          <w:sz w:val="20"/>
        </w:rPr>
      </w:pPr>
    </w:p>
    <w:p>
      <w:pPr>
        <w:pStyle w:val="BodyText"/>
        <w:spacing w:before="7"/>
        <w:rPr>
          <w:sz w:val="23"/>
        </w:rPr>
      </w:pPr>
    </w:p>
    <w:p>
      <w:pPr>
        <w:spacing w:line="360" w:lineRule="auto" w:before="89"/>
        <w:ind w:left="882" w:right="867" w:firstLine="707"/>
        <w:jc w:val="both"/>
        <w:rPr>
          <w:sz w:val="26"/>
        </w:rPr>
      </w:pPr>
      <w:r>
        <w:rPr>
          <w:sz w:val="26"/>
        </w:rPr>
        <w:t>Tóm lại, trên cơ sở lý thuyết, thực tiễn tác giả đề xuất nghiên cứu đề án “</w:t>
      </w:r>
      <w:r>
        <w:rPr>
          <w:b/>
          <w:i/>
          <w:sz w:val="26"/>
        </w:rPr>
        <w:t>Nâng </w:t>
      </w:r>
      <w:r>
        <w:rPr>
          <w:b/>
          <w:i/>
          <w:sz w:val="26"/>
        </w:rPr>
        <w:t>cao lợi thế cạnh tranh cho các cảng container tại Việt Nam</w:t>
      </w:r>
      <w:r>
        <w:rPr>
          <w:sz w:val="26"/>
        </w:rPr>
        <w:t>” nhằm làm sáng tỏ những yếu tố nào của cảng tác động làm tăng lợi thế cạnh tranh cảng</w:t>
      </w:r>
      <w:r>
        <w:rPr>
          <w:spacing w:val="-12"/>
          <w:sz w:val="26"/>
        </w:rPr>
        <w:t> </w:t>
      </w:r>
      <w:r>
        <w:rPr>
          <w:sz w:val="26"/>
        </w:rPr>
        <w:t>container.</w:t>
      </w:r>
    </w:p>
    <w:p>
      <w:pPr>
        <w:pStyle w:val="Heading6"/>
        <w:numPr>
          <w:ilvl w:val="1"/>
          <w:numId w:val="6"/>
        </w:numPr>
        <w:tabs>
          <w:tab w:pos="1271" w:val="left" w:leader="none"/>
        </w:tabs>
        <w:spacing w:line="298" w:lineRule="exact" w:before="0" w:after="0"/>
        <w:ind w:left="1270" w:right="0" w:hanging="389"/>
        <w:jc w:val="both"/>
      </w:pPr>
      <w:r>
        <w:rPr/>
        <w:t>Mục tiêu nghiên cứu của đề</w:t>
      </w:r>
      <w:r>
        <w:rPr>
          <w:spacing w:val="-2"/>
        </w:rPr>
        <w:t> </w:t>
      </w:r>
      <w:r>
        <w:rPr/>
        <w:t>án</w:t>
      </w:r>
    </w:p>
    <w:p>
      <w:pPr>
        <w:pStyle w:val="BodyText"/>
        <w:spacing w:line="360" w:lineRule="auto" w:before="150"/>
        <w:ind w:left="882" w:right="888" w:firstLine="719"/>
        <w:jc w:val="both"/>
      </w:pPr>
      <w:r>
        <w:rPr/>
        <w:t>Từ quan điểm của Micheal Porter: “Tóm lại có hai loại lợi thế cạnh tranh mà doanh nghiệp có thể sở hữu là chi phí phí thấp và khác biệt hóa”, trong đó, vị thế chi phí cũng như sự độc nhất của doanh nghiệp được quyết định bởi các yếu tố tác động đến chi phí và sự độc nhất (Porter M., 1985), nghiên cứu này xác định cơ sở khoa học của việc nâng cao lợi thế cạnh tranh cho doanh nghiệp là các yếu tố tạo lợi thế cạnh tranh. Vì thế, mục tiêu nghiên cứu được xác định:</w:t>
      </w:r>
    </w:p>
    <w:p>
      <w:pPr>
        <w:pStyle w:val="BodyText"/>
        <w:spacing w:line="357" w:lineRule="auto" w:before="2"/>
        <w:ind w:left="882" w:right="891" w:firstLine="719"/>
        <w:jc w:val="both"/>
      </w:pPr>
      <w:r>
        <w:rPr>
          <w:b/>
          <w:i/>
        </w:rPr>
        <w:t>Thứ nhất, </w:t>
      </w:r>
      <w:r>
        <w:rPr/>
        <w:t>khám phá các yếu tố tạo lợi thế cạnh tranh cho các cảng container tại Việt Nam, phát triển thang đo những yếu tố này và định vị tầm quan trọng của chúng.</w:t>
      </w:r>
    </w:p>
    <w:p>
      <w:pPr>
        <w:pStyle w:val="BodyText"/>
        <w:spacing w:before="5"/>
        <w:rPr>
          <w:sz w:val="39"/>
        </w:rPr>
      </w:pPr>
    </w:p>
    <w:p>
      <w:pPr>
        <w:pStyle w:val="BodyText"/>
        <w:spacing w:line="360" w:lineRule="auto"/>
        <w:ind w:left="882" w:right="889" w:firstLine="719"/>
        <w:jc w:val="both"/>
      </w:pPr>
      <w:r>
        <w:rPr>
          <w:b/>
          <w:i/>
        </w:rPr>
        <w:t>Thứ hai</w:t>
      </w:r>
      <w:r>
        <w:rPr/>
        <w:t>, định vị tình trạng hiện tại của các yếu tố tạo lợi thế cạnh tranh cho các cảng container tại Việt Nam; đồng thời, dự báo điều kiện phát triển các yếu tố này và thế định vị của chúng trong tương lai.</w:t>
      </w:r>
    </w:p>
    <w:p>
      <w:pPr>
        <w:pStyle w:val="BodyText"/>
        <w:spacing w:line="360" w:lineRule="auto" w:before="1"/>
        <w:ind w:left="882" w:right="889" w:firstLine="719"/>
        <w:jc w:val="both"/>
      </w:pPr>
      <w:r>
        <w:rPr>
          <w:b/>
          <w:i/>
        </w:rPr>
        <w:t>Thứ ba</w:t>
      </w:r>
      <w:r>
        <w:rPr/>
        <w:t>, hoạch định một số giải pháp nâng cao lợi thế cạnh tranh cho các các cảng container tại Việt Nam.</w:t>
      </w:r>
    </w:p>
    <w:p>
      <w:pPr>
        <w:pStyle w:val="Heading7"/>
        <w:numPr>
          <w:ilvl w:val="0"/>
          <w:numId w:val="7"/>
        </w:numPr>
        <w:tabs>
          <w:tab w:pos="1602" w:val="left" w:leader="none"/>
        </w:tabs>
        <w:spacing w:line="317" w:lineRule="exact" w:before="0" w:after="0"/>
        <w:ind w:left="1602" w:right="0" w:hanging="361"/>
        <w:jc w:val="both"/>
        <w:rPr>
          <w:i/>
        </w:rPr>
      </w:pPr>
      <w:r>
        <w:rPr>
          <w:i/>
        </w:rPr>
        <w:t>Câu hỏi nghiên</w:t>
      </w:r>
      <w:r>
        <w:rPr>
          <w:i/>
          <w:spacing w:val="-2"/>
        </w:rPr>
        <w:t> </w:t>
      </w:r>
      <w:r>
        <w:rPr>
          <w:i/>
        </w:rPr>
        <w:t>cứu:</w:t>
      </w:r>
    </w:p>
    <w:p>
      <w:pPr>
        <w:pStyle w:val="ListParagraph"/>
        <w:numPr>
          <w:ilvl w:val="0"/>
          <w:numId w:val="8"/>
        </w:numPr>
        <w:tabs>
          <w:tab w:pos="1149" w:val="left" w:leader="none"/>
        </w:tabs>
        <w:spacing w:line="360" w:lineRule="auto" w:before="149" w:after="0"/>
        <w:ind w:left="1241" w:right="893" w:hanging="360"/>
        <w:jc w:val="both"/>
        <w:rPr>
          <w:sz w:val="26"/>
        </w:rPr>
      </w:pPr>
      <w:r>
        <w:rPr>
          <w:sz w:val="26"/>
        </w:rPr>
        <w:t>Lợi thế cạnh tranh là gì? Những yếu nào có vai trò tạo lợi thế cạnh tranh cho doanh nghiệp, cho các cảng container tại Việt</w:t>
      </w:r>
      <w:r>
        <w:rPr>
          <w:spacing w:val="-1"/>
          <w:sz w:val="26"/>
        </w:rPr>
        <w:t> </w:t>
      </w:r>
      <w:r>
        <w:rPr>
          <w:sz w:val="26"/>
        </w:rPr>
        <w:t>Nam?</w:t>
      </w:r>
    </w:p>
    <w:p>
      <w:pPr>
        <w:pStyle w:val="ListParagraph"/>
        <w:numPr>
          <w:ilvl w:val="0"/>
          <w:numId w:val="8"/>
        </w:numPr>
        <w:tabs>
          <w:tab w:pos="1156" w:val="left" w:leader="none"/>
        </w:tabs>
        <w:spacing w:line="360" w:lineRule="auto" w:before="1" w:after="0"/>
        <w:ind w:left="1241" w:right="889" w:hanging="360"/>
        <w:jc w:val="both"/>
        <w:rPr>
          <w:sz w:val="26"/>
        </w:rPr>
      </w:pPr>
      <w:r>
        <w:rPr>
          <w:sz w:val="26"/>
        </w:rPr>
        <w:t>Sử dụng phương pháp nào để xây dựng dựng và kiểm định mô hình các yếu tố tạo lợi thế cạnh tranh cho các cảng container tại Việt Nam; làm gì để định vị tầm quan trọng và giá trị thực trạng của những yếu tố</w:t>
      </w:r>
      <w:r>
        <w:rPr>
          <w:spacing w:val="-6"/>
          <w:sz w:val="26"/>
        </w:rPr>
        <w:t> </w:t>
      </w:r>
      <w:r>
        <w:rPr>
          <w:sz w:val="26"/>
        </w:rPr>
        <w:t>này?</w:t>
      </w:r>
    </w:p>
    <w:p>
      <w:pPr>
        <w:pStyle w:val="ListParagraph"/>
        <w:numPr>
          <w:ilvl w:val="0"/>
          <w:numId w:val="8"/>
        </w:numPr>
        <w:tabs>
          <w:tab w:pos="1182" w:val="left" w:leader="none"/>
        </w:tabs>
        <w:spacing w:line="360" w:lineRule="auto" w:before="0" w:after="0"/>
        <w:ind w:left="1179" w:right="891" w:hanging="298"/>
        <w:jc w:val="both"/>
        <w:rPr>
          <w:sz w:val="26"/>
        </w:rPr>
      </w:pPr>
      <w:r>
        <w:rPr>
          <w:sz w:val="26"/>
        </w:rPr>
        <w:t>Những hướng tác động nào cho phép nâng cao lợi thế cạnh tranh cho các cảng container tại Việt</w:t>
      </w:r>
      <w:r>
        <w:rPr>
          <w:spacing w:val="-2"/>
          <w:sz w:val="26"/>
        </w:rPr>
        <w:t> </w:t>
      </w:r>
      <w:r>
        <w:rPr>
          <w:sz w:val="26"/>
        </w:rPr>
        <w:t>Nam</w:t>
      </w:r>
    </w:p>
    <w:p>
      <w:pPr>
        <w:pStyle w:val="Heading6"/>
        <w:numPr>
          <w:ilvl w:val="1"/>
          <w:numId w:val="6"/>
        </w:numPr>
        <w:tabs>
          <w:tab w:pos="1271" w:val="left" w:leader="none"/>
        </w:tabs>
        <w:spacing w:line="240" w:lineRule="auto" w:before="0" w:after="0"/>
        <w:ind w:left="1270" w:right="0" w:hanging="389"/>
        <w:jc w:val="both"/>
      </w:pPr>
      <w:bookmarkStart w:name="_TOC_250049" w:id="7"/>
      <w:r>
        <w:rPr/>
        <w:t>Phương pháp nghiên</w:t>
      </w:r>
      <w:r>
        <w:rPr>
          <w:spacing w:val="2"/>
        </w:rPr>
        <w:t> </w:t>
      </w:r>
      <w:bookmarkEnd w:id="7"/>
      <w:r>
        <w:rPr/>
        <w:t>cứu</w:t>
      </w:r>
    </w:p>
    <w:p>
      <w:pPr>
        <w:pStyle w:val="BodyText"/>
        <w:spacing w:line="360" w:lineRule="auto" w:before="149"/>
        <w:ind w:left="882" w:right="888" w:firstLine="719"/>
        <w:jc w:val="both"/>
      </w:pPr>
      <w:r>
        <w:rPr/>
        <w:t>Nghiên cứu này sử dụng phương pháp nghiên cứu hỗn hợp, kết hợp một cách linh hoạt của cả hai phương pháp nghiên cứu khoa học cơ bản, đó là phương pháp nghiên cứu định tính và phương pháp nghiên cứu định lượng. Tuy nhiên phương pháp nghiên cứu định lượng được sử dụng chính cho nghiên cứu này.</w:t>
      </w:r>
    </w:p>
    <w:p>
      <w:pPr>
        <w:spacing w:after="0" w:line="360" w:lineRule="auto"/>
        <w:jc w:val="both"/>
        <w:sectPr>
          <w:pgSz w:w="11910" w:h="16850"/>
          <w:pgMar w:header="751" w:footer="0" w:top="960" w:bottom="280" w:left="820" w:right="240"/>
        </w:sectPr>
      </w:pPr>
    </w:p>
    <w:p>
      <w:pPr>
        <w:pStyle w:val="BodyText"/>
        <w:rPr>
          <w:sz w:val="20"/>
        </w:rPr>
      </w:pPr>
    </w:p>
    <w:p>
      <w:pPr>
        <w:pStyle w:val="BodyText"/>
        <w:spacing w:before="11"/>
        <w:rPr>
          <w:sz w:val="18"/>
        </w:rPr>
      </w:pPr>
    </w:p>
    <w:p>
      <w:pPr>
        <w:pStyle w:val="BodyText"/>
        <w:ind w:left="1004"/>
        <w:rPr>
          <w:sz w:val="20"/>
        </w:rPr>
      </w:pPr>
      <w:r>
        <w:rPr>
          <w:sz w:val="20"/>
        </w:rPr>
        <w:pict>
          <v:group style="width:432.8pt;height:59.95pt;mso-position-horizontal-relative:char;mso-position-vertical-relative:line" coordorigin="0,0" coordsize="8656,1199">
            <v:shape style="position:absolute;left:5354;top:7;width:3294;height:1184" coordorigin="5355,8" coordsize="3294,1184" path="m7002,8l6893,9,6787,12,6682,19,6580,27,6481,38,6384,50,6290,65,6200,82,6112,101,6029,122,5949,144,5873,168,5802,194,5735,221,5672,250,5615,280,5563,311,5474,378,5409,448,5368,522,5355,600,5358,638,5385,714,5438,787,5516,855,5615,919,5672,949,5735,978,5802,1005,5873,1031,5949,1055,6029,1077,6112,1098,6200,1117,6290,1134,6384,1149,6481,1161,6580,1172,6682,1180,6787,1187,6893,1190,7002,1191,7110,1190,7216,1187,7321,1180,7423,1172,7522,1161,7619,1149,7713,1134,7803,1117,7891,1098,7974,1077,8054,1055,8130,1031,8201,1005,8268,978,8331,949,8388,919,8440,888,8529,821,8594,751,8635,677,8649,600,8645,561,8618,485,8565,412,8487,344,8388,280,8331,250,8268,221,8201,194,8130,168,8054,144,7974,122,7891,101,7803,82,7713,65,7619,50,7522,38,7423,27,7321,19,7216,12,7110,9,7002,8xe" filled="false" stroked="true" strokeweight=".75pt" strokecolor="#000000">
              <v:path arrowok="t"/>
              <v:stroke dashstyle="solid"/>
            </v:shape>
            <v:shape style="position:absolute;left:3926;top:489;width:1428;height:120" coordorigin="3926,490" coordsize="1428,120" path="m5234,490l5234,610,5334,560,5254,560,5254,540,5334,540,5234,490xm5234,540l3926,540,3926,560,5234,560,5234,540xm5334,540l5254,540,5254,560,5334,560,5354,550,5334,540xe" filled="true" fillcolor="#000000" stroked="false">
              <v:path arrowok="t"/>
              <v:fill type="solid"/>
            </v:shape>
            <v:shape style="position:absolute;left:3926;top:0;width:4730;height:1199" type="#_x0000_t202" filled="false" stroked="false">
              <v:textbox inset="0,0,0,0">
                <w:txbxContent>
                  <w:p>
                    <w:pPr>
                      <w:spacing w:before="238"/>
                      <w:ind w:left="2019" w:right="577" w:firstLine="86"/>
                      <w:jc w:val="left"/>
                      <w:rPr>
                        <w:b/>
                        <w:sz w:val="26"/>
                      </w:rPr>
                    </w:pPr>
                    <w:r>
                      <w:rPr>
                        <w:b/>
                        <w:sz w:val="26"/>
                      </w:rPr>
                      <w:t>Diễn giải dựa vào kết quả định lượng</w:t>
                    </w:r>
                  </w:p>
                </w:txbxContent>
              </v:textbox>
              <w10:wrap type="none"/>
            </v:shape>
            <v:shape style="position:absolute;left:7;top:77;width:3919;height:1086" type="#_x0000_t202" filled="false" stroked="true" strokeweight=".75pt" strokecolor="#000000">
              <v:textbox inset="0,0,0,0">
                <w:txbxContent>
                  <w:p>
                    <w:pPr>
                      <w:spacing w:before="73"/>
                      <w:ind w:left="231" w:right="227" w:firstLine="0"/>
                      <w:jc w:val="center"/>
                      <w:rPr>
                        <w:b/>
                        <w:sz w:val="26"/>
                      </w:rPr>
                    </w:pPr>
                    <w:r>
                      <w:rPr>
                        <w:b/>
                        <w:sz w:val="26"/>
                      </w:rPr>
                      <w:t>HỖN HỢP</w:t>
                    </w:r>
                  </w:p>
                  <w:p>
                    <w:pPr>
                      <w:spacing w:before="150"/>
                      <w:ind w:left="231" w:right="229" w:firstLine="0"/>
                      <w:jc w:val="center"/>
                      <w:rPr>
                        <w:b/>
                        <w:sz w:val="26"/>
                      </w:rPr>
                    </w:pPr>
                    <w:r>
                      <w:rPr>
                        <w:b/>
                        <w:sz w:val="26"/>
                      </w:rPr>
                      <w:t>ĐỊNH LƯỢNG + ĐỊNH TÍNH</w:t>
                    </w:r>
                  </w:p>
                </w:txbxContent>
              </v:textbox>
              <v:stroke dashstyle="solid"/>
              <w10:wrap type="none"/>
            </v:shape>
          </v:group>
        </w:pict>
      </w:r>
      <w:r>
        <w:rPr>
          <w:sz w:val="20"/>
        </w:rPr>
      </w:r>
    </w:p>
    <w:p>
      <w:pPr>
        <w:pStyle w:val="BodyText"/>
        <w:spacing w:before="5"/>
        <w:rPr>
          <w:sz w:val="15"/>
        </w:rPr>
      </w:pPr>
    </w:p>
    <w:p>
      <w:pPr>
        <w:pStyle w:val="Heading6"/>
        <w:spacing w:before="89"/>
        <w:ind w:left="1095" w:right="387"/>
        <w:jc w:val="center"/>
      </w:pPr>
      <w:r>
        <w:rPr/>
        <w:t>Hình 1.1 Phương thức nghiên cứu tổng quát</w:t>
      </w:r>
    </w:p>
    <w:p>
      <w:pPr>
        <w:spacing w:before="150"/>
        <w:ind w:left="1095" w:right="387" w:firstLine="0"/>
        <w:jc w:val="center"/>
        <w:rPr>
          <w:i/>
          <w:sz w:val="26"/>
        </w:rPr>
      </w:pPr>
      <w:r>
        <w:rPr>
          <w:i/>
          <w:sz w:val="26"/>
        </w:rPr>
        <w:t>(Nguồn: Nguyễn Đình Thọ, 2011)</w:t>
      </w:r>
    </w:p>
    <w:p>
      <w:pPr>
        <w:pStyle w:val="BodyText"/>
        <w:spacing w:before="149"/>
        <w:ind w:left="882"/>
      </w:pPr>
      <w:r>
        <w:rPr/>
        <w:pict>
          <v:group style="position:absolute;margin-left:327.424988pt;margin-top:134.271729pt;width:189.75pt;height:99.75pt;mso-position-horizontal-relative:page;mso-position-vertical-relative:paragraph;z-index:15735808" coordorigin="6548,2685" coordsize="3795,1995">
            <v:shape style="position:absolute;left:7448;top:2685;width:195;height:375" type="#_x0000_t75" stroked="false">
              <v:imagedata r:id="rId10" o:title=""/>
            </v:shape>
            <v:shape style="position:absolute;left:6556;top:3052;width:3780;height:1620" type="#_x0000_t202" filled="false" stroked="true" strokeweight=".75pt" strokecolor="#000000">
              <v:textbox inset="0,0,0,0">
                <w:txbxContent>
                  <w:p>
                    <w:pPr>
                      <w:numPr>
                        <w:ilvl w:val="0"/>
                        <w:numId w:val="9"/>
                      </w:numPr>
                      <w:tabs>
                        <w:tab w:pos="218" w:val="left" w:leader="none"/>
                      </w:tabs>
                      <w:spacing w:before="74"/>
                      <w:ind w:left="261" w:right="115" w:hanging="195"/>
                      <w:jc w:val="left"/>
                      <w:rPr>
                        <w:sz w:val="26"/>
                      </w:rPr>
                    </w:pPr>
                    <w:r>
                      <w:rPr>
                        <w:sz w:val="26"/>
                      </w:rPr>
                      <w:t>Hoạch định chiến lược tạo lợi thế cạnh tranh cho doanh</w:t>
                    </w:r>
                    <w:r>
                      <w:rPr>
                        <w:spacing w:val="-12"/>
                        <w:sz w:val="26"/>
                      </w:rPr>
                      <w:t> </w:t>
                    </w:r>
                    <w:r>
                      <w:rPr>
                        <w:sz w:val="26"/>
                      </w:rPr>
                      <w:t>nghiệp</w:t>
                    </w:r>
                  </w:p>
                  <w:p>
                    <w:pPr>
                      <w:numPr>
                        <w:ilvl w:val="0"/>
                        <w:numId w:val="9"/>
                      </w:numPr>
                      <w:tabs>
                        <w:tab w:pos="218" w:val="left" w:leader="none"/>
                      </w:tabs>
                      <w:spacing w:before="0"/>
                      <w:ind w:left="261" w:right="455" w:hanging="195"/>
                      <w:jc w:val="left"/>
                      <w:rPr>
                        <w:sz w:val="26"/>
                      </w:rPr>
                    </w:pPr>
                    <w:r>
                      <w:rPr>
                        <w:sz w:val="26"/>
                      </w:rPr>
                      <w:t>Kinh nghiệm nâng cao lợi</w:t>
                    </w:r>
                    <w:r>
                      <w:rPr>
                        <w:spacing w:val="-10"/>
                        <w:sz w:val="26"/>
                      </w:rPr>
                      <w:t> </w:t>
                    </w:r>
                    <w:r>
                      <w:rPr>
                        <w:sz w:val="26"/>
                      </w:rPr>
                      <w:t>thế cạnh tranh cho cảng</w:t>
                    </w:r>
                    <w:r>
                      <w:rPr>
                        <w:spacing w:val="-4"/>
                        <w:sz w:val="26"/>
                      </w:rPr>
                      <w:t> </w:t>
                    </w:r>
                    <w:r>
                      <w:rPr>
                        <w:sz w:val="26"/>
                      </w:rPr>
                      <w:t>biển</w:t>
                    </w:r>
                  </w:p>
                </w:txbxContent>
              </v:textbox>
              <v:stroke dashstyle="solid"/>
              <w10:wrap type="none"/>
            </v:shape>
            <w10:wrap type="none"/>
          </v:group>
        </w:pict>
      </w:r>
      <w:r>
        <w:rPr/>
        <w:pict>
          <v:group style="position:absolute;margin-left:75.425003pt;margin-top:134.271729pt;width:234.75pt;height:99.75pt;mso-position-horizontal-relative:page;mso-position-vertical-relative:paragraph;z-index:15736832" coordorigin="1509,2685" coordsize="4695,1995">
            <v:shape style="position:absolute;left:4208;top:2685;width:195;height:375" type="#_x0000_t75" stroked="false">
              <v:imagedata r:id="rId10" o:title=""/>
            </v:shape>
            <v:shape style="position:absolute;left:1516;top:3052;width:4680;height:1620" type="#_x0000_t202" filled="false" stroked="true" strokeweight=".75pt" strokecolor="#000000">
              <v:textbox inset="0,0,0,0">
                <w:txbxContent>
                  <w:p>
                    <w:pPr>
                      <w:numPr>
                        <w:ilvl w:val="0"/>
                        <w:numId w:val="10"/>
                      </w:numPr>
                      <w:tabs>
                        <w:tab w:pos="217" w:val="left" w:leader="none"/>
                      </w:tabs>
                      <w:spacing w:line="298" w:lineRule="exact" w:before="74"/>
                      <w:ind w:left="216" w:right="0" w:hanging="152"/>
                      <w:jc w:val="left"/>
                      <w:rPr>
                        <w:sz w:val="26"/>
                      </w:rPr>
                    </w:pPr>
                    <w:r>
                      <w:rPr>
                        <w:sz w:val="26"/>
                      </w:rPr>
                      <w:t>Lý thuyết về lợi thế cạnh</w:t>
                    </w:r>
                    <w:r>
                      <w:rPr>
                        <w:spacing w:val="-9"/>
                        <w:sz w:val="26"/>
                      </w:rPr>
                      <w:t> </w:t>
                    </w:r>
                    <w:r>
                      <w:rPr>
                        <w:sz w:val="26"/>
                      </w:rPr>
                      <w:t>tranh</w:t>
                    </w:r>
                  </w:p>
                  <w:p>
                    <w:pPr>
                      <w:spacing w:before="0"/>
                      <w:ind w:left="260" w:right="357" w:firstLine="0"/>
                      <w:jc w:val="left"/>
                      <w:rPr>
                        <w:sz w:val="26"/>
                      </w:rPr>
                    </w:pPr>
                    <w:r>
                      <w:rPr>
                        <w:sz w:val="26"/>
                      </w:rPr>
                      <w:t>và các nghiên cứu về các yếu tố tạo</w:t>
                    </w:r>
                    <w:r>
                      <w:rPr>
                        <w:spacing w:val="-12"/>
                        <w:sz w:val="26"/>
                      </w:rPr>
                      <w:t> </w:t>
                    </w:r>
                    <w:r>
                      <w:rPr>
                        <w:sz w:val="26"/>
                      </w:rPr>
                      <w:t>lợi thế cạnh tranh cho doanh</w:t>
                    </w:r>
                    <w:r>
                      <w:rPr>
                        <w:spacing w:val="-4"/>
                        <w:sz w:val="26"/>
                      </w:rPr>
                      <w:t> </w:t>
                    </w:r>
                    <w:r>
                      <w:rPr>
                        <w:sz w:val="26"/>
                      </w:rPr>
                      <w:t>nghiệp</w:t>
                    </w:r>
                  </w:p>
                  <w:p>
                    <w:pPr>
                      <w:numPr>
                        <w:ilvl w:val="0"/>
                        <w:numId w:val="10"/>
                      </w:numPr>
                      <w:tabs>
                        <w:tab w:pos="213" w:val="left" w:leader="none"/>
                      </w:tabs>
                      <w:spacing w:before="2"/>
                      <w:ind w:left="255" w:right="654" w:hanging="195"/>
                      <w:jc w:val="left"/>
                      <w:rPr>
                        <w:sz w:val="26"/>
                      </w:rPr>
                    </w:pPr>
                    <w:r>
                      <w:rPr>
                        <w:sz w:val="26"/>
                      </w:rPr>
                      <w:t>Đặc điểm kinh tế - kỹ thuật của</w:t>
                    </w:r>
                    <w:r>
                      <w:rPr>
                        <w:spacing w:val="-11"/>
                        <w:sz w:val="26"/>
                      </w:rPr>
                      <w:t> </w:t>
                    </w:r>
                    <w:r>
                      <w:rPr>
                        <w:sz w:val="26"/>
                      </w:rPr>
                      <w:t>kinh doanh cảng</w:t>
                    </w:r>
                    <w:r>
                      <w:rPr>
                        <w:spacing w:val="-3"/>
                        <w:sz w:val="26"/>
                      </w:rPr>
                      <w:t> </w:t>
                    </w:r>
                    <w:r>
                      <w:rPr>
                        <w:sz w:val="26"/>
                      </w:rPr>
                      <w:t>biển</w:t>
                    </w:r>
                  </w:p>
                </w:txbxContent>
              </v:textbox>
              <v:stroke dashstyle="solid"/>
              <w10:wrap type="none"/>
            </v:shape>
            <w10:wrap type="none"/>
          </v:group>
        </w:pict>
      </w:r>
      <w:r>
        <w:rPr/>
        <w:drawing>
          <wp:anchor distT="0" distB="0" distL="0" distR="0" allowOverlap="1" layoutInCell="1" locked="0" behindDoc="0" simplePos="0" relativeHeight="15737344">
            <wp:simplePos x="0" y="0"/>
            <wp:positionH relativeFrom="page">
              <wp:posOffset>2672397</wp:posOffset>
            </wp:positionH>
            <wp:positionV relativeFrom="paragraph">
              <wp:posOffset>2962550</wp:posOffset>
            </wp:positionV>
            <wp:extent cx="123825" cy="238125"/>
            <wp:effectExtent l="0" t="0" r="0" b="0"/>
            <wp:wrapNone/>
            <wp:docPr id="1" name="image1.png"/>
            <wp:cNvGraphicFramePr>
              <a:graphicFrameLocks noChangeAspect="1"/>
            </wp:cNvGraphicFramePr>
            <a:graphic>
              <a:graphicData uri="http://schemas.openxmlformats.org/drawingml/2006/picture">
                <pic:pic>
                  <pic:nvPicPr>
                    <pic:cNvPr id="2" name="image1.png"/>
                    <pic:cNvPicPr/>
                  </pic:nvPicPr>
                  <pic:blipFill>
                    <a:blip r:embed="rId10" cstate="print"/>
                    <a:stretch>
                      <a:fillRect/>
                    </a:stretch>
                  </pic:blipFill>
                  <pic:spPr>
                    <a:xfrm>
                      <a:off x="0" y="0"/>
                      <a:ext cx="123825" cy="238125"/>
                    </a:xfrm>
                    <a:prstGeom prst="rect">
                      <a:avLst/>
                    </a:prstGeom>
                  </pic:spPr>
                </pic:pic>
              </a:graphicData>
            </a:graphic>
          </wp:anchor>
        </w:drawing>
      </w:r>
      <w:r>
        <w:rPr/>
        <w:pict>
          <v:group style="position:absolute;margin-left:355.174988pt;margin-top:252.021729pt;width:162pt;height:297.75pt;mso-position-horizontal-relative:page;mso-position-vertical-relative:paragraph;z-index:-30467584" coordorigin="7103,5040" coordsize="3240,5955">
            <v:shape style="position:absolute;left:7103;top:7560;width:375;height:195" type="#_x0000_t75" stroked="false">
              <v:imagedata r:id="rId11" o:title=""/>
            </v:shape>
            <v:shape style="position:absolute;left:7456;top:5047;width:2880;height:5940" type="#_x0000_t202" filled="false" stroked="true" strokeweight=".75pt" strokecolor="#000000">
              <v:textbox inset="0,0,0,0">
                <w:txbxContent>
                  <w:p>
                    <w:pPr>
                      <w:spacing w:line="240" w:lineRule="auto" w:before="6"/>
                      <w:rPr>
                        <w:b/>
                        <w:sz w:val="32"/>
                      </w:rPr>
                    </w:pPr>
                  </w:p>
                  <w:p>
                    <w:pPr>
                      <w:spacing w:before="0"/>
                      <w:ind w:left="167" w:right="161" w:hanging="6"/>
                      <w:jc w:val="center"/>
                      <w:rPr>
                        <w:b/>
                        <w:sz w:val="26"/>
                      </w:rPr>
                    </w:pPr>
                    <w:r>
                      <w:rPr>
                        <w:b/>
                        <w:sz w:val="26"/>
                      </w:rPr>
                      <w:t>Hoạch định giải pháp nâng cao lợi thế cạnh tranh cho các cảng container tại Việt Nam</w:t>
                    </w:r>
                  </w:p>
                  <w:p>
                    <w:pPr>
                      <w:spacing w:line="240" w:lineRule="auto" w:before="0"/>
                      <w:rPr>
                        <w:b/>
                        <w:sz w:val="26"/>
                      </w:rPr>
                    </w:pPr>
                  </w:p>
                  <w:p>
                    <w:pPr>
                      <w:numPr>
                        <w:ilvl w:val="0"/>
                        <w:numId w:val="11"/>
                      </w:numPr>
                      <w:tabs>
                        <w:tab w:pos="218" w:val="left" w:leader="none"/>
                      </w:tabs>
                      <w:spacing w:before="1"/>
                      <w:ind w:left="261" w:right="384" w:hanging="195"/>
                      <w:jc w:val="left"/>
                      <w:rPr>
                        <w:sz w:val="26"/>
                      </w:rPr>
                    </w:pPr>
                    <w:r>
                      <w:rPr>
                        <w:sz w:val="26"/>
                      </w:rPr>
                      <w:t>Quan điểm, mục tiêu nâng cao lợi thế </w:t>
                    </w:r>
                    <w:r>
                      <w:rPr>
                        <w:spacing w:val="-4"/>
                        <w:sz w:val="26"/>
                      </w:rPr>
                      <w:t>cạnh </w:t>
                    </w:r>
                    <w:r>
                      <w:rPr>
                        <w:sz w:val="26"/>
                      </w:rPr>
                      <w:t>tranh</w:t>
                    </w:r>
                  </w:p>
                  <w:p>
                    <w:pPr>
                      <w:spacing w:line="240" w:lineRule="auto" w:before="10"/>
                      <w:rPr>
                        <w:sz w:val="25"/>
                      </w:rPr>
                    </w:pPr>
                  </w:p>
                  <w:p>
                    <w:pPr>
                      <w:numPr>
                        <w:ilvl w:val="0"/>
                        <w:numId w:val="11"/>
                      </w:numPr>
                      <w:tabs>
                        <w:tab w:pos="274" w:val="left" w:leader="none"/>
                      </w:tabs>
                      <w:spacing w:before="0"/>
                      <w:ind w:left="251" w:right="-15" w:hanging="130"/>
                      <w:jc w:val="left"/>
                      <w:rPr>
                        <w:sz w:val="26"/>
                      </w:rPr>
                    </w:pPr>
                    <w:r>
                      <w:rPr>
                        <w:sz w:val="26"/>
                      </w:rPr>
                      <w:t>Định vị các yếu tố tạo lợi thế cạnh tranh và năng lực lõi của</w:t>
                    </w:r>
                    <w:r>
                      <w:rPr>
                        <w:spacing w:val="4"/>
                        <w:sz w:val="26"/>
                      </w:rPr>
                      <w:t> </w:t>
                    </w:r>
                    <w:r>
                      <w:rPr>
                        <w:sz w:val="26"/>
                      </w:rPr>
                      <w:t>các</w:t>
                    </w:r>
                  </w:p>
                  <w:p>
                    <w:pPr>
                      <w:spacing w:before="2"/>
                      <w:ind w:left="1" w:right="0" w:firstLine="0"/>
                      <w:jc w:val="left"/>
                      <w:rPr>
                        <w:sz w:val="26"/>
                      </w:rPr>
                    </w:pPr>
                    <w:r>
                      <w:rPr>
                        <w:sz w:val="26"/>
                      </w:rPr>
                      <w:t>cảng container</w:t>
                    </w:r>
                  </w:p>
                  <w:p>
                    <w:pPr>
                      <w:spacing w:line="240" w:lineRule="auto" w:before="11"/>
                      <w:rPr>
                        <w:sz w:val="25"/>
                      </w:rPr>
                    </w:pPr>
                  </w:p>
                  <w:p>
                    <w:pPr>
                      <w:numPr>
                        <w:ilvl w:val="0"/>
                        <w:numId w:val="11"/>
                      </w:numPr>
                      <w:tabs>
                        <w:tab w:pos="283" w:val="left" w:leader="none"/>
                      </w:tabs>
                      <w:spacing w:before="0"/>
                      <w:ind w:left="261" w:right="225" w:hanging="130"/>
                      <w:jc w:val="left"/>
                      <w:rPr>
                        <w:sz w:val="26"/>
                      </w:rPr>
                    </w:pPr>
                    <w:r>
                      <w:rPr>
                        <w:sz w:val="26"/>
                      </w:rPr>
                      <w:t>Một số giải pháp nâng cao lợi thế cạnh tranh cho các cảng</w:t>
                    </w:r>
                    <w:r>
                      <w:rPr>
                        <w:spacing w:val="-15"/>
                        <w:sz w:val="26"/>
                      </w:rPr>
                      <w:t> </w:t>
                    </w:r>
                    <w:r>
                      <w:rPr>
                        <w:sz w:val="26"/>
                      </w:rPr>
                      <w:t>container</w:t>
                    </w:r>
                  </w:p>
                </w:txbxContent>
              </v:textbox>
              <v:stroke dashstyle="solid"/>
              <w10:wrap type="none"/>
            </v:shape>
            <w10:wrap type="none"/>
          </v:group>
        </w:pict>
      </w:r>
      <w:r>
        <w:rPr/>
        <w:drawing>
          <wp:anchor distT="0" distB="0" distL="0" distR="0" allowOverlap="1" layoutInCell="1" locked="0" behindDoc="0" simplePos="0" relativeHeight="15739904">
            <wp:simplePos x="0" y="0"/>
            <wp:positionH relativeFrom="page">
              <wp:posOffset>4503102</wp:posOffset>
            </wp:positionH>
            <wp:positionV relativeFrom="paragraph">
              <wp:posOffset>3543575</wp:posOffset>
            </wp:positionV>
            <wp:extent cx="238125" cy="123825"/>
            <wp:effectExtent l="0" t="0" r="0" b="0"/>
            <wp:wrapNone/>
            <wp:docPr id="3" name="image3.png"/>
            <wp:cNvGraphicFramePr>
              <a:graphicFrameLocks noChangeAspect="1"/>
            </wp:cNvGraphicFramePr>
            <a:graphic>
              <a:graphicData uri="http://schemas.openxmlformats.org/drawingml/2006/picture">
                <pic:pic>
                  <pic:nvPicPr>
                    <pic:cNvPr id="4" name="image3.png"/>
                    <pic:cNvPicPr/>
                  </pic:nvPicPr>
                  <pic:blipFill>
                    <a:blip r:embed="rId12" cstate="print"/>
                    <a:stretch>
                      <a:fillRect/>
                    </a:stretch>
                  </pic:blipFill>
                  <pic:spPr>
                    <a:xfrm>
                      <a:off x="0" y="0"/>
                      <a:ext cx="238125" cy="123825"/>
                    </a:xfrm>
                    <a:prstGeom prst="rect">
                      <a:avLst/>
                    </a:prstGeom>
                  </pic:spPr>
                </pic:pic>
              </a:graphicData>
            </a:graphic>
          </wp:anchor>
        </w:drawing>
      </w:r>
      <w:r>
        <w:rPr/>
        <w:t>Quy trình nghiên cứu của đề án này bao gồm các bước và vấn đề được thể hiện:</w:t>
      </w:r>
    </w:p>
    <w:p>
      <w:pPr>
        <w:pStyle w:val="BodyText"/>
        <w:spacing w:before="1"/>
        <w:rPr>
          <w:sz w:val="15"/>
        </w:rPr>
      </w:pPr>
      <w:r>
        <w:rPr/>
        <w:pict>
          <v:group style="position:absolute;margin-left:129.425003pt;margin-top:10.654541pt;width:342.75pt;height:102pt;mso-position-horizontal-relative:page;mso-position-vertical-relative:paragraph;z-index:-15725056;mso-wrap-distance-left:0;mso-wrap-distance-right:0" coordorigin="2589,213" coordsize="6855,2040">
            <v:shape style="position:absolute;left:6008;top:1308;width:195;height:375" type="#_x0000_t75" stroked="false">
              <v:imagedata r:id="rId10" o:title=""/>
            </v:shape>
            <v:shape style="position:absolute;left:3781;top:1705;width:4320;height:540" type="#_x0000_t202" filled="false" stroked="true" strokeweight=".75pt" strokecolor="#000000">
              <v:textbox inset="0,0,0,0">
                <w:txbxContent>
                  <w:p>
                    <w:pPr>
                      <w:spacing w:before="72"/>
                      <w:ind w:left="422" w:right="0" w:firstLine="0"/>
                      <w:jc w:val="left"/>
                      <w:rPr>
                        <w:b/>
                        <w:sz w:val="26"/>
                      </w:rPr>
                    </w:pPr>
                    <w:r>
                      <w:rPr>
                        <w:b/>
                        <w:sz w:val="26"/>
                      </w:rPr>
                      <w:t>Cơ sở khoa học của nghiên cứu</w:t>
                    </w:r>
                  </w:p>
                </w:txbxContent>
              </v:textbox>
              <v:stroke dashstyle="solid"/>
              <w10:wrap type="none"/>
            </v:shape>
            <v:shape style="position:absolute;left:2596;top:220;width:6840;height:1080" type="#_x0000_t202" filled="false" stroked="true" strokeweight=".75pt" strokecolor="#000000">
              <v:textbox inset="0,0,0,0">
                <w:txbxContent>
                  <w:p>
                    <w:pPr>
                      <w:spacing w:before="73"/>
                      <w:ind w:left="2350" w:right="2350" w:firstLine="0"/>
                      <w:jc w:val="center"/>
                      <w:rPr>
                        <w:b/>
                        <w:sz w:val="26"/>
                      </w:rPr>
                    </w:pPr>
                    <w:r>
                      <w:rPr>
                        <w:b/>
                        <w:sz w:val="26"/>
                      </w:rPr>
                      <w:t>Vấn đề nghiên cứu</w:t>
                    </w:r>
                  </w:p>
                  <w:p>
                    <w:pPr>
                      <w:spacing w:before="1"/>
                      <w:ind w:left="132" w:right="130" w:firstLine="67"/>
                      <w:jc w:val="center"/>
                      <w:rPr>
                        <w:sz w:val="26"/>
                      </w:rPr>
                    </w:pPr>
                    <w:r>
                      <w:rPr>
                        <w:sz w:val="26"/>
                      </w:rPr>
                      <w:t>Xây dựng cơ sở khoa học nâng cao lợi thế cạnh tranh cho doanh nghiệp – Áp dụng trường hợp các cảng container tại VN</w:t>
                    </w:r>
                  </w:p>
                </w:txbxContent>
              </v:textbox>
              <v:stroke dashstyle="solid"/>
              <w10:wrap type="none"/>
            </v:shape>
            <w10:wrap type="topAndBottom"/>
          </v:group>
        </w:pict>
      </w: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spacing w:before="10"/>
        <w:rPr>
          <w:sz w:val="24"/>
        </w:rPr>
      </w:pPr>
      <w:r>
        <w:rPr/>
        <w:pict>
          <v:group style="position:absolute;margin-left:75.425003pt;margin-top:34.281837pt;width:279.75pt;height:180.75pt;mso-position-horizontal-relative:page;mso-position-vertical-relative:paragraph;z-index:-15723520;mso-wrap-distance-left:0;mso-wrap-distance-right:0" coordorigin="1509,686" coordsize="5595,3615">
            <v:shape style="position:absolute;left:4208;top:1945;width:195;height:375" type="#_x0000_t75" stroked="false">
              <v:imagedata r:id="rId10" o:title=""/>
            </v:shape>
            <v:shape style="position:absolute;left:1516;top:2313;width:5580;height:1980" type="#_x0000_t202" filled="false" stroked="true" strokeweight=".75pt" strokecolor="#000000">
              <v:textbox inset="0,0,0,0">
                <w:txbxContent>
                  <w:p>
                    <w:pPr>
                      <w:spacing w:before="75"/>
                      <w:ind w:left="1033" w:right="1034" w:firstLine="0"/>
                      <w:jc w:val="center"/>
                      <w:rPr>
                        <w:sz w:val="26"/>
                      </w:rPr>
                    </w:pPr>
                    <w:r>
                      <w:rPr>
                        <w:b/>
                        <w:sz w:val="26"/>
                      </w:rPr>
                      <w:t>Kiểm định mô hình nghiên cứu (</w:t>
                    </w:r>
                    <w:r>
                      <w:rPr>
                        <w:sz w:val="26"/>
                      </w:rPr>
                      <w:t>Nghiên cứu định lượng)</w:t>
                    </w:r>
                  </w:p>
                  <w:p>
                    <w:pPr>
                      <w:numPr>
                        <w:ilvl w:val="0"/>
                        <w:numId w:val="12"/>
                      </w:numPr>
                      <w:tabs>
                        <w:tab w:pos="217" w:val="left" w:leader="none"/>
                      </w:tabs>
                      <w:spacing w:line="299" w:lineRule="exact" w:before="0"/>
                      <w:ind w:left="216" w:right="0" w:hanging="215"/>
                      <w:jc w:val="left"/>
                      <w:rPr>
                        <w:sz w:val="26"/>
                      </w:rPr>
                    </w:pPr>
                    <w:r>
                      <w:rPr>
                        <w:sz w:val="26"/>
                      </w:rPr>
                      <w:t>Đánh giá sơ bộ thang đo (Cronbach alpha và</w:t>
                    </w:r>
                    <w:r>
                      <w:rPr>
                        <w:spacing w:val="-8"/>
                        <w:sz w:val="26"/>
                      </w:rPr>
                      <w:t> </w:t>
                    </w:r>
                    <w:r>
                      <w:rPr>
                        <w:sz w:val="26"/>
                      </w:rPr>
                      <w:t>EFA)</w:t>
                    </w:r>
                  </w:p>
                  <w:p>
                    <w:pPr>
                      <w:numPr>
                        <w:ilvl w:val="0"/>
                        <w:numId w:val="12"/>
                      </w:numPr>
                      <w:tabs>
                        <w:tab w:pos="217" w:val="left" w:leader="none"/>
                      </w:tabs>
                      <w:spacing w:line="298" w:lineRule="exact" w:before="1"/>
                      <w:ind w:left="216" w:right="0" w:hanging="152"/>
                      <w:jc w:val="left"/>
                      <w:rPr>
                        <w:sz w:val="26"/>
                      </w:rPr>
                    </w:pPr>
                    <w:r>
                      <w:rPr>
                        <w:sz w:val="26"/>
                      </w:rPr>
                      <w:t>Đánh giá mức độ phù hợp thang đo</w:t>
                    </w:r>
                    <w:r>
                      <w:rPr>
                        <w:spacing w:val="-9"/>
                        <w:sz w:val="26"/>
                      </w:rPr>
                      <w:t> </w:t>
                    </w:r>
                    <w:r>
                      <w:rPr>
                        <w:sz w:val="26"/>
                      </w:rPr>
                      <w:t>(CFA)</w:t>
                    </w:r>
                  </w:p>
                  <w:p>
                    <w:pPr>
                      <w:numPr>
                        <w:ilvl w:val="0"/>
                        <w:numId w:val="13"/>
                      </w:numPr>
                      <w:tabs>
                        <w:tab w:pos="217" w:val="left" w:leader="none"/>
                      </w:tabs>
                      <w:spacing w:line="298" w:lineRule="exact" w:before="0"/>
                      <w:ind w:left="216" w:right="0" w:hanging="152"/>
                      <w:jc w:val="left"/>
                      <w:rPr>
                        <w:sz w:val="26"/>
                      </w:rPr>
                    </w:pPr>
                    <w:r>
                      <w:rPr>
                        <w:sz w:val="26"/>
                      </w:rPr>
                      <w:t>Kiểm định mô hình lý thuyết</w:t>
                    </w:r>
                    <w:r>
                      <w:rPr>
                        <w:spacing w:val="-7"/>
                        <w:sz w:val="26"/>
                      </w:rPr>
                      <w:t> </w:t>
                    </w:r>
                    <w:r>
                      <w:rPr>
                        <w:sz w:val="26"/>
                      </w:rPr>
                      <w:t>(SEM)</w:t>
                    </w:r>
                  </w:p>
                  <w:p>
                    <w:pPr>
                      <w:numPr>
                        <w:ilvl w:val="0"/>
                        <w:numId w:val="13"/>
                      </w:numPr>
                      <w:tabs>
                        <w:tab w:pos="217" w:val="left" w:leader="none"/>
                      </w:tabs>
                      <w:spacing w:line="298" w:lineRule="exact" w:before="0"/>
                      <w:ind w:left="216" w:right="0" w:hanging="152"/>
                      <w:jc w:val="left"/>
                      <w:rPr>
                        <w:sz w:val="26"/>
                      </w:rPr>
                    </w:pPr>
                    <w:r>
                      <w:rPr>
                        <w:sz w:val="26"/>
                      </w:rPr>
                      <w:t>Kiểm định</w:t>
                    </w:r>
                    <w:r>
                      <w:rPr>
                        <w:spacing w:val="-3"/>
                        <w:sz w:val="26"/>
                      </w:rPr>
                      <w:t> </w:t>
                    </w:r>
                    <w:r>
                      <w:rPr>
                        <w:sz w:val="26"/>
                      </w:rPr>
                      <w:t>Bootstrap</w:t>
                    </w:r>
                  </w:p>
                </w:txbxContent>
              </v:textbox>
              <v:stroke dashstyle="solid"/>
              <w10:wrap type="none"/>
            </v:shape>
            <v:shape style="position:absolute;left:1516;top:693;width:5580;height:1260" type="#_x0000_t202" filled="false" stroked="true" strokeweight=".75pt" strokecolor="#000000">
              <v:textbox inset="0,0,0,0">
                <w:txbxContent>
                  <w:p>
                    <w:pPr>
                      <w:spacing w:line="298" w:lineRule="exact" w:before="3"/>
                      <w:ind w:left="1100" w:right="0" w:firstLine="0"/>
                      <w:jc w:val="left"/>
                      <w:rPr>
                        <w:b/>
                        <w:sz w:val="26"/>
                      </w:rPr>
                    </w:pPr>
                    <w:r>
                      <w:rPr>
                        <w:b/>
                        <w:sz w:val="26"/>
                      </w:rPr>
                      <w:t>Xây dựng mô hình nghiên cứu</w:t>
                    </w:r>
                  </w:p>
                  <w:p>
                    <w:pPr>
                      <w:numPr>
                        <w:ilvl w:val="0"/>
                        <w:numId w:val="14"/>
                      </w:numPr>
                      <w:tabs>
                        <w:tab w:pos="217" w:val="left" w:leader="none"/>
                      </w:tabs>
                      <w:spacing w:line="298" w:lineRule="exact" w:before="0"/>
                      <w:ind w:left="216" w:right="0" w:hanging="152"/>
                      <w:jc w:val="left"/>
                      <w:rPr>
                        <w:sz w:val="26"/>
                      </w:rPr>
                    </w:pPr>
                    <w:r>
                      <w:rPr>
                        <w:sz w:val="26"/>
                      </w:rPr>
                      <w:t>Đặc tính khách hàng tại cảng container</w:t>
                    </w:r>
                    <w:r>
                      <w:rPr>
                        <w:spacing w:val="-5"/>
                        <w:sz w:val="26"/>
                      </w:rPr>
                      <w:t> </w:t>
                    </w:r>
                    <w:r>
                      <w:rPr>
                        <w:sz w:val="26"/>
                      </w:rPr>
                      <w:t>VN</w:t>
                    </w:r>
                  </w:p>
                  <w:p>
                    <w:pPr>
                      <w:numPr>
                        <w:ilvl w:val="0"/>
                        <w:numId w:val="14"/>
                      </w:numPr>
                      <w:tabs>
                        <w:tab w:pos="217" w:val="left" w:leader="none"/>
                      </w:tabs>
                      <w:spacing w:before="1"/>
                      <w:ind w:left="324" w:right="365" w:hanging="260"/>
                      <w:jc w:val="left"/>
                      <w:rPr>
                        <w:sz w:val="26"/>
                      </w:rPr>
                    </w:pPr>
                    <w:r>
                      <w:rPr>
                        <w:sz w:val="26"/>
                      </w:rPr>
                      <w:t>Nghiên cứu định tính (thảo luận nhóm tập trung và phỏng vấn</w:t>
                    </w:r>
                    <w:r>
                      <w:rPr>
                        <w:spacing w:val="-3"/>
                        <w:sz w:val="26"/>
                      </w:rPr>
                      <w:t> </w:t>
                    </w:r>
                    <w:r>
                      <w:rPr>
                        <w:sz w:val="26"/>
                      </w:rPr>
                      <w:t>sâu)</w:t>
                    </w:r>
                  </w:p>
                </w:txbxContent>
              </v:textbox>
              <v:stroke dashstyle="solid"/>
              <w10:wrap type="none"/>
            </v:shape>
            <w10:wrap type="topAndBottom"/>
          </v:group>
        </w:pict>
      </w:r>
      <w:r>
        <w:rPr/>
        <w:drawing>
          <wp:anchor distT="0" distB="0" distL="0" distR="0" allowOverlap="1" layoutInCell="1" locked="0" behindDoc="0" simplePos="0" relativeHeight="11">
            <wp:simplePos x="0" y="0"/>
            <wp:positionH relativeFrom="page">
              <wp:posOffset>5598477</wp:posOffset>
            </wp:positionH>
            <wp:positionV relativeFrom="paragraph">
              <wp:posOffset>206779</wp:posOffset>
            </wp:positionV>
            <wp:extent cx="123825" cy="238125"/>
            <wp:effectExtent l="0" t="0" r="0" b="0"/>
            <wp:wrapTopAndBottom/>
            <wp:docPr id="5" name="image1.png"/>
            <wp:cNvGraphicFramePr>
              <a:graphicFrameLocks noChangeAspect="1"/>
            </wp:cNvGraphicFramePr>
            <a:graphic>
              <a:graphicData uri="http://schemas.openxmlformats.org/drawingml/2006/picture">
                <pic:pic>
                  <pic:nvPicPr>
                    <pic:cNvPr id="6" name="image1.png"/>
                    <pic:cNvPicPr/>
                  </pic:nvPicPr>
                  <pic:blipFill>
                    <a:blip r:embed="rId10" cstate="print"/>
                    <a:stretch>
                      <a:fillRect/>
                    </a:stretch>
                  </pic:blipFill>
                  <pic:spPr>
                    <a:xfrm>
                      <a:off x="0" y="0"/>
                      <a:ext cx="123825" cy="238125"/>
                    </a:xfrm>
                    <a:prstGeom prst="rect">
                      <a:avLst/>
                    </a:prstGeom>
                  </pic:spPr>
                </pic:pic>
              </a:graphicData>
            </a:graphic>
          </wp:anchor>
        </w:drawing>
      </w:r>
    </w:p>
    <w:p>
      <w:pPr>
        <w:pStyle w:val="BodyText"/>
        <w:rPr>
          <w:sz w:val="20"/>
        </w:rPr>
      </w:pPr>
    </w:p>
    <w:p>
      <w:pPr>
        <w:pStyle w:val="BodyText"/>
        <w:rPr>
          <w:sz w:val="20"/>
        </w:rPr>
      </w:pPr>
    </w:p>
    <w:p>
      <w:pPr>
        <w:pStyle w:val="BodyText"/>
        <w:rPr>
          <w:sz w:val="20"/>
        </w:rPr>
      </w:pPr>
    </w:p>
    <w:p>
      <w:pPr>
        <w:pStyle w:val="BodyText"/>
        <w:rPr>
          <w:sz w:val="20"/>
        </w:rPr>
      </w:pPr>
    </w:p>
    <w:p>
      <w:pPr>
        <w:pStyle w:val="BodyText"/>
        <w:spacing w:before="3"/>
        <w:rPr>
          <w:sz w:val="22"/>
        </w:rPr>
      </w:pPr>
      <w:r>
        <w:rPr/>
        <w:drawing>
          <wp:anchor distT="0" distB="0" distL="0" distR="0" allowOverlap="1" layoutInCell="1" locked="0" behindDoc="0" simplePos="0" relativeHeight="12">
            <wp:simplePos x="0" y="0"/>
            <wp:positionH relativeFrom="page">
              <wp:posOffset>4510722</wp:posOffset>
            </wp:positionH>
            <wp:positionV relativeFrom="paragraph">
              <wp:posOffset>187692</wp:posOffset>
            </wp:positionV>
            <wp:extent cx="238125" cy="123825"/>
            <wp:effectExtent l="0" t="0" r="0" b="0"/>
            <wp:wrapTopAndBottom/>
            <wp:docPr id="7" name="image4.png"/>
            <wp:cNvGraphicFramePr>
              <a:graphicFrameLocks noChangeAspect="1"/>
            </wp:cNvGraphicFramePr>
            <a:graphic>
              <a:graphicData uri="http://schemas.openxmlformats.org/drawingml/2006/picture">
                <pic:pic>
                  <pic:nvPicPr>
                    <pic:cNvPr id="8" name="image4.png"/>
                    <pic:cNvPicPr/>
                  </pic:nvPicPr>
                  <pic:blipFill>
                    <a:blip r:embed="rId13" cstate="print"/>
                    <a:stretch>
                      <a:fillRect/>
                    </a:stretch>
                  </pic:blipFill>
                  <pic:spPr>
                    <a:xfrm>
                      <a:off x="0" y="0"/>
                      <a:ext cx="238125" cy="123825"/>
                    </a:xfrm>
                    <a:prstGeom prst="rect">
                      <a:avLst/>
                    </a:prstGeom>
                  </pic:spPr>
                </pic:pic>
              </a:graphicData>
            </a:graphic>
          </wp:anchor>
        </w:drawing>
      </w:r>
    </w:p>
    <w:p>
      <w:pPr>
        <w:pStyle w:val="BodyText"/>
        <w:rPr>
          <w:sz w:val="28"/>
        </w:rPr>
      </w:pPr>
    </w:p>
    <w:p>
      <w:pPr>
        <w:pStyle w:val="BodyText"/>
        <w:rPr>
          <w:sz w:val="28"/>
        </w:rPr>
      </w:pPr>
    </w:p>
    <w:p>
      <w:pPr>
        <w:pStyle w:val="BodyText"/>
        <w:rPr>
          <w:sz w:val="28"/>
        </w:rPr>
      </w:pPr>
    </w:p>
    <w:p>
      <w:pPr>
        <w:pStyle w:val="BodyText"/>
        <w:rPr>
          <w:sz w:val="25"/>
        </w:rPr>
      </w:pPr>
    </w:p>
    <w:p>
      <w:pPr>
        <w:pStyle w:val="Heading6"/>
        <w:ind w:left="1095" w:right="388"/>
        <w:jc w:val="center"/>
      </w:pPr>
      <w:r>
        <w:rPr/>
        <w:pict>
          <v:group style="position:absolute;margin-left:75.425003pt;margin-top:-136.894287pt;width:279.75pt;height:117.75pt;mso-position-horizontal-relative:page;mso-position-vertical-relative:paragraph;z-index:15738368" coordorigin="1509,-2738" coordsize="5595,2355">
            <v:shape style="position:absolute;left:4208;top:-2738;width:195;height:375" type="#_x0000_t75" stroked="false">
              <v:imagedata r:id="rId10" o:title=""/>
            </v:shape>
            <v:shape style="position:absolute;left:1516;top:-2371;width:5580;height:1980" type="#_x0000_t202" filled="false" stroked="true" strokeweight=".75pt" strokecolor="#000000">
              <v:textbox inset="0,0,0,0">
                <w:txbxContent>
                  <w:p>
                    <w:pPr>
                      <w:spacing w:line="298" w:lineRule="exact" w:before="75"/>
                      <w:ind w:left="735" w:right="0" w:firstLine="0"/>
                      <w:jc w:val="left"/>
                      <w:rPr>
                        <w:b/>
                        <w:sz w:val="26"/>
                      </w:rPr>
                    </w:pPr>
                    <w:r>
                      <w:rPr>
                        <w:b/>
                        <w:sz w:val="26"/>
                      </w:rPr>
                      <w:t>Cơ sở thực tiễn hoạch định giải pháp</w:t>
                    </w:r>
                  </w:p>
                  <w:p>
                    <w:pPr>
                      <w:numPr>
                        <w:ilvl w:val="0"/>
                        <w:numId w:val="15"/>
                      </w:numPr>
                      <w:tabs>
                        <w:tab w:pos="282" w:val="left" w:leader="none"/>
                      </w:tabs>
                      <w:spacing w:line="298" w:lineRule="exact" w:before="0"/>
                      <w:ind w:left="281" w:right="0" w:hanging="152"/>
                      <w:jc w:val="left"/>
                      <w:rPr>
                        <w:sz w:val="26"/>
                      </w:rPr>
                    </w:pPr>
                    <w:r>
                      <w:rPr>
                        <w:sz w:val="26"/>
                      </w:rPr>
                      <w:t>Thực trạng kinh doanh dịch vụ cảng</w:t>
                    </w:r>
                    <w:r>
                      <w:rPr>
                        <w:spacing w:val="-9"/>
                        <w:sz w:val="26"/>
                      </w:rPr>
                      <w:t> </w:t>
                    </w:r>
                    <w:r>
                      <w:rPr>
                        <w:sz w:val="26"/>
                      </w:rPr>
                      <w:t>container</w:t>
                    </w:r>
                  </w:p>
                  <w:p>
                    <w:pPr>
                      <w:numPr>
                        <w:ilvl w:val="0"/>
                        <w:numId w:val="15"/>
                      </w:numPr>
                      <w:tabs>
                        <w:tab w:pos="282" w:val="left" w:leader="none"/>
                      </w:tabs>
                      <w:spacing w:before="1"/>
                      <w:ind w:left="324" w:right="310" w:hanging="195"/>
                      <w:jc w:val="left"/>
                      <w:rPr>
                        <w:sz w:val="26"/>
                      </w:rPr>
                    </w:pPr>
                    <w:r>
                      <w:rPr>
                        <w:sz w:val="26"/>
                      </w:rPr>
                      <w:t>Thực trạng các yếu tố tạo lợi thế cạnh tranh cho các cảng container tại Việt</w:t>
                    </w:r>
                    <w:r>
                      <w:rPr>
                        <w:spacing w:val="-2"/>
                        <w:sz w:val="26"/>
                      </w:rPr>
                      <w:t> </w:t>
                    </w:r>
                    <w:r>
                      <w:rPr>
                        <w:sz w:val="26"/>
                      </w:rPr>
                      <w:t>Nam</w:t>
                    </w:r>
                  </w:p>
                  <w:p>
                    <w:pPr>
                      <w:numPr>
                        <w:ilvl w:val="0"/>
                        <w:numId w:val="15"/>
                      </w:numPr>
                      <w:tabs>
                        <w:tab w:pos="282" w:val="left" w:leader="none"/>
                      </w:tabs>
                      <w:spacing w:before="3"/>
                      <w:ind w:left="281" w:right="0" w:hanging="152"/>
                      <w:jc w:val="left"/>
                      <w:rPr>
                        <w:sz w:val="26"/>
                      </w:rPr>
                    </w:pPr>
                    <w:r>
                      <w:rPr>
                        <w:sz w:val="26"/>
                      </w:rPr>
                      <w:t>Dự báo điều kiện nâng cao lợi thế cạnh</w:t>
                    </w:r>
                    <w:r>
                      <w:rPr>
                        <w:spacing w:val="-4"/>
                        <w:sz w:val="26"/>
                      </w:rPr>
                      <w:t> </w:t>
                    </w:r>
                    <w:r>
                      <w:rPr>
                        <w:sz w:val="26"/>
                      </w:rPr>
                      <w:t>tranh</w:t>
                    </w:r>
                  </w:p>
                </w:txbxContent>
              </v:textbox>
              <v:stroke dashstyle="solid"/>
              <w10:wrap type="none"/>
            </v:shape>
            <w10:wrap type="none"/>
          </v:group>
        </w:pict>
      </w:r>
      <w:r>
        <w:rPr/>
        <w:t>Hình 1.2 Quy trình nghiên cứu</w:t>
      </w:r>
    </w:p>
    <w:p>
      <w:pPr>
        <w:spacing w:after="0"/>
        <w:jc w:val="center"/>
        <w:sectPr>
          <w:pgSz w:w="11910" w:h="16850"/>
          <w:pgMar w:header="751" w:footer="0" w:top="960" w:bottom="280" w:left="820" w:right="240"/>
        </w:sectPr>
      </w:pPr>
    </w:p>
    <w:p>
      <w:pPr>
        <w:pStyle w:val="BodyText"/>
        <w:rPr>
          <w:b/>
          <w:sz w:val="20"/>
        </w:rPr>
      </w:pPr>
    </w:p>
    <w:p>
      <w:pPr>
        <w:pStyle w:val="BodyText"/>
        <w:spacing w:before="5"/>
        <w:rPr>
          <w:b/>
          <w:sz w:val="23"/>
        </w:rPr>
      </w:pPr>
    </w:p>
    <w:p>
      <w:pPr>
        <w:pStyle w:val="ListParagraph"/>
        <w:numPr>
          <w:ilvl w:val="0"/>
          <w:numId w:val="16"/>
        </w:numPr>
        <w:tabs>
          <w:tab w:pos="1962" w:val="left" w:leader="none"/>
        </w:tabs>
        <w:spacing w:line="240" w:lineRule="auto" w:before="91" w:after="0"/>
        <w:ind w:left="1962" w:right="0" w:hanging="360"/>
        <w:jc w:val="both"/>
        <w:rPr>
          <w:b/>
          <w:sz w:val="26"/>
        </w:rPr>
      </w:pPr>
      <w:r>
        <w:rPr>
          <w:b/>
          <w:sz w:val="26"/>
        </w:rPr>
        <w:t>Phương pháp nghiên cứu định</w:t>
      </w:r>
      <w:r>
        <w:rPr>
          <w:b/>
          <w:spacing w:val="-3"/>
          <w:sz w:val="26"/>
        </w:rPr>
        <w:t> </w:t>
      </w:r>
      <w:r>
        <w:rPr>
          <w:b/>
          <w:sz w:val="26"/>
        </w:rPr>
        <w:t>tính</w:t>
      </w:r>
    </w:p>
    <w:p>
      <w:pPr>
        <w:pStyle w:val="BodyText"/>
        <w:spacing w:line="360" w:lineRule="auto" w:before="150"/>
        <w:ind w:left="882" w:right="891" w:firstLine="719"/>
        <w:jc w:val="both"/>
      </w:pPr>
      <w:r>
        <w:rPr/>
        <w:t>Đề tài này sử dụng những kỹ thuật nghiên cứu cũng như những phương pháp như sau:</w:t>
      </w:r>
    </w:p>
    <w:p>
      <w:pPr>
        <w:pStyle w:val="ListParagraph"/>
        <w:numPr>
          <w:ilvl w:val="0"/>
          <w:numId w:val="17"/>
        </w:numPr>
        <w:tabs>
          <w:tab w:pos="1602" w:val="left" w:leader="none"/>
        </w:tabs>
        <w:spacing w:line="360" w:lineRule="auto" w:before="0" w:after="0"/>
        <w:ind w:left="1602" w:right="888" w:hanging="360"/>
        <w:jc w:val="both"/>
        <w:rPr>
          <w:sz w:val="26"/>
        </w:rPr>
      </w:pPr>
      <w:r>
        <w:rPr>
          <w:b/>
          <w:sz w:val="26"/>
        </w:rPr>
        <w:t>Phương pháp GT (Grounded Theory): </w:t>
      </w:r>
      <w:r>
        <w:rPr>
          <w:sz w:val="26"/>
        </w:rPr>
        <w:t>Đây là phương pháp được sử dụng để nhằm mục đích xây dựng lý thuyết khoa học dựa trên nền tảng dữ liệu, phân tích, chọn lọc các lý thuyết có mối quan hệ chặt chẽ (Strauss and Corbin,1998). Nghiên cứu này sử dụng để nghiên cứu các lý thuyết tổng quan liên quan đến lợi thế cạnh tranh cảng</w:t>
      </w:r>
      <w:r>
        <w:rPr>
          <w:spacing w:val="-2"/>
          <w:sz w:val="26"/>
        </w:rPr>
        <w:t> </w:t>
      </w:r>
      <w:r>
        <w:rPr>
          <w:sz w:val="26"/>
        </w:rPr>
        <w:t>container.</w:t>
      </w:r>
    </w:p>
    <w:p>
      <w:pPr>
        <w:pStyle w:val="ListParagraph"/>
        <w:numPr>
          <w:ilvl w:val="0"/>
          <w:numId w:val="17"/>
        </w:numPr>
        <w:tabs>
          <w:tab w:pos="1602" w:val="left" w:leader="none"/>
        </w:tabs>
        <w:spacing w:line="360" w:lineRule="auto" w:before="0" w:after="0"/>
        <w:ind w:left="1602" w:right="886" w:hanging="360"/>
        <w:jc w:val="both"/>
        <w:rPr>
          <w:sz w:val="26"/>
        </w:rPr>
      </w:pPr>
      <w:r>
        <w:rPr>
          <w:b/>
          <w:sz w:val="26"/>
        </w:rPr>
        <w:t>Phương pháp nghiên cứu lịch sử: </w:t>
      </w:r>
      <w:r>
        <w:rPr>
          <w:sz w:val="26"/>
        </w:rPr>
        <w:t>Phương pháp này kiểm tra tính lịch sử của các lý thuyết nghiên cứu nhằm đánh giá, so sánh và trả lời những thông tin mà các phương pháp thu thập thông tin khác không trả lời được. Phương pháp này được áp dụng trong đề tài nhằm so sánh các kết quả của các nghiên cứu trước đó nhằm tìm sự khác biệt cho các nghiên cứu</w:t>
      </w:r>
      <w:r>
        <w:rPr>
          <w:spacing w:val="-6"/>
          <w:sz w:val="26"/>
        </w:rPr>
        <w:t> </w:t>
      </w:r>
      <w:r>
        <w:rPr>
          <w:sz w:val="26"/>
        </w:rPr>
        <w:t>sau.</w:t>
      </w:r>
    </w:p>
    <w:p>
      <w:pPr>
        <w:pStyle w:val="ListParagraph"/>
        <w:numPr>
          <w:ilvl w:val="0"/>
          <w:numId w:val="17"/>
        </w:numPr>
        <w:tabs>
          <w:tab w:pos="1602" w:val="left" w:leader="none"/>
        </w:tabs>
        <w:spacing w:line="360" w:lineRule="auto" w:before="0" w:after="0"/>
        <w:ind w:left="1602" w:right="888" w:hanging="360"/>
        <w:jc w:val="both"/>
        <w:rPr>
          <w:sz w:val="26"/>
        </w:rPr>
      </w:pPr>
      <w:r>
        <w:rPr>
          <w:b/>
          <w:sz w:val="26"/>
        </w:rPr>
        <w:t>Phương pháp phỏng vấn: </w:t>
      </w:r>
      <w:r>
        <w:rPr>
          <w:sz w:val="26"/>
        </w:rPr>
        <w:t>Theo Berg (2011) “Phương pháp phỏng vấn đơn giản là đàm thoại có mục đích”. Nghiên cứu này sử dụng phương pháp phỏng vấn chuyên gia thông qua thảo luận nhóm và phỏng vấn các nhà quản lý cảng, khách hàng cảng có làm hàng container và các Giảng Viên giảng dạy nghiệp vụ khai thác cảng nhằm điều chỉnh các khái niệm cho phù hợp với điều kiện hoạt động kinh doanh ở Việt Nam. Mục đích của việc phỏng vấn thảo luận nhóm nhằm:</w:t>
      </w:r>
    </w:p>
    <w:p>
      <w:pPr>
        <w:pStyle w:val="ListParagraph"/>
        <w:numPr>
          <w:ilvl w:val="1"/>
          <w:numId w:val="17"/>
        </w:numPr>
        <w:tabs>
          <w:tab w:pos="1785" w:val="left" w:leader="none"/>
        </w:tabs>
        <w:spacing w:line="360" w:lineRule="auto" w:before="0" w:after="0"/>
        <w:ind w:left="882" w:right="889" w:firstLine="719"/>
        <w:jc w:val="both"/>
        <w:rPr>
          <w:sz w:val="26"/>
        </w:rPr>
      </w:pPr>
      <w:r>
        <w:rPr>
          <w:sz w:val="26"/>
        </w:rPr>
        <w:t>Khám phá các yếu tố thuộc lợi thế cạnh tranh của cảng container, các biến quan sát đo lường, các khái niệm lợi thế cạnh tranh</w:t>
      </w:r>
      <w:r>
        <w:rPr>
          <w:spacing w:val="-5"/>
          <w:sz w:val="26"/>
        </w:rPr>
        <w:t> </w:t>
      </w:r>
      <w:r>
        <w:rPr>
          <w:sz w:val="26"/>
        </w:rPr>
        <w:t>cảng.</w:t>
      </w:r>
    </w:p>
    <w:p>
      <w:pPr>
        <w:pStyle w:val="ListParagraph"/>
        <w:numPr>
          <w:ilvl w:val="1"/>
          <w:numId w:val="17"/>
        </w:numPr>
        <w:tabs>
          <w:tab w:pos="1770" w:val="left" w:leader="none"/>
        </w:tabs>
        <w:spacing w:line="360" w:lineRule="auto" w:before="0" w:after="0"/>
        <w:ind w:left="882" w:right="892" w:firstLine="719"/>
        <w:jc w:val="both"/>
        <w:rPr>
          <w:sz w:val="26"/>
        </w:rPr>
      </w:pPr>
      <w:r>
        <w:rPr>
          <w:sz w:val="26"/>
        </w:rPr>
        <w:t>Điều chỉnh các nội dung hay bổ sung thêm các phát biểu cho thang đo thuộc lợi thế cạnh tranh cảng</w:t>
      </w:r>
      <w:r>
        <w:rPr>
          <w:spacing w:val="-2"/>
          <w:sz w:val="26"/>
        </w:rPr>
        <w:t> </w:t>
      </w:r>
      <w:r>
        <w:rPr>
          <w:sz w:val="26"/>
        </w:rPr>
        <w:t>container</w:t>
      </w:r>
    </w:p>
    <w:p>
      <w:pPr>
        <w:pStyle w:val="BodyText"/>
        <w:spacing w:line="360" w:lineRule="auto" w:before="2"/>
        <w:ind w:left="882" w:right="888" w:firstLine="719"/>
        <w:jc w:val="both"/>
      </w:pPr>
      <w:r>
        <w:rPr/>
        <w:t>Dựa vào kết quả phỏng vấn sâu và kết quả thảo luận nhóm, tay đôi để hiệu chỉnh thang đo nháp thành thang đo chính thức để thiết kế bản câu hỏi cho nghiên cứu định lượng với hệ thống mẫu được chọn theo phương pháp chọn mẫu thuận tiện. Bên cạnh đó phỏng vấn sâu để luận bàn kết quả nghiên cứu định lượng chính thức nhằm bác bỏ hay chấp nhận kết</w:t>
      </w:r>
      <w:r>
        <w:rPr>
          <w:spacing w:val="-4"/>
        </w:rPr>
        <w:t> </w:t>
      </w:r>
      <w:r>
        <w:rPr/>
        <w:t>quả.</w:t>
      </w:r>
    </w:p>
    <w:p>
      <w:pPr>
        <w:pStyle w:val="ListParagraph"/>
        <w:numPr>
          <w:ilvl w:val="0"/>
          <w:numId w:val="17"/>
        </w:numPr>
        <w:tabs>
          <w:tab w:pos="1602" w:val="left" w:leader="none"/>
        </w:tabs>
        <w:spacing w:line="360" w:lineRule="auto" w:before="0" w:after="0"/>
        <w:ind w:left="1602" w:right="891" w:hanging="360"/>
        <w:jc w:val="both"/>
        <w:rPr>
          <w:sz w:val="26"/>
        </w:rPr>
      </w:pPr>
      <w:r>
        <w:rPr>
          <w:b/>
          <w:sz w:val="26"/>
        </w:rPr>
        <w:t>Phương pháp quan sát: </w:t>
      </w:r>
      <w:r>
        <w:rPr>
          <w:sz w:val="26"/>
        </w:rPr>
        <w:t>Theo Nguyễn Đình Thọ (2011) thì “Quan sát là phương pháp sử dụng trong nghiên cứu định tính là quan sát bằng</w:t>
      </w:r>
      <w:r>
        <w:rPr>
          <w:spacing w:val="14"/>
          <w:sz w:val="26"/>
        </w:rPr>
        <w:t> </w:t>
      </w:r>
      <w:r>
        <w:rPr>
          <w:sz w:val="26"/>
        </w:rPr>
        <w:t>mắt”.</w:t>
      </w:r>
    </w:p>
    <w:p>
      <w:pPr>
        <w:spacing w:after="0" w:line="360" w:lineRule="auto"/>
        <w:jc w:val="both"/>
        <w:rPr>
          <w:sz w:val="26"/>
        </w:rPr>
        <w:sectPr>
          <w:pgSz w:w="11910" w:h="16850"/>
          <w:pgMar w:header="751" w:footer="0" w:top="960" w:bottom="280" w:left="820" w:right="240"/>
        </w:sectPr>
      </w:pPr>
    </w:p>
    <w:p>
      <w:pPr>
        <w:pStyle w:val="BodyText"/>
        <w:rPr>
          <w:sz w:val="20"/>
        </w:rPr>
      </w:pPr>
    </w:p>
    <w:p>
      <w:pPr>
        <w:pStyle w:val="BodyText"/>
        <w:spacing w:before="7"/>
        <w:rPr>
          <w:sz w:val="23"/>
        </w:rPr>
      </w:pPr>
    </w:p>
    <w:p>
      <w:pPr>
        <w:pStyle w:val="BodyText"/>
        <w:spacing w:line="360" w:lineRule="auto" w:before="89"/>
        <w:ind w:left="1602" w:right="888"/>
        <w:jc w:val="both"/>
      </w:pPr>
      <w:r>
        <w:rPr/>
        <w:t>Phương pháp này tác giả thực hiện bằng quan sát hoạt động khai thác cảng container tại Việt Nam và tác giả có sự cảm nhận khi đứng trên gốc độ khách hàng cảng cho việc lựa chọn cảng container</w:t>
      </w:r>
    </w:p>
    <w:p>
      <w:pPr>
        <w:pStyle w:val="Heading6"/>
        <w:numPr>
          <w:ilvl w:val="0"/>
          <w:numId w:val="18"/>
        </w:numPr>
        <w:tabs>
          <w:tab w:pos="1962" w:val="left" w:leader="none"/>
        </w:tabs>
        <w:spacing w:line="298" w:lineRule="exact" w:before="0" w:after="0"/>
        <w:ind w:left="1962" w:right="0" w:hanging="360"/>
        <w:jc w:val="both"/>
      </w:pPr>
      <w:r>
        <w:rPr/>
        <w:t>Phương pháp nghiên cứu định</w:t>
      </w:r>
      <w:r>
        <w:rPr>
          <w:spacing w:val="-3"/>
        </w:rPr>
        <w:t> </w:t>
      </w:r>
      <w:r>
        <w:rPr/>
        <w:t>lượng</w:t>
      </w:r>
    </w:p>
    <w:p>
      <w:pPr>
        <w:pStyle w:val="BodyText"/>
        <w:spacing w:line="360" w:lineRule="auto" w:before="150"/>
        <w:ind w:left="882" w:right="888" w:firstLine="719"/>
        <w:jc w:val="both"/>
      </w:pPr>
      <w:r>
        <w:rPr/>
        <w:t>Sử dụng phương pháp nghiên cứu này nhằm kiểm định, nhận diện các yếu tố  tác động thông qua các giá trị, độ tin cậy và mức độ phù hợp của các thang đo, kiểm định mô hình nghiên cứu và các giả thuyết nghiên cứu, xác định mức độ tác động ảnh hưởng đến lợi thế cạnh tranh. Nghiên cứu định lượng được thực hiện qua các giai đoạn như là thiết kế mẫu nghiên cứu, thu thập thông tin từ mẫu khảo sát là khách hàng của cảng container. Dữ liệu được phân tích và xử lý bằng công cụ phân tích SPSS 20 nhằm khẳng định những yếu tố tạo lợi thế cạnh tranh của cảng container, kiểm định sự phù hợp của mô hình được thiết kế và đề xuất trong nghiên cứu định tính. Phương pháp này sử dụng các công cụ và phương pháp phân tích</w:t>
      </w:r>
      <w:r>
        <w:rPr>
          <w:spacing w:val="-7"/>
        </w:rPr>
        <w:t> </w:t>
      </w:r>
      <w:r>
        <w:rPr/>
        <w:t>sau:</w:t>
      </w:r>
    </w:p>
    <w:p>
      <w:pPr>
        <w:pStyle w:val="ListParagraph"/>
        <w:numPr>
          <w:ilvl w:val="0"/>
          <w:numId w:val="17"/>
        </w:numPr>
        <w:tabs>
          <w:tab w:pos="1602" w:val="left" w:leader="none"/>
        </w:tabs>
        <w:spacing w:line="360" w:lineRule="auto" w:before="1" w:after="0"/>
        <w:ind w:left="1602" w:right="886" w:hanging="360"/>
        <w:jc w:val="both"/>
        <w:rPr>
          <w:sz w:val="26"/>
        </w:rPr>
      </w:pPr>
      <w:r>
        <w:rPr>
          <w:b/>
          <w:sz w:val="26"/>
        </w:rPr>
        <w:t>Phương pháp Cronbach’S Alpha: </w:t>
      </w:r>
      <w:r>
        <w:rPr>
          <w:sz w:val="26"/>
        </w:rPr>
        <w:t>Đây là phương pháp dùng để đánh giá độ tin cậy thang đo trong nghiên cứu định lượng sơ bộ và chính thức. Phương pháp này được phát triển bởi Cronbach (1951) và được nhiều nhà nghiên cứu đồng tình sử dụng như Churchill (1979); Devellis (2003); Hair (2009); Creswell (2014).</w:t>
      </w:r>
    </w:p>
    <w:p>
      <w:pPr>
        <w:pStyle w:val="ListParagraph"/>
        <w:numPr>
          <w:ilvl w:val="0"/>
          <w:numId w:val="17"/>
        </w:numPr>
        <w:tabs>
          <w:tab w:pos="1667" w:val="left" w:leader="none"/>
        </w:tabs>
        <w:spacing w:line="360" w:lineRule="auto" w:before="0" w:after="0"/>
        <w:ind w:left="1602" w:right="888" w:hanging="360"/>
        <w:jc w:val="both"/>
        <w:rPr>
          <w:sz w:val="26"/>
        </w:rPr>
      </w:pPr>
      <w:r>
        <w:rPr/>
        <w:tab/>
      </w:r>
      <w:r>
        <w:rPr>
          <w:b/>
          <w:sz w:val="26"/>
        </w:rPr>
        <w:t>Phương pháp nhân tích nhân tố khám phá (EFA): </w:t>
      </w:r>
      <w:r>
        <w:rPr>
          <w:sz w:val="26"/>
        </w:rPr>
        <w:t>Phương pháp này được nhiều nhà khao học phát triển và kỳ vọng như Churchill (1979); Nunnally and Bernstein (1994); Devellis (2003); Hair (2014). Đề tài sử dụng phương pháp này nhằm đánh giá giá trị thang đo, khám phá các nhóm nhân tố trong nghiên cứu sơ bộ và chính</w:t>
      </w:r>
      <w:r>
        <w:rPr>
          <w:spacing w:val="-5"/>
          <w:sz w:val="26"/>
        </w:rPr>
        <w:t> </w:t>
      </w:r>
      <w:r>
        <w:rPr>
          <w:sz w:val="26"/>
        </w:rPr>
        <w:t>thức</w:t>
      </w:r>
    </w:p>
    <w:p>
      <w:pPr>
        <w:pStyle w:val="ListParagraph"/>
        <w:numPr>
          <w:ilvl w:val="0"/>
          <w:numId w:val="17"/>
        </w:numPr>
        <w:tabs>
          <w:tab w:pos="1602" w:val="left" w:leader="none"/>
        </w:tabs>
        <w:spacing w:line="360" w:lineRule="auto" w:before="1" w:after="0"/>
        <w:ind w:left="1602" w:right="891" w:hanging="360"/>
        <w:jc w:val="both"/>
        <w:rPr>
          <w:sz w:val="26"/>
        </w:rPr>
      </w:pPr>
      <w:r>
        <w:rPr>
          <w:b/>
          <w:sz w:val="26"/>
        </w:rPr>
        <w:t>Phương pháp phân tích nhân tố khẳng định (CFA): </w:t>
      </w:r>
      <w:r>
        <w:rPr>
          <w:sz w:val="26"/>
        </w:rPr>
        <w:t>Theo một số nhà nghiên cứu tiêu biểu là Nguyễn Đình Thọ (2011); Hair và cộng sự (2014) thì CFA là phương pháp nhằm kiểm định lại kết quả của các nhân tố có phù hợp với lý thuyết nghiên cứu hay không. Đề tài đã sử dụng phương pháp này nhằm kiểm định nhân tố trong nghiên cứu chính</w:t>
      </w:r>
      <w:r>
        <w:rPr>
          <w:spacing w:val="-4"/>
          <w:sz w:val="26"/>
        </w:rPr>
        <w:t> </w:t>
      </w:r>
      <w:r>
        <w:rPr>
          <w:sz w:val="26"/>
        </w:rPr>
        <w:t>thức.</w:t>
      </w:r>
    </w:p>
    <w:p>
      <w:pPr>
        <w:pStyle w:val="ListParagraph"/>
        <w:numPr>
          <w:ilvl w:val="0"/>
          <w:numId w:val="17"/>
        </w:numPr>
        <w:tabs>
          <w:tab w:pos="1602" w:val="left" w:leader="none"/>
        </w:tabs>
        <w:spacing w:line="360" w:lineRule="auto" w:before="0" w:after="0"/>
        <w:ind w:left="1602" w:right="888" w:hanging="360"/>
        <w:jc w:val="both"/>
        <w:rPr>
          <w:sz w:val="26"/>
        </w:rPr>
      </w:pPr>
      <w:r>
        <w:rPr>
          <w:b/>
          <w:sz w:val="26"/>
        </w:rPr>
        <w:t>Phương pháp phân tích mô hình cấu trúc tuyến tính (SEM): </w:t>
      </w:r>
      <w:r>
        <w:rPr>
          <w:sz w:val="26"/>
        </w:rPr>
        <w:t>Mô hình cấu trúc tuyến tính được xem là phương pháp phân tích mối quan hệ nhân quả được nhiêu nhà khoa học kỳ vọng vá áp dụng trong các nghiên cứu nhân</w:t>
      </w:r>
      <w:r>
        <w:rPr>
          <w:spacing w:val="10"/>
          <w:sz w:val="26"/>
        </w:rPr>
        <w:t> </w:t>
      </w:r>
      <w:r>
        <w:rPr>
          <w:sz w:val="26"/>
        </w:rPr>
        <w:t>quả như</w:t>
      </w:r>
    </w:p>
    <w:p>
      <w:pPr>
        <w:spacing w:after="0" w:line="360" w:lineRule="auto"/>
        <w:jc w:val="both"/>
        <w:rPr>
          <w:sz w:val="26"/>
        </w:rPr>
        <w:sectPr>
          <w:pgSz w:w="11910" w:h="16850"/>
          <w:pgMar w:header="751" w:footer="0" w:top="960" w:bottom="280" w:left="820" w:right="240"/>
        </w:sectPr>
      </w:pPr>
    </w:p>
    <w:p>
      <w:pPr>
        <w:pStyle w:val="BodyText"/>
        <w:rPr>
          <w:sz w:val="20"/>
        </w:rPr>
      </w:pPr>
    </w:p>
    <w:p>
      <w:pPr>
        <w:pStyle w:val="BodyText"/>
        <w:spacing w:before="7"/>
        <w:rPr>
          <w:sz w:val="23"/>
        </w:rPr>
      </w:pPr>
    </w:p>
    <w:p>
      <w:pPr>
        <w:pStyle w:val="BodyText"/>
        <w:spacing w:line="360" w:lineRule="auto" w:before="89"/>
        <w:ind w:left="1602" w:right="888"/>
        <w:jc w:val="both"/>
      </w:pPr>
      <w:r>
        <w:rPr/>
        <w:t>Nguyễn Đình Thọ và Nguyễn Thị Mai Trang (2011). Đề tài sử dụng phương pháp này nhằm giải thích nhân quả và mối quan hệ giữa đặc tính cảng với hiệu quả khai thác cảng container nhằm kiểm định mô hình lý thuyết với các giả thuyết giả định. Phương pháp này được sử dụng trong nghiên cứu định lượng chính thức với công cụ AMOS 20.</w:t>
      </w:r>
    </w:p>
    <w:p>
      <w:pPr>
        <w:pStyle w:val="ListParagraph"/>
        <w:numPr>
          <w:ilvl w:val="0"/>
          <w:numId w:val="17"/>
        </w:numPr>
        <w:tabs>
          <w:tab w:pos="1602" w:val="left" w:leader="none"/>
        </w:tabs>
        <w:spacing w:line="360" w:lineRule="auto" w:before="0" w:after="0"/>
        <w:ind w:left="1602" w:right="888" w:hanging="360"/>
        <w:jc w:val="both"/>
        <w:rPr>
          <w:sz w:val="26"/>
        </w:rPr>
      </w:pPr>
      <w:r>
        <w:rPr>
          <w:b/>
          <w:sz w:val="26"/>
        </w:rPr>
        <w:t>Phương pháp Bootstrap: </w:t>
      </w:r>
      <w:r>
        <w:rPr>
          <w:sz w:val="26"/>
        </w:rPr>
        <w:t>Đây là phương pháp lấy mẫu lại được sử dụng để tránh trường hợp lấy mẫu khác nhằm tiết kiệm thời gian và chi phí (Anderson andGerbing, 1998; Hair và cộng sự, 2009, 2014) nghĩa là đây là phương pháp lấy mẫu ban đầu lại làm đám đông nhằm mục đích ước lượng. Đề tài này sử dụng phương pháp Bootstrap trong nghiên cứu định lượng chính thức nhằm ước lượng lại mô hình lý</w:t>
      </w:r>
      <w:r>
        <w:rPr>
          <w:spacing w:val="-1"/>
          <w:sz w:val="26"/>
        </w:rPr>
        <w:t> </w:t>
      </w:r>
      <w:r>
        <w:rPr>
          <w:sz w:val="26"/>
        </w:rPr>
        <w:t>thuyết.</w:t>
      </w:r>
    </w:p>
    <w:p>
      <w:pPr>
        <w:pStyle w:val="ListParagraph"/>
        <w:numPr>
          <w:ilvl w:val="0"/>
          <w:numId w:val="19"/>
        </w:numPr>
        <w:tabs>
          <w:tab w:pos="1962" w:val="left" w:leader="none"/>
        </w:tabs>
        <w:spacing w:line="240" w:lineRule="auto" w:before="0" w:after="0"/>
        <w:ind w:left="1962" w:right="0" w:hanging="360"/>
        <w:jc w:val="both"/>
        <w:rPr>
          <w:sz w:val="26"/>
        </w:rPr>
      </w:pPr>
      <w:r>
        <w:rPr>
          <w:sz w:val="26"/>
        </w:rPr>
        <w:t>Dữ liệu nghiên</w:t>
      </w:r>
      <w:r>
        <w:rPr>
          <w:spacing w:val="-1"/>
          <w:sz w:val="26"/>
        </w:rPr>
        <w:t> </w:t>
      </w:r>
      <w:r>
        <w:rPr>
          <w:sz w:val="26"/>
        </w:rPr>
        <w:t>cứu:</w:t>
      </w:r>
    </w:p>
    <w:p>
      <w:pPr>
        <w:pStyle w:val="ListParagraph"/>
        <w:numPr>
          <w:ilvl w:val="0"/>
          <w:numId w:val="17"/>
        </w:numPr>
        <w:tabs>
          <w:tab w:pos="1602" w:val="left" w:leader="none"/>
        </w:tabs>
        <w:spacing w:line="360" w:lineRule="auto" w:before="149" w:after="0"/>
        <w:ind w:left="1602" w:right="888" w:hanging="360"/>
        <w:jc w:val="both"/>
        <w:rPr>
          <w:sz w:val="26"/>
        </w:rPr>
      </w:pPr>
      <w:r>
        <w:rPr>
          <w:b/>
          <w:sz w:val="26"/>
        </w:rPr>
        <w:t>Dữ liệu sơ cấp: </w:t>
      </w:r>
      <w:r>
        <w:rPr>
          <w:sz w:val="26"/>
        </w:rPr>
        <w:t>Được phát triển và thu thập từ phỏng vấn các nhà quản lý cảng và khu bến có khai thác container, khách hàng của cảng, bên cạnh các chuyên gia giàu kinh nghiệm trong vận hành khai thác cảng</w:t>
      </w:r>
      <w:r>
        <w:rPr>
          <w:spacing w:val="-5"/>
          <w:sz w:val="26"/>
        </w:rPr>
        <w:t> </w:t>
      </w:r>
      <w:r>
        <w:rPr>
          <w:sz w:val="26"/>
        </w:rPr>
        <w:t>container.</w:t>
      </w:r>
    </w:p>
    <w:p>
      <w:pPr>
        <w:pStyle w:val="ListParagraph"/>
        <w:numPr>
          <w:ilvl w:val="0"/>
          <w:numId w:val="17"/>
        </w:numPr>
        <w:tabs>
          <w:tab w:pos="1602" w:val="left" w:leader="none"/>
        </w:tabs>
        <w:spacing w:line="360" w:lineRule="auto" w:before="1" w:after="0"/>
        <w:ind w:left="1602" w:right="888" w:hanging="360"/>
        <w:jc w:val="both"/>
        <w:rPr>
          <w:sz w:val="26"/>
        </w:rPr>
      </w:pPr>
      <w:r>
        <w:rPr>
          <w:b/>
          <w:sz w:val="26"/>
        </w:rPr>
        <w:t>Dữ liệu thứ cấp: </w:t>
      </w:r>
      <w:r>
        <w:rPr>
          <w:sz w:val="26"/>
        </w:rPr>
        <w:t>Được thống kê, tổng hợp từ Hiệp Hội Dịch Vụ Logistics Việt Nam (VLA) và Hiệp Hội Cảng Biển Việt Nam (VPA) cũng như Viện Nghiên Cứu và Phát Triển Logistics Việt Nam (VLI), Tạp Chí Việt Nam Logistics Review (VLR) cùng các trang báo, mạng xã hội tin</w:t>
      </w:r>
      <w:r>
        <w:rPr>
          <w:spacing w:val="-7"/>
          <w:sz w:val="26"/>
        </w:rPr>
        <w:t> </w:t>
      </w:r>
      <w:r>
        <w:rPr>
          <w:sz w:val="26"/>
        </w:rPr>
        <w:t>cậy.</w:t>
      </w:r>
    </w:p>
    <w:p>
      <w:pPr>
        <w:pStyle w:val="Heading6"/>
        <w:numPr>
          <w:ilvl w:val="1"/>
          <w:numId w:val="6"/>
        </w:numPr>
        <w:tabs>
          <w:tab w:pos="1271" w:val="left" w:leader="none"/>
        </w:tabs>
        <w:spacing w:line="298" w:lineRule="exact" w:before="0" w:after="0"/>
        <w:ind w:left="1270" w:right="0" w:hanging="389"/>
        <w:jc w:val="both"/>
      </w:pPr>
      <w:bookmarkStart w:name="_TOC_250048" w:id="8"/>
      <w:r>
        <w:rPr/>
        <w:t>Đối tượng và phạm vi nghiên</w:t>
      </w:r>
      <w:r>
        <w:rPr>
          <w:spacing w:val="-4"/>
        </w:rPr>
        <w:t> </w:t>
      </w:r>
      <w:bookmarkEnd w:id="8"/>
      <w:r>
        <w:rPr/>
        <w:t>cứu</w:t>
      </w:r>
    </w:p>
    <w:p>
      <w:pPr>
        <w:pStyle w:val="Heading6"/>
        <w:numPr>
          <w:ilvl w:val="2"/>
          <w:numId w:val="6"/>
        </w:numPr>
        <w:tabs>
          <w:tab w:pos="1466" w:val="left" w:leader="none"/>
        </w:tabs>
        <w:spacing w:line="240" w:lineRule="auto" w:before="150" w:after="0"/>
        <w:ind w:left="1465" w:right="0" w:hanging="584"/>
        <w:jc w:val="left"/>
      </w:pPr>
      <w:bookmarkStart w:name="_TOC_250047" w:id="9"/>
      <w:r>
        <w:rPr/>
        <w:t>Đối tượng nghiên</w:t>
      </w:r>
      <w:r>
        <w:rPr>
          <w:spacing w:val="-2"/>
        </w:rPr>
        <w:t> </w:t>
      </w:r>
      <w:bookmarkEnd w:id="9"/>
      <w:r>
        <w:rPr/>
        <w:t>cứu</w:t>
      </w:r>
    </w:p>
    <w:p>
      <w:pPr>
        <w:pStyle w:val="ListParagraph"/>
        <w:numPr>
          <w:ilvl w:val="3"/>
          <w:numId w:val="6"/>
        </w:numPr>
        <w:tabs>
          <w:tab w:pos="1754" w:val="left" w:leader="none"/>
        </w:tabs>
        <w:spacing w:line="360" w:lineRule="auto" w:before="150" w:after="0"/>
        <w:ind w:left="882" w:right="886" w:firstLine="719"/>
        <w:jc w:val="left"/>
        <w:rPr>
          <w:sz w:val="26"/>
        </w:rPr>
      </w:pPr>
      <w:r>
        <w:rPr>
          <w:sz w:val="26"/>
        </w:rPr>
        <w:t>Lợi thế cạnh tranh, các yếu tố tạo lợi thế cạnh tranh cho doanh nghiệp; cho các cảng container của Việt Nam và thang đo những yếu tố</w:t>
      </w:r>
      <w:r>
        <w:rPr>
          <w:spacing w:val="-8"/>
          <w:sz w:val="26"/>
        </w:rPr>
        <w:t> </w:t>
      </w:r>
      <w:r>
        <w:rPr>
          <w:sz w:val="26"/>
        </w:rPr>
        <w:t>này.</w:t>
      </w:r>
    </w:p>
    <w:p>
      <w:pPr>
        <w:pStyle w:val="ListParagraph"/>
        <w:numPr>
          <w:ilvl w:val="3"/>
          <w:numId w:val="6"/>
        </w:numPr>
        <w:tabs>
          <w:tab w:pos="1756" w:val="left" w:leader="none"/>
        </w:tabs>
        <w:spacing w:line="360" w:lineRule="auto" w:before="0" w:after="0"/>
        <w:ind w:left="882" w:right="893" w:firstLine="719"/>
        <w:jc w:val="left"/>
        <w:rPr>
          <w:sz w:val="26"/>
        </w:rPr>
      </w:pPr>
      <w:r>
        <w:rPr>
          <w:sz w:val="26"/>
        </w:rPr>
        <w:t>Thực trạng các yếu tố tạo lợi thế cạnh tranh và điều kiện nâng cao lợi thế cạnh tranh cho các cảng container của Việt</w:t>
      </w:r>
      <w:r>
        <w:rPr>
          <w:spacing w:val="-5"/>
          <w:sz w:val="26"/>
        </w:rPr>
        <w:t> </w:t>
      </w:r>
      <w:r>
        <w:rPr>
          <w:sz w:val="26"/>
        </w:rPr>
        <w:t>Nam</w:t>
      </w:r>
    </w:p>
    <w:p>
      <w:pPr>
        <w:pStyle w:val="ListParagraph"/>
        <w:numPr>
          <w:ilvl w:val="3"/>
          <w:numId w:val="6"/>
        </w:numPr>
        <w:tabs>
          <w:tab w:pos="1835" w:val="left" w:leader="none"/>
        </w:tabs>
        <w:spacing w:line="360" w:lineRule="auto" w:before="0" w:after="0"/>
        <w:ind w:left="882" w:right="889" w:firstLine="784"/>
        <w:jc w:val="left"/>
        <w:rPr>
          <w:sz w:val="26"/>
        </w:rPr>
      </w:pPr>
      <w:r>
        <w:rPr>
          <w:sz w:val="26"/>
        </w:rPr>
        <w:t>Kinh nghiệm nâng cao lợi thế cạnh tranh của một số cảng container trên thế giới nhìn từ góc độ các yếu tố tạo lợi thế cạnh tranh.</w:t>
      </w:r>
    </w:p>
    <w:p>
      <w:pPr>
        <w:pStyle w:val="Heading6"/>
        <w:numPr>
          <w:ilvl w:val="2"/>
          <w:numId w:val="6"/>
        </w:numPr>
        <w:tabs>
          <w:tab w:pos="1466" w:val="left" w:leader="none"/>
        </w:tabs>
        <w:spacing w:line="240" w:lineRule="auto" w:before="0" w:after="0"/>
        <w:ind w:left="1465" w:right="0" w:hanging="584"/>
        <w:jc w:val="left"/>
      </w:pPr>
      <w:bookmarkStart w:name="_TOC_250046" w:id="10"/>
      <w:bookmarkEnd w:id="10"/>
      <w:r>
        <w:rPr/>
        <w:t>Phạm vi nghiên cứu</w:t>
      </w:r>
    </w:p>
    <w:p>
      <w:pPr>
        <w:pStyle w:val="BodyText"/>
        <w:spacing w:line="360" w:lineRule="auto" w:before="150"/>
        <w:ind w:left="882" w:right="924" w:firstLine="719"/>
      </w:pPr>
      <w:r>
        <w:rPr/>
        <w:t>Các lý thuyết về cạnh tranh và lợi thế cạnh tranh, các nghiên cứu về các yếu tố tạo lợi thế cạnh tranh cho doanh nghiệp.</w:t>
      </w:r>
    </w:p>
    <w:p>
      <w:pPr>
        <w:spacing w:after="0" w:line="360" w:lineRule="auto"/>
        <w:sectPr>
          <w:pgSz w:w="11910" w:h="16850"/>
          <w:pgMar w:header="751" w:footer="0" w:top="960" w:bottom="280" w:left="820" w:right="240"/>
        </w:sectPr>
      </w:pPr>
    </w:p>
    <w:p>
      <w:pPr>
        <w:pStyle w:val="BodyText"/>
        <w:rPr>
          <w:sz w:val="20"/>
        </w:rPr>
      </w:pPr>
    </w:p>
    <w:p>
      <w:pPr>
        <w:pStyle w:val="BodyText"/>
        <w:spacing w:before="7"/>
        <w:rPr>
          <w:sz w:val="23"/>
        </w:rPr>
      </w:pPr>
    </w:p>
    <w:p>
      <w:pPr>
        <w:pStyle w:val="ListParagraph"/>
        <w:numPr>
          <w:ilvl w:val="3"/>
          <w:numId w:val="6"/>
        </w:numPr>
        <w:tabs>
          <w:tab w:pos="1766" w:val="left" w:leader="none"/>
        </w:tabs>
        <w:spacing w:line="360" w:lineRule="auto" w:before="89" w:after="0"/>
        <w:ind w:left="882" w:right="888" w:firstLine="719"/>
        <w:jc w:val="both"/>
        <w:rPr>
          <w:sz w:val="26"/>
        </w:rPr>
      </w:pPr>
      <w:r>
        <w:rPr>
          <w:sz w:val="26"/>
        </w:rPr>
        <w:t>Các chính sách, chiến lược của Nhà nước và những vấn đề khác có liên quan đến nâng cao lợi thế cạnh tranh cho các cảng biển Việt</w:t>
      </w:r>
      <w:r>
        <w:rPr>
          <w:spacing w:val="-7"/>
          <w:sz w:val="26"/>
        </w:rPr>
        <w:t> </w:t>
      </w:r>
      <w:r>
        <w:rPr>
          <w:sz w:val="26"/>
        </w:rPr>
        <w:t>Nam</w:t>
      </w:r>
    </w:p>
    <w:p>
      <w:pPr>
        <w:pStyle w:val="ListParagraph"/>
        <w:numPr>
          <w:ilvl w:val="3"/>
          <w:numId w:val="6"/>
        </w:numPr>
        <w:tabs>
          <w:tab w:pos="1754" w:val="left" w:leader="none"/>
        </w:tabs>
        <w:spacing w:line="240" w:lineRule="auto" w:before="0" w:after="0"/>
        <w:ind w:left="1753" w:right="0" w:hanging="152"/>
        <w:jc w:val="both"/>
        <w:rPr>
          <w:sz w:val="26"/>
        </w:rPr>
      </w:pPr>
      <w:r>
        <w:rPr>
          <w:sz w:val="26"/>
        </w:rPr>
        <w:t>Các cảng container điển hình trong nước và trên thế</w:t>
      </w:r>
      <w:r>
        <w:rPr>
          <w:spacing w:val="-3"/>
          <w:sz w:val="26"/>
        </w:rPr>
        <w:t> </w:t>
      </w:r>
      <w:r>
        <w:rPr>
          <w:sz w:val="26"/>
        </w:rPr>
        <w:t>giới.</w:t>
      </w:r>
    </w:p>
    <w:p>
      <w:pPr>
        <w:pStyle w:val="BodyText"/>
        <w:spacing w:line="360" w:lineRule="auto" w:before="148"/>
        <w:ind w:left="882" w:right="888" w:firstLine="719"/>
        <w:jc w:val="both"/>
      </w:pPr>
      <w:r>
        <w:rPr/>
        <w:t>Trong đó, nghiên cứu định lượng chọn hướng tiếp cận từ phía khách hàng</w:t>
      </w:r>
      <w:r>
        <w:rPr>
          <w:color w:val="800000"/>
        </w:rPr>
        <w:t>. </w:t>
      </w:r>
      <w:r>
        <w:rPr/>
        <w:t>Vì thế, đối tượng khảo sát là những doanh nghiệp đã có những lần sử dụng dịch vụ của cảng container tại Việt Nam. Đối tượng phân tích là các cảng container của Việt Nam.</w:t>
      </w:r>
    </w:p>
    <w:p>
      <w:pPr>
        <w:pStyle w:val="BodyText"/>
        <w:spacing w:line="360" w:lineRule="auto" w:before="1"/>
        <w:ind w:left="882" w:right="888" w:firstLine="719"/>
        <w:jc w:val="both"/>
      </w:pPr>
      <w:r>
        <w:rPr/>
        <w:t>Về thời gian, nghiên cứu tiến hành khảo sát, đánh giá các cảng container của Việt Nam từ năm 2010, nhưng chủ yếu là trong những năm gần đây. Thời gian thực hiện nghiên cứu được tiến hành từ tháng 01/2020 đến tháng 5/2021. Thời gian nghiên cứu từ năm 1985-2021.</w:t>
      </w:r>
    </w:p>
    <w:p>
      <w:pPr>
        <w:pStyle w:val="Heading6"/>
        <w:numPr>
          <w:ilvl w:val="1"/>
          <w:numId w:val="6"/>
        </w:numPr>
        <w:tabs>
          <w:tab w:pos="1271" w:val="left" w:leader="none"/>
        </w:tabs>
        <w:spacing w:line="240" w:lineRule="auto" w:before="2" w:after="0"/>
        <w:ind w:left="1270" w:right="0" w:hanging="389"/>
        <w:jc w:val="both"/>
      </w:pPr>
      <w:bookmarkStart w:name="_TOC_250045" w:id="11"/>
      <w:r>
        <w:rPr/>
        <w:t>Ý nghĩa đóng góp mới của đề</w:t>
      </w:r>
      <w:r>
        <w:rPr>
          <w:spacing w:val="-4"/>
        </w:rPr>
        <w:t> </w:t>
      </w:r>
      <w:bookmarkEnd w:id="11"/>
      <w:r>
        <w:rPr/>
        <w:t>tài</w:t>
      </w:r>
    </w:p>
    <w:p>
      <w:pPr>
        <w:pStyle w:val="Heading6"/>
        <w:numPr>
          <w:ilvl w:val="2"/>
          <w:numId w:val="6"/>
        </w:numPr>
        <w:tabs>
          <w:tab w:pos="1466" w:val="left" w:leader="none"/>
        </w:tabs>
        <w:spacing w:line="240" w:lineRule="auto" w:before="147" w:after="0"/>
        <w:ind w:left="1465" w:right="0" w:hanging="584"/>
        <w:jc w:val="both"/>
      </w:pPr>
      <w:bookmarkStart w:name="_TOC_250044" w:id="12"/>
      <w:r>
        <w:rPr/>
        <w:t>Ý nghĩa về mặt lý</w:t>
      </w:r>
      <w:r>
        <w:rPr>
          <w:spacing w:val="-5"/>
        </w:rPr>
        <w:t> </w:t>
      </w:r>
      <w:bookmarkEnd w:id="12"/>
      <w:r>
        <w:rPr/>
        <w:t>luận</w:t>
      </w:r>
    </w:p>
    <w:p>
      <w:pPr>
        <w:pStyle w:val="BodyText"/>
        <w:spacing w:line="360" w:lineRule="auto" w:before="150"/>
        <w:ind w:left="882" w:right="889" w:firstLine="719"/>
        <w:jc w:val="both"/>
      </w:pPr>
      <w:r>
        <w:rPr>
          <w:b/>
          <w:i/>
        </w:rPr>
        <w:t>Một là</w:t>
      </w:r>
      <w:r>
        <w:rPr>
          <w:i/>
        </w:rPr>
        <w:t>, </w:t>
      </w:r>
      <w:r>
        <w:rPr/>
        <w:t>nghiên cứu là một sự tổng kết, phân tích và đánh giá các lý thuyết, các kết quả nghiên cứu về lợi thế cạnh tranh trên thế giới và ở Việt Nam. Vì vậy, kết quả của nghiên cứu sẽ có những đóng góp nhất định vào việc hệ thống hóa và phát triển các lý thuyết về lợi thế cạnh</w:t>
      </w:r>
      <w:r>
        <w:rPr>
          <w:spacing w:val="2"/>
        </w:rPr>
        <w:t> </w:t>
      </w:r>
      <w:r>
        <w:rPr/>
        <w:t>tranh.</w:t>
      </w:r>
    </w:p>
    <w:p>
      <w:pPr>
        <w:pStyle w:val="BodyText"/>
        <w:spacing w:line="360" w:lineRule="auto" w:before="2"/>
        <w:ind w:left="882" w:right="889" w:firstLine="719"/>
        <w:jc w:val="both"/>
      </w:pPr>
      <w:r>
        <w:rPr>
          <w:b/>
          <w:i/>
        </w:rPr>
        <w:t>Hai là</w:t>
      </w:r>
      <w:r>
        <w:rPr/>
        <w:t>, nghiên cứu đã góp phần phát triển hệ thống thang đo các yếu tố tạo lợi thế cạnh tranh cho các cảng container tại Việt Nam, nhằm khắc phục tình trạng thiếu thang đo cơ sở đặt tại mỗi quốc gia để thiết lập hệ thống tương đương về đo lường, đặc biệt là các quốc gia đang phát triển.</w:t>
      </w:r>
    </w:p>
    <w:p>
      <w:pPr>
        <w:pStyle w:val="BodyText"/>
        <w:spacing w:line="360" w:lineRule="auto"/>
        <w:ind w:left="882" w:right="888" w:firstLine="719"/>
        <w:jc w:val="both"/>
      </w:pPr>
      <w:r>
        <w:rPr>
          <w:b/>
          <w:i/>
        </w:rPr>
        <w:t>Ba là</w:t>
      </w:r>
      <w:r>
        <w:rPr>
          <w:i/>
        </w:rPr>
        <w:t>, </w:t>
      </w:r>
      <w:r>
        <w:rPr/>
        <w:t>nghiên cứu là một thể nghiệm về sự kết hợp giữa nghiên cứu hàn lâm với nghiên cứu ứng dụng. Đó là xây dựng và kiểm định mô hình nghiên cứu và thang đo các yếu tố tạo lợi thế cạnh tranh cho các cảng container tại Việt Nam, đồng thời vận dụng kết quả này để đánh giá thực trạng và hoạch định một số giải pháp nâng cao lợi thế cạnh tranh của các cảng container tại Việt Nam</w:t>
      </w:r>
    </w:p>
    <w:p>
      <w:pPr>
        <w:pStyle w:val="BodyText"/>
        <w:spacing w:line="360" w:lineRule="auto"/>
        <w:ind w:left="882" w:right="888" w:firstLine="719"/>
        <w:jc w:val="both"/>
      </w:pPr>
      <w:r>
        <w:rPr/>
        <w:t>Nhưng quan trọng là trong nghiên cứu ứng dụng, cơ sở để hoạch định các giải pháp nâng cao lợi thế cạnh tranh cho các cảng container không chỉ căn cứ vào lý thuyết và thực trạng mà còn dựa vào kết quả phân tích dự báo điều kiện nâng cao lợi thế cạnh tranh cho các cảng container. Trong đó, việc đánh giá thực trạng được lượng hóa thông qua thang đo các yếu tố tạo lợi thế cạnh tranh cho các cảng container, kết hợp phân tích tương quan giữa chúng với giá trị vị thế (tầm quan trọng) của các yếu</w:t>
      </w:r>
      <w:r>
        <w:rPr>
          <w:spacing w:val="6"/>
        </w:rPr>
        <w:t> </w:t>
      </w:r>
      <w:r>
        <w:rPr/>
        <w:t>tố</w:t>
      </w:r>
    </w:p>
    <w:p>
      <w:pPr>
        <w:spacing w:after="0" w:line="360" w:lineRule="auto"/>
        <w:jc w:val="both"/>
        <w:sectPr>
          <w:pgSz w:w="11910" w:h="16850"/>
          <w:pgMar w:header="751" w:footer="0" w:top="960" w:bottom="280" w:left="820" w:right="240"/>
        </w:sectPr>
      </w:pPr>
    </w:p>
    <w:p>
      <w:pPr>
        <w:pStyle w:val="BodyText"/>
        <w:rPr>
          <w:sz w:val="20"/>
        </w:rPr>
      </w:pPr>
    </w:p>
    <w:p>
      <w:pPr>
        <w:pStyle w:val="BodyText"/>
        <w:spacing w:before="7"/>
        <w:rPr>
          <w:sz w:val="23"/>
        </w:rPr>
      </w:pPr>
    </w:p>
    <w:p>
      <w:pPr>
        <w:pStyle w:val="BodyText"/>
        <w:spacing w:line="360" w:lineRule="auto" w:before="89"/>
        <w:ind w:left="882" w:right="891"/>
        <w:jc w:val="both"/>
      </w:pPr>
      <w:r>
        <w:rPr/>
        <w:t>tạo lợi thế cạnh tranh (chứ không dựa vào số liệu thống kê mô tả). Vì thế, kết quả của nghiên cứu là có độ tin cậy, đồng thời là sự bổ sung và phát triển về mặt phương pháp luận trong đánh giá thực trạng và hoạch định giải pháp.</w:t>
      </w:r>
    </w:p>
    <w:p>
      <w:pPr>
        <w:pStyle w:val="Heading6"/>
        <w:numPr>
          <w:ilvl w:val="2"/>
          <w:numId w:val="6"/>
        </w:numPr>
        <w:tabs>
          <w:tab w:pos="1466" w:val="left" w:leader="none"/>
        </w:tabs>
        <w:spacing w:line="298" w:lineRule="exact" w:before="0" w:after="0"/>
        <w:ind w:left="1465" w:right="0" w:hanging="584"/>
        <w:jc w:val="both"/>
      </w:pPr>
      <w:bookmarkStart w:name="_TOC_250043" w:id="13"/>
      <w:r>
        <w:rPr/>
        <w:t>Ý nghĩa về mặt thực</w:t>
      </w:r>
      <w:r>
        <w:rPr>
          <w:spacing w:val="-3"/>
        </w:rPr>
        <w:t> </w:t>
      </w:r>
      <w:bookmarkEnd w:id="13"/>
      <w:r>
        <w:rPr/>
        <w:t>tiễn</w:t>
      </w:r>
    </w:p>
    <w:p>
      <w:pPr>
        <w:pStyle w:val="BodyText"/>
        <w:spacing w:line="360" w:lineRule="auto" w:before="150"/>
        <w:ind w:left="882" w:right="888" w:firstLine="719"/>
        <w:jc w:val="both"/>
      </w:pPr>
      <w:r>
        <w:rPr>
          <w:b/>
          <w:i/>
        </w:rPr>
        <w:t>Một là</w:t>
      </w:r>
      <w:r>
        <w:rPr/>
        <w:t>, kết quả của nghiên cứu giúp cho các nhà nghiên cứu, các nhà quản trị chiến lược có cách nhìn đầy đủ và toàn diện hơn về một phương thức tiếp cận và đo lường các yếu tố tạo lợi thế cạnh tranh cho doanh nghiệp. Đồng thời nhận diện các yếu tố chính và vai trò tác động của chúng đến lợi thế cạnh tranh của các cảng container tại Việt Nam. Đây sẽ là điều kiện để triển khai những nghiên cứu ứng dụng hoặc hoạch định chiến lược để nâng cao lợi thế cạnh tranh cho các cảng container tại Việt Nam</w:t>
      </w:r>
    </w:p>
    <w:p>
      <w:pPr>
        <w:pStyle w:val="BodyText"/>
        <w:spacing w:line="360" w:lineRule="auto" w:before="2"/>
        <w:ind w:left="882" w:right="888" w:firstLine="719"/>
        <w:jc w:val="both"/>
      </w:pPr>
      <w:r>
        <w:rPr>
          <w:b/>
          <w:i/>
        </w:rPr>
        <w:t>Hai là, </w:t>
      </w:r>
      <w:r>
        <w:rPr/>
        <w:t>nghiên cứu này là một thể nghiệm vận dụng tổng hợp nhiều phương pháp nghiên cứu, từ những phương pháp truyền thống như: khái quát hóa, hệ thống hóa, phân tích, tổng hợp và tư duy hệ thống, vv., đến các phương pháp hiện đại sử dụng kỹ thuật định tính và định lượng như thảo luận nhóm tập trung, phân tích Cronbach alpha, phân tích nhân tố khám phá EFA, phân tích nhân tố khẳng định CFA, phân tích mô hình cấu trúc momen SEM, kiểm định bootstrap, phân tích cấu trúc đa nhóm. Mỗi phương pháp được vận dụng phù hợp theo từng nội dung nghiên cứu. Vì vậy, hy vọng nghiên cứu này sẽ là nguồn tài liệu tham khảo về phương pháp luận, về thiết kế nghiên cứu, thang đo, mô hình nghiên cứu và xử lý dữ liệu nghiên cứu cho các nhà nghiên cứu, giảng viên, học viên và sinh viên trong lĩnh vực quản trị nói chung, lĩnh vực quản trị chiến lược và marketing nói</w:t>
      </w:r>
      <w:r>
        <w:rPr>
          <w:spacing w:val="-3"/>
        </w:rPr>
        <w:t> </w:t>
      </w:r>
      <w:r>
        <w:rPr/>
        <w:t>riêng.</w:t>
      </w:r>
    </w:p>
    <w:p>
      <w:pPr>
        <w:pStyle w:val="Heading6"/>
        <w:numPr>
          <w:ilvl w:val="1"/>
          <w:numId w:val="6"/>
        </w:numPr>
        <w:tabs>
          <w:tab w:pos="1271" w:val="left" w:leader="none"/>
        </w:tabs>
        <w:spacing w:line="298" w:lineRule="exact" w:before="0" w:after="0"/>
        <w:ind w:left="1270" w:right="0" w:hanging="389"/>
        <w:jc w:val="both"/>
      </w:pPr>
      <w:bookmarkStart w:name="_TOC_250042" w:id="14"/>
      <w:r>
        <w:rPr/>
        <w:t>Kết cấu của nghiên</w:t>
      </w:r>
      <w:r>
        <w:rPr>
          <w:spacing w:val="-5"/>
        </w:rPr>
        <w:t> </w:t>
      </w:r>
      <w:bookmarkEnd w:id="14"/>
      <w:r>
        <w:rPr/>
        <w:t>cứu</w:t>
      </w:r>
    </w:p>
    <w:p>
      <w:pPr>
        <w:pStyle w:val="BodyText"/>
        <w:spacing w:line="360" w:lineRule="auto" w:before="150"/>
        <w:ind w:left="882" w:right="887" w:firstLine="719"/>
        <w:jc w:val="both"/>
      </w:pPr>
      <w:r>
        <w:rPr/>
        <w:t>Việc phân chia kết cấu của đề tài tác giả dựa vào mục tiêu và phương pháp được sử dụng trong nghiên cứu. Mục tiêu nghiên cứu tác giả hình thành dựa trên khe hổng của lý thuyết và các nghiên cứu trước. Sau đó dựa vào mục tiêu tác giả tìm phương pháp thích hợp để giải quyết và hình thành kết cấu của đề án ngoài lời mở đầu, phụ lục thì đề án bao gồm 5 chương như</w:t>
      </w:r>
      <w:r>
        <w:rPr>
          <w:spacing w:val="-5"/>
        </w:rPr>
        <w:t> </w:t>
      </w:r>
      <w:r>
        <w:rPr/>
        <w:t>sau:</w:t>
      </w:r>
    </w:p>
    <w:p>
      <w:pPr>
        <w:pStyle w:val="BodyText"/>
        <w:spacing w:line="360" w:lineRule="auto"/>
        <w:ind w:left="882" w:right="888"/>
        <w:jc w:val="both"/>
      </w:pPr>
      <w:r>
        <w:rPr>
          <w:b/>
        </w:rPr>
        <w:t>Chương 1</w:t>
      </w:r>
      <w:r>
        <w:rPr/>
        <w:t>: Giới thiệu tổng quan đề tài nghiên cứu, trong chương này tác giả trình bày rất cụ thể các vấn đề và lý do nghiên cứu, mục tiêu nghiên cứu, phương pháp nghiên cứu, đối tượng và phạm vi nghiên cứu cũng như kết cấu của nghiên cứu.</w:t>
      </w:r>
    </w:p>
    <w:p>
      <w:pPr>
        <w:spacing w:after="0" w:line="360" w:lineRule="auto"/>
        <w:jc w:val="both"/>
        <w:sectPr>
          <w:pgSz w:w="11910" w:h="16850"/>
          <w:pgMar w:header="751" w:footer="0" w:top="960" w:bottom="280" w:left="820" w:right="240"/>
        </w:sectPr>
      </w:pPr>
    </w:p>
    <w:p>
      <w:pPr>
        <w:pStyle w:val="BodyText"/>
        <w:rPr>
          <w:sz w:val="20"/>
        </w:rPr>
      </w:pPr>
    </w:p>
    <w:p>
      <w:pPr>
        <w:pStyle w:val="BodyText"/>
        <w:spacing w:before="7"/>
        <w:rPr>
          <w:sz w:val="23"/>
        </w:rPr>
      </w:pPr>
    </w:p>
    <w:p>
      <w:pPr>
        <w:pStyle w:val="BodyText"/>
        <w:spacing w:line="360" w:lineRule="auto" w:before="89"/>
        <w:ind w:left="882" w:right="924"/>
      </w:pPr>
      <w:r>
        <w:rPr>
          <w:b/>
        </w:rPr>
        <w:t>Chương 2</w:t>
      </w:r>
      <w:r>
        <w:rPr/>
        <w:t>: Cơ sở lý thuyết về lợi thế cạnh tranh và các đặc trưng trong kinh doanh cảng container</w:t>
      </w:r>
    </w:p>
    <w:p>
      <w:pPr>
        <w:pStyle w:val="BodyText"/>
        <w:spacing w:line="357" w:lineRule="auto"/>
        <w:ind w:left="882" w:right="924"/>
      </w:pPr>
      <w:r>
        <w:rPr>
          <w:b/>
        </w:rPr>
        <w:t>Chương 3</w:t>
      </w:r>
      <w:r>
        <w:rPr/>
        <w:t>: Xây dựng và kiểm định mô hình các yếu tố tạo lợi thế cạnh tranh cho cảng container tại Việt Nam</w:t>
      </w:r>
    </w:p>
    <w:p>
      <w:pPr>
        <w:pStyle w:val="BodyText"/>
        <w:spacing w:line="360" w:lineRule="auto" w:before="5"/>
        <w:ind w:left="882" w:right="884"/>
      </w:pPr>
      <w:r>
        <w:rPr>
          <w:b/>
        </w:rPr>
        <w:t>Chương 4</w:t>
      </w:r>
      <w:r>
        <w:rPr/>
        <w:t>: Thực trạng các yếu tố tạo lợi thế cạnh tranh cho các cảng container tại Việt Nam</w:t>
      </w:r>
    </w:p>
    <w:p>
      <w:pPr>
        <w:pStyle w:val="BodyText"/>
        <w:spacing w:line="360" w:lineRule="auto"/>
        <w:ind w:left="882" w:right="924"/>
      </w:pPr>
      <w:r>
        <w:rPr>
          <w:b/>
        </w:rPr>
        <w:t>Chương 5</w:t>
      </w:r>
      <w:r>
        <w:rPr/>
        <w:t>: Một số giải pháp nhằm nâng cao lợi thế cạnh tranh cho các cảng container tại Việt Nam.</w:t>
      </w:r>
    </w:p>
    <w:p>
      <w:pPr>
        <w:pStyle w:val="Heading6"/>
        <w:spacing w:before="2"/>
        <w:ind w:left="4427"/>
      </w:pPr>
      <w:bookmarkStart w:name="_TOC_250041" w:id="15"/>
      <w:bookmarkEnd w:id="15"/>
      <w:r>
        <w:rPr/>
        <w:t>Tóm tắt chương 1</w:t>
      </w:r>
    </w:p>
    <w:p>
      <w:pPr>
        <w:pStyle w:val="BodyText"/>
        <w:spacing w:line="360" w:lineRule="auto" w:before="149"/>
        <w:ind w:left="882" w:right="891"/>
        <w:jc w:val="both"/>
      </w:pPr>
      <w:r>
        <w:rPr/>
        <w:t>Chương 1 trình bày tổng quan về nghiên cứu trong đó thể hiện đặt vấn đề nghiên cứu, lý do nghiên cứu, mục tiêu nghiên cứu, phương pháp nghiên cứu và kỳ vọng của nghiên cứu đạt được. Chương 1 cũng nêu chi tiết các vấn đề nghiên cứu của đề án từ cơ sở lý luận và thực tiễn, bên cạnh đó chương 1 cũng trình bày cấu trúc của đề</w:t>
      </w:r>
      <w:r>
        <w:rPr>
          <w:spacing w:val="-20"/>
        </w:rPr>
        <w:t> </w:t>
      </w:r>
      <w:r>
        <w:rPr/>
        <w:t>án.</w:t>
      </w:r>
    </w:p>
    <w:p>
      <w:pPr>
        <w:spacing w:after="0" w:line="360" w:lineRule="auto"/>
        <w:jc w:val="both"/>
        <w:sectPr>
          <w:pgSz w:w="11910" w:h="16850"/>
          <w:pgMar w:header="751" w:footer="0" w:top="960" w:bottom="280" w:left="820" w:right="240"/>
        </w:sectPr>
      </w:pPr>
    </w:p>
    <w:p>
      <w:pPr>
        <w:pStyle w:val="BodyText"/>
        <w:rPr>
          <w:sz w:val="20"/>
        </w:rPr>
      </w:pPr>
    </w:p>
    <w:p>
      <w:pPr>
        <w:pStyle w:val="BodyText"/>
        <w:spacing w:before="7"/>
        <w:rPr>
          <w:sz w:val="23"/>
        </w:rPr>
      </w:pPr>
    </w:p>
    <w:p>
      <w:pPr>
        <w:pStyle w:val="Heading6"/>
        <w:spacing w:line="360" w:lineRule="auto" w:before="89"/>
        <w:ind w:left="2799" w:right="891" w:hanging="1901"/>
        <w:jc w:val="left"/>
      </w:pPr>
      <w:bookmarkStart w:name="_TOC_250040" w:id="16"/>
      <w:bookmarkEnd w:id="16"/>
      <w:r>
        <w:rPr/>
        <w:t>CHƯƠNG 2: CƠ SỞ LÝ THUYẾT VỀ LỢI THẾ CẠNH TRANH VÀ CÁC ĐẶC TRƯNG KINH DOANH CẢNG CONTAINER</w:t>
      </w:r>
    </w:p>
    <w:p>
      <w:pPr>
        <w:pStyle w:val="Heading6"/>
        <w:numPr>
          <w:ilvl w:val="1"/>
          <w:numId w:val="20"/>
        </w:numPr>
        <w:tabs>
          <w:tab w:pos="1271" w:val="left" w:leader="none"/>
        </w:tabs>
        <w:spacing w:line="240" w:lineRule="auto" w:before="0" w:after="0"/>
        <w:ind w:left="1270" w:right="0" w:hanging="389"/>
        <w:jc w:val="both"/>
      </w:pPr>
      <w:bookmarkStart w:name="_TOC_250039" w:id="17"/>
      <w:bookmarkEnd w:id="17"/>
      <w:r>
        <w:rPr/>
        <w:t>Cạnh tranh và lợi thế cạnh tranh</w:t>
      </w:r>
    </w:p>
    <w:p>
      <w:pPr>
        <w:pStyle w:val="Heading6"/>
        <w:numPr>
          <w:ilvl w:val="2"/>
          <w:numId w:val="20"/>
        </w:numPr>
        <w:tabs>
          <w:tab w:pos="1466" w:val="left" w:leader="none"/>
        </w:tabs>
        <w:spacing w:line="240" w:lineRule="auto" w:before="148" w:after="0"/>
        <w:ind w:left="1465" w:right="0" w:hanging="584"/>
        <w:jc w:val="both"/>
      </w:pPr>
      <w:bookmarkStart w:name="_TOC_250038" w:id="18"/>
      <w:r>
        <w:rPr/>
        <w:t>Khái niệm về cạnh</w:t>
      </w:r>
      <w:r>
        <w:rPr>
          <w:spacing w:val="-3"/>
        </w:rPr>
        <w:t> </w:t>
      </w:r>
      <w:bookmarkEnd w:id="18"/>
      <w:r>
        <w:rPr/>
        <w:t>tranh</w:t>
      </w:r>
    </w:p>
    <w:p>
      <w:pPr>
        <w:pStyle w:val="BodyText"/>
        <w:spacing w:line="360" w:lineRule="auto" w:before="150"/>
        <w:ind w:left="882" w:right="889" w:firstLine="719"/>
        <w:jc w:val="both"/>
      </w:pPr>
      <w:r>
        <w:rPr/>
        <w:t>Thuật ngữ “</w:t>
      </w:r>
      <w:r>
        <w:rPr>
          <w:i/>
        </w:rPr>
        <w:t>cạnh tranh</w:t>
      </w:r>
      <w:r>
        <w:rPr/>
        <w:t>” được sử dụng rất phổ biến trong nhiều lĩnh vực của đời sống kinh tế, chính trị, xã hội; thường xuyên được bàn luận trong các sách, báo chuyên môn, diễn đàn kinh tế cũng như trên các phương tiện thông tin đại chúng từ nhiều góc độ khác nhau, dẫn đến có nhiều quan niệm khác nhau về “</w:t>
      </w:r>
      <w:r>
        <w:rPr>
          <w:i/>
        </w:rPr>
        <w:t>cạnh tranh</w:t>
      </w:r>
      <w:r>
        <w:rPr/>
        <w:t>” (Nguyễn Xuân Hiệp, 2011). Trong nghiên cứu này, khái niệm cạnh tranh được nghiên cứu dưới góc độ kinh tế quan niệm truyền thống và hiện</w:t>
      </w:r>
      <w:r>
        <w:rPr>
          <w:spacing w:val="-3"/>
        </w:rPr>
        <w:t> </w:t>
      </w:r>
      <w:r>
        <w:rPr/>
        <w:t>đại.</w:t>
      </w:r>
    </w:p>
    <w:p>
      <w:pPr>
        <w:spacing w:before="2"/>
        <w:ind w:left="882" w:right="0" w:firstLine="0"/>
        <w:jc w:val="both"/>
        <w:rPr>
          <w:i/>
          <w:sz w:val="26"/>
        </w:rPr>
      </w:pPr>
      <w:r>
        <w:rPr>
          <w:i/>
          <w:sz w:val="26"/>
        </w:rPr>
        <w:t>Quan niệm truyền thống</w:t>
      </w:r>
    </w:p>
    <w:p>
      <w:pPr>
        <w:pStyle w:val="BodyText"/>
        <w:spacing w:line="360" w:lineRule="auto" w:before="148"/>
        <w:ind w:left="882" w:right="888" w:firstLine="719"/>
        <w:jc w:val="both"/>
      </w:pPr>
      <w:r>
        <w:rPr/>
        <w:t>Xuất hiện từ giữa thế kỷ 17 cho đến những thập niên cuối cùng của thế kỷ 20 gắn liền với tên tuổi của các trường phái cạnh tranh cổ điển của các nhà kinh tế học Adam Smith, David Ricacrdo, John Stuart Mill, C. Mark; trường phái cạnh tranh tân cổ điển của W.S. Jevons, A. Marshal. L. Walras; trường phái cạnh tranh dựa vào lý luận tổ chức ngành của E Chamberlin và J. Robinson; trường phái cạnh tranh Áo của C, Menger, L. V. Mises, J. Chumpeter và F. Hayek. Tuy nhiên, dưới những góc độ tiếp cận khác nhau, hình thức biểu đạt của những quan niệm này có những sự khác nhau nhất định” (Nguyễn Xuân Hiệp,</w:t>
      </w:r>
      <w:r>
        <w:rPr>
          <w:spacing w:val="-3"/>
        </w:rPr>
        <w:t> </w:t>
      </w:r>
      <w:r>
        <w:rPr/>
        <w:t>2011).</w:t>
      </w:r>
    </w:p>
    <w:p>
      <w:pPr>
        <w:pStyle w:val="BodyText"/>
        <w:spacing w:line="360" w:lineRule="auto"/>
        <w:ind w:left="882" w:right="889" w:firstLine="719"/>
        <w:jc w:val="both"/>
      </w:pPr>
      <w:r>
        <w:rPr/>
        <w:t>Dưới góc độ chủ thể của cạnh tranh theo Vũ Tùng lâm (2006) thì: “Cạnh tranh trong kinh doanh là hoạt động ganh đua giữa những người sản xuất hàng hóa, giữa các thương nhân, các nhà kinh doanh trong nền kinh tế thị trường, bị chi phối bởi quan hệ cung – cầu, nhằm giành các điều kiện sản xuất, tiêu thụ, thị trường có lợi nhất”</w:t>
      </w:r>
    </w:p>
    <w:p>
      <w:pPr>
        <w:pStyle w:val="BodyText"/>
        <w:spacing w:line="360" w:lineRule="auto" w:before="2"/>
        <w:ind w:left="882" w:right="890" w:firstLine="719"/>
        <w:jc w:val="both"/>
      </w:pPr>
      <w:r>
        <w:rPr/>
        <w:t>Dưới góc độ phương thức cạnh tranh thì theo Ipower (2010): “Cạnh tranh là sự đối địch giữa các hãng kinh doanh trên cùng một thị trường để giành được nhiều khách hàng, do đó thu được nhiều lợi nhuận hơn cho bản thân, thường là bằng cách bán theo giá cả thấp nhất hay cung cấp một chất lượng hàng hóa tốt nhất”</w:t>
      </w:r>
    </w:p>
    <w:p>
      <w:pPr>
        <w:pStyle w:val="BodyText"/>
        <w:spacing w:line="360" w:lineRule="auto"/>
        <w:ind w:left="882" w:right="888" w:firstLine="719"/>
        <w:jc w:val="both"/>
      </w:pPr>
      <w:r>
        <w:rPr/>
        <w:t>Tiếp cận dưới góc độ mục đích của cạnh tranh thì “Cạnh tranh là sự ganh đua, sự đấu tranh về kinh tế giữa các chủ thể tham gia sản xuất - kinh doanh với nhau nhằm giành những điều kiện thuận lợi trong sản xuất - kinh doanh, tiêu thụ hàng hóa và dịch vụ để thu được nhiều lợi ích nhất cho mình. Mục tiêu của cạnh tranh là giành lợi ích,</w:t>
      </w:r>
    </w:p>
    <w:p>
      <w:pPr>
        <w:spacing w:after="0" w:line="360" w:lineRule="auto"/>
        <w:jc w:val="both"/>
        <w:sectPr>
          <w:pgSz w:w="11910" w:h="16850"/>
          <w:pgMar w:header="751" w:footer="0" w:top="960" w:bottom="280" w:left="820" w:right="240"/>
        </w:sectPr>
      </w:pPr>
    </w:p>
    <w:p>
      <w:pPr>
        <w:pStyle w:val="BodyText"/>
        <w:rPr>
          <w:sz w:val="20"/>
        </w:rPr>
      </w:pPr>
    </w:p>
    <w:p>
      <w:pPr>
        <w:pStyle w:val="BodyText"/>
        <w:spacing w:before="7"/>
        <w:rPr>
          <w:sz w:val="23"/>
        </w:rPr>
      </w:pPr>
    </w:p>
    <w:p>
      <w:pPr>
        <w:pStyle w:val="BodyText"/>
        <w:spacing w:line="360" w:lineRule="auto" w:before="89"/>
        <w:ind w:left="882" w:right="891"/>
        <w:jc w:val="both"/>
      </w:pPr>
      <w:r>
        <w:rPr/>
        <w:t>lợi nhuận lớn nhất, bảo đảm sự tồn tại và phát triển của chủ thể tham gia cạnh tranh” (Hội đồng Trung Ương, 2002).</w:t>
      </w:r>
    </w:p>
    <w:p>
      <w:pPr>
        <w:pStyle w:val="BodyText"/>
        <w:spacing w:line="360" w:lineRule="auto"/>
        <w:ind w:left="882" w:right="890" w:firstLine="719"/>
        <w:jc w:val="both"/>
      </w:pPr>
      <w:r>
        <w:rPr/>
        <w:t>Như vậy theo quan điểm truyền thống cạnh tranh kinh tế là một phạm trù phản ánh mối quan hệ đối kháng diễn ra trên thị trường giữa những chủ thể có cùng mục đích, nhằm giành cho mình lợi ích nhiều hơn so với các chủ thể khác. Cạnh tranh kinh tế thực chất là cuộc chiến diễn ra trên thương trường giữa các chủ thể kinh tế (gọi là đối thủ). Mục đích của cạnh tranh theo Porter là giành lấy thị phần. Bản chất của cạnh tranh là tìm kiếm lợi nhuận, là khoản lợi nhuận cao hơn mức lợi nhuận mà doanh nghiệp đang có</w:t>
      </w:r>
      <w:r>
        <w:rPr>
          <w:color w:val="FF0000"/>
        </w:rPr>
        <w:t>. </w:t>
      </w:r>
      <w:r>
        <w:rPr/>
        <w:t>Kết quả của cạnh tranh là sự bình quân hóa lợi nhuận trong ngành theo chiều hướng cải thiện sâu dẫn đến hệ quả giá bán có thể giảm</w:t>
      </w:r>
      <w:r>
        <w:rPr>
          <w:spacing w:val="-14"/>
        </w:rPr>
        <w:t> </w:t>
      </w:r>
      <w:r>
        <w:rPr/>
        <w:t>đi.</w:t>
      </w:r>
    </w:p>
    <w:p>
      <w:pPr>
        <w:spacing w:before="1"/>
        <w:ind w:left="882" w:right="0" w:firstLine="0"/>
        <w:jc w:val="both"/>
        <w:rPr>
          <w:i/>
          <w:sz w:val="26"/>
        </w:rPr>
      </w:pPr>
      <w:r>
        <w:rPr>
          <w:i/>
          <w:sz w:val="26"/>
        </w:rPr>
        <w:t>Quan niệm hiện đại</w:t>
      </w:r>
    </w:p>
    <w:p>
      <w:pPr>
        <w:pStyle w:val="BodyText"/>
        <w:spacing w:line="360" w:lineRule="auto" w:before="148"/>
        <w:ind w:left="882" w:right="888" w:firstLine="719"/>
        <w:jc w:val="both"/>
      </w:pPr>
      <w:r>
        <w:rPr/>
        <w:t>Xuất hiện vào thập niên 90 của thế kỷ XX trên cơ sở tổng kết thực tiễn cạnh tranh và dự báo những điều chỉnh của môi trường cạnh tranh trong điều kiện mới. Đó là:</w:t>
      </w:r>
    </w:p>
    <w:p>
      <w:pPr>
        <w:pStyle w:val="BodyText"/>
        <w:spacing w:line="360" w:lineRule="auto" w:before="1"/>
        <w:ind w:left="882" w:right="888" w:firstLine="719"/>
        <w:jc w:val="both"/>
      </w:pPr>
      <w:r>
        <w:rPr>
          <w:b/>
          <w:i/>
        </w:rPr>
        <w:t>Thứ nhất</w:t>
      </w:r>
      <w:r>
        <w:rPr/>
        <w:t>, giá cả không còn là tiêu chuẩn cao nhất của cạnh tranh, là phương thức cạnh tranh trong mọi trường hợp.</w:t>
      </w:r>
    </w:p>
    <w:p>
      <w:pPr>
        <w:pStyle w:val="BodyText"/>
        <w:spacing w:line="360" w:lineRule="auto" w:before="1"/>
        <w:ind w:left="882" w:right="888" w:firstLine="719"/>
        <w:jc w:val="both"/>
      </w:pPr>
      <w:r>
        <w:rPr>
          <w:b/>
          <w:i/>
        </w:rPr>
        <w:t>Thứ hai, </w:t>
      </w:r>
      <w:r>
        <w:rPr/>
        <w:t>dưới tác động của khoa học và công nghệ, sự phân công lao động phát triển làm cho ngành, nghề kinh doanh chỉ có tính chất tương đối gắn liền với một không gian và thời gian cụ thể.</w:t>
      </w:r>
    </w:p>
    <w:p>
      <w:pPr>
        <w:pStyle w:val="BodyText"/>
        <w:spacing w:line="360" w:lineRule="auto"/>
        <w:ind w:left="882" w:right="889" w:firstLine="719"/>
        <w:jc w:val="both"/>
      </w:pPr>
      <w:r>
        <w:rPr>
          <w:b/>
          <w:i/>
        </w:rPr>
        <w:t>Thứ ba</w:t>
      </w:r>
      <w:r>
        <w:rPr/>
        <w:t>, thế giới chuyển dần từ nền kinh tế công nghiệp sang nền kinh tế tri thức. Đó là nền kinh tế lấy ngành công nghệ cao làm trụ cột. Vì thế, cạnh tranh quốc tế sẽ chuyển từ cạnh tranh chủ yếu dựa vào lợi thế về tài nguyên, nguồn vốn, lao động rẻ sang cạnh tranh dựa vào lợi thế về công nghệ và nguồn nhân lực chất lượng cao; định hướng kinh tế và chiến lược là sản xuất ra những ý tưởng mới chứ không chỉ là các sản phẩm cụ thể. Đặc trưng của sản phẩm không còn là riêng lẻ mà nằm trong một cấu trúc mạng, do đó phát triển sản phẩm phải gắn liến với xây dựng và phát triển hệ thống mạng, nghĩa là vấn đề liên kết và hợp tác trong cạnh tranh sẽ trở thành khuynh hướng tất yếu của thời đại (Trần Văn Tùng, 2004).</w:t>
      </w:r>
    </w:p>
    <w:p>
      <w:pPr>
        <w:pStyle w:val="BodyText"/>
        <w:spacing w:line="360" w:lineRule="auto"/>
        <w:ind w:left="882" w:right="891" w:firstLine="719"/>
        <w:jc w:val="both"/>
      </w:pPr>
      <w:r>
        <w:rPr>
          <w:b/>
          <w:i/>
        </w:rPr>
        <w:t>Thứ tư</w:t>
      </w:r>
      <w:r>
        <w:rPr>
          <w:i/>
        </w:rPr>
        <w:t>, </w:t>
      </w:r>
      <w:r>
        <w:rPr/>
        <w:t>quá trình toàn cầu hóa đã tạo ra những cơ hội và thách thức cho nhiều quốc gia trong quá trình hội nhập vào nền kinh tế thế giới. Nhưng toàn cầu hóa cũng làm cho mục tiêu tăng trưởng kinh tế theo mô hình xuất khẩu gặp bất lợi trước sức ép</w:t>
      </w:r>
    </w:p>
    <w:p>
      <w:pPr>
        <w:spacing w:after="0" w:line="360" w:lineRule="auto"/>
        <w:jc w:val="both"/>
        <w:sectPr>
          <w:pgSz w:w="11910" w:h="16850"/>
          <w:pgMar w:header="751" w:footer="0" w:top="960" w:bottom="280" w:left="820" w:right="240"/>
        </w:sectPr>
      </w:pPr>
    </w:p>
    <w:p>
      <w:pPr>
        <w:pStyle w:val="BodyText"/>
        <w:rPr>
          <w:sz w:val="20"/>
        </w:rPr>
      </w:pPr>
    </w:p>
    <w:p>
      <w:pPr>
        <w:pStyle w:val="BodyText"/>
        <w:spacing w:before="7"/>
        <w:rPr>
          <w:sz w:val="23"/>
        </w:rPr>
      </w:pPr>
    </w:p>
    <w:p>
      <w:pPr>
        <w:pStyle w:val="BodyText"/>
        <w:spacing w:line="360" w:lineRule="auto" w:before="89"/>
        <w:ind w:left="882" w:right="888"/>
        <w:jc w:val="both"/>
      </w:pPr>
      <w:r>
        <w:rPr/>
        <w:t>buộc các chính phủ phải thực hiện mở cửa để hội nhập thay thế chính sách thương mại tự chủ để hướng tới tự do hóa thương mại trên phạm vi toàn cầu. Nghĩa là, cạnh tranh quốc tế sẽ trở nên gay gắt, việc gia nhập thị trường sẽ trở nên khó khăn, độ rủi ro sẽ tăng cao. Hơn nữa, toàn cầu hóa là tất yếu, nhưng lợi ích của toàn cầu hóa không phải là chia đều cho các quốc gia, mà ngược lại các quốc gia phát triển với tư cách là những nhà thiết kế, áp đặt qui chế mậu dịch. Vì thế, họ sẽ được hưởng lợi nhiều hơn, trong khi đó các quốc gia kém phát triển sẽ không được hưởng lợi nhiều vì thực lực nền kinh tế yếu làm cho khả năng tận dụng các cơ hội và đối phó có hiệu quả với thách thức là không cao. Bởi vậy, một mặt vai trò của “</w:t>
      </w:r>
      <w:r>
        <w:rPr>
          <w:i/>
        </w:rPr>
        <w:t>bàn tay hữu hình</w:t>
      </w:r>
      <w:r>
        <w:rPr/>
        <w:t>” không mất đi mà ngược lại sự điều tiết của chính phủ đóng vai trò đặc biệt quan trọng; nhưng mặt khác, một cách cứu cánh phổ biến được các quốc gia này áp dụng là gia nhập vào các liên minh kinh tế như EU, OECD, NAFTA, AFTA, APEC,TPP, vv. Nghĩa là, cơ sở hoạch định chính sách thương mại quốc tế để điều tiết cạnh tranh của các quốc gia phải chuyển từ độc đoán sang đàm phán và hợp tác, hoặc thay vì dựa vào lợi thế so sánh thì phải chuyển sang dựa vào qui chế mậu dịch giữa các quốc gia với nhau, giữa các quốc gia với các khu vực mậu dịch, giữa các doanh nghiệp với chính phủ (Nguyễn Xuân Hiệp, 2011).</w:t>
      </w:r>
    </w:p>
    <w:p>
      <w:pPr>
        <w:pStyle w:val="BodyText"/>
        <w:spacing w:line="360" w:lineRule="auto" w:before="2"/>
        <w:ind w:left="882" w:right="889" w:firstLine="719"/>
        <w:jc w:val="both"/>
      </w:pPr>
      <w:r>
        <w:rPr/>
        <w:t>Ngày nay quan điểm về cạnh tranh cũng đã khác, có sự điều chỉnh hoặc thậm chí thay đổi. “Giá cả không phải là yếu tố quan trọng nhất trong quyết định mua sắm của người tiêu dùng. Tập quán mua sắm, uy tín của thương hiệu, ảnh hưởng của quảng cáo và nhiều nhân tố khác có vai trò quan trọng hơn là giá cả góp phần thúc đẩy người tiêu dùng đưa ra quyết định mua sắm một sản phẩm hay dịch vụ đặc thù nào đó” (Scott Hoenig, 2000). Còn theo Gary Hamel, bản chất của cạnh tranh và thậm chí bản chất của khách hàng đã thay đổi, vì thế cạnh tranh trong thế giới kinh doanh hiện nay  không phải là cuộc chiến giữa các đối thủ đang tồn tại trong một ngành có ranh giới cấu trúc rõ ràng nhằm phân chia thặng dư kinh tế theo mô hình viên kim cương của Porter. Nghĩa là, thuật ngữ “</w:t>
      </w:r>
      <w:r>
        <w:rPr>
          <w:i/>
        </w:rPr>
        <w:t>ngành nghề kinh doanh” </w:t>
      </w:r>
      <w:r>
        <w:rPr/>
        <w:t>không còn mô tả chính xác tình hình kinh doanh nhập nhằng hiện nay. Theo ông, cuộc chiến hiện nay là giành </w:t>
      </w:r>
      <w:r>
        <w:rPr>
          <w:spacing w:val="-3"/>
        </w:rPr>
        <w:t>những </w:t>
      </w:r>
      <w:r>
        <w:rPr/>
        <w:t>cơ hội trong tương lai, vì thế không thể dùng sơ đồ “</w:t>
      </w:r>
      <w:r>
        <w:rPr>
          <w:i/>
        </w:rPr>
        <w:t>5 yếu tố cạnh tranh” </w:t>
      </w:r>
      <w:r>
        <w:rPr/>
        <w:t>của Porter  để phân tích và lên kế hoạch kinh doanh, mà khả năng nắm bắt các cơ hội trong tương lai</w:t>
      </w:r>
      <w:r>
        <w:rPr>
          <w:spacing w:val="20"/>
        </w:rPr>
        <w:t> </w:t>
      </w:r>
      <w:r>
        <w:rPr/>
        <w:t>chính</w:t>
      </w:r>
      <w:r>
        <w:rPr>
          <w:spacing w:val="19"/>
        </w:rPr>
        <w:t> </w:t>
      </w:r>
      <w:r>
        <w:rPr/>
        <w:t>là</w:t>
      </w:r>
      <w:r>
        <w:rPr>
          <w:spacing w:val="20"/>
        </w:rPr>
        <w:t> </w:t>
      </w:r>
      <w:r>
        <w:rPr/>
        <w:t>điều</w:t>
      </w:r>
      <w:r>
        <w:rPr>
          <w:spacing w:val="22"/>
        </w:rPr>
        <w:t> </w:t>
      </w:r>
      <w:r>
        <w:rPr/>
        <w:t>quyết</w:t>
      </w:r>
      <w:r>
        <w:rPr>
          <w:spacing w:val="22"/>
        </w:rPr>
        <w:t> </w:t>
      </w:r>
      <w:r>
        <w:rPr/>
        <w:t>định</w:t>
      </w:r>
      <w:r>
        <w:rPr>
          <w:spacing w:val="20"/>
        </w:rPr>
        <w:t> </w:t>
      </w:r>
      <w:r>
        <w:rPr/>
        <w:t>then</w:t>
      </w:r>
      <w:r>
        <w:rPr>
          <w:spacing w:val="20"/>
        </w:rPr>
        <w:t> </w:t>
      </w:r>
      <w:r>
        <w:rPr/>
        <w:t>chốt,</w:t>
      </w:r>
      <w:r>
        <w:rPr>
          <w:spacing w:val="22"/>
        </w:rPr>
        <w:t> </w:t>
      </w:r>
      <w:r>
        <w:rPr/>
        <w:t>vì</w:t>
      </w:r>
      <w:r>
        <w:rPr>
          <w:spacing w:val="20"/>
        </w:rPr>
        <w:t> </w:t>
      </w:r>
      <w:r>
        <w:rPr/>
        <w:t>chúng</w:t>
      </w:r>
      <w:r>
        <w:rPr>
          <w:spacing w:val="20"/>
        </w:rPr>
        <w:t> </w:t>
      </w:r>
      <w:r>
        <w:rPr/>
        <w:t>ta</w:t>
      </w:r>
      <w:r>
        <w:rPr>
          <w:spacing w:val="20"/>
        </w:rPr>
        <w:t> </w:t>
      </w:r>
      <w:r>
        <w:rPr/>
        <w:t>không</w:t>
      </w:r>
      <w:r>
        <w:rPr>
          <w:spacing w:val="20"/>
        </w:rPr>
        <w:t> </w:t>
      </w:r>
      <w:r>
        <w:rPr/>
        <w:t>thể</w:t>
      </w:r>
      <w:r>
        <w:rPr>
          <w:spacing w:val="23"/>
        </w:rPr>
        <w:t> </w:t>
      </w:r>
      <w:r>
        <w:rPr/>
        <w:t>đón</w:t>
      </w:r>
      <w:r>
        <w:rPr>
          <w:spacing w:val="20"/>
        </w:rPr>
        <w:t> </w:t>
      </w:r>
      <w:r>
        <w:rPr/>
        <w:t>đầu</w:t>
      </w:r>
      <w:r>
        <w:rPr>
          <w:spacing w:val="21"/>
        </w:rPr>
        <w:t> </w:t>
      </w:r>
      <w:r>
        <w:rPr/>
        <w:t>tương</w:t>
      </w:r>
      <w:r>
        <w:rPr>
          <w:spacing w:val="19"/>
        </w:rPr>
        <w:t> </w:t>
      </w:r>
      <w:r>
        <w:rPr/>
        <w:t>lai</w:t>
      </w:r>
      <w:r>
        <w:rPr>
          <w:spacing w:val="21"/>
        </w:rPr>
        <w:t> </w:t>
      </w:r>
      <w:r>
        <w:rPr/>
        <w:t>bằng</w:t>
      </w:r>
    </w:p>
    <w:p>
      <w:pPr>
        <w:spacing w:after="0" w:line="360" w:lineRule="auto"/>
        <w:jc w:val="both"/>
        <w:sectPr>
          <w:pgSz w:w="11910" w:h="16850"/>
          <w:pgMar w:header="751" w:footer="0" w:top="960" w:bottom="280" w:left="820" w:right="240"/>
        </w:sectPr>
      </w:pPr>
    </w:p>
    <w:p>
      <w:pPr>
        <w:pStyle w:val="BodyText"/>
        <w:rPr>
          <w:sz w:val="20"/>
        </w:rPr>
      </w:pPr>
    </w:p>
    <w:p>
      <w:pPr>
        <w:pStyle w:val="BodyText"/>
        <w:spacing w:before="7"/>
        <w:rPr>
          <w:sz w:val="23"/>
        </w:rPr>
      </w:pPr>
    </w:p>
    <w:p>
      <w:pPr>
        <w:pStyle w:val="BodyText"/>
        <w:spacing w:line="360" w:lineRule="auto" w:before="89"/>
        <w:ind w:left="882" w:right="889"/>
        <w:jc w:val="both"/>
      </w:pPr>
      <w:r>
        <w:rPr/>
        <w:t>những công cụ của quá khứ (Dương Ngọc Dũng, 2008). Đối với Giáo sư Tôn Thất Nguyễn Thiêm (2003) thì cho rằng: “Cạnh tranh trong thương trường không phải là diệt trừ đối thủ của mình mà chính là phải mang lại cho khách hàng những giá trị gia tăng cao hơn hoặc mới lạ hơn để khách hàng lựa chọn mình chứ không phải đối thủ”. Trên cơ sở đó ông cho rằng: “Trên thị trường, nếu doanh nghiệp muốn phát triển bền vững, thì không phải cứ khư khư nghĩ đến cạnh tranh mà còn phải nghĩ đến việc liên kết</w:t>
      </w:r>
      <w:r>
        <w:rPr>
          <w:i/>
        </w:rPr>
        <w:t>”, </w:t>
      </w:r>
      <w:r>
        <w:rPr/>
        <w:t>trong đó </w:t>
      </w:r>
      <w:r>
        <w:rPr>
          <w:i/>
        </w:rPr>
        <w:t>“</w:t>
      </w:r>
      <w:r>
        <w:rPr/>
        <w:t>cạnh tranh là để mang đến cho thị trường và khách hàng giá trị gia tăng cao hơn các doanh nghiệp khác và liên kết với các doanh nghiệp khác là để cùng nhau có được giá trị gia tăng cao hơn so với giá trị gia tăng doanh nghiệp đạt được nếu doanh nghiệp hoạt động riêng lẻ. Nghĩa là trên nguyên tắc “Win – Win” (hai bên cùng thắng) và “</w:t>
      </w:r>
      <w:r>
        <w:rPr>
          <w:i/>
        </w:rPr>
        <w:t>thương trường là chiến trường</w:t>
      </w:r>
      <w:r>
        <w:rPr/>
        <w:t>” không phải bao giờ cũng phù hợp trong điều kiện kinh doanh hiện</w:t>
      </w:r>
      <w:r>
        <w:rPr>
          <w:spacing w:val="-6"/>
        </w:rPr>
        <w:t> </w:t>
      </w:r>
      <w:r>
        <w:rPr/>
        <w:t>nay”</w:t>
      </w:r>
    </w:p>
    <w:p>
      <w:pPr>
        <w:pStyle w:val="BodyText"/>
        <w:spacing w:line="360" w:lineRule="auto"/>
        <w:ind w:left="882" w:right="888" w:firstLine="719"/>
        <w:jc w:val="both"/>
      </w:pPr>
      <w:r>
        <w:rPr/>
        <w:t>Song có lẽ gây chấn động hơn cả trên chính trường cạnh tranh trong những năm gần đây (vì dường như là đối lập với tư duy chiến lược truyền thống), đó là lý thuyết </w:t>
      </w:r>
      <w:r>
        <w:rPr>
          <w:i/>
        </w:rPr>
        <w:t>Đại dương xanh </w:t>
      </w:r>
      <w:r>
        <w:rPr/>
        <w:t>của W. Chain Kim và Renee Mauborgne. Quan điểm của lý thuyết này là cạnh tranh không phải là đối đầu, tiêu diệt lẫn nhau để kết cục dẫn đến một “</w:t>
      </w:r>
      <w:r>
        <w:rPr>
          <w:i/>
        </w:rPr>
        <w:t>đại </w:t>
      </w:r>
      <w:r>
        <w:rPr>
          <w:i/>
        </w:rPr>
        <w:t>dương đỏ</w:t>
      </w:r>
      <w:r>
        <w:rPr/>
        <w:t>” mà là tìm đến những khoảng trống thị trường không có cạnh tranh hoặc cạnh tranh là không cần thiết vì luật chơi chưa được thiết lập gọi là những “</w:t>
      </w:r>
      <w:r>
        <w:rPr>
          <w:i/>
        </w:rPr>
        <w:t>đại dương </w:t>
      </w:r>
      <w:r>
        <w:rPr>
          <w:i/>
        </w:rPr>
        <w:t>xanh</w:t>
      </w:r>
      <w:r>
        <w:rPr/>
        <w:t>” (Nguyễn Xuân Hiệp,</w:t>
      </w:r>
      <w:r>
        <w:rPr>
          <w:spacing w:val="-3"/>
        </w:rPr>
        <w:t> </w:t>
      </w:r>
      <w:r>
        <w:rPr/>
        <w:t>2011)</w:t>
      </w:r>
    </w:p>
    <w:p>
      <w:pPr>
        <w:pStyle w:val="BodyText"/>
        <w:spacing w:line="360" w:lineRule="auto"/>
        <w:ind w:left="882" w:right="888" w:firstLine="719"/>
        <w:jc w:val="both"/>
      </w:pPr>
      <w:r>
        <w:rPr/>
        <w:pict>
          <v:rect style="position:absolute;margin-left:85.103996pt;margin-top:249.162689pt;width:144.020pt;height:.60004pt;mso-position-horizontal-relative:page;mso-position-vertical-relative:paragraph;z-index:-15716864;mso-wrap-distance-left:0;mso-wrap-distance-right:0" filled="true" fillcolor="#000000" stroked="false">
            <v:fill type="solid"/>
            <w10:wrap type="topAndBottom"/>
          </v:rect>
        </w:pict>
      </w:r>
      <w:r>
        <w:rPr/>
        <w:t>Thực tế những gì diễn ra trong môi trường cạnh tranh trong thập niên qua, từ sự xuất hiện nhiều ngành công nghiệp mới đến hiệu ứng “</w:t>
      </w:r>
      <w:r>
        <w:rPr>
          <w:i/>
        </w:rPr>
        <w:t>Domino</w:t>
      </w:r>
      <w:r>
        <w:rPr/>
        <w:t>” sáp nhập và hợp nhất hoặc chuyển từ “</w:t>
      </w:r>
      <w:r>
        <w:rPr>
          <w:i/>
        </w:rPr>
        <w:t>Facilities management</w:t>
      </w:r>
      <w:r>
        <w:rPr/>
        <w:t>”</w:t>
      </w:r>
      <w:r>
        <w:rPr>
          <w:vertAlign w:val="superscript"/>
        </w:rPr>
        <w:t>1</w:t>
      </w:r>
      <w:r>
        <w:rPr>
          <w:vertAlign w:val="baseline"/>
        </w:rPr>
        <w:t> (quản lý cơ sở sản xuất) sang “</w:t>
      </w:r>
      <w:r>
        <w:rPr>
          <w:i/>
          <w:vertAlign w:val="baseline"/>
        </w:rPr>
        <w:t>Outsourcing</w:t>
      </w:r>
      <w:r>
        <w:rPr>
          <w:vertAlign w:val="baseline"/>
        </w:rPr>
        <w:t>” (được cung cấp từ bên ngoài doanh nghiệp) với khẩu hiệu “Speed and Flexibility” (nhanh chóng và uyển chuyển) của các công ty và tập đoàn công nghiệp hàng đầu thế giới đã cho thấy, cạnh tranh không phải là “</w:t>
      </w:r>
      <w:r>
        <w:rPr>
          <w:i/>
          <w:vertAlign w:val="baseline"/>
        </w:rPr>
        <w:t>chiến tranh</w:t>
      </w:r>
      <w:r>
        <w:rPr>
          <w:vertAlign w:val="baseline"/>
        </w:rPr>
        <w:t>” và cũng không phải là “</w:t>
      </w:r>
      <w:r>
        <w:rPr>
          <w:i/>
          <w:vertAlign w:val="baseline"/>
        </w:rPr>
        <w:t>hòa </w:t>
      </w:r>
      <w:r>
        <w:rPr>
          <w:i/>
          <w:vertAlign w:val="baseline"/>
        </w:rPr>
        <w:t>bình”. </w:t>
      </w:r>
      <w:r>
        <w:rPr>
          <w:vertAlign w:val="baseline"/>
        </w:rPr>
        <w:t>Cạnh tranh không còn là những động thái của tình huống (contextual act), không phải chỉ là những hành động mang tính thời điểm mà là cả tiến trình (Process) tiếp diễn không ngừng, các doanh nghiệp đều phải đua nhau để phục vụ tốt nhất khách hàng, vì thế không có giá trị gia tăng nào có thể giữ nguyên và trường tồn. Doanh nghiệp</w:t>
      </w:r>
      <w:r>
        <w:rPr>
          <w:spacing w:val="15"/>
          <w:vertAlign w:val="baseline"/>
        </w:rPr>
        <w:t> </w:t>
      </w:r>
      <w:r>
        <w:rPr>
          <w:vertAlign w:val="baseline"/>
        </w:rPr>
        <w:t>nào</w:t>
      </w:r>
      <w:r>
        <w:rPr>
          <w:spacing w:val="13"/>
          <w:vertAlign w:val="baseline"/>
        </w:rPr>
        <w:t> </w:t>
      </w:r>
      <w:r>
        <w:rPr>
          <w:vertAlign w:val="baseline"/>
        </w:rPr>
        <w:t>bằng</w:t>
      </w:r>
      <w:r>
        <w:rPr>
          <w:spacing w:val="13"/>
          <w:vertAlign w:val="baseline"/>
        </w:rPr>
        <w:t> </w:t>
      </w:r>
      <w:r>
        <w:rPr>
          <w:vertAlign w:val="baseline"/>
        </w:rPr>
        <w:t>lòng</w:t>
      </w:r>
      <w:r>
        <w:rPr>
          <w:spacing w:val="15"/>
          <w:vertAlign w:val="baseline"/>
        </w:rPr>
        <w:t> </w:t>
      </w:r>
      <w:r>
        <w:rPr>
          <w:vertAlign w:val="baseline"/>
        </w:rPr>
        <w:t>với</w:t>
      </w:r>
      <w:r>
        <w:rPr>
          <w:spacing w:val="12"/>
          <w:vertAlign w:val="baseline"/>
        </w:rPr>
        <w:t> </w:t>
      </w:r>
      <w:r>
        <w:rPr>
          <w:vertAlign w:val="baseline"/>
        </w:rPr>
        <w:t>vị</w:t>
      </w:r>
      <w:r>
        <w:rPr>
          <w:spacing w:val="15"/>
          <w:vertAlign w:val="baseline"/>
        </w:rPr>
        <w:t> </w:t>
      </w:r>
      <w:r>
        <w:rPr>
          <w:vertAlign w:val="baseline"/>
        </w:rPr>
        <w:t>thế</w:t>
      </w:r>
      <w:r>
        <w:rPr>
          <w:spacing w:val="15"/>
          <w:vertAlign w:val="baseline"/>
        </w:rPr>
        <w:t> </w:t>
      </w:r>
      <w:r>
        <w:rPr>
          <w:vertAlign w:val="baseline"/>
        </w:rPr>
        <w:t>hiện</w:t>
      </w:r>
      <w:r>
        <w:rPr>
          <w:spacing w:val="15"/>
          <w:vertAlign w:val="baseline"/>
        </w:rPr>
        <w:t> </w:t>
      </w:r>
      <w:r>
        <w:rPr>
          <w:vertAlign w:val="baseline"/>
        </w:rPr>
        <w:t>tại</w:t>
      </w:r>
      <w:r>
        <w:rPr>
          <w:spacing w:val="19"/>
          <w:vertAlign w:val="baseline"/>
        </w:rPr>
        <w:t> </w:t>
      </w:r>
      <w:r>
        <w:rPr>
          <w:vertAlign w:val="baseline"/>
        </w:rPr>
        <w:t>trên</w:t>
      </w:r>
      <w:r>
        <w:rPr>
          <w:spacing w:val="15"/>
          <w:vertAlign w:val="baseline"/>
        </w:rPr>
        <w:t> </w:t>
      </w:r>
      <w:r>
        <w:rPr>
          <w:vertAlign w:val="baseline"/>
        </w:rPr>
        <w:t>thương</w:t>
      </w:r>
      <w:r>
        <w:rPr>
          <w:spacing w:val="13"/>
          <w:vertAlign w:val="baseline"/>
        </w:rPr>
        <w:t> </w:t>
      </w:r>
      <w:r>
        <w:rPr>
          <w:vertAlign w:val="baseline"/>
        </w:rPr>
        <w:t>trường</w:t>
      </w:r>
      <w:r>
        <w:rPr>
          <w:spacing w:val="13"/>
          <w:vertAlign w:val="baseline"/>
        </w:rPr>
        <w:t> </w:t>
      </w:r>
      <w:r>
        <w:rPr>
          <w:vertAlign w:val="baseline"/>
        </w:rPr>
        <w:t>sẽ</w:t>
      </w:r>
      <w:r>
        <w:rPr>
          <w:spacing w:val="15"/>
          <w:vertAlign w:val="baseline"/>
        </w:rPr>
        <w:t> </w:t>
      </w:r>
      <w:r>
        <w:rPr>
          <w:vertAlign w:val="baseline"/>
        </w:rPr>
        <w:t>nhanh</w:t>
      </w:r>
      <w:r>
        <w:rPr>
          <w:spacing w:val="13"/>
          <w:vertAlign w:val="baseline"/>
        </w:rPr>
        <w:t> </w:t>
      </w:r>
      <w:r>
        <w:rPr>
          <w:vertAlign w:val="baseline"/>
        </w:rPr>
        <w:t>chóng</w:t>
      </w:r>
      <w:r>
        <w:rPr>
          <w:spacing w:val="15"/>
          <w:vertAlign w:val="baseline"/>
        </w:rPr>
        <w:t> </w:t>
      </w:r>
      <w:r>
        <w:rPr>
          <w:vertAlign w:val="baseline"/>
        </w:rPr>
        <w:t>bị</w:t>
      </w:r>
      <w:r>
        <w:rPr>
          <w:spacing w:val="15"/>
          <w:vertAlign w:val="baseline"/>
        </w:rPr>
        <w:t> </w:t>
      </w:r>
      <w:r>
        <w:rPr>
          <w:vertAlign w:val="baseline"/>
        </w:rPr>
        <w:t>bỏ</w:t>
      </w:r>
      <w:r>
        <w:rPr>
          <w:spacing w:val="15"/>
          <w:vertAlign w:val="baseline"/>
        </w:rPr>
        <w:t> </w:t>
      </w:r>
      <w:r>
        <w:rPr>
          <w:vertAlign w:val="baseline"/>
        </w:rPr>
        <w:t>rơi</w:t>
      </w:r>
    </w:p>
    <w:p>
      <w:pPr>
        <w:spacing w:line="273" w:lineRule="auto" w:before="99"/>
        <w:ind w:left="882" w:right="1220" w:firstLine="0"/>
        <w:jc w:val="left"/>
        <w:rPr>
          <w:sz w:val="20"/>
        </w:rPr>
      </w:pPr>
      <w:r>
        <w:rPr>
          <w:position w:val="7"/>
          <w:sz w:val="13"/>
        </w:rPr>
        <w:t>1 </w:t>
      </w:r>
      <w:r>
        <w:rPr>
          <w:sz w:val="20"/>
        </w:rPr>
        <w:t>Theo Barry Narybuff &amp; Adam </w:t>
      </w:r>
      <w:r>
        <w:rPr>
          <w:rFonts w:ascii="Arial" w:hAnsi="Arial"/>
          <w:sz w:val="20"/>
        </w:rPr>
        <w:t>Brandebueger trong “Co</w:t>
      </w:r>
      <w:r>
        <w:rPr>
          <w:sz w:val="20"/>
        </w:rPr>
        <w:t>-</w:t>
      </w:r>
      <w:r>
        <w:rPr>
          <w:rFonts w:ascii="Arial" w:hAnsi="Arial"/>
          <w:sz w:val="20"/>
        </w:rPr>
        <w:t>opetiion”, Bantam Doubleday Dell Publi</w:t>
      </w:r>
      <w:r>
        <w:rPr>
          <w:sz w:val="20"/>
        </w:rPr>
        <w:t>shing </w:t>
      </w:r>
      <w:r>
        <w:rPr>
          <w:w w:val="105"/>
          <w:sz w:val="20"/>
        </w:rPr>
        <w:t>Grou, lnc, New York, 1996.</w:t>
      </w:r>
    </w:p>
    <w:p>
      <w:pPr>
        <w:spacing w:after="0" w:line="273" w:lineRule="auto"/>
        <w:jc w:val="left"/>
        <w:rPr>
          <w:sz w:val="20"/>
        </w:rPr>
        <w:sectPr>
          <w:pgSz w:w="11910" w:h="16850"/>
          <w:pgMar w:header="751" w:footer="0" w:top="960" w:bottom="280" w:left="820" w:right="240"/>
        </w:sectPr>
      </w:pPr>
    </w:p>
    <w:p>
      <w:pPr>
        <w:pStyle w:val="BodyText"/>
        <w:rPr>
          <w:sz w:val="20"/>
        </w:rPr>
      </w:pPr>
    </w:p>
    <w:p>
      <w:pPr>
        <w:pStyle w:val="BodyText"/>
        <w:spacing w:before="7"/>
        <w:rPr>
          <w:sz w:val="23"/>
        </w:rPr>
      </w:pPr>
    </w:p>
    <w:p>
      <w:pPr>
        <w:pStyle w:val="BodyText"/>
        <w:spacing w:line="360" w:lineRule="auto" w:before="89"/>
        <w:ind w:left="882" w:right="891"/>
        <w:jc w:val="both"/>
      </w:pPr>
      <w:r>
        <w:rPr/>
        <w:t>vào tình trạng tụt hậu và bị đào thải trước một “Thế giới tiến với vận tốc khủng khiếp. Mình không chạy cật lực để vượt lên chính mình thì người khác sẽ bỏ mình lại sau lưng họ nhanh đến độ mà mình không kịp nhìn mặt họ” (Ipowervn,</w:t>
      </w:r>
      <w:r>
        <w:rPr>
          <w:spacing w:val="-9"/>
        </w:rPr>
        <w:t> </w:t>
      </w:r>
      <w:r>
        <w:rPr/>
        <w:t>2010)</w:t>
      </w:r>
    </w:p>
    <w:p>
      <w:pPr>
        <w:pStyle w:val="BodyText"/>
        <w:spacing w:line="360" w:lineRule="auto"/>
        <w:ind w:left="882" w:right="888" w:firstLine="719"/>
        <w:jc w:val="both"/>
      </w:pPr>
      <w:r>
        <w:rPr>
          <w:i/>
        </w:rPr>
        <w:t>Tóm lại, </w:t>
      </w:r>
      <w:r>
        <w:rPr/>
        <w:t>những phân tích trên cho thấy, trong điều kiện mới của môi trường cạnh tranh, mặc dù không hoàn toàn phủ nhận quan niệm cạnh tranh truyền thống, nhưng tư duy cạnh tranh mang đậm dấu ấn “</w:t>
      </w:r>
      <w:r>
        <w:rPr>
          <w:i/>
        </w:rPr>
        <w:t>đối đầu và hủy diệt” </w:t>
      </w:r>
      <w:r>
        <w:rPr/>
        <w:t>cần phải được điều chỉnh từ bản chất, phương thức đến cơ chế điều tiết cạnh tranh. Đó là chuyển từ cạnh tranh đối đầu sang cạnh tranh gắn với liên kết, hợp tác và ở phương diện quốc gia là chuyển từ cạnh tranh dựa vào lợi thế so sánh sang cạnh tranh dựa vào qui chế mậu  dịch giữa các quốc gia với nhau, giữa các quốc gia với các khu vực mậu dịch, giữa các doanh nghiệp với các chính phủ. Trên cơ sở đó, kết hợp giữa quan niệm truyền thống với hiện đại, theo tác giả cạnh tranh là tập hợp các hành vi của các chủ thể kinh tế nhằm thích ứng với môi trường kinh doanh để tồn tại và phát</w:t>
      </w:r>
      <w:r>
        <w:rPr>
          <w:spacing w:val="-2"/>
        </w:rPr>
        <w:t> </w:t>
      </w:r>
      <w:r>
        <w:rPr/>
        <w:t>triển.</w:t>
      </w:r>
    </w:p>
    <w:p>
      <w:pPr>
        <w:pStyle w:val="Heading6"/>
        <w:numPr>
          <w:ilvl w:val="2"/>
          <w:numId w:val="20"/>
        </w:numPr>
        <w:tabs>
          <w:tab w:pos="1466" w:val="left" w:leader="none"/>
        </w:tabs>
        <w:spacing w:line="240" w:lineRule="auto" w:before="0" w:after="0"/>
        <w:ind w:left="1465" w:right="0" w:hanging="584"/>
        <w:jc w:val="both"/>
      </w:pPr>
      <w:bookmarkStart w:name="_TOC_250037" w:id="19"/>
      <w:bookmarkEnd w:id="19"/>
      <w:r>
        <w:rPr/>
        <w:t>Khái niệm về lợi thế cạnh tranh</w:t>
      </w:r>
    </w:p>
    <w:p>
      <w:pPr>
        <w:pStyle w:val="BodyText"/>
        <w:spacing w:line="360" w:lineRule="auto" w:before="150"/>
        <w:ind w:left="882" w:right="888"/>
        <w:jc w:val="both"/>
      </w:pPr>
      <w:r>
        <w:rPr/>
        <w:t>Theo M. E. Porter (1985) thì “lợi thế cạnh tranh là sở hữu của những giá trị đặc thù, cho phép có thể “</w:t>
      </w:r>
      <w:r>
        <w:rPr>
          <w:i/>
        </w:rPr>
        <w:t>nắm bắt cơ hội” </w:t>
      </w:r>
      <w:r>
        <w:rPr/>
        <w:t>kinh doanh để mang lại lợi nhuận”. Vì vậy, khi nói đến lợi thế cạnh tranh, là nói đến lợi thế mà một doanh nghiệp, một quốc gia đang có và có thể có so với các đối thủ cạnh tranh. Nghĩa là, lợi thế cạnh tranh là </w:t>
      </w:r>
      <w:r>
        <w:rPr>
          <w:spacing w:val="2"/>
        </w:rPr>
        <w:t>một </w:t>
      </w:r>
      <w:r>
        <w:rPr/>
        <w:t>khái niệm vừa có tính vi mô (giữa các doanh nghiệp trong cùng một ngành của một quốc gia), vừa có tính vĩ mô (giữa các ngành trong cùng một quốc gia hoặc giữa các quốc gia với</w:t>
      </w:r>
      <w:r>
        <w:rPr>
          <w:spacing w:val="-3"/>
        </w:rPr>
        <w:t> </w:t>
      </w:r>
      <w:r>
        <w:rPr/>
        <w:t>nhau).</w:t>
      </w:r>
    </w:p>
    <w:p>
      <w:pPr>
        <w:pStyle w:val="BodyText"/>
        <w:spacing w:line="360" w:lineRule="auto"/>
        <w:ind w:left="882" w:right="888" w:firstLine="719"/>
        <w:jc w:val="both"/>
      </w:pPr>
      <w:r>
        <w:rPr/>
        <w:t>Về cơ bản, lợi thế cạnh tranh phát sinh từ các giá trị mà doanh nghiệp có thể tạo cho người mua, giá trị này phải lớn hơn các chi phí mà doanh nghiệp đã bỏ ra. Giá trị này là mức người mua sẵn lòng thanh toán và một giá trị cao hơn xuất hiện khi doanh nghiệp chào bán các tiện ích tương đương nhưng với một mức giá thấp hơn các đối thủ cạnh tranh; hoặc cung cấp những tiện ích độc đáo khiến người mua vẫn hài lòng với mức giá cao hơn bình thường.</w:t>
      </w:r>
    </w:p>
    <w:p>
      <w:pPr>
        <w:pStyle w:val="Heading6"/>
        <w:numPr>
          <w:ilvl w:val="1"/>
          <w:numId w:val="20"/>
        </w:numPr>
        <w:tabs>
          <w:tab w:pos="1271" w:val="left" w:leader="none"/>
        </w:tabs>
        <w:spacing w:line="240" w:lineRule="auto" w:before="0" w:after="0"/>
        <w:ind w:left="1270" w:right="0" w:hanging="389"/>
        <w:jc w:val="both"/>
      </w:pPr>
      <w:bookmarkStart w:name="_TOC_250036" w:id="20"/>
      <w:r>
        <w:rPr/>
        <w:t>Các yếu tố tạo lợi thế cạnh tranh cho doanh</w:t>
      </w:r>
      <w:r>
        <w:rPr>
          <w:spacing w:val="-7"/>
        </w:rPr>
        <w:t> </w:t>
      </w:r>
      <w:bookmarkEnd w:id="20"/>
      <w:r>
        <w:rPr/>
        <w:t>nghiệp</w:t>
      </w:r>
    </w:p>
    <w:p>
      <w:pPr>
        <w:pStyle w:val="Heading6"/>
        <w:numPr>
          <w:ilvl w:val="2"/>
          <w:numId w:val="20"/>
        </w:numPr>
        <w:tabs>
          <w:tab w:pos="1466" w:val="left" w:leader="none"/>
        </w:tabs>
        <w:spacing w:line="240" w:lineRule="auto" w:before="150" w:after="0"/>
        <w:ind w:left="1465" w:right="0" w:hanging="584"/>
        <w:jc w:val="both"/>
      </w:pPr>
      <w:bookmarkStart w:name="_TOC_250035" w:id="21"/>
      <w:r>
        <w:rPr/>
        <w:t>Tiếp cận từ phía doanh</w:t>
      </w:r>
      <w:r>
        <w:rPr>
          <w:spacing w:val="2"/>
        </w:rPr>
        <w:t> </w:t>
      </w:r>
      <w:bookmarkEnd w:id="21"/>
      <w:r>
        <w:rPr/>
        <w:t>nghiệp</w:t>
      </w:r>
    </w:p>
    <w:p>
      <w:pPr>
        <w:pStyle w:val="BodyText"/>
        <w:spacing w:line="360" w:lineRule="auto" w:before="150"/>
        <w:ind w:left="882" w:right="891" w:firstLine="719"/>
        <w:jc w:val="both"/>
      </w:pPr>
      <w:r>
        <w:rPr/>
        <w:t>Từ cách giải thích nguồn gốc của lợi thế cạnh tranh của Porter cho thấy, các yếu tố tạo lợi thế cạnh tranh chính là các yếu tố tác động có tính quyết định đến chi phí</w:t>
      </w:r>
    </w:p>
    <w:p>
      <w:pPr>
        <w:spacing w:after="0" w:line="360" w:lineRule="auto"/>
        <w:jc w:val="both"/>
        <w:sectPr>
          <w:pgSz w:w="11910" w:h="16850"/>
          <w:pgMar w:header="751" w:footer="0" w:top="960" w:bottom="280" w:left="820" w:right="240"/>
        </w:sectPr>
      </w:pPr>
    </w:p>
    <w:p>
      <w:pPr>
        <w:pStyle w:val="BodyText"/>
        <w:rPr>
          <w:sz w:val="20"/>
        </w:rPr>
      </w:pPr>
    </w:p>
    <w:p>
      <w:pPr>
        <w:pStyle w:val="BodyText"/>
        <w:spacing w:before="7"/>
        <w:rPr>
          <w:sz w:val="23"/>
        </w:rPr>
      </w:pPr>
    </w:p>
    <w:p>
      <w:pPr>
        <w:pStyle w:val="BodyText"/>
        <w:spacing w:line="360" w:lineRule="auto" w:before="89"/>
        <w:ind w:left="882" w:right="890"/>
        <w:jc w:val="both"/>
      </w:pPr>
      <w:r>
        <w:rPr/>
        <w:t>hoặc sự độc nhất mà kết quả là chi phí thấp hoặc khác biệt hóa của doanh nghiệp so với đối</w:t>
      </w:r>
      <w:r>
        <w:rPr>
          <w:spacing w:val="-3"/>
        </w:rPr>
        <w:t> </w:t>
      </w:r>
      <w:r>
        <w:rPr/>
        <w:t>thủ.</w:t>
      </w:r>
    </w:p>
    <w:p>
      <w:pPr>
        <w:pStyle w:val="BodyText"/>
        <w:spacing w:line="360" w:lineRule="auto"/>
        <w:ind w:left="882" w:right="889" w:firstLine="719"/>
        <w:jc w:val="both"/>
      </w:pPr>
      <w:r>
        <w:rPr/>
        <w:t>Về các yếu tố tác động có tính quyết định chi phí, Porter cho rằng, vị thế chi phí của một doanh nghiệp là kết quả từ hành vi chi phí của các hoạt động giá trị. Hành vi chi phí phụ thuộc vào các yếu tố tác động đến chi phí. Vì thế, vị thế chi phí tương đối của một doanh nghiệp được xác lập bởi các yếu tố tác động có tính quyết định đến chi phí. Những yếu tố này bao gồm: tăng lợi ích kinh tế theo qui mô; sự học hỏi; cơ cấu mức sử dụng năng lực sản xuất; các liên kết bên trong chuỗi giá trị hoặc liên kết dọc với chuỗi giá trị của các nhà cung cấp và kênh phân phối; sự tương quan qua lại giữa các đơn vị kinh doanh trong doanh nghiệp; sự tích hợp trong mỗi hoạt động giá trị; lựa chọn thời điểm trong việc thực hiện các hoạt động giá trị; các chính sách được doanh nghiệp lựa chọn; vị trí địa lý diễn ra các hoạt động giá trị; các yếu tố mang tính thể chế như qui định của chính quyền, chính sách miễn giảm thuế và các khuyến khích tài chính, việc thành lập và hoạt động của các đoàn thể, vv.</w:t>
      </w:r>
    </w:p>
    <w:p>
      <w:pPr>
        <w:pStyle w:val="BodyText"/>
        <w:spacing w:line="360" w:lineRule="auto"/>
        <w:ind w:left="882" w:right="888" w:firstLine="719"/>
        <w:jc w:val="both"/>
      </w:pPr>
      <w:r>
        <w:rPr/>
        <w:t>Về vai trò và cơ chế tác động, theo Porter, các yếu tố này là những nguyên nhân có tính cấu trúc của chi phí cho một hoạt động. Mức độ tác động của chúng có thể tăng, giảm dưới sự điều khiển của doanh nghiệp và thường tương tác qua lại để xác định chi phí cho một hoạt động giá trị cụ thể. Tuy nhiên, vai trò của các yếu tố này đối với vị thế chi phí tương đối của doanh nghiệp là rất khác nhau giữa các hoạt động giá trị khác nhau và không có một yếu tố nào là duy nhất quyết định vị thế chi phí của doanh nghiệp. Vì thế, chi phí tương đối của doanh nghiệp thay đổi tùy theo sự biến động</w:t>
      </w:r>
      <w:r>
        <w:rPr>
          <w:spacing w:val="-2"/>
        </w:rPr>
        <w:t> </w:t>
      </w:r>
      <w:r>
        <w:rPr/>
        <w:t>của:</w:t>
      </w:r>
    </w:p>
    <w:p>
      <w:pPr>
        <w:pStyle w:val="ListParagraph"/>
        <w:numPr>
          <w:ilvl w:val="0"/>
          <w:numId w:val="21"/>
        </w:numPr>
        <w:tabs>
          <w:tab w:pos="1754" w:val="left" w:leader="none"/>
        </w:tabs>
        <w:spacing w:line="240" w:lineRule="auto" w:before="1" w:after="0"/>
        <w:ind w:left="1753" w:right="0" w:hanging="152"/>
        <w:jc w:val="both"/>
        <w:rPr>
          <w:sz w:val="26"/>
        </w:rPr>
      </w:pPr>
      <w:r>
        <w:rPr>
          <w:sz w:val="26"/>
        </w:rPr>
        <w:t>Kết cấu chuỗi giá trị của doanh nghiệp so với đối thủ cạnh</w:t>
      </w:r>
      <w:r>
        <w:rPr>
          <w:spacing w:val="-10"/>
          <w:sz w:val="26"/>
        </w:rPr>
        <w:t> </w:t>
      </w:r>
      <w:r>
        <w:rPr>
          <w:sz w:val="26"/>
        </w:rPr>
        <w:t>tranh</w:t>
      </w:r>
    </w:p>
    <w:p>
      <w:pPr>
        <w:pStyle w:val="ListParagraph"/>
        <w:numPr>
          <w:ilvl w:val="0"/>
          <w:numId w:val="21"/>
        </w:numPr>
        <w:tabs>
          <w:tab w:pos="1790" w:val="left" w:leader="none"/>
        </w:tabs>
        <w:spacing w:line="360" w:lineRule="auto" w:before="150" w:after="0"/>
        <w:ind w:left="882" w:right="890" w:firstLine="719"/>
        <w:jc w:val="both"/>
        <w:rPr>
          <w:sz w:val="26"/>
        </w:rPr>
      </w:pPr>
      <w:r>
        <w:rPr>
          <w:sz w:val="26"/>
        </w:rPr>
        <w:t>Vị thế tương đối của doanh nghiệp so với các yếu tố tác động đến chi phí trong mỗi hoạt</w:t>
      </w:r>
      <w:r>
        <w:rPr>
          <w:spacing w:val="-2"/>
          <w:sz w:val="26"/>
        </w:rPr>
        <w:t> </w:t>
      </w:r>
      <w:r>
        <w:rPr>
          <w:sz w:val="26"/>
        </w:rPr>
        <w:t>động.</w:t>
      </w:r>
    </w:p>
    <w:p>
      <w:pPr>
        <w:pStyle w:val="BodyText"/>
        <w:spacing w:line="360" w:lineRule="auto"/>
        <w:ind w:left="882" w:right="888" w:firstLine="719"/>
        <w:jc w:val="both"/>
      </w:pPr>
      <w:r>
        <w:rPr/>
        <w:t>Bên cạnh đó theo M. E. Porter (1995) thì sự tương tác giữa các yếu tố tác động đến chi phí thường khá tinh tế, không dễ nhận ra, nhất là khi chúng thay đổi, nên khả năng chuyển tải những hiểu biết sâu sắc về tương tác giữa những yếu tố tác động đến chi phí vào lựa chọn chiến lược có thể là một nguồn lực bền vững để đạt được lợi thế chi phí. Về các lực lượng tác động có tính quyết định đến sự độc nhất để mang đến kết quả khác biệt hóa, Porter cho rằng, sự độc nhất trong một hoạt động giá trị được xác</w:t>
      </w:r>
    </w:p>
    <w:p>
      <w:pPr>
        <w:spacing w:after="0" w:line="360" w:lineRule="auto"/>
        <w:jc w:val="both"/>
        <w:sectPr>
          <w:pgSz w:w="11910" w:h="16850"/>
          <w:pgMar w:header="751" w:footer="0" w:top="960" w:bottom="280" w:left="820" w:right="240"/>
        </w:sectPr>
      </w:pPr>
    </w:p>
    <w:p>
      <w:pPr>
        <w:pStyle w:val="BodyText"/>
        <w:rPr>
          <w:sz w:val="20"/>
        </w:rPr>
      </w:pPr>
    </w:p>
    <w:p>
      <w:pPr>
        <w:pStyle w:val="BodyText"/>
        <w:spacing w:before="7"/>
        <w:rPr>
          <w:sz w:val="23"/>
        </w:rPr>
      </w:pPr>
    </w:p>
    <w:p>
      <w:pPr>
        <w:pStyle w:val="BodyText"/>
        <w:spacing w:line="360" w:lineRule="auto" w:before="89"/>
        <w:ind w:left="882" w:right="890"/>
        <w:jc w:val="both"/>
      </w:pPr>
      <w:r>
        <w:rPr/>
        <w:t>định bởi nhiều yếu tố cơ bản, tương tự như các yếu tố tác động đến chi phí. Những yếu tố đó bao gồm: lựa chọn chính sách để thực hiện những hoạt động nào và bằng phương pháp nào để tạo ra sự độc nhất; các liên kết bên trong chuỗi giá trị hoặc liên kết dọc với chuỗi giá trị của các nhà cung cấp và kênh phân phối; lựa chọn thời điểm bắt đầu thực hiện các hoạt động giá trị; vị trí địa lý thuận tiện; sự tương quan qua lại giữa các đơn vị kinh doanh trong doanh nghiệp; sự học hỏi; sự tích hợp giữa các hoạt động giá trị hoặc bổ sung các hoạt động giá trị mới của nhà cung cấp, kênh phân phối và cả của người mua; qui mô của doanh nghiệp; các yếu tố mang tính thể chế,</w:t>
      </w:r>
      <w:r>
        <w:rPr>
          <w:spacing w:val="-10"/>
        </w:rPr>
        <w:t> </w:t>
      </w:r>
      <w:r>
        <w:rPr/>
        <w:t>vv.</w:t>
      </w:r>
    </w:p>
    <w:p>
      <w:pPr>
        <w:pStyle w:val="BodyText"/>
        <w:spacing w:line="360" w:lineRule="auto" w:before="1"/>
        <w:ind w:left="882" w:right="888" w:firstLine="719"/>
        <w:jc w:val="both"/>
      </w:pPr>
      <w:r>
        <w:rPr/>
        <w:t>Về vai trò và cơ chế tác động, theo M. E. Porter (1985; 1990) sự tác động của các yếu tố này đến sự độc nhất thay đổi theo các hoạt động và khác nhau tùy theo ngành nghề; một số yếu tố tác động đến sự độc nhất bền vững hơn những yếu tố khác, song giữa chúng có sự tương tác lẫn nhau để xác định giới hạn mà các hoạt động có thể là độc nhất. Vì thế, hiểu rõ điều gì và khi nào bảo đảm cho doanh nghiệp trở thành độc nhất sẽ quyết định đến tính bền vững của khác biệt hóa. Đương nhiên, khác biệt hóa thường tốn kém, vì sự độc nhất đòi hỏi doanh nghiệp phải bỏ phí tổn để thực hiện các hoạt động giá trị tốt hơn đối thủ cạnh tranh. Do vậy, những yếu tố tác động có tính quyết định đến sự độc nhất hầu hết chịu ảnh hưởng của các yếu tố tác động đến chi phí. Song, điều quan trọng hơn là theo Porter: “Một doanh nghiệp thực hiện khác biệt hóa chính mình so với đối thủ cạnh tranh khi họ cung cấp điều gì đó là duy nhất và có giá trị cho người mua”; “Sự độc nhất sẽ không đưa đến khác biệt hóa nếu sự độc nhất này không mang lại giá trị đối với người mua. Một doanh nghiệp thành công với khác biệt hóa phải tìm ra những phương pháp để sáng tạo giá trị cho người mua, từ đó đem lại mức giá bán vượt trội những chi phí tăng thêm để sáng tạo ra giá trị độc nhất”. Điều này cho thấy, ngay chính trong quan điểm của Porter, tiếp cận từ phía khách hàng để xác định các yếu tố tạo lợi thế cạnh tranh của doanh nghiệp là khoa học và cần</w:t>
      </w:r>
      <w:r>
        <w:rPr>
          <w:spacing w:val="-16"/>
        </w:rPr>
        <w:t> </w:t>
      </w:r>
      <w:r>
        <w:rPr/>
        <w:t>thiết.</w:t>
      </w:r>
    </w:p>
    <w:p>
      <w:pPr>
        <w:pStyle w:val="Heading6"/>
        <w:numPr>
          <w:ilvl w:val="2"/>
          <w:numId w:val="20"/>
        </w:numPr>
        <w:tabs>
          <w:tab w:pos="1466" w:val="left" w:leader="none"/>
        </w:tabs>
        <w:spacing w:line="299" w:lineRule="exact" w:before="0" w:after="0"/>
        <w:ind w:left="1465" w:right="0" w:hanging="584"/>
        <w:jc w:val="both"/>
      </w:pPr>
      <w:bookmarkStart w:name="_TOC_250034" w:id="22"/>
      <w:r>
        <w:rPr/>
        <w:t>Tiếp cận từ phía khách</w:t>
      </w:r>
      <w:r>
        <w:rPr>
          <w:spacing w:val="1"/>
        </w:rPr>
        <w:t> </w:t>
      </w:r>
      <w:bookmarkEnd w:id="22"/>
      <w:r>
        <w:rPr/>
        <w:t>hàng</w:t>
      </w:r>
    </w:p>
    <w:p>
      <w:pPr>
        <w:pStyle w:val="Heading6"/>
        <w:numPr>
          <w:ilvl w:val="3"/>
          <w:numId w:val="20"/>
        </w:numPr>
        <w:tabs>
          <w:tab w:pos="1660" w:val="left" w:leader="none"/>
        </w:tabs>
        <w:spacing w:line="240" w:lineRule="auto" w:before="149" w:after="0"/>
        <w:ind w:left="1659" w:right="0" w:hanging="778"/>
        <w:jc w:val="both"/>
      </w:pPr>
      <w:bookmarkStart w:name="_TOC_250033" w:id="23"/>
      <w:r>
        <w:rPr/>
        <w:t>Quan điểm của Michael E.</w:t>
      </w:r>
      <w:r>
        <w:rPr>
          <w:spacing w:val="1"/>
        </w:rPr>
        <w:t> </w:t>
      </w:r>
      <w:bookmarkEnd w:id="23"/>
      <w:r>
        <w:rPr/>
        <w:t>Porter</w:t>
      </w:r>
    </w:p>
    <w:p>
      <w:pPr>
        <w:spacing w:line="360" w:lineRule="auto" w:before="150"/>
        <w:ind w:left="882" w:right="889" w:firstLine="719"/>
        <w:jc w:val="both"/>
        <w:rPr>
          <w:sz w:val="26"/>
        </w:rPr>
      </w:pPr>
      <w:r>
        <w:rPr>
          <w:i/>
          <w:sz w:val="26"/>
        </w:rPr>
        <w:t>Xuất phát điểm của cách tiếp cận này là điều gì có giá trị đối với người mua? </w:t>
      </w:r>
      <w:r>
        <w:rPr>
          <w:sz w:val="26"/>
        </w:rPr>
        <w:t>Trả lời câu hỏi này, M. E. Porter (1990) cho rằng một doanh nghiệp tạo ra giá trị dành cho người mua và điều này giải thích mức giá vượt trội so với chi phí tăng thêm bằng hai cơ chế:</w:t>
      </w:r>
    </w:p>
    <w:p>
      <w:pPr>
        <w:spacing w:after="0" w:line="360" w:lineRule="auto"/>
        <w:jc w:val="both"/>
        <w:rPr>
          <w:sz w:val="26"/>
        </w:rPr>
        <w:sectPr>
          <w:pgSz w:w="11910" w:h="16850"/>
          <w:pgMar w:header="751" w:footer="0" w:top="960" w:bottom="280" w:left="820" w:right="240"/>
        </w:sectPr>
      </w:pPr>
    </w:p>
    <w:p>
      <w:pPr>
        <w:pStyle w:val="BodyText"/>
        <w:rPr>
          <w:sz w:val="20"/>
        </w:rPr>
      </w:pPr>
    </w:p>
    <w:p>
      <w:pPr>
        <w:pStyle w:val="BodyText"/>
        <w:spacing w:before="7"/>
        <w:rPr>
          <w:sz w:val="23"/>
        </w:rPr>
      </w:pPr>
    </w:p>
    <w:p>
      <w:pPr>
        <w:pStyle w:val="BodyText"/>
        <w:spacing w:line="360" w:lineRule="auto" w:before="89"/>
        <w:ind w:left="882" w:right="890" w:firstLine="719"/>
        <w:jc w:val="both"/>
      </w:pPr>
      <w:r>
        <w:rPr>
          <w:i/>
        </w:rPr>
        <w:t>Hoặc là, </w:t>
      </w:r>
      <w:r>
        <w:rPr/>
        <w:t>hạ thấp chi phí cho người mua bao gồm: chi phí tài chính, chi phí thời gian và cả sự tiện lợi để có được sản phẩm, dịch vụ và trong quá trình chiếm hữu, sử dụng, định đoạt sản phẩm, dịch vụ đó. Chẳng hạn:</w:t>
      </w:r>
    </w:p>
    <w:p>
      <w:pPr>
        <w:pStyle w:val="ListParagraph"/>
        <w:numPr>
          <w:ilvl w:val="4"/>
          <w:numId w:val="20"/>
        </w:numPr>
        <w:tabs>
          <w:tab w:pos="1754" w:val="left" w:leader="none"/>
        </w:tabs>
        <w:spacing w:line="298" w:lineRule="exact" w:before="0" w:after="0"/>
        <w:ind w:left="1753" w:right="0" w:hanging="152"/>
        <w:jc w:val="both"/>
        <w:rPr>
          <w:sz w:val="26"/>
        </w:rPr>
      </w:pPr>
      <w:r>
        <w:rPr>
          <w:sz w:val="26"/>
        </w:rPr>
        <w:t>Giảm bớt các chi phí giao hàng, lắp đặt hoặc tài</w:t>
      </w:r>
      <w:r>
        <w:rPr>
          <w:spacing w:val="-3"/>
          <w:sz w:val="26"/>
        </w:rPr>
        <w:t> </w:t>
      </w:r>
      <w:r>
        <w:rPr>
          <w:sz w:val="26"/>
        </w:rPr>
        <w:t>trợ</w:t>
      </w:r>
    </w:p>
    <w:p>
      <w:pPr>
        <w:pStyle w:val="ListParagraph"/>
        <w:numPr>
          <w:ilvl w:val="4"/>
          <w:numId w:val="20"/>
        </w:numPr>
        <w:tabs>
          <w:tab w:pos="1754" w:val="left" w:leader="none"/>
        </w:tabs>
        <w:spacing w:line="240" w:lineRule="auto" w:before="150" w:after="0"/>
        <w:ind w:left="1753" w:right="0" w:hanging="152"/>
        <w:jc w:val="both"/>
        <w:rPr>
          <w:sz w:val="26"/>
        </w:rPr>
      </w:pPr>
      <w:r>
        <w:rPr>
          <w:sz w:val="26"/>
        </w:rPr>
        <w:t>Hạ thấp mức yêu cầu cần thiết để sử dụng sản</w:t>
      </w:r>
      <w:r>
        <w:rPr>
          <w:spacing w:val="-5"/>
          <w:sz w:val="26"/>
        </w:rPr>
        <w:t> </w:t>
      </w:r>
      <w:r>
        <w:rPr>
          <w:sz w:val="26"/>
        </w:rPr>
        <w:t>phẩm</w:t>
      </w:r>
    </w:p>
    <w:p>
      <w:pPr>
        <w:pStyle w:val="ListParagraph"/>
        <w:numPr>
          <w:ilvl w:val="4"/>
          <w:numId w:val="20"/>
        </w:numPr>
        <w:tabs>
          <w:tab w:pos="1773" w:val="left" w:leader="none"/>
        </w:tabs>
        <w:spacing w:line="360" w:lineRule="auto" w:before="149" w:after="0"/>
        <w:ind w:left="882" w:right="892" w:firstLine="719"/>
        <w:jc w:val="both"/>
        <w:rPr>
          <w:sz w:val="26"/>
        </w:rPr>
      </w:pPr>
      <w:r>
        <w:rPr>
          <w:sz w:val="26"/>
        </w:rPr>
        <w:t>Giảm bớt các chi phí trực tiếp cho việc sử dụng sản phẩm, như chi phí nhân công, nhiên liệu, chi phí bảo trì và khoảng không gian trống để sử dụng sản phẩm</w:t>
      </w:r>
      <w:r>
        <w:rPr>
          <w:spacing w:val="-19"/>
          <w:sz w:val="26"/>
        </w:rPr>
        <w:t> </w:t>
      </w:r>
      <w:r>
        <w:rPr>
          <w:sz w:val="26"/>
        </w:rPr>
        <w:t>đó</w:t>
      </w:r>
    </w:p>
    <w:p>
      <w:pPr>
        <w:pStyle w:val="ListParagraph"/>
        <w:numPr>
          <w:ilvl w:val="4"/>
          <w:numId w:val="20"/>
        </w:numPr>
        <w:tabs>
          <w:tab w:pos="1787" w:val="left" w:leader="none"/>
        </w:tabs>
        <w:spacing w:line="360" w:lineRule="auto" w:before="1" w:after="0"/>
        <w:ind w:left="882" w:right="888" w:firstLine="719"/>
        <w:jc w:val="both"/>
        <w:rPr>
          <w:sz w:val="26"/>
        </w:rPr>
      </w:pPr>
      <w:r>
        <w:rPr>
          <w:sz w:val="26"/>
        </w:rPr>
        <w:t>Giảm bớt các chi phí gián tiếp cho việc sử dụng sản phẩm hoặc những tác động của sản phẩm đến các hoạt động giá trị</w:t>
      </w:r>
      <w:r>
        <w:rPr>
          <w:spacing w:val="-5"/>
          <w:sz w:val="26"/>
        </w:rPr>
        <w:t> </w:t>
      </w:r>
      <w:r>
        <w:rPr>
          <w:sz w:val="26"/>
        </w:rPr>
        <w:t>khác</w:t>
      </w:r>
    </w:p>
    <w:p>
      <w:pPr>
        <w:pStyle w:val="ListParagraph"/>
        <w:numPr>
          <w:ilvl w:val="4"/>
          <w:numId w:val="20"/>
        </w:numPr>
        <w:tabs>
          <w:tab w:pos="1770" w:val="left" w:leader="none"/>
        </w:tabs>
        <w:spacing w:line="360" w:lineRule="auto" w:before="1" w:after="0"/>
        <w:ind w:left="882" w:right="891" w:firstLine="719"/>
        <w:jc w:val="both"/>
        <w:rPr>
          <w:sz w:val="26"/>
        </w:rPr>
      </w:pPr>
      <w:r>
        <w:rPr>
          <w:sz w:val="26"/>
        </w:rPr>
        <w:t>Giảm bớt chi phí người mua trong các hoạt động giá trị không liên quan đến sản phẩm thực</w:t>
      </w:r>
      <w:r>
        <w:rPr>
          <w:spacing w:val="-4"/>
          <w:sz w:val="26"/>
        </w:rPr>
        <w:t> </w:t>
      </w:r>
      <w:r>
        <w:rPr>
          <w:sz w:val="26"/>
        </w:rPr>
        <w:t>tế</w:t>
      </w:r>
    </w:p>
    <w:p>
      <w:pPr>
        <w:pStyle w:val="ListParagraph"/>
        <w:numPr>
          <w:ilvl w:val="4"/>
          <w:numId w:val="20"/>
        </w:numPr>
        <w:tabs>
          <w:tab w:pos="1754" w:val="left" w:leader="none"/>
        </w:tabs>
        <w:spacing w:line="360" w:lineRule="auto" w:before="0" w:after="0"/>
        <w:ind w:left="882" w:right="890" w:firstLine="719"/>
        <w:jc w:val="both"/>
        <w:rPr>
          <w:sz w:val="26"/>
        </w:rPr>
      </w:pPr>
      <w:r>
        <w:rPr>
          <w:sz w:val="26"/>
        </w:rPr>
        <w:t>Giảm bớt rủi ro khi sản phẩm hư hỏng và do đó giảm bớt chi phí ước đoán cho sự cố này của người</w:t>
      </w:r>
      <w:r>
        <w:rPr>
          <w:spacing w:val="-5"/>
          <w:sz w:val="26"/>
        </w:rPr>
        <w:t> </w:t>
      </w:r>
      <w:r>
        <w:rPr>
          <w:sz w:val="26"/>
        </w:rPr>
        <w:t>mua.</w:t>
      </w:r>
    </w:p>
    <w:p>
      <w:pPr>
        <w:pStyle w:val="BodyText"/>
        <w:spacing w:line="360" w:lineRule="auto"/>
        <w:ind w:left="882" w:right="888" w:firstLine="719"/>
        <w:jc w:val="both"/>
      </w:pPr>
      <w:r>
        <w:rPr>
          <w:i/>
        </w:rPr>
        <w:t>Hoặc là</w:t>
      </w:r>
      <w:r>
        <w:rPr/>
        <w:t>, nâng cao hiệu quả hoạt động của người mua, thể hiện ở sự gia tăng mức độ hài lòng hoặc đáp ứng tốt hơn nhu cầu của người mua. Vì thế, để nâng cao hiệu quả của người mua đòi hỏi doanh nghiệp phải thấu hiểu nhu cầu của người mua thông qua việc phân tích nhu cầu của họ. Đối với người mua trong ngành công nghiệp và thương mại hoặc cơ quan tổ chức, Porter cho rằng, nâng cao hiệu quả của người mua có thể bằng cách giúp họ đáp ứng những mục tiêu phi kinh tế như địa vị, hình ảnh, uy tín, vv. Đối với người mua là người tiêu dùng cá nhân, thì nâng cao hiệu quả của người mua phụ thuộc vào việc thỏa mãn tốt hơn nhu cầu của chính họ (Nguyễn Xuân Hiệp,</w:t>
      </w:r>
      <w:r>
        <w:rPr>
          <w:spacing w:val="-1"/>
        </w:rPr>
        <w:t> </w:t>
      </w:r>
      <w:r>
        <w:rPr/>
        <w:t>2011).</w:t>
      </w:r>
    </w:p>
    <w:p>
      <w:pPr>
        <w:pStyle w:val="BodyText"/>
        <w:spacing w:line="360" w:lineRule="auto"/>
        <w:ind w:left="882" w:right="889" w:firstLine="719"/>
        <w:jc w:val="both"/>
      </w:pPr>
      <w:r>
        <w:rPr/>
        <w:t>Song, M. E. Porter (1990) cũng cho rằng, thường người mua chỉ nhận thức được một giới hạn nhất định các giá trị mà doanh nghiệp tạo ra cho họ thông qua các dấu hiệu như: quảng cáo, danh tiếng, bao bì, tính chuyên nghiệp, bề ngoài và tính cách của nhân viên, sự hấp dẫn của các tiện ích và thông tin cung cấp khi thuyết minh bán hàng (M.E. Porter (1990) gọi đó là các dấu hiệu giá trị) để suy luận giá trị mà doanh nghiệp sẽ hoặc đang tạo ra cho họ. Bởi vậy, mặc dù người mua chỉ trả tiền để mua các giá trị mà họ nhận thức được và sau cùng quá trình sử dụng sẽ cho phép họ xác thực được các giá trị đó; họ không trả tiền cho các dấu hiệu của giá trị, nhưng việc đưa ra các dấu hiệu giá trị hiệu quả là cần</w:t>
      </w:r>
      <w:r>
        <w:rPr>
          <w:spacing w:val="-3"/>
        </w:rPr>
        <w:t> </w:t>
      </w:r>
      <w:r>
        <w:rPr/>
        <w:t>thiết.</w:t>
      </w:r>
    </w:p>
    <w:p>
      <w:pPr>
        <w:spacing w:after="0" w:line="360" w:lineRule="auto"/>
        <w:jc w:val="both"/>
        <w:sectPr>
          <w:pgSz w:w="11910" w:h="16850"/>
          <w:pgMar w:header="751" w:footer="0" w:top="960" w:bottom="280" w:left="820" w:right="240"/>
        </w:sectPr>
      </w:pPr>
    </w:p>
    <w:p>
      <w:pPr>
        <w:pStyle w:val="BodyText"/>
        <w:rPr>
          <w:sz w:val="20"/>
        </w:rPr>
      </w:pPr>
    </w:p>
    <w:p>
      <w:pPr>
        <w:pStyle w:val="BodyText"/>
        <w:spacing w:before="7"/>
        <w:rPr>
          <w:sz w:val="23"/>
        </w:rPr>
      </w:pPr>
    </w:p>
    <w:p>
      <w:pPr>
        <w:pStyle w:val="BodyText"/>
        <w:spacing w:line="360" w:lineRule="auto" w:before="89"/>
        <w:ind w:left="882" w:right="888" w:firstLine="719"/>
        <w:jc w:val="both"/>
      </w:pPr>
      <w:r>
        <w:rPr/>
        <w:t>Mặt khác, không phải mọi sự cắt giảm chi phí hoặc nâng cao hiệu quả hoạt động và các dấu hiệu giá trị của doanh nghiệp đều được người mua chấp nhận, mà trái lại chỉ những giá trị và các dấu hiệu của giá trị phù hợp với tiêu chuẩn của người mua (gọi là tiêu chuẩn mua) mới được họ đón nhận và trở thành giá trị của người mua. Porter chia tiêu chuẩn mua làm hai loại là tiêu chuẩn sử dụng và tiêu chuẩn dấu hiệu nhận</w:t>
      </w:r>
      <w:r>
        <w:rPr>
          <w:spacing w:val="-2"/>
        </w:rPr>
        <w:t> </w:t>
      </w:r>
      <w:r>
        <w:rPr/>
        <w:t>biết.</w:t>
      </w:r>
    </w:p>
    <w:p>
      <w:pPr>
        <w:pStyle w:val="ListParagraph"/>
        <w:numPr>
          <w:ilvl w:val="4"/>
          <w:numId w:val="20"/>
        </w:numPr>
        <w:tabs>
          <w:tab w:pos="1763" w:val="left" w:leader="none"/>
        </w:tabs>
        <w:spacing w:line="360" w:lineRule="auto" w:before="0" w:after="0"/>
        <w:ind w:left="882" w:right="888" w:firstLine="719"/>
        <w:jc w:val="both"/>
        <w:rPr>
          <w:sz w:val="26"/>
        </w:rPr>
      </w:pPr>
      <w:r>
        <w:rPr>
          <w:sz w:val="26"/>
        </w:rPr>
        <w:t>Tiêu chuẩn sử dụng xuất phát từ phương pháp mà doanh nghiệp tác động đến giá trị thực dành cho người mua thông qua việc giảm bớt chi phí hoặc gia tăng hiệu quả hoạt động cho họ. Vì thế, nó có tác dụng đo lường các đặc trưng cho điều gì tạo ra giá trị cho người mua và nói lên nguồn gốc thực sự của giá trị dành cho người mua. Tiêu chuẩn sử dụng có khuynh hướng hướng vào sản phẩm như chất lượng, đặc tính của sản phẩm, Logistics đầu ra và các dịch vụ khác dành cho người</w:t>
      </w:r>
      <w:r>
        <w:rPr>
          <w:spacing w:val="-8"/>
          <w:sz w:val="26"/>
        </w:rPr>
        <w:t> </w:t>
      </w:r>
      <w:r>
        <w:rPr>
          <w:sz w:val="26"/>
        </w:rPr>
        <w:t>mua.</w:t>
      </w:r>
    </w:p>
    <w:p>
      <w:pPr>
        <w:pStyle w:val="ListParagraph"/>
        <w:numPr>
          <w:ilvl w:val="4"/>
          <w:numId w:val="20"/>
        </w:numPr>
        <w:tabs>
          <w:tab w:pos="1761" w:val="left" w:leader="none"/>
        </w:tabs>
        <w:spacing w:line="360" w:lineRule="auto" w:before="0" w:after="0"/>
        <w:ind w:left="882" w:right="887" w:firstLine="719"/>
        <w:jc w:val="both"/>
        <w:rPr>
          <w:sz w:val="26"/>
        </w:rPr>
      </w:pPr>
      <w:r>
        <w:rPr>
          <w:sz w:val="26"/>
        </w:rPr>
        <w:t>Tiêu chuẩn dấu hiệu nhận biết xuất phát từ các dấu hiệu giá trị, thông qua các hoạt động marketing; đo lường người mua lĩnh hội như thế nào về những giá trị doanh nghiệp tạo ra cho người mua. Nghĩa là, tiêu chuẩn dấu hiệu nhận biết phản ánh các dấu hiệu giá trị có tác động đến nhận thức về năng lực của doanh nghiệp để đáp ứng các tiêu chuẩn sử dụng từ phía người</w:t>
      </w:r>
      <w:r>
        <w:rPr>
          <w:spacing w:val="-4"/>
          <w:sz w:val="26"/>
        </w:rPr>
        <w:t> </w:t>
      </w:r>
      <w:r>
        <w:rPr>
          <w:sz w:val="26"/>
        </w:rPr>
        <w:t>mua.</w:t>
      </w:r>
    </w:p>
    <w:p>
      <w:pPr>
        <w:pStyle w:val="BodyText"/>
        <w:spacing w:line="360" w:lineRule="auto" w:before="2"/>
        <w:ind w:left="882" w:right="888" w:firstLine="719"/>
        <w:jc w:val="both"/>
      </w:pPr>
      <w:r>
        <w:rPr/>
        <w:t>Mức độ phù hợp với tiêu chuẩn sử dụng và tiêu chuẩn dấu hiệu nhận biết của người mua đánh giá hiệu quả cung cấp giá trị của doanh nghiệp. Song, vai trò của các tiêu chuẩn sử dụng và tiêu chuẩn dấu hiệu nhận biết đóng góp vào giá trị của người mua là không giống nhau. Vì vậy, việc xác định các tiêu chuẩn mua và phân loại thứ bậc quan trọng của chúng có ý nghĩa đặc biệt quan trọng đối với doanh nghiệp trong việc tạo ra giá trị dành cho người</w:t>
      </w:r>
      <w:r>
        <w:rPr>
          <w:spacing w:val="-5"/>
        </w:rPr>
        <w:t> </w:t>
      </w:r>
      <w:r>
        <w:rPr/>
        <w:t>mua.</w:t>
      </w:r>
    </w:p>
    <w:p>
      <w:pPr>
        <w:pStyle w:val="BodyText"/>
        <w:spacing w:line="360" w:lineRule="auto"/>
        <w:ind w:left="882" w:right="886" w:firstLine="719"/>
        <w:jc w:val="both"/>
      </w:pPr>
      <w:r>
        <w:rPr>
          <w:i/>
        </w:rPr>
        <w:t>Tóm lại</w:t>
      </w:r>
      <w:r>
        <w:rPr/>
        <w:t>, phân tích quan điểm của Porter cho thấy, nếu như: “Về cơ bản, lợi thế cạnh tranh phát sinh từ các giá trị mà doanh nghiệp có thể tạo cho người mua, giá trị này phải lớn hơn các chi phí mà doanh nghiệp đã bỏ ra. Giá trị này là mức người mua sẵn lòng thanh toán và một giá trị cao hơn xuất hiện khi doanh nghiệp chào bán các tiện ích tương đương nhưng với một mức giá thấp hơn các đối thủ cạnh tranh; hoặc cung cấp những tiện ích độc đáo và người mua vẫn hài lòng với mức giá cao hơn bình thường”, thì hạ thấp chi phí hoặc nâng cao hiệu quả hoạt động của người mua đáp ứng các</w:t>
      </w:r>
      <w:r>
        <w:rPr>
          <w:spacing w:val="13"/>
        </w:rPr>
        <w:t> </w:t>
      </w:r>
      <w:r>
        <w:rPr/>
        <w:t>tiêu</w:t>
      </w:r>
      <w:r>
        <w:rPr>
          <w:spacing w:val="15"/>
        </w:rPr>
        <w:t> </w:t>
      </w:r>
      <w:r>
        <w:rPr/>
        <w:t>chuẩn</w:t>
      </w:r>
      <w:r>
        <w:rPr>
          <w:spacing w:val="16"/>
        </w:rPr>
        <w:t> </w:t>
      </w:r>
      <w:r>
        <w:rPr/>
        <w:t>sử</w:t>
      </w:r>
      <w:r>
        <w:rPr>
          <w:spacing w:val="13"/>
        </w:rPr>
        <w:t> </w:t>
      </w:r>
      <w:r>
        <w:rPr/>
        <w:t>dụng,</w:t>
      </w:r>
      <w:r>
        <w:rPr>
          <w:spacing w:val="14"/>
        </w:rPr>
        <w:t> </w:t>
      </w:r>
      <w:r>
        <w:rPr/>
        <w:t>tiêu</w:t>
      </w:r>
      <w:r>
        <w:rPr>
          <w:spacing w:val="13"/>
        </w:rPr>
        <w:t> </w:t>
      </w:r>
      <w:r>
        <w:rPr/>
        <w:t>chuẩn</w:t>
      </w:r>
      <w:r>
        <w:rPr>
          <w:spacing w:val="14"/>
        </w:rPr>
        <w:t> </w:t>
      </w:r>
      <w:r>
        <w:rPr/>
        <w:t>dấu</w:t>
      </w:r>
      <w:r>
        <w:rPr>
          <w:spacing w:val="13"/>
        </w:rPr>
        <w:t> </w:t>
      </w:r>
      <w:r>
        <w:rPr/>
        <w:t>hiệu</w:t>
      </w:r>
      <w:r>
        <w:rPr>
          <w:spacing w:val="14"/>
        </w:rPr>
        <w:t> </w:t>
      </w:r>
      <w:r>
        <w:rPr/>
        <w:t>nhận</w:t>
      </w:r>
      <w:r>
        <w:rPr>
          <w:spacing w:val="13"/>
        </w:rPr>
        <w:t> </w:t>
      </w:r>
      <w:r>
        <w:rPr/>
        <w:t>biết</w:t>
      </w:r>
      <w:r>
        <w:rPr>
          <w:spacing w:val="16"/>
        </w:rPr>
        <w:t> </w:t>
      </w:r>
      <w:r>
        <w:rPr/>
        <w:t>của</w:t>
      </w:r>
      <w:r>
        <w:rPr>
          <w:spacing w:val="13"/>
        </w:rPr>
        <w:t> </w:t>
      </w:r>
      <w:r>
        <w:rPr/>
        <w:t>người</w:t>
      </w:r>
      <w:r>
        <w:rPr>
          <w:spacing w:val="13"/>
        </w:rPr>
        <w:t> </w:t>
      </w:r>
      <w:r>
        <w:rPr/>
        <w:t>mua</w:t>
      </w:r>
      <w:r>
        <w:rPr>
          <w:spacing w:val="13"/>
        </w:rPr>
        <w:t> </w:t>
      </w:r>
      <w:r>
        <w:rPr/>
        <w:t>chính</w:t>
      </w:r>
      <w:r>
        <w:rPr>
          <w:spacing w:val="16"/>
        </w:rPr>
        <w:t> </w:t>
      </w:r>
      <w:r>
        <w:rPr/>
        <w:t>là</w:t>
      </w:r>
      <w:r>
        <w:rPr>
          <w:spacing w:val="13"/>
        </w:rPr>
        <w:t> </w:t>
      </w:r>
      <w:r>
        <w:rPr/>
        <w:t>cơ</w:t>
      </w:r>
      <w:r>
        <w:rPr>
          <w:spacing w:val="24"/>
        </w:rPr>
        <w:t> </w:t>
      </w:r>
      <w:r>
        <w:rPr/>
        <w:t>chế</w:t>
      </w:r>
    </w:p>
    <w:p>
      <w:pPr>
        <w:spacing w:after="0" w:line="360" w:lineRule="auto"/>
        <w:jc w:val="both"/>
        <w:sectPr>
          <w:pgSz w:w="11910" w:h="16850"/>
          <w:pgMar w:header="751" w:footer="0" w:top="960" w:bottom="280" w:left="820" w:right="240"/>
        </w:sectPr>
      </w:pPr>
    </w:p>
    <w:p>
      <w:pPr>
        <w:pStyle w:val="BodyText"/>
        <w:rPr>
          <w:sz w:val="20"/>
        </w:rPr>
      </w:pPr>
    </w:p>
    <w:p>
      <w:pPr>
        <w:pStyle w:val="BodyText"/>
        <w:spacing w:before="7"/>
        <w:rPr>
          <w:sz w:val="23"/>
        </w:rPr>
      </w:pPr>
    </w:p>
    <w:p>
      <w:pPr>
        <w:pStyle w:val="BodyText"/>
        <w:spacing w:line="360" w:lineRule="auto" w:before="89"/>
        <w:ind w:left="882" w:right="888"/>
        <w:jc w:val="both"/>
      </w:pPr>
      <w:r>
        <w:rPr/>
        <w:t>và phương thức tạo ra lợi thế cạnh tranh cho doanh nghiệp. Vì thế, các yếu tố góp phần hạ thấp chi phí hoặc nâng cao hiệu quả hoạt động của người mua đáp ứng tiêu chuẩn sử dụng và tiêu chuẩn dấu hiệu nhận biết của họ chính là những yếu tố tạo ra lợi thế cạnh tranh của doanh nghiệp (Nguyễn Xuân Hiệp,</w:t>
      </w:r>
      <w:r>
        <w:rPr>
          <w:spacing w:val="-6"/>
        </w:rPr>
        <w:t> </w:t>
      </w:r>
      <w:r>
        <w:rPr/>
        <w:t>2011).</w:t>
      </w:r>
    </w:p>
    <w:p>
      <w:pPr>
        <w:pStyle w:val="Heading6"/>
        <w:numPr>
          <w:ilvl w:val="3"/>
          <w:numId w:val="20"/>
        </w:numPr>
        <w:tabs>
          <w:tab w:pos="1660" w:val="left" w:leader="none"/>
        </w:tabs>
        <w:spacing w:line="298" w:lineRule="exact" w:before="0" w:after="0"/>
        <w:ind w:left="1659" w:right="0" w:hanging="778"/>
        <w:jc w:val="both"/>
      </w:pPr>
      <w:bookmarkStart w:name="_TOC_250032" w:id="24"/>
      <w:r>
        <w:rPr/>
        <w:t>Quan điểm của Philip</w:t>
      </w:r>
      <w:r>
        <w:rPr>
          <w:spacing w:val="1"/>
        </w:rPr>
        <w:t> </w:t>
      </w:r>
      <w:bookmarkEnd w:id="24"/>
      <w:r>
        <w:rPr/>
        <w:t>Kotler</w:t>
      </w:r>
    </w:p>
    <w:p>
      <w:pPr>
        <w:pStyle w:val="BodyText"/>
        <w:spacing w:line="360" w:lineRule="auto" w:before="150"/>
        <w:ind w:left="882" w:right="889" w:firstLine="719"/>
        <w:jc w:val="both"/>
      </w:pPr>
      <w:r>
        <w:rPr/>
        <w:t>Theo Philip Kotler (2001, p47-48) thì khách hàng sẽ mua hàng của những doanh nghiệp nào mà họ có thể nhận được giá trị dành cho họ là cao nhất (gọi là giá trị dành cho khách hàng). Trong đó: giá trị dành cho khách hàng là phần chênh lệch giữa tổng giá trị và tổng chi phí của khách hàng. Tổng giá trị của khách hàng là toàn bộ những lợi ích mà khách hàng nhận được ở một sản phẩm, hay dịch vụ nhất định. Đó là tập hợp các giá trị khách hàng thu được từ chính bản thân sản phẩm, dịch vụ; các dịch vụ kèm theo; tinh thần, trách nhiệm của nhân viên và hình ảnh của doanh nghiệp. Tổng chi phí của khách hàng lớn hơn chi phí tiền bạc, do đó bao gồm cả những phí tổn thời gian, sức lực và tinh thần mà người mua đã bỏ</w:t>
      </w:r>
      <w:r>
        <w:rPr>
          <w:spacing w:val="-5"/>
        </w:rPr>
        <w:t> </w:t>
      </w:r>
      <w:r>
        <w:rPr/>
        <w:t>ra”</w:t>
      </w:r>
    </w:p>
    <w:p>
      <w:pPr>
        <w:pStyle w:val="BodyText"/>
        <w:spacing w:before="11"/>
        <w:rPr>
          <w:sz w:val="18"/>
        </w:rPr>
      </w:pPr>
      <w:r>
        <w:rPr/>
        <w:pict>
          <v:group style="position:absolute;margin-left:151.824448pt;margin-top:12.866771pt;width:337.15pt;height:297.3pt;mso-position-horizontal-relative:page;mso-position-vertical-relative:paragraph;z-index:-15711232;mso-wrap-distance-left:0;mso-wrap-distance-right:0" coordorigin="3036,257" coordsize="6743,5946">
            <v:shape style="position:absolute;left:3676;top:262;width:3912;height:2417" coordorigin="3676,262" coordsize="3912,2417" path="m7587,1931l7584,2025,7574,2115,7557,2201,7534,2283,7506,2358,7473,2428,7435,2490,7393,2545,7347,2591,7297,2628,7245,2656,7190,2673,7133,2678,7076,2673,7021,2656,6969,2628,6919,2591,6873,2545,6831,2490,6793,2428,6760,2358,6731,2283,6709,2201,6692,2115,6682,2025,6678,1931,6682,1838,6692,1747,6709,1661,6731,1580,6760,1504,6793,1435,6831,1373,6873,1318,6919,1272,6969,1234,7021,1207,7076,1190,7133,1184,7190,1190,7245,1207,7297,1234,7347,1272,7393,1318,7435,1373,7473,1435,7506,1504,7534,1580,7557,1661,7574,1747,7584,1838,7587,1931m5856,563l5847,612,5823,658,5784,701,5732,740,5668,775,5593,805,5509,830,5417,848,5318,859,5214,863,5110,859,5011,848,4918,830,4834,805,4759,775,4695,740,4643,701,4604,658,4580,612,4571,563,4580,514,4604,468,4643,425,4695,385,4759,350,4834,320,4918,296,5011,278,5110,266,5214,262,5318,266,5417,278,5509,296,5593,320,5668,350,5732,385,5784,425,5823,468,5847,514,5856,563m4961,1219l4953,1268,4928,1314,4889,1357,4837,1397,4773,1432,4698,1462,4614,1486,4522,1504,4423,1515,4319,1519,4215,1515,4116,1504,4023,1486,3939,1462,3864,1432,3800,1397,3748,1357,3709,1314,3685,1268,3676,1219,3685,1170,3709,1124,3748,1081,3800,1042,3864,1007,3939,977,4023,952,4116,934,4215,923,4319,919,4423,923,4522,934,4614,952,4698,977,4773,1007,4837,1042,4889,1081,4928,1124,4953,1170,4961,1219m4951,1272l6684,1816e" filled="false" stroked="true" strokeweight=".495224pt" strokecolor="#000000">
              <v:path arrowok="t"/>
              <v:stroke dashstyle="solid"/>
            </v:shape>
            <v:shape style="position:absolute;left:6540;top:1726;width:143;height:101" type="#_x0000_t75" stroked="false">
              <v:imagedata r:id="rId14" o:title=""/>
            </v:shape>
            <v:shape style="position:absolute;left:3200;top:1617;width:3480;height:601" coordorigin="3200,1617" coordsize="3480,601" path="m4485,1917l4477,1966,4452,2012,4413,2055,4361,2095,4297,2130,4222,2160,4138,2184,4045,2202,3947,2214,3843,2218,3738,2214,3639,2202,3547,2184,3463,2160,3388,2130,3324,2095,3272,2055,3233,2012,3209,1966,3200,1917,3209,1869,3233,1823,3272,1779,3324,1740,3388,1705,3463,1675,3547,1651,3639,1633,3738,1621,3843,1617,3947,1621,4045,1633,4138,1651,4222,1675,4297,1705,4361,1740,4413,1779,4452,1823,4477,1869,4485,1917m4474,1971l6679,1880e" filled="false" stroked="true" strokeweight=".495224pt" strokecolor="#000000">
              <v:path arrowok="t"/>
              <v:stroke dashstyle="solid"/>
            </v:shape>
            <v:shape style="position:absolute;left:6536;top:1832;width:144;height:107" type="#_x0000_t75" stroked="false">
              <v:imagedata r:id="rId15" o:title=""/>
            </v:shape>
            <v:shape style="position:absolute;left:3041;top:1929;width:3637;height:1085" coordorigin="3041,1929" coordsize="3637,1085" path="m4326,2714l4318,2762,4293,2809,4254,2852,4202,2891,4138,2926,4063,2956,3979,2980,3887,2999,3788,3010,3684,3014,3580,3010,3481,2999,3389,2980,3304,2956,3230,2926,3165,2891,3113,2852,3074,2809,3050,2762,3041,2714,3050,2665,3074,2619,3113,2576,3165,2536,3230,2501,3304,2471,3389,2447,3481,2428,3580,2417,3684,2413,3788,2417,3887,2428,3979,2447,4063,2471,4138,2501,4202,2536,4254,2576,4293,2619,4318,2665,4326,2714m4320,2674l6678,1929e" filled="false" stroked="true" strokeweight=".495224pt" strokecolor="#000000">
              <v:path arrowok="t"/>
              <v:stroke dashstyle="solid"/>
            </v:shape>
            <v:shape style="position:absolute;left:6535;top:1918;width:143;height:101" type="#_x0000_t75" stroked="false">
              <v:imagedata r:id="rId16" o:title=""/>
            </v:shape>
            <v:line style="position:absolute" from="5457,841" to="6690,1759" stroked="true" strokeweight=".49289pt" strokecolor="#000000">
              <v:stroke dashstyle="solid"/>
            </v:line>
            <v:shape style="position:absolute;left:6552;top:1638;width:139;height:121" type="#_x0000_t75" stroked="false">
              <v:imagedata r:id="rId17" o:title=""/>
            </v:shape>
            <v:shape style="position:absolute;left:7556;top:2201;width:2218;height:1567" coordorigin="7557,2202" coordsize="2218,1567" path="m9774,2993l9771,3083,9762,3171,9747,3254,9727,3334,9702,3409,9673,3478,9639,3541,9601,3598,9560,3648,9515,3689,9468,3723,9418,3748,9366,3763,9312,3768,9258,3763,9206,3748,9156,3723,9109,3689,9065,3648,9023,3598,8986,3541,8952,3478,8922,3409,8898,3334,8878,3254,8863,3171,8854,3083,8851,2993,8854,2902,8863,2815,8878,2731,8898,2652,8922,2577,8952,2508,8986,2445,9023,2388,9065,2338,9109,2296,9156,2263,9206,2238,9258,2223,9312,2218,9366,2223,9418,2238,9468,2263,9515,2296,9560,2338,9601,2388,9639,2445,9673,2508,9702,2577,9727,2652,9747,2731,9762,2815,9771,2902,9774,2993m7557,2202l8853,3079e" filled="false" stroked="true" strokeweight=".495224pt" strokecolor="#000000">
              <v:path arrowok="t"/>
              <v:stroke dashstyle="solid"/>
            </v:shape>
            <v:shape style="position:absolute;left:8712;top:2961;width:141;height:117" type="#_x0000_t75" stroked="false">
              <v:imagedata r:id="rId18" o:title=""/>
            </v:shape>
            <v:shape style="position:absolute;left:3185;top:3391;width:4424;height:1551" coordorigin="3186,3391" coordsize="4424,1551" path="m7609,4166l7606,4257,7597,4344,7582,4428,7562,4507,7537,4582,7508,4651,7474,4714,7436,4771,7395,4821,7350,4863,7303,4896,7253,4921,7201,4936,7147,4942,7093,4936,7041,4921,6992,4896,6944,4863,6900,4821,6859,4771,6821,4714,6787,4651,6758,4582,6733,4507,6713,4428,6698,4344,6689,4257,6686,4166,6689,4076,6698,3988,6713,3905,6733,3825,6758,3751,6787,3681,6821,3618,6859,3561,6900,3512,6944,3470,6992,3436,7041,3412,7093,3396,7147,3391,7201,3396,7253,3412,7303,3436,7350,3470,7395,3512,7436,3561,7474,3618,7508,3681,7537,3751,7562,3825,7582,3905,7597,3988,7606,4076,7609,4166m4470,4487l4462,4536,4437,4582,4398,4625,4346,4665,4282,4700,4207,4730,4123,4754,4031,4773,3932,4784,3828,4788,3724,4784,3625,4773,3533,4754,3449,4730,3374,4700,3310,4665,3258,4625,3219,4582,3194,4536,3186,4487,3194,4439,3219,4392,3258,4349,3310,4310,3374,4275,3449,4245,3533,4221,3625,4202,3724,4191,3828,4187,3932,4191,4031,4202,4123,4221,4207,4245,4282,4275,4346,4310,4398,4349,4437,4392,4462,4439,4470,4487m4452,4416l6686,4178e" filled="false" stroked="true" strokeweight=".495224pt" strokecolor="#000000">
              <v:path arrowok="t"/>
              <v:stroke dashstyle="solid"/>
            </v:shape>
            <v:shape style="position:absolute;left:6542;top:4139;width:143;height:106" type="#_x0000_t75" stroked="false">
              <v:imagedata r:id="rId19" o:title=""/>
            </v:shape>
            <v:shape style="position:absolute;left:3719;top:4184;width:2967;height:2014" coordorigin="3720,4184" coordsize="2967,2014" path="m5004,5311l4996,5360,4972,5406,4933,5450,4880,5489,4816,5524,4741,5554,4657,5578,4565,5596,4466,5608,4362,5612,4258,5608,4159,5596,4067,5578,3983,5554,3908,5524,3844,5489,3791,5450,3752,5406,3728,5360,3720,5311,3728,5263,3752,5217,3791,5173,3844,5134,3908,5099,3983,5069,4067,5044,4159,5026,4258,5015,4362,5011,4466,5015,4565,5026,4657,5044,4741,5069,4816,5099,4880,5134,4933,5173,4972,5217,4996,5263,5004,5311m6130,5898l6122,5947,6097,5993,6058,6036,6006,6075,5942,6110,5867,6140,5783,6165,5691,6183,5592,6194,5488,6198,5383,6194,5285,6183,5192,6165,5108,6140,5034,6110,4969,6075,4917,6036,4878,5993,4854,5947,4846,5898,4854,5849,4878,5803,4917,5760,4969,5721,5034,5686,5108,5656,5192,5631,5285,5613,5383,5602,5488,5598,5592,5602,5691,5613,5783,5631,5867,5656,5942,5686,6006,5721,6058,5760,6097,5803,6122,5849,6130,5898m4958,5200l6686,4184e" filled="false" stroked="true" strokeweight=".495224pt" strokecolor="#000000">
              <v:path arrowok="t"/>
              <v:stroke dashstyle="solid"/>
            </v:shape>
            <v:shape style="position:absolute;left:6543;top:4184;width:142;height:112" type="#_x0000_t75" stroked="false">
              <v:imagedata r:id="rId20" o:title=""/>
            </v:shape>
            <v:line style="position:absolute" from="5659,5609" to="6687,4217" stroked="true" strokeweight=".497624pt" strokecolor="#000000">
              <v:stroke dashstyle="solid"/>
            </v:line>
            <v:shape style="position:absolute;left:6564;top:4216;width:122;height:136" type="#_x0000_t75" stroked="false">
              <v:imagedata r:id="rId21" o:title=""/>
            </v:shape>
            <v:shape style="position:absolute;left:3041;top:3265;width:3646;height:840" coordorigin="3041,3265" coordsize="3646,840" path="m4326,3566l4318,3614,4293,3660,4254,3703,4202,3743,4138,3778,4063,3808,3979,3832,3887,3850,3788,3862,3684,3866,3580,3862,3481,3850,3389,3832,3304,3808,3230,3778,3165,3743,3113,3703,3074,3660,3050,3614,3041,3566,3050,3517,3074,3471,3113,3428,3165,3388,3230,3353,3304,3323,3389,3299,3481,3281,3580,3269,3684,3265,3788,3269,3887,3281,3979,3299,4063,3323,4138,3353,4202,3388,4254,3428,4293,3471,4318,3517,4326,3566m4318,3614l6687,4104e" filled="false" stroked="true" strokeweight=".495224pt" strokecolor="#000000">
              <v:path arrowok="t"/>
              <v:stroke dashstyle="solid"/>
            </v:shape>
            <v:shape style="position:absolute;left:6543;top:4025;width:144;height:104" type="#_x0000_t75" stroked="false">
              <v:imagedata r:id="rId22" o:title=""/>
            </v:shape>
            <v:line style="position:absolute" from="7580,3894" to="8853,3082" stroked="true" strokeweight=".491788pt" strokecolor="#000000">
              <v:stroke dashstyle="solid"/>
            </v:line>
            <v:shape style="position:absolute;left:8712;top:3081;width:141;height:115" type="#_x0000_t75" stroked="false">
              <v:imagedata r:id="rId23" o:title=""/>
            </v:shape>
            <v:shape style="position:absolute;left:4828;top:366;width:786;height:370" type="#_x0000_t202" filled="false" stroked="false">
              <v:textbox inset="0,0,0,0">
                <w:txbxContent>
                  <w:p>
                    <w:pPr>
                      <w:spacing w:line="273" w:lineRule="auto" w:before="0"/>
                      <w:ind w:left="0" w:right="0" w:firstLine="151"/>
                      <w:jc w:val="left"/>
                      <w:rPr>
                        <w:rFonts w:ascii="Arial"/>
                        <w:b/>
                        <w:sz w:val="15"/>
                      </w:rPr>
                    </w:pPr>
                    <w:r>
                      <w:rPr>
                        <w:rFonts w:ascii="Arial"/>
                        <w:b/>
                        <w:w w:val="105"/>
                        <w:sz w:val="15"/>
                      </w:rPr>
                      <w:t>Gia tri san pham</w:t>
                    </w:r>
                  </w:p>
                </w:txbxContent>
              </v:textbox>
              <w10:wrap type="none"/>
            </v:shape>
            <v:shape style="position:absolute;left:3528;top:1020;width:1096;height:1072" type="#_x0000_t202" filled="false" stroked="false">
              <v:textbox inset="0,0,0,0">
                <w:txbxContent>
                  <w:p>
                    <w:pPr>
                      <w:spacing w:line="283" w:lineRule="auto" w:before="0"/>
                      <w:ind w:left="506" w:right="0" w:firstLine="50"/>
                      <w:jc w:val="left"/>
                      <w:rPr>
                        <w:rFonts w:ascii="Arial"/>
                        <w:b/>
                        <w:sz w:val="15"/>
                      </w:rPr>
                    </w:pPr>
                    <w:r>
                      <w:rPr>
                        <w:rFonts w:ascii="Arial"/>
                        <w:b/>
                        <w:w w:val="105"/>
                        <w:sz w:val="15"/>
                      </w:rPr>
                      <w:t>Gia tri dich vu</w:t>
                    </w:r>
                  </w:p>
                  <w:p>
                    <w:pPr>
                      <w:spacing w:line="240" w:lineRule="auto" w:before="0"/>
                      <w:rPr>
                        <w:rFonts w:ascii="Arial"/>
                        <w:b/>
                        <w:sz w:val="16"/>
                      </w:rPr>
                    </w:pPr>
                  </w:p>
                  <w:p>
                    <w:pPr>
                      <w:spacing w:line="283" w:lineRule="auto" w:before="103"/>
                      <w:ind w:left="0" w:right="200" w:firstLine="84"/>
                      <w:jc w:val="left"/>
                      <w:rPr>
                        <w:rFonts w:ascii="Arial"/>
                        <w:b/>
                        <w:sz w:val="15"/>
                      </w:rPr>
                    </w:pPr>
                    <w:r>
                      <w:rPr>
                        <w:rFonts w:ascii="Arial"/>
                        <w:b/>
                        <w:w w:val="105"/>
                        <w:sz w:val="15"/>
                      </w:rPr>
                      <w:t>Gia tri nhan su</w:t>
                    </w:r>
                  </w:p>
                </w:txbxContent>
              </v:textbox>
              <w10:wrap type="none"/>
            </v:shape>
            <v:shape style="position:absolute;left:6895;top:1428;width:497;height:982" type="#_x0000_t202" filled="false" stroked="false">
              <v:textbox inset="0,0,0,0">
                <w:txbxContent>
                  <w:p>
                    <w:pPr>
                      <w:spacing w:line="280" w:lineRule="auto" w:before="0"/>
                      <w:ind w:left="-1" w:right="18" w:hanging="17"/>
                      <w:jc w:val="center"/>
                      <w:rPr>
                        <w:rFonts w:ascii="Arial"/>
                        <w:b/>
                        <w:sz w:val="15"/>
                      </w:rPr>
                    </w:pPr>
                    <w:r>
                      <w:rPr>
                        <w:rFonts w:ascii="Arial"/>
                        <w:b/>
                        <w:w w:val="105"/>
                        <w:sz w:val="15"/>
                      </w:rPr>
                      <w:t>Tong gia tri cua khach hang</w:t>
                    </w:r>
                  </w:p>
                </w:txbxContent>
              </v:textbox>
              <w10:wrap type="none"/>
            </v:shape>
            <v:shape style="position:absolute;left:3343;top:2514;width:699;height:378" type="#_x0000_t202" filled="false" stroked="false">
              <v:textbox inset="0,0,0,0">
                <w:txbxContent>
                  <w:p>
                    <w:pPr>
                      <w:spacing w:line="283" w:lineRule="auto" w:before="0"/>
                      <w:ind w:left="0" w:right="14" w:firstLine="109"/>
                      <w:jc w:val="left"/>
                      <w:rPr>
                        <w:rFonts w:ascii="Arial"/>
                        <w:b/>
                        <w:sz w:val="15"/>
                      </w:rPr>
                    </w:pPr>
                    <w:r>
                      <w:rPr>
                        <w:rFonts w:ascii="Arial"/>
                        <w:b/>
                        <w:w w:val="105"/>
                        <w:sz w:val="15"/>
                      </w:rPr>
                      <w:t>Gia tri hinh anh</w:t>
                    </w:r>
                  </w:p>
                </w:txbxContent>
              </v:textbox>
              <w10:wrap type="none"/>
            </v:shape>
            <v:shape style="position:absolute;left:8946;top:2587;width:750;height:786" type="#_x0000_t202" filled="false" stroked="false">
              <v:textbox inset="0,0,0,0">
                <w:txbxContent>
                  <w:p>
                    <w:pPr>
                      <w:spacing w:line="283" w:lineRule="auto" w:before="0"/>
                      <w:ind w:left="0" w:right="18" w:firstLine="6"/>
                      <w:jc w:val="center"/>
                      <w:rPr>
                        <w:rFonts w:ascii="Arial"/>
                        <w:b/>
                        <w:sz w:val="15"/>
                      </w:rPr>
                    </w:pPr>
                    <w:r>
                      <w:rPr>
                        <w:rFonts w:ascii="Arial"/>
                        <w:b/>
                        <w:w w:val="105"/>
                        <w:sz w:val="15"/>
                      </w:rPr>
                      <w:t>Gia tri danh cho khach hang</w:t>
                    </w:r>
                  </w:p>
                </w:txbxContent>
              </v:textbox>
              <w10:wrap type="none"/>
            </v:shape>
            <v:shape style="position:absolute;left:3360;top:3469;width:657;height:174" type="#_x0000_t202" filled="false" stroked="false">
              <v:textbox inset="0,0,0,0">
                <w:txbxContent>
                  <w:p>
                    <w:pPr>
                      <w:spacing w:line="172" w:lineRule="exact" w:before="0"/>
                      <w:ind w:left="0" w:right="0" w:firstLine="0"/>
                      <w:jc w:val="left"/>
                      <w:rPr>
                        <w:rFonts w:ascii="Arial"/>
                        <w:b/>
                        <w:sz w:val="15"/>
                      </w:rPr>
                    </w:pPr>
                    <w:r>
                      <w:rPr>
                        <w:rFonts w:ascii="Arial"/>
                        <w:b/>
                        <w:w w:val="105"/>
                        <w:sz w:val="15"/>
                      </w:rPr>
                      <w:t>Gia mua</w:t>
                    </w:r>
                  </w:p>
                </w:txbxContent>
              </v:textbox>
              <w10:wrap type="none"/>
            </v:shape>
            <v:shape style="position:absolute;left:3511;top:4286;width:691;height:378" type="#_x0000_t202" filled="false" stroked="false">
              <v:textbox inset="0,0,0,0">
                <w:txbxContent>
                  <w:p>
                    <w:pPr>
                      <w:spacing w:line="283" w:lineRule="auto" w:before="0"/>
                      <w:ind w:left="0" w:right="14" w:firstLine="42"/>
                      <w:jc w:val="left"/>
                      <w:rPr>
                        <w:rFonts w:ascii="Arial"/>
                        <w:b/>
                        <w:sz w:val="15"/>
                      </w:rPr>
                    </w:pPr>
                    <w:r>
                      <w:rPr>
                        <w:rFonts w:ascii="Arial"/>
                        <w:b/>
                        <w:w w:val="105"/>
                        <w:sz w:val="15"/>
                      </w:rPr>
                      <w:t>Phi ton thoi gian</w:t>
                    </w:r>
                  </w:p>
                </w:txbxContent>
              </v:textbox>
              <w10:wrap type="none"/>
            </v:shape>
            <v:shape style="position:absolute;left:6903;top:3665;width:545;height:982" type="#_x0000_t202" filled="false" stroked="false">
              <v:textbox inset="0,0,0,0">
                <w:txbxContent>
                  <w:p>
                    <w:pPr>
                      <w:spacing w:line="280" w:lineRule="auto" w:before="0"/>
                      <w:ind w:left="0" w:right="18" w:hanging="48"/>
                      <w:jc w:val="center"/>
                      <w:rPr>
                        <w:rFonts w:ascii="Arial"/>
                        <w:b/>
                        <w:sz w:val="15"/>
                      </w:rPr>
                    </w:pPr>
                    <w:r>
                      <w:rPr>
                        <w:rFonts w:ascii="Arial"/>
                        <w:b/>
                        <w:w w:val="105"/>
                        <w:sz w:val="15"/>
                      </w:rPr>
                      <w:t>Tong chi phi cua khach hang</w:t>
                    </w:r>
                  </w:p>
                </w:txbxContent>
              </v:textbox>
              <w10:wrap type="none"/>
            </v:shape>
            <v:shape style="position:absolute;left:4001;top:5111;width:741;height:378" type="#_x0000_t202" filled="false" stroked="false">
              <v:textbox inset="0,0,0,0">
                <w:txbxContent>
                  <w:p>
                    <w:pPr>
                      <w:spacing w:line="283" w:lineRule="auto" w:before="0"/>
                      <w:ind w:left="0" w:right="0" w:firstLine="84"/>
                      <w:jc w:val="left"/>
                      <w:rPr>
                        <w:rFonts w:ascii="Arial"/>
                        <w:b/>
                        <w:sz w:val="15"/>
                      </w:rPr>
                    </w:pPr>
                    <w:r>
                      <w:rPr>
                        <w:rFonts w:ascii="Arial"/>
                        <w:b/>
                        <w:w w:val="105"/>
                        <w:sz w:val="15"/>
                      </w:rPr>
                      <w:t>Phi ton cong suc</w:t>
                    </w:r>
                  </w:p>
                </w:txbxContent>
              </v:textbox>
              <w10:wrap type="none"/>
            </v:shape>
            <v:shape style="position:absolute;left:5148;top:5699;width:699;height:378" type="#_x0000_t202" filled="false" stroked="false">
              <v:textbox inset="0,0,0,0">
                <w:txbxContent>
                  <w:p>
                    <w:pPr>
                      <w:spacing w:line="283" w:lineRule="auto" w:before="0"/>
                      <w:ind w:left="0" w:right="14" w:firstLine="67"/>
                      <w:jc w:val="left"/>
                      <w:rPr>
                        <w:rFonts w:ascii="Arial"/>
                        <w:b/>
                        <w:sz w:val="15"/>
                      </w:rPr>
                    </w:pPr>
                    <w:r>
                      <w:rPr>
                        <w:rFonts w:ascii="Arial"/>
                        <w:b/>
                        <w:w w:val="105"/>
                        <w:sz w:val="15"/>
                      </w:rPr>
                      <w:t>Phi ton tinh than</w:t>
                    </w:r>
                  </w:p>
                </w:txbxContent>
              </v:textbox>
              <w10:wrap type="none"/>
            </v:shape>
            <w10:wrap type="topAndBottom"/>
          </v:group>
        </w:pict>
      </w:r>
    </w:p>
    <w:p>
      <w:pPr>
        <w:pStyle w:val="BodyText"/>
        <w:spacing w:before="1"/>
        <w:rPr>
          <w:sz w:val="40"/>
        </w:rPr>
      </w:pPr>
    </w:p>
    <w:p>
      <w:pPr>
        <w:pStyle w:val="Heading6"/>
        <w:spacing w:line="298" w:lineRule="exact"/>
        <w:ind w:left="736" w:right="952"/>
        <w:jc w:val="center"/>
      </w:pPr>
      <w:r>
        <w:rPr/>
        <w:t>Hình 2.1: Các yếu tố quyết định giá trị dành cho khách hàng</w:t>
      </w:r>
    </w:p>
    <w:p>
      <w:pPr>
        <w:spacing w:line="298" w:lineRule="exact" w:before="0"/>
        <w:ind w:left="1095" w:right="270" w:firstLine="0"/>
        <w:jc w:val="center"/>
        <w:rPr>
          <w:i/>
          <w:sz w:val="26"/>
        </w:rPr>
      </w:pPr>
      <w:r>
        <w:rPr>
          <w:i/>
          <w:sz w:val="26"/>
        </w:rPr>
        <w:t>(Nguồn: Philip Kotler, 2001, tr. 47)</w:t>
      </w:r>
    </w:p>
    <w:p>
      <w:pPr>
        <w:spacing w:after="0" w:line="298" w:lineRule="exact"/>
        <w:jc w:val="center"/>
        <w:rPr>
          <w:sz w:val="26"/>
        </w:rPr>
        <w:sectPr>
          <w:pgSz w:w="11910" w:h="16850"/>
          <w:pgMar w:header="751" w:footer="0" w:top="960" w:bottom="280" w:left="820" w:right="240"/>
        </w:sectPr>
      </w:pPr>
    </w:p>
    <w:p>
      <w:pPr>
        <w:pStyle w:val="BodyText"/>
        <w:rPr>
          <w:i/>
          <w:sz w:val="20"/>
        </w:rPr>
      </w:pPr>
    </w:p>
    <w:p>
      <w:pPr>
        <w:pStyle w:val="BodyText"/>
        <w:spacing w:before="7"/>
        <w:rPr>
          <w:i/>
          <w:sz w:val="23"/>
        </w:rPr>
      </w:pPr>
    </w:p>
    <w:p>
      <w:pPr>
        <w:pStyle w:val="BodyText"/>
        <w:spacing w:line="360" w:lineRule="auto" w:before="89"/>
        <w:ind w:left="882" w:right="889" w:firstLine="719"/>
        <w:jc w:val="both"/>
      </w:pPr>
      <w:r>
        <w:rPr/>
        <w:t>Nghĩa là, theo Phikip Kotler, nhiệm vụ tạo ra lợi thế cạnh tranh của doanh nghiệp đồng nghĩa với việc tạo ra một giá trị giành cho khách hàng vượt trội so với đối thủ. Trong đó, các phương thức để tạo ra các lợi thế đó có thể là:</w:t>
      </w:r>
    </w:p>
    <w:p>
      <w:pPr>
        <w:pStyle w:val="ListParagraph"/>
        <w:numPr>
          <w:ilvl w:val="0"/>
          <w:numId w:val="22"/>
        </w:numPr>
        <w:tabs>
          <w:tab w:pos="1778" w:val="left" w:leader="none"/>
        </w:tabs>
        <w:spacing w:line="360" w:lineRule="auto" w:before="0" w:after="0"/>
        <w:ind w:left="882" w:right="890" w:firstLine="719"/>
        <w:jc w:val="both"/>
        <w:rPr>
          <w:sz w:val="26"/>
        </w:rPr>
      </w:pPr>
      <w:r>
        <w:rPr>
          <w:sz w:val="26"/>
        </w:rPr>
        <w:t>Tăng tổng giá trị khách hàng bằng cách cải tiến sản phẩm, dịch vụ, nhân sự hay hình ảnh của doanh</w:t>
      </w:r>
      <w:r>
        <w:rPr>
          <w:spacing w:val="-6"/>
          <w:sz w:val="26"/>
        </w:rPr>
        <w:t> </w:t>
      </w:r>
      <w:r>
        <w:rPr>
          <w:sz w:val="26"/>
        </w:rPr>
        <w:t>nghiệp.</w:t>
      </w:r>
    </w:p>
    <w:p>
      <w:pPr>
        <w:pStyle w:val="ListParagraph"/>
        <w:numPr>
          <w:ilvl w:val="0"/>
          <w:numId w:val="22"/>
        </w:numPr>
        <w:tabs>
          <w:tab w:pos="1773" w:val="left" w:leader="none"/>
        </w:tabs>
        <w:spacing w:line="360" w:lineRule="auto" w:before="0" w:after="0"/>
        <w:ind w:left="882" w:right="893" w:firstLine="719"/>
        <w:jc w:val="both"/>
        <w:rPr>
          <w:sz w:val="26"/>
        </w:rPr>
      </w:pPr>
      <w:r>
        <w:rPr>
          <w:sz w:val="26"/>
        </w:rPr>
        <w:t>Giảm các chi phí không chỉ tiền bạc của khách hàng mà còn là giảm bớt chi phí về thời gian, công sức và tinh thần của khách</w:t>
      </w:r>
      <w:r>
        <w:rPr>
          <w:spacing w:val="-8"/>
          <w:sz w:val="26"/>
        </w:rPr>
        <w:t> </w:t>
      </w:r>
      <w:r>
        <w:rPr>
          <w:sz w:val="26"/>
        </w:rPr>
        <w:t>hàng</w:t>
      </w:r>
    </w:p>
    <w:p>
      <w:pPr>
        <w:pStyle w:val="BodyText"/>
        <w:spacing w:line="360" w:lineRule="auto"/>
        <w:ind w:left="882" w:right="889" w:firstLine="719"/>
        <w:jc w:val="both"/>
      </w:pPr>
      <w:r>
        <w:rPr/>
        <w:t>Cùng quan điểm với Porter, Philip Kotler lại cho rằng, việc giảm bớt chi phí cho khách hàng có thể phạm sai lầm, vì các lý</w:t>
      </w:r>
      <w:r>
        <w:rPr>
          <w:spacing w:val="-2"/>
        </w:rPr>
        <w:t> </w:t>
      </w:r>
      <w:r>
        <w:rPr/>
        <w:t>do:</w:t>
      </w:r>
    </w:p>
    <w:p>
      <w:pPr>
        <w:pStyle w:val="ListParagraph"/>
        <w:numPr>
          <w:ilvl w:val="0"/>
          <w:numId w:val="22"/>
        </w:numPr>
        <w:tabs>
          <w:tab w:pos="1780" w:val="left" w:leader="none"/>
        </w:tabs>
        <w:spacing w:line="360" w:lineRule="auto" w:before="1" w:after="0"/>
        <w:ind w:left="882" w:right="895" w:firstLine="719"/>
        <w:jc w:val="both"/>
        <w:rPr>
          <w:sz w:val="26"/>
        </w:rPr>
      </w:pPr>
      <w:r>
        <w:rPr>
          <w:i/>
          <w:sz w:val="26"/>
        </w:rPr>
        <w:t>Thứ nhất</w:t>
      </w:r>
      <w:r>
        <w:rPr>
          <w:sz w:val="26"/>
        </w:rPr>
        <w:t>, một sản phẩm “</w:t>
      </w:r>
      <w:r>
        <w:rPr>
          <w:i/>
          <w:sz w:val="26"/>
        </w:rPr>
        <w:t>rẻ hơn</w:t>
      </w:r>
      <w:r>
        <w:rPr>
          <w:sz w:val="26"/>
        </w:rPr>
        <w:t>” so với các đối thủ của nó thường bị hoài nghi chất lượng không tốt, ngay cả khi nó tốt thực</w:t>
      </w:r>
      <w:r>
        <w:rPr>
          <w:spacing w:val="-5"/>
          <w:sz w:val="26"/>
        </w:rPr>
        <w:t> </w:t>
      </w:r>
      <w:r>
        <w:rPr>
          <w:sz w:val="26"/>
        </w:rPr>
        <w:t>sự;</w:t>
      </w:r>
    </w:p>
    <w:p>
      <w:pPr>
        <w:pStyle w:val="ListParagraph"/>
        <w:numPr>
          <w:ilvl w:val="0"/>
          <w:numId w:val="22"/>
        </w:numPr>
        <w:tabs>
          <w:tab w:pos="1775" w:val="left" w:leader="none"/>
        </w:tabs>
        <w:spacing w:line="360" w:lineRule="auto" w:before="0" w:after="0"/>
        <w:ind w:left="882" w:right="891" w:firstLine="719"/>
        <w:jc w:val="both"/>
        <w:rPr>
          <w:sz w:val="26"/>
        </w:rPr>
      </w:pPr>
      <w:r>
        <w:rPr>
          <w:i/>
          <w:sz w:val="26"/>
        </w:rPr>
        <w:t>Thứ hai, </w:t>
      </w:r>
      <w:r>
        <w:rPr>
          <w:sz w:val="26"/>
        </w:rPr>
        <w:t>để giảm chi phí cho khách hàng doanh nghiệp thường cắt giảm các dịch vụ, nhưng điều này sẽ làm giảm sự thỏa mãn, vì thế dễ mất khách</w:t>
      </w:r>
      <w:r>
        <w:rPr>
          <w:spacing w:val="-14"/>
          <w:sz w:val="26"/>
        </w:rPr>
        <w:t> </w:t>
      </w:r>
      <w:r>
        <w:rPr>
          <w:sz w:val="26"/>
        </w:rPr>
        <w:t>hàng.</w:t>
      </w:r>
    </w:p>
    <w:p>
      <w:pPr>
        <w:pStyle w:val="ListParagraph"/>
        <w:numPr>
          <w:ilvl w:val="0"/>
          <w:numId w:val="22"/>
        </w:numPr>
        <w:tabs>
          <w:tab w:pos="1763" w:val="left" w:leader="none"/>
        </w:tabs>
        <w:spacing w:line="360" w:lineRule="auto" w:before="0" w:after="0"/>
        <w:ind w:left="882" w:right="888" w:firstLine="719"/>
        <w:jc w:val="both"/>
        <w:rPr>
          <w:sz w:val="26"/>
        </w:rPr>
      </w:pPr>
      <w:r>
        <w:rPr>
          <w:i/>
          <w:sz w:val="26"/>
        </w:rPr>
        <w:t>Thứ ba</w:t>
      </w:r>
      <w:r>
        <w:rPr>
          <w:sz w:val="26"/>
        </w:rPr>
        <w:t>, đối thủ cạnh tranh có thể bất ngờ tung ra một sản phẩm còn “</w:t>
      </w:r>
      <w:r>
        <w:rPr>
          <w:i/>
          <w:sz w:val="26"/>
        </w:rPr>
        <w:t>rẻ hơn</w:t>
      </w:r>
      <w:r>
        <w:rPr>
          <w:sz w:val="26"/>
        </w:rPr>
        <w:t>” do tìm được nơi sản xuất và chi phí thấp</w:t>
      </w:r>
      <w:r>
        <w:rPr>
          <w:spacing w:val="-8"/>
          <w:sz w:val="26"/>
        </w:rPr>
        <w:t> </w:t>
      </w:r>
      <w:r>
        <w:rPr>
          <w:sz w:val="26"/>
        </w:rPr>
        <w:t>hơn.</w:t>
      </w:r>
    </w:p>
    <w:p>
      <w:pPr>
        <w:pStyle w:val="BodyText"/>
        <w:spacing w:line="360" w:lineRule="auto"/>
        <w:ind w:left="882" w:right="889" w:firstLine="719"/>
        <w:jc w:val="both"/>
      </w:pPr>
      <w:r>
        <w:rPr/>
        <w:t>Vì thế, theo Philip Kotler, sẽ không có ý nghĩa tạo ra lợi thế cạnh tranh, nếu doanh nghiệp không làm cho sản phẩm, dịch vụ của mình trội hơn về bất kỳ một mặt nào khác so với đối thủ, ngoài việc giá bán rẻ hơn. Điều đó cho thấy, Philip Kotler đề cao vai trò của khác biệt hóa trong việc tạo ra lợi thế cạnh tranh cho doanh nghiệp và theo ông, một công ty có thể khác biệt các đối thủ về bốn yếu tố cơ bản là sản phẩm, dịch vụ, nhân sự hay hình ảnh của công ty. Trong đó:</w:t>
      </w:r>
    </w:p>
    <w:p>
      <w:pPr>
        <w:pStyle w:val="ListParagraph"/>
        <w:numPr>
          <w:ilvl w:val="0"/>
          <w:numId w:val="22"/>
        </w:numPr>
        <w:tabs>
          <w:tab w:pos="1775" w:val="left" w:leader="none"/>
        </w:tabs>
        <w:spacing w:line="360" w:lineRule="auto" w:before="0" w:after="0"/>
        <w:ind w:left="882" w:right="890" w:firstLine="719"/>
        <w:jc w:val="both"/>
        <w:rPr>
          <w:sz w:val="26"/>
        </w:rPr>
      </w:pPr>
      <w:r>
        <w:rPr>
          <w:sz w:val="26"/>
        </w:rPr>
        <w:t>Đối với sản phẩm là sự khác biệt về tính chất, công dụng, mức độ phù hợp, tuổi thọ, độ tin cậy, khả năng sửa chữa được, kiểu dáng và kết cấu thông qua hoạt  động cải tiến hoặc đổi</w:t>
      </w:r>
      <w:r>
        <w:rPr>
          <w:spacing w:val="-4"/>
          <w:sz w:val="26"/>
        </w:rPr>
        <w:t> </w:t>
      </w:r>
      <w:r>
        <w:rPr>
          <w:sz w:val="26"/>
        </w:rPr>
        <w:t>mới;</w:t>
      </w:r>
    </w:p>
    <w:p>
      <w:pPr>
        <w:pStyle w:val="ListParagraph"/>
        <w:numPr>
          <w:ilvl w:val="0"/>
          <w:numId w:val="22"/>
        </w:numPr>
        <w:tabs>
          <w:tab w:pos="1761" w:val="left" w:leader="none"/>
        </w:tabs>
        <w:spacing w:line="357" w:lineRule="auto" w:before="1" w:after="0"/>
        <w:ind w:left="882" w:right="891" w:firstLine="719"/>
        <w:jc w:val="both"/>
        <w:rPr>
          <w:sz w:val="26"/>
        </w:rPr>
      </w:pPr>
      <w:r>
        <w:rPr>
          <w:sz w:val="26"/>
        </w:rPr>
        <w:t>Đối với giá trị dịch vụ là sự khác biệt về giao hàng, lắp đặt, huấn luyện khách hàng sử dụng, tư vấn, sửa chữa và một số dịch vụ</w:t>
      </w:r>
      <w:r>
        <w:rPr>
          <w:spacing w:val="-5"/>
          <w:sz w:val="26"/>
        </w:rPr>
        <w:t> </w:t>
      </w:r>
      <w:r>
        <w:rPr>
          <w:sz w:val="26"/>
        </w:rPr>
        <w:t>khác;</w:t>
      </w:r>
    </w:p>
    <w:p>
      <w:pPr>
        <w:pStyle w:val="ListParagraph"/>
        <w:numPr>
          <w:ilvl w:val="0"/>
          <w:numId w:val="22"/>
        </w:numPr>
        <w:tabs>
          <w:tab w:pos="1778" w:val="left" w:leader="none"/>
        </w:tabs>
        <w:spacing w:line="360" w:lineRule="auto" w:before="4" w:after="0"/>
        <w:ind w:left="882" w:right="888" w:firstLine="719"/>
        <w:jc w:val="both"/>
        <w:rPr>
          <w:sz w:val="26"/>
        </w:rPr>
      </w:pPr>
      <w:r>
        <w:rPr>
          <w:sz w:val="26"/>
        </w:rPr>
        <w:t>Đối với giá trị nhân sự là sự khác biệt về năng lực, thái độ nhã nhặn, có tín nhiệm, tin cậy, nhiệt tình và biết giao thiệp của nhân</w:t>
      </w:r>
      <w:r>
        <w:rPr>
          <w:spacing w:val="-10"/>
          <w:sz w:val="26"/>
        </w:rPr>
        <w:t> </w:t>
      </w:r>
      <w:r>
        <w:rPr>
          <w:sz w:val="26"/>
        </w:rPr>
        <w:t>viên;</w:t>
      </w:r>
    </w:p>
    <w:p>
      <w:pPr>
        <w:pStyle w:val="ListParagraph"/>
        <w:numPr>
          <w:ilvl w:val="0"/>
          <w:numId w:val="22"/>
        </w:numPr>
        <w:tabs>
          <w:tab w:pos="1790" w:val="left" w:leader="none"/>
        </w:tabs>
        <w:spacing w:line="360" w:lineRule="auto" w:before="1" w:after="0"/>
        <w:ind w:left="882" w:right="889" w:firstLine="719"/>
        <w:jc w:val="both"/>
        <w:rPr>
          <w:sz w:val="26"/>
        </w:rPr>
      </w:pPr>
      <w:r>
        <w:rPr>
          <w:sz w:val="26"/>
        </w:rPr>
        <w:t>Đối với giá trị hình ảnh là sự khác biệt về biểu tượng, phương tiện truyền thông, bầu không khí và các sự kiện bảo trợ tạo ra sự hãnh diện, thích thú trong tâm tưởng của khách</w:t>
      </w:r>
      <w:r>
        <w:rPr>
          <w:spacing w:val="-4"/>
          <w:sz w:val="26"/>
        </w:rPr>
        <w:t> </w:t>
      </w:r>
      <w:r>
        <w:rPr>
          <w:sz w:val="26"/>
        </w:rPr>
        <w:t>hàng.</w:t>
      </w:r>
    </w:p>
    <w:p>
      <w:pPr>
        <w:spacing w:after="0" w:line="360" w:lineRule="auto"/>
        <w:jc w:val="both"/>
        <w:rPr>
          <w:sz w:val="26"/>
        </w:rPr>
        <w:sectPr>
          <w:pgSz w:w="11910" w:h="16850"/>
          <w:pgMar w:header="751" w:footer="0" w:top="960" w:bottom="280" w:left="820" w:right="240"/>
        </w:sectPr>
      </w:pPr>
    </w:p>
    <w:p>
      <w:pPr>
        <w:pStyle w:val="BodyText"/>
        <w:rPr>
          <w:sz w:val="20"/>
        </w:rPr>
      </w:pPr>
    </w:p>
    <w:p>
      <w:pPr>
        <w:pStyle w:val="BodyText"/>
        <w:spacing w:before="7"/>
        <w:rPr>
          <w:sz w:val="23"/>
        </w:rPr>
      </w:pPr>
    </w:p>
    <w:p>
      <w:pPr>
        <w:pStyle w:val="BodyText"/>
        <w:spacing w:line="360" w:lineRule="auto" w:before="89"/>
        <w:ind w:left="882" w:right="888" w:firstLine="719"/>
        <w:jc w:val="both"/>
      </w:pPr>
      <w:r>
        <w:rPr/>
        <w:t>Hơn nữa, cũng theo Philip Kotler, một công ty có thể tạo ra giá trị, nhờ đó có thể tạo ra lợi thế cạnh tranh bằng cách cung ứng những sản phẩm, dịch vụ hoặc những thứ khác “</w:t>
      </w:r>
      <w:r>
        <w:rPr>
          <w:i/>
        </w:rPr>
        <w:t>tốt hơn, mới hơn, nhanh hơn và rẻ hơn</w:t>
      </w:r>
      <w:r>
        <w:rPr/>
        <w:t>”. Nghĩa là, sự khác biệt về bốn yếu tố cơ bản vừa nêu trên chỉ có ý nghĩa tạo ra </w:t>
      </w:r>
      <w:r>
        <w:rPr>
          <w:spacing w:val="2"/>
        </w:rPr>
        <w:t>lợi </w:t>
      </w:r>
      <w:r>
        <w:rPr/>
        <w:t>thế cạnh tranh cho doanh nghiệp khi chúng thực sự “</w:t>
      </w:r>
      <w:r>
        <w:rPr>
          <w:i/>
        </w:rPr>
        <w:t>tốt hơn, mới hơn, nhanh hơn và rẻ hơn” </w:t>
      </w:r>
      <w:r>
        <w:rPr/>
        <w:t>so với đối thủ</w:t>
      </w:r>
      <w:r>
        <w:rPr>
          <w:i/>
        </w:rPr>
        <w:t>. </w:t>
      </w:r>
      <w:r>
        <w:rPr/>
        <w:t>Trong</w:t>
      </w:r>
      <w:r>
        <w:rPr>
          <w:spacing w:val="-18"/>
        </w:rPr>
        <w:t> </w:t>
      </w:r>
      <w:r>
        <w:rPr/>
        <w:t>đó:</w:t>
      </w:r>
    </w:p>
    <w:p>
      <w:pPr>
        <w:pStyle w:val="ListParagraph"/>
        <w:numPr>
          <w:ilvl w:val="0"/>
          <w:numId w:val="22"/>
        </w:numPr>
        <w:tabs>
          <w:tab w:pos="1773" w:val="left" w:leader="none"/>
        </w:tabs>
        <w:spacing w:line="360" w:lineRule="auto" w:before="0" w:after="0"/>
        <w:ind w:left="882" w:right="891" w:firstLine="719"/>
        <w:jc w:val="both"/>
        <w:rPr>
          <w:sz w:val="26"/>
        </w:rPr>
      </w:pPr>
      <w:r>
        <w:rPr>
          <w:sz w:val="26"/>
        </w:rPr>
        <w:t>Tốt hơn có nghĩa là sản phẩm, dịch vụ của công ty phải được cải tiến so với sản phẩm, dịch vụ hiện</w:t>
      </w:r>
      <w:r>
        <w:rPr>
          <w:spacing w:val="1"/>
          <w:sz w:val="26"/>
        </w:rPr>
        <w:t> </w:t>
      </w:r>
      <w:r>
        <w:rPr>
          <w:sz w:val="26"/>
        </w:rPr>
        <w:t>có;</w:t>
      </w:r>
    </w:p>
    <w:p>
      <w:pPr>
        <w:pStyle w:val="ListParagraph"/>
        <w:numPr>
          <w:ilvl w:val="0"/>
          <w:numId w:val="22"/>
        </w:numPr>
        <w:tabs>
          <w:tab w:pos="1754" w:val="left" w:leader="none"/>
        </w:tabs>
        <w:spacing w:line="240" w:lineRule="auto" w:before="0" w:after="0"/>
        <w:ind w:left="1753" w:right="0" w:hanging="152"/>
        <w:jc w:val="both"/>
        <w:rPr>
          <w:sz w:val="26"/>
        </w:rPr>
      </w:pPr>
      <w:r>
        <w:rPr>
          <w:sz w:val="26"/>
        </w:rPr>
        <w:t>Mới hơn có nghĩa là phải phát triển một giải pháp chưa từng có trước</w:t>
      </w:r>
      <w:r>
        <w:rPr>
          <w:spacing w:val="-13"/>
          <w:sz w:val="26"/>
        </w:rPr>
        <w:t> </w:t>
      </w:r>
      <w:r>
        <w:rPr>
          <w:sz w:val="26"/>
        </w:rPr>
        <w:t>đó;</w:t>
      </w:r>
    </w:p>
    <w:p>
      <w:pPr>
        <w:pStyle w:val="ListParagraph"/>
        <w:numPr>
          <w:ilvl w:val="0"/>
          <w:numId w:val="22"/>
        </w:numPr>
        <w:tabs>
          <w:tab w:pos="1763" w:val="left" w:leader="none"/>
        </w:tabs>
        <w:spacing w:line="360" w:lineRule="auto" w:before="150" w:after="0"/>
        <w:ind w:left="882" w:right="888" w:firstLine="719"/>
        <w:jc w:val="both"/>
        <w:rPr>
          <w:sz w:val="26"/>
        </w:rPr>
      </w:pPr>
      <w:r>
        <w:rPr>
          <w:sz w:val="26"/>
        </w:rPr>
        <w:t>Nhanh hơn có nghĩa là phải giảm thời gian thực hiện hay giao hàng liên quan đến việc sử dụng hay mua một sản phẩm, dịch</w:t>
      </w:r>
      <w:r>
        <w:rPr>
          <w:spacing w:val="-4"/>
          <w:sz w:val="26"/>
        </w:rPr>
        <w:t> </w:t>
      </w:r>
      <w:r>
        <w:rPr>
          <w:sz w:val="26"/>
        </w:rPr>
        <w:t>vụ;</w:t>
      </w:r>
    </w:p>
    <w:p>
      <w:pPr>
        <w:pStyle w:val="ListParagraph"/>
        <w:numPr>
          <w:ilvl w:val="0"/>
          <w:numId w:val="22"/>
        </w:numPr>
        <w:tabs>
          <w:tab w:pos="1782" w:val="left" w:leader="none"/>
        </w:tabs>
        <w:spacing w:line="357" w:lineRule="auto" w:before="1" w:after="0"/>
        <w:ind w:left="882" w:right="896" w:firstLine="719"/>
        <w:jc w:val="both"/>
        <w:rPr>
          <w:sz w:val="26"/>
        </w:rPr>
      </w:pPr>
      <w:r>
        <w:rPr>
          <w:sz w:val="26"/>
        </w:rPr>
        <w:t>Rẻ hơn có nghĩa là chi phí để tạo ra sự khác biệt phải nhỏ hơn giá trị tăng thêm mà sự khác biệt đó mang</w:t>
      </w:r>
      <w:r>
        <w:rPr>
          <w:spacing w:val="-6"/>
          <w:sz w:val="26"/>
        </w:rPr>
        <w:t> </w:t>
      </w:r>
      <w:r>
        <w:rPr>
          <w:sz w:val="26"/>
        </w:rPr>
        <w:t>lại</w:t>
      </w:r>
    </w:p>
    <w:p>
      <w:pPr>
        <w:pStyle w:val="BodyText"/>
        <w:spacing w:line="360" w:lineRule="auto" w:before="4"/>
        <w:ind w:left="882" w:right="888" w:firstLine="719"/>
        <w:jc w:val="both"/>
      </w:pPr>
      <w:r>
        <w:rPr/>
        <w:t>Như vậy, mặc dù có cùng điểm xuất phát với cách tiếp cận của Porter, đó là doanh nghiệp được coi là có lợi thế khi nó cung cấp cho khách hàng một giá trị vượt trội so với đối thủ. Song với cách tiếp cận truy xuất từ kết quả, Philip Kotler xác định các yếu tố quyết định lợi thế cạnh tranh là những yếu tố cấu thành giá trị cho khách hàng và phí tổn mà họ phải bỏ mất. Trong đó, khác biệt hóa các yếu tố sản phẩm, dịch vụ, nhân sự và hình ảnh của doanh nghiệp theo phương thức “</w:t>
      </w:r>
      <w:r>
        <w:rPr>
          <w:i/>
        </w:rPr>
        <w:t>tốt hơn, mới hơn, nhanh </w:t>
      </w:r>
      <w:r>
        <w:rPr>
          <w:i/>
        </w:rPr>
        <w:t>hơn và rẻ hơn</w:t>
      </w:r>
      <w:r>
        <w:rPr/>
        <w:t>” so với đối thủ là những yếu tố cơ bản và phương pháp tạo ra lợi thế cạnh tranh cho doanh nghiệp.</w:t>
      </w:r>
    </w:p>
    <w:p>
      <w:pPr>
        <w:pStyle w:val="Heading6"/>
        <w:numPr>
          <w:ilvl w:val="2"/>
          <w:numId w:val="20"/>
        </w:numPr>
        <w:tabs>
          <w:tab w:pos="1466" w:val="left" w:leader="none"/>
        </w:tabs>
        <w:spacing w:line="240" w:lineRule="auto" w:before="1" w:after="0"/>
        <w:ind w:left="1465" w:right="0" w:hanging="584"/>
        <w:jc w:val="both"/>
      </w:pPr>
      <w:bookmarkStart w:name="_TOC_250031" w:id="25"/>
      <w:r>
        <w:rPr/>
        <w:t>Đánh giá các quan điểm về các yếu tố tạo lợi thế cạnh tranh cho</w:t>
      </w:r>
      <w:r>
        <w:rPr>
          <w:spacing w:val="-9"/>
        </w:rPr>
        <w:t> </w:t>
      </w:r>
      <w:bookmarkEnd w:id="25"/>
      <w:r>
        <w:rPr/>
        <w:t>DN</w:t>
      </w:r>
    </w:p>
    <w:p>
      <w:pPr>
        <w:pStyle w:val="BodyText"/>
        <w:spacing w:line="360" w:lineRule="auto" w:before="150"/>
        <w:ind w:left="882" w:right="888" w:firstLine="719"/>
        <w:jc w:val="both"/>
      </w:pPr>
      <w:r>
        <w:rPr/>
        <w:t>Tiếp cận từ phía doanh nghiệp thực chất là đi </w:t>
      </w:r>
      <w:r>
        <w:rPr>
          <w:spacing w:val="2"/>
        </w:rPr>
        <w:t>từ </w:t>
      </w:r>
      <w:r>
        <w:rPr/>
        <w:t>nguyên nhân dẫn đến lợi thế cạnh tranh. Xuất phát điểm của cách tiếp cận này là sự khác biệt trong chuỗi giá trị của doanh nghiệp so với các đối thủ chính là nguồn gốc của lợi thế cạnh tranh. Sự khác biệt đó có thể do chi phí thấp hoặc do khác biệt hóa mang lại. Vì thế, các yếu tố tạo lợi thế cạnh tranh cho doanh nghiệp được Porter nhận dạng theo hai hướng; các yếu tố tạo lợi thế chi phí thấp và các yếu tố tạo lợi thế khác biệt hóa. Tuy nhiên, chính Porter cũng cho rằng, mức độ tác động của các yếu tố tạo lợi thế chi phí có thể tăng, giảm dưới sự điều khiển của doanh nghiệp và thường khá tinh tế, không dễ nhận ra, nhất là khi chúng thay đổi. Sự tác động của các yếu tố tạo lợi thế khác biệt hóa thường thay đổi</w:t>
      </w:r>
      <w:r>
        <w:rPr>
          <w:spacing w:val="36"/>
        </w:rPr>
        <w:t> </w:t>
      </w:r>
      <w:r>
        <w:rPr/>
        <w:t>theo</w:t>
      </w:r>
      <w:r>
        <w:rPr>
          <w:spacing w:val="37"/>
        </w:rPr>
        <w:t> </w:t>
      </w:r>
      <w:r>
        <w:rPr/>
        <w:t>các</w:t>
      </w:r>
      <w:r>
        <w:rPr>
          <w:spacing w:val="37"/>
        </w:rPr>
        <w:t> </w:t>
      </w:r>
      <w:r>
        <w:rPr/>
        <w:t>hoạt</w:t>
      </w:r>
      <w:r>
        <w:rPr>
          <w:spacing w:val="38"/>
        </w:rPr>
        <w:t> </w:t>
      </w:r>
      <w:r>
        <w:rPr/>
        <w:t>động</w:t>
      </w:r>
      <w:r>
        <w:rPr>
          <w:spacing w:val="36"/>
        </w:rPr>
        <w:t> </w:t>
      </w:r>
      <w:r>
        <w:rPr/>
        <w:t>giá</w:t>
      </w:r>
      <w:r>
        <w:rPr>
          <w:spacing w:val="37"/>
        </w:rPr>
        <w:t> </w:t>
      </w:r>
      <w:r>
        <w:rPr/>
        <w:t>trị</w:t>
      </w:r>
      <w:r>
        <w:rPr>
          <w:spacing w:val="36"/>
        </w:rPr>
        <w:t> </w:t>
      </w:r>
      <w:r>
        <w:rPr/>
        <w:t>khác</w:t>
      </w:r>
      <w:r>
        <w:rPr>
          <w:spacing w:val="38"/>
        </w:rPr>
        <w:t> </w:t>
      </w:r>
      <w:r>
        <w:rPr/>
        <w:t>nhau</w:t>
      </w:r>
      <w:r>
        <w:rPr>
          <w:spacing w:val="36"/>
        </w:rPr>
        <w:t> </w:t>
      </w:r>
      <w:r>
        <w:rPr/>
        <w:t>tùy</w:t>
      </w:r>
      <w:r>
        <w:rPr>
          <w:spacing w:val="37"/>
        </w:rPr>
        <w:t> </w:t>
      </w:r>
      <w:r>
        <w:rPr/>
        <w:t>theo</w:t>
      </w:r>
      <w:r>
        <w:rPr>
          <w:spacing w:val="36"/>
        </w:rPr>
        <w:t> </w:t>
      </w:r>
      <w:r>
        <w:rPr/>
        <w:t>ngành</w:t>
      </w:r>
      <w:r>
        <w:rPr>
          <w:spacing w:val="37"/>
        </w:rPr>
        <w:t> </w:t>
      </w:r>
      <w:r>
        <w:rPr/>
        <w:t>nghề</w:t>
      </w:r>
      <w:r>
        <w:rPr>
          <w:spacing w:val="37"/>
        </w:rPr>
        <w:t> </w:t>
      </w:r>
      <w:r>
        <w:rPr/>
        <w:t>và</w:t>
      </w:r>
      <w:r>
        <w:rPr>
          <w:spacing w:val="40"/>
        </w:rPr>
        <w:t> </w:t>
      </w:r>
      <w:r>
        <w:rPr/>
        <w:t>hầu</w:t>
      </w:r>
      <w:r>
        <w:rPr>
          <w:spacing w:val="37"/>
        </w:rPr>
        <w:t> </w:t>
      </w:r>
      <w:r>
        <w:rPr/>
        <w:t>hết</w:t>
      </w:r>
      <w:r>
        <w:rPr>
          <w:spacing w:val="37"/>
        </w:rPr>
        <w:t> </w:t>
      </w:r>
      <w:r>
        <w:rPr/>
        <w:t>chịu</w:t>
      </w:r>
      <w:r>
        <w:rPr>
          <w:spacing w:val="36"/>
        </w:rPr>
        <w:t> </w:t>
      </w:r>
      <w:r>
        <w:rPr/>
        <w:t>ảnh</w:t>
      </w:r>
    </w:p>
    <w:p>
      <w:pPr>
        <w:spacing w:after="0" w:line="360" w:lineRule="auto"/>
        <w:jc w:val="both"/>
        <w:sectPr>
          <w:pgSz w:w="11910" w:h="16850"/>
          <w:pgMar w:header="751" w:footer="0" w:top="960" w:bottom="280" w:left="820" w:right="240"/>
        </w:sectPr>
      </w:pPr>
    </w:p>
    <w:p>
      <w:pPr>
        <w:pStyle w:val="BodyText"/>
        <w:rPr>
          <w:sz w:val="20"/>
        </w:rPr>
      </w:pPr>
    </w:p>
    <w:p>
      <w:pPr>
        <w:pStyle w:val="BodyText"/>
        <w:spacing w:before="7"/>
        <w:rPr>
          <w:sz w:val="23"/>
        </w:rPr>
      </w:pPr>
    </w:p>
    <w:p>
      <w:pPr>
        <w:pStyle w:val="BodyText"/>
        <w:spacing w:line="360" w:lineRule="auto" w:before="89"/>
        <w:ind w:left="882" w:right="888"/>
        <w:jc w:val="both"/>
      </w:pPr>
      <w:r>
        <w:rPr/>
        <w:t>hưởng của các yếu tố tạo lợi thế chi phí. Vì thế, việc đo lường, đánh giá (gọi là định  vị) tầm quan trọng của mỗi yếu tố này đến việc tạo ra lợi thế cạnh tranh cho doanh nghiệp là rất phức tạp. Song, điều quan trọng hơn là “Các nghiên cứu điển hình (ví dụ: Parasuraman, Berry, và Zeithaml, 1985; Sharma và Lambert, 1994) khẳng định có sự khác nhau về những cái các nhà quản lý nghĩ có giá trị đối với khách hàng và những cái khách hàng nói rằng có giá trị với họ và chính đây là khoảng trống tạo ra những tiềm tàng cho những sai lầm trong các nỗ lực của doanh nghiệp nhằm cung cấp giá trị cho khách hàng để đạt được lợi thế cạnh tranh”. Nói cách khác, mục tiêu tạo ra giá trị của doanh nghiệp không phải bao giờ cũng tương thích với ý muốn của khách hàng. Vì thế, không hẳn doanh nghiệp tạo ra nhiều giá trị là có được lợi thế cạnh</w:t>
      </w:r>
      <w:r>
        <w:rPr>
          <w:spacing w:val="-21"/>
        </w:rPr>
        <w:t> </w:t>
      </w:r>
      <w:r>
        <w:rPr/>
        <w:t>tranh.</w:t>
      </w:r>
    </w:p>
    <w:p>
      <w:pPr>
        <w:pStyle w:val="BodyText"/>
        <w:spacing w:line="360" w:lineRule="auto" w:before="1"/>
        <w:ind w:left="882" w:right="886" w:firstLine="719"/>
        <w:jc w:val="both"/>
      </w:pPr>
      <w:r>
        <w:rPr/>
        <w:t>Tiếp cận từ phía khách hàng thực chất là đi từ kết quả của các hoạt động giá trị để truy ngược lại điều gì tạo ra cho khách hàng một giá trị vượt trội so với đối thủ và do đó sẽ đem lại lợi thế cạnh tranh cho doanh nghiệp. Tuy nhiên theo Garvin (1985); Leonard và Sasser (1982) thì gần hai thập kỷ qua, quản trị chất lượng trở nên phổ biến và các nhà quản trị đã biết bằng cách nào để cải tiến chất lượng cả sản phẩm của tổ chức và quy trình hoạt động nội bộ. Còn theo Butz và Goodstein (1996), ngày nay,  biết rằng vẫn cần thiết cho cạnh tranh, nhưng quản trị chất lượng không còn tạo ra lợi thế cạnh tranh một cách rõ ràng cho doanh nghiệp nữa. Một số tổ chức đã chuyển hướng vào bên trong một lần nữa bằng cách cố gắng cải tiến hiệu suất thông qua hoàn thiện cơ cấu và thay đổi tiến trình. Trong đó, thu hẹp quy mô, tái cấu trúc và cơ cấu lại đã nổi lên như là công cụ quản trị phổ biến để cải biến tổ chức. Song thật không may, những cách của tổ chức làm cho công việc có thể tạo ra sự thay đổi, nhưng vẫn không đưa đến sự thành công dù ở cấp thấp nhất. Bên cạnh đó việc tìm kiếm lợi thế cạnh tranh vẫn được tiếp tục nhưng thay vì tập trung vào qui trình tái cấu trúc nội bộ được mô tả bằng “</w:t>
      </w:r>
      <w:r>
        <w:rPr>
          <w:i/>
        </w:rPr>
        <w:t>dây chuyền giá trị</w:t>
      </w:r>
      <w:r>
        <w:rPr/>
        <w:t>”, công việc quản trị chính yếu là chuyển sự chú ý của tổ chức vào khách hàng (Woodruff,</w:t>
      </w:r>
      <w:r>
        <w:rPr>
          <w:spacing w:val="-6"/>
        </w:rPr>
        <w:t> </w:t>
      </w:r>
      <w:r>
        <w:rPr/>
        <w:t>1997)</w:t>
      </w:r>
    </w:p>
    <w:p>
      <w:pPr>
        <w:pStyle w:val="BodyText"/>
        <w:spacing w:line="360" w:lineRule="auto"/>
        <w:ind w:left="882" w:right="890" w:firstLine="719"/>
        <w:jc w:val="both"/>
      </w:pPr>
      <w:r>
        <w:rPr/>
        <w:t>Tóm lại các nghiên cứu tiếp cận từ phía khách hàng được phân tích là phù hợp với khuynh hướng nghiên cứu hiện nay. Đó cũng là những quan điểm có cùng điểm xuất phát là điều gì tạo ra cho khách hàng giá trị vượt trội so với các đối thủ là cơ sở để xác định các yếu tố tạo lợi thế cạnh tranh cho doanh nghiệp. Tổng hợp các nghiên cứu này cho</w:t>
      </w:r>
      <w:r>
        <w:rPr>
          <w:spacing w:val="-4"/>
        </w:rPr>
        <w:t> </w:t>
      </w:r>
      <w:r>
        <w:rPr/>
        <w:t>thấy:</w:t>
      </w:r>
    </w:p>
    <w:p>
      <w:pPr>
        <w:spacing w:after="0" w:line="360" w:lineRule="auto"/>
        <w:jc w:val="both"/>
        <w:sectPr>
          <w:pgSz w:w="11910" w:h="16850"/>
          <w:pgMar w:header="751" w:footer="0" w:top="960" w:bottom="280" w:left="820" w:right="240"/>
        </w:sectPr>
      </w:pPr>
    </w:p>
    <w:p>
      <w:pPr>
        <w:pStyle w:val="BodyText"/>
        <w:rPr>
          <w:sz w:val="20"/>
        </w:rPr>
      </w:pPr>
    </w:p>
    <w:p>
      <w:pPr>
        <w:pStyle w:val="BodyText"/>
        <w:spacing w:before="7"/>
        <w:rPr>
          <w:sz w:val="23"/>
        </w:rPr>
      </w:pPr>
    </w:p>
    <w:p>
      <w:pPr>
        <w:pStyle w:val="ListParagraph"/>
        <w:numPr>
          <w:ilvl w:val="0"/>
          <w:numId w:val="23"/>
        </w:numPr>
        <w:tabs>
          <w:tab w:pos="1787" w:val="left" w:leader="none"/>
        </w:tabs>
        <w:spacing w:line="360" w:lineRule="auto" w:before="89" w:after="0"/>
        <w:ind w:left="882" w:right="889" w:firstLine="719"/>
        <w:jc w:val="both"/>
        <w:rPr>
          <w:sz w:val="26"/>
        </w:rPr>
      </w:pPr>
      <w:r>
        <w:rPr>
          <w:sz w:val="26"/>
        </w:rPr>
        <w:t>Theo quan điểm của Porter, các yếu tố tạo ra lợi thế cạnh tranh cho doanh nghiệp chính là những yếu tố góp phần hạ thấp chi phí hoặc nâng cao hiệu quả hoạt động của người mua đáp ứng tiêu chuẩn sử dụng và tiêu chuẩn dấu hiệu nhận biết của họ. Tuy nhiên, có nhiều yếu tố góp phần hạ thấp chi phí; trong khi đó, các yếu tố góp phần nâng cao hiệu quả của người mua lại được xác định theo từng đối tượng người mua và tất nhiên tiêu chuẩn sử dụng, tiêu chuẩn dấu hiệu nhận biết của họ cũng không giống nhau. Vì thế, việc xác định các yếu tố tạo lợi thế cạnh tranh cho doanh nghiệp là rất phức</w:t>
      </w:r>
      <w:r>
        <w:rPr>
          <w:spacing w:val="-3"/>
          <w:sz w:val="26"/>
        </w:rPr>
        <w:t> </w:t>
      </w:r>
      <w:r>
        <w:rPr>
          <w:sz w:val="26"/>
        </w:rPr>
        <w:t>tạp.</w:t>
      </w:r>
    </w:p>
    <w:p>
      <w:pPr>
        <w:pStyle w:val="ListParagraph"/>
        <w:numPr>
          <w:ilvl w:val="0"/>
          <w:numId w:val="23"/>
        </w:numPr>
        <w:tabs>
          <w:tab w:pos="1756" w:val="left" w:leader="none"/>
        </w:tabs>
        <w:spacing w:line="360" w:lineRule="auto" w:before="1" w:after="0"/>
        <w:ind w:left="882" w:right="886" w:firstLine="719"/>
        <w:jc w:val="both"/>
        <w:rPr>
          <w:sz w:val="26"/>
        </w:rPr>
      </w:pPr>
      <w:r>
        <w:rPr>
          <w:sz w:val="26"/>
        </w:rPr>
        <w:t>Các quan điểm của Philip Kotler và các nhà nghiên cứu về giá trị cảm nhận có cùng nhận định về giá trị hay giá trị cảm nhận của khách hàng, đó là sự so sánh giữa những lợi ích mà khách hàng nhận được và những gì họ phải bỏ ra để có được sản phẩm, dịch vụ đó. Nhưng quan trọng hơn là các nghiên cứu này đã xác định được các yếu tố cấu thành giá trị hay giá trị cảm nhận của khách hàng. Các yếu tố này được xác định tuy chưa có sự đồng nhất giữa các nghiên cứu, song tựu chung lại chúng bao gồm:</w:t>
      </w:r>
    </w:p>
    <w:p>
      <w:pPr>
        <w:pStyle w:val="BodyText"/>
        <w:spacing w:line="360" w:lineRule="auto"/>
        <w:ind w:left="882" w:right="891" w:firstLine="719"/>
        <w:jc w:val="both"/>
      </w:pPr>
      <w:r>
        <w:rPr/>
        <w:t>+ Giá trị (hay chất lượng) của sản phẩm, dịch vụ: thể hiện mức độ phù hợp của sản phẩm, dịch vụ so với kỳ vọng của khách hàng về tính chất, công dụng, điều kiện sử dụng, thu hồi giá trị sản phẩm, dịch vụ, vv.</w:t>
      </w:r>
    </w:p>
    <w:p>
      <w:pPr>
        <w:pStyle w:val="BodyText"/>
        <w:spacing w:line="360" w:lineRule="auto"/>
        <w:ind w:left="882" w:right="888" w:firstLine="719"/>
        <w:jc w:val="both"/>
      </w:pPr>
      <w:r>
        <w:rPr/>
        <w:t>+ Giá trị cảm xúc (hay phản ứng cảm xúc): thể hiện mức độ hài lòng của khách hàng khi nhận được sản phẩm, dịch vụ, kể cả công sức, thời gian và nỗ lực của khách hàng; cùng các giao diện tiếp xúc giữa khách hàng với nhân viên; với cơ sở vật chất và trang thiết bị; với cơ cấu tổ chức của doanh nghiệp trong quá trình cung cấp sản phẩm, dịch vụ, vv.</w:t>
      </w:r>
    </w:p>
    <w:p>
      <w:pPr>
        <w:pStyle w:val="BodyText"/>
        <w:spacing w:line="360" w:lineRule="auto"/>
        <w:ind w:left="882" w:right="888" w:firstLine="784"/>
        <w:jc w:val="both"/>
      </w:pPr>
      <w:r>
        <w:rPr/>
        <w:t>+ Giá trị tính theo giá cả (hay giá cả tiền tệ, giá trị thu nhận): phản ánh số tiền mà khách hàng phải trả là hợp lý hay chưa hợp lý so với sản phẩm, dịch vụ mà họ  nhận được; hoặc những lợi ích khách hàng nhận được so với số tiền phải thanh</w:t>
      </w:r>
      <w:r>
        <w:rPr>
          <w:spacing w:val="-19"/>
        </w:rPr>
        <w:t> </w:t>
      </w:r>
      <w:r>
        <w:rPr/>
        <w:t>toán.</w:t>
      </w:r>
    </w:p>
    <w:p>
      <w:pPr>
        <w:pStyle w:val="BodyText"/>
        <w:spacing w:line="360" w:lineRule="auto"/>
        <w:ind w:left="882" w:right="891" w:firstLine="719"/>
        <w:jc w:val="both"/>
      </w:pPr>
      <w:r>
        <w:rPr/>
        <w:t>+ Giá trị hình ảnh (hay danh tiếng): thể hiện niềm tự hào, sự hãnh diện, nhân cách và uy tín của khách hàng được xã hội thừa nhận và đề cao bởi họ mang trong mình màu cờ sắc áo của doanh nghiệp.</w:t>
      </w:r>
    </w:p>
    <w:p>
      <w:pPr>
        <w:pStyle w:val="BodyText"/>
        <w:spacing w:line="360" w:lineRule="auto" w:before="1"/>
        <w:ind w:left="882" w:right="889" w:firstLine="719"/>
        <w:jc w:val="both"/>
      </w:pPr>
      <w:r>
        <w:rPr/>
        <w:t>Dĩ nhiên, như đã phân tích trên đây, lợi thế cạnh tranh của doanh nghiệp chỉ được tạo ra khi giá trị hay giá trị cảm nhận của khách hàng vượt trội so với các đối thủ.</w:t>
      </w:r>
    </w:p>
    <w:p>
      <w:pPr>
        <w:spacing w:after="0" w:line="360" w:lineRule="auto"/>
        <w:jc w:val="both"/>
        <w:sectPr>
          <w:pgSz w:w="11910" w:h="16850"/>
          <w:pgMar w:header="751" w:footer="0" w:top="960" w:bottom="280" w:left="820" w:right="240"/>
        </w:sectPr>
      </w:pPr>
    </w:p>
    <w:p>
      <w:pPr>
        <w:pStyle w:val="BodyText"/>
        <w:rPr>
          <w:sz w:val="20"/>
        </w:rPr>
      </w:pPr>
    </w:p>
    <w:p>
      <w:pPr>
        <w:pStyle w:val="BodyText"/>
        <w:spacing w:before="7"/>
        <w:rPr>
          <w:sz w:val="23"/>
        </w:rPr>
      </w:pPr>
    </w:p>
    <w:p>
      <w:pPr>
        <w:pStyle w:val="BodyText"/>
        <w:spacing w:line="360" w:lineRule="auto" w:before="89"/>
        <w:ind w:left="882" w:right="891"/>
        <w:jc w:val="both"/>
      </w:pPr>
      <w:r>
        <w:rPr/>
        <w:t>Vì thế, các yếu tố tạo lợi thế cạnh tranh cho doanh nghiệp phải là các yếu tố tạo ra giá trị (hay chất lượng) của sản phẩm, dịch vụ; giá trị cảm xúc; giá trị tính theo giá cả và giá trị hình ảnh, mà tổng hợp các giá trị này phải vượt trội so với các đối thủ.</w:t>
      </w:r>
    </w:p>
    <w:p>
      <w:pPr>
        <w:pStyle w:val="Heading6"/>
        <w:spacing w:line="298" w:lineRule="exact"/>
        <w:ind w:left="882"/>
      </w:pPr>
      <w:bookmarkStart w:name="_TOC_250030" w:id="26"/>
      <w:bookmarkEnd w:id="26"/>
      <w:r>
        <w:rPr/>
        <w:t>2.3. Các đặc trưng kinh doanh Cảng Container</w:t>
      </w:r>
    </w:p>
    <w:p>
      <w:pPr>
        <w:pStyle w:val="BodyText"/>
        <w:spacing w:line="360" w:lineRule="auto" w:before="150"/>
        <w:ind w:left="882" w:right="888" w:firstLine="719"/>
        <w:jc w:val="both"/>
      </w:pPr>
      <w:r>
        <w:rPr/>
        <w:t>Năm 1985, L. Kuzma đã đưa ra khái niệm Cảng, đó là “một đầu mối vận tải  liên hợp mà ở đó có nhiều phương tiện vận tải khác nhau chạy qua, đó là tàu biển, tàu sông, xe lửa, ô tô, máy bay và đường ống. Ở khu vực cảng xuất hiện việc xếp dỡ hàng hoá hoặc sự lên xuống tàu của khách hàng giữa các tàu biển và các phương tiện vận tải còn lại – điều này có nghĩa là xuất hiện sự thay đổi phương tiện vận tải trong vận chuyển hàng hoá và người”. Đối với quan điểm hiện đại, cảng không phải là điểm cuối hoặc kết thúc của quá trình vận tải mà là điểm luân chuyển hàng hoá và khách hàng. Nói cách khác, cảng như một mắt xích trong dây chuyền vận tải, hoạt động kinh tế của cảng là hoạt động phức tạp và liên hợp có quan hệ đến các giai đoạn còn lại của mắt xích vận tải (Cullinane &amp; et al, 2006)</w:t>
      </w:r>
    </w:p>
    <w:p>
      <w:pPr>
        <w:pStyle w:val="BodyText"/>
        <w:spacing w:line="360" w:lineRule="auto" w:before="1"/>
        <w:ind w:left="882" w:right="888" w:firstLine="719"/>
        <w:jc w:val="both"/>
      </w:pPr>
      <w:r>
        <w:rPr/>
        <w:t>Tại Việt Nam, theo điều 59 của Bộ luật Hàng Hải năm 2005 thì Cảng biển là khu vực bao gồm vùng đất cảng và vùng nước cảng, được xây dựng kết cấu hạ tầng và lắp đặt trang thiết bị cho tàu biển ra, vào hoạt động để bốc dỡ hàng hóa, đón trả hành khách và thực hiện các dịch vụ khác. Vùng đất cảng là vùng đất được giới hạn để xây dựng cầu cảng, kho, bãi, nhà xưởng, trụ sở, cơ sở dịch vụ, hệ thống giao thông, thông tin liên lạc, điện nước, các công trình phụ trợ khác và lắp đặt trang thiết bị. Vùng nước cảng là vùng nước được giới hạn để thiết lập vùng nước trước cầu cảng, vùng quay trở tàu, khu neo đậu, khu chuyển tải, khu tránh bão, vùng đón trả hoa tiêu, vùng kiểm dịch; vùng để xây dựng luồng cảng và các công trình phụ trợ khác. Cảng biển có một hoặc nhiều bến cảng và bến cảng có một hoặc nhiều cầu cảng. Bến cảng bao gồm </w:t>
      </w:r>
      <w:r>
        <w:rPr>
          <w:spacing w:val="2"/>
        </w:rPr>
        <w:t>cầu </w:t>
      </w:r>
      <w:r>
        <w:rPr/>
        <w:t>cảng, kho, bãi, nhà xưởng, trụ sở, cơ sở dịch vụ, hệ thống giao thông, thông tin liên lạc, điện, nước, luồng vào bến cảng và các công trình phụ trợ khác. Cầu cảng là kết  cấu cố định thuộc bến cảng, được sử dụng cho tàu biển neo, đậu, bốc dỡ hàng hóa, đón trả hành khách và thực hiện các dịch vụ khác (Đỗ Hoàng Long 2008). Hoặc theo Nguyễn Văn Khoảng (2005) thì “Cảng là nơi ra vào, neo đậu của các phương tiện thủy, phục vụ cho phương tiện vận tải thủy và hàng hóa chuyên chở trên đó với nhiệm vụ</w:t>
      </w:r>
      <w:r>
        <w:rPr>
          <w:spacing w:val="10"/>
        </w:rPr>
        <w:t> </w:t>
      </w:r>
      <w:r>
        <w:rPr/>
        <w:t>chính</w:t>
      </w:r>
      <w:r>
        <w:rPr>
          <w:spacing w:val="13"/>
        </w:rPr>
        <w:t> </w:t>
      </w:r>
      <w:r>
        <w:rPr/>
        <w:t>là</w:t>
      </w:r>
      <w:r>
        <w:rPr>
          <w:spacing w:val="10"/>
        </w:rPr>
        <w:t> </w:t>
      </w:r>
      <w:r>
        <w:rPr/>
        <w:t>cung</w:t>
      </w:r>
      <w:r>
        <w:rPr>
          <w:spacing w:val="11"/>
        </w:rPr>
        <w:t> </w:t>
      </w:r>
      <w:r>
        <w:rPr/>
        <w:t>ứng</w:t>
      </w:r>
      <w:r>
        <w:rPr>
          <w:spacing w:val="10"/>
        </w:rPr>
        <w:t> </w:t>
      </w:r>
      <w:r>
        <w:rPr/>
        <w:t>các</w:t>
      </w:r>
      <w:r>
        <w:rPr>
          <w:spacing w:val="11"/>
        </w:rPr>
        <w:t> </w:t>
      </w:r>
      <w:r>
        <w:rPr/>
        <w:t>phương</w:t>
      </w:r>
      <w:r>
        <w:rPr>
          <w:spacing w:val="12"/>
        </w:rPr>
        <w:t> </w:t>
      </w:r>
      <w:r>
        <w:rPr/>
        <w:t>tiện</w:t>
      </w:r>
      <w:r>
        <w:rPr>
          <w:spacing w:val="11"/>
        </w:rPr>
        <w:t> </w:t>
      </w:r>
      <w:r>
        <w:rPr/>
        <w:t>và</w:t>
      </w:r>
      <w:r>
        <w:rPr>
          <w:spacing w:val="12"/>
        </w:rPr>
        <w:t> </w:t>
      </w:r>
      <w:r>
        <w:rPr/>
        <w:t>dịch</w:t>
      </w:r>
      <w:r>
        <w:rPr>
          <w:spacing w:val="13"/>
        </w:rPr>
        <w:t> </w:t>
      </w:r>
      <w:r>
        <w:rPr/>
        <w:t>vụ</w:t>
      </w:r>
      <w:r>
        <w:rPr>
          <w:spacing w:val="11"/>
        </w:rPr>
        <w:t> </w:t>
      </w:r>
      <w:r>
        <w:rPr/>
        <w:t>cần</w:t>
      </w:r>
      <w:r>
        <w:rPr>
          <w:spacing w:val="12"/>
        </w:rPr>
        <w:t> </w:t>
      </w:r>
      <w:r>
        <w:rPr/>
        <w:t>thiết</w:t>
      </w:r>
      <w:r>
        <w:rPr>
          <w:spacing w:val="14"/>
        </w:rPr>
        <w:t> </w:t>
      </w:r>
      <w:r>
        <w:rPr/>
        <w:t>cho</w:t>
      </w:r>
      <w:r>
        <w:rPr>
          <w:spacing w:val="10"/>
        </w:rPr>
        <w:t> </w:t>
      </w:r>
      <w:r>
        <w:rPr/>
        <w:t>việc</w:t>
      </w:r>
      <w:r>
        <w:rPr>
          <w:spacing w:val="14"/>
        </w:rPr>
        <w:t> </w:t>
      </w:r>
      <w:r>
        <w:rPr/>
        <w:t>dịch</w:t>
      </w:r>
      <w:r>
        <w:rPr>
          <w:spacing w:val="10"/>
        </w:rPr>
        <w:t> </w:t>
      </w:r>
      <w:r>
        <w:rPr/>
        <w:t>chuyển</w:t>
      </w:r>
      <w:r>
        <w:rPr>
          <w:spacing w:val="11"/>
        </w:rPr>
        <w:t> </w:t>
      </w:r>
      <w:r>
        <w:rPr/>
        <w:t>hàng</w:t>
      </w:r>
    </w:p>
    <w:p>
      <w:pPr>
        <w:spacing w:after="0" w:line="360" w:lineRule="auto"/>
        <w:jc w:val="both"/>
        <w:sectPr>
          <w:pgSz w:w="11910" w:h="16850"/>
          <w:pgMar w:header="751" w:footer="0" w:top="960" w:bottom="280" w:left="820" w:right="240"/>
        </w:sectPr>
      </w:pPr>
    </w:p>
    <w:p>
      <w:pPr>
        <w:pStyle w:val="BodyText"/>
        <w:rPr>
          <w:sz w:val="20"/>
        </w:rPr>
      </w:pPr>
    </w:p>
    <w:p>
      <w:pPr>
        <w:pStyle w:val="BodyText"/>
        <w:spacing w:before="7"/>
        <w:rPr>
          <w:sz w:val="23"/>
        </w:rPr>
      </w:pPr>
    </w:p>
    <w:p>
      <w:pPr>
        <w:pStyle w:val="BodyText"/>
        <w:spacing w:line="360" w:lineRule="auto" w:before="89"/>
        <w:ind w:left="882" w:right="891"/>
        <w:jc w:val="both"/>
      </w:pPr>
      <w:r>
        <w:rPr/>
        <w:t>hóa từ phương tiện thủy lên các phương tiện vận tải bộ và ngược lại hay lên các phương tiện thủy khác trong trường hợp chuyển tải”.</w:t>
      </w:r>
    </w:p>
    <w:p>
      <w:pPr>
        <w:pStyle w:val="BodyText"/>
        <w:spacing w:line="360" w:lineRule="auto"/>
        <w:ind w:left="882" w:right="889" w:firstLine="719"/>
        <w:jc w:val="both"/>
      </w:pPr>
      <w:r>
        <w:rPr/>
        <w:t>Cảng container là một cảng biển được xây dựng thiết kế dành riêng cho việc đón nhận tàu container, bốc dỡ container, thực hiện việc vận chuyển tiếp tục container từ phương thức vận tải đường biển sang phương thức vận tải khác (Nguyễn Văn Khoảng, 2005). Cảng container có các đặc điểm kinh tế kỹ thuật trong kinh doanh như sau:</w:t>
      </w:r>
    </w:p>
    <w:p>
      <w:pPr>
        <w:pStyle w:val="BodyText"/>
        <w:spacing w:line="360" w:lineRule="auto"/>
        <w:ind w:left="882" w:right="886" w:firstLine="719"/>
        <w:jc w:val="both"/>
      </w:pPr>
      <w:r>
        <w:rPr>
          <w:b/>
          <w:i/>
        </w:rPr>
        <w:t>Thứ nhất</w:t>
      </w:r>
      <w:r>
        <w:rPr/>
        <w:t>: hoạt động của cảng container mang tính chất phục vụ, sản xuất ở dạng phi vật chất (dịch vụ) nên không thể là sản phẩm sản xuất ra để dự trữ, chính vì thế cảng container phải có một lượng dự trữ nhất định về tiềm năng kỹ thuật như: cầu tàu, thiết bị xếp dỡ container, kho bãi bốc xếp lưu trữ hàng hóa container…</w:t>
      </w:r>
    </w:p>
    <w:p>
      <w:pPr>
        <w:pStyle w:val="BodyText"/>
        <w:spacing w:line="360" w:lineRule="auto"/>
        <w:ind w:left="882" w:right="887" w:firstLine="719"/>
        <w:jc w:val="both"/>
      </w:pPr>
      <w:r>
        <w:rPr>
          <w:b/>
          <w:i/>
        </w:rPr>
        <w:t>Thứ hai</w:t>
      </w:r>
      <w:r>
        <w:rPr/>
        <w:t>: Tính vô hình nghĩa, nghĩa là khách hàng khó có thể cảm nhận được sự thỏa mãn đồng nhất trong quá trình sử dụng giống như những hàng hóa hữu hình khác điều này làm cho khách hàng thường có xu hướng sử dụng dịch vụ ở những cảng container nào đã tạo được độ tin cậy trong tâm tưởng của họ để giảm thiểu rủi ro và cũng vì thế, xây dựng và duy trì độ tin cậy kết hợp với sự khác biệt cung ứng dịch vụ và điều kiện vị trí, hạ tầng của cảng là vấn đề có ý nghĩa quan trọng tạo ra lợi thế cạnh tranh cho cảng container.</w:t>
      </w:r>
    </w:p>
    <w:p>
      <w:pPr>
        <w:pStyle w:val="BodyText"/>
        <w:spacing w:line="360" w:lineRule="auto"/>
        <w:ind w:left="882" w:right="889" w:firstLine="719"/>
        <w:jc w:val="both"/>
      </w:pPr>
      <w:r>
        <w:rPr>
          <w:b/>
          <w:i/>
        </w:rPr>
        <w:t>Thứ ba: </w:t>
      </w:r>
      <w:r>
        <w:rPr/>
        <w:t>Tính không thể tách rời, đây là đặc tính thể hiện mối quan hệ giữa khách hàng sử dụng dịch vụ và bên cung ứng dịch vụ, quá trình này sẽ diễn ra liên tục và được đánh giá khi đã hoàn tất dịch vụ, và việc đánh giá này thuộc về khách hàng. Vì thế, tính chất này một lần nữa khẳng định việc tạo ra và duy trì độ tin cậy kết hợp với đặc tính kết nối, dịch vụ, vị trí, hạ tầng, hình ảnh thương hiệu,…là những yếu tố quyết định đến lòng trung thành của khách hàng từ đó tạo ra lợi thế cạnh tranh cho cảng</w:t>
      </w:r>
      <w:r>
        <w:rPr>
          <w:spacing w:val="-1"/>
        </w:rPr>
        <w:t> </w:t>
      </w:r>
      <w:r>
        <w:rPr/>
        <w:t>container</w:t>
      </w:r>
    </w:p>
    <w:p>
      <w:pPr>
        <w:pStyle w:val="BodyText"/>
        <w:spacing w:line="360" w:lineRule="auto"/>
        <w:ind w:left="882" w:right="889" w:firstLine="719"/>
        <w:jc w:val="both"/>
      </w:pPr>
      <w:r>
        <w:rPr>
          <w:b/>
          <w:i/>
        </w:rPr>
        <w:t>Thứ tư: </w:t>
      </w:r>
      <w:r>
        <w:rPr/>
        <w:t>Tính không thể tồn kho và lưu trữ, quá trình cung ứng dịch vụ cảng chỉ diễn ra khi có sự chấp nhận của khách hàng, điều này sẽ dễ dẫn đến cảng sẽ không cung ứng đầy đủ, kịp thời cho khách hàng vì vậy để đảm bảo chất lượng dịch vụ, cung ứng đầy đủ thì yêu cầu cảng phải có dự trữ các thiết bị xếp dỡ, phương tiện, nhà kho… điều đó sẽ làm cho cảng phải tăng cảng phí mà hệ quả sẽ làm cho lòng trung thành</w:t>
      </w:r>
      <w:r>
        <w:rPr>
          <w:spacing w:val="54"/>
        </w:rPr>
        <w:t> </w:t>
      </w:r>
      <w:r>
        <w:rPr/>
        <w:t>của</w:t>
      </w:r>
    </w:p>
    <w:p>
      <w:pPr>
        <w:spacing w:after="0" w:line="360" w:lineRule="auto"/>
        <w:jc w:val="both"/>
        <w:sectPr>
          <w:pgSz w:w="11910" w:h="16850"/>
          <w:pgMar w:header="751" w:footer="0" w:top="960" w:bottom="280" w:left="820" w:right="240"/>
        </w:sectPr>
      </w:pPr>
    </w:p>
    <w:p>
      <w:pPr>
        <w:pStyle w:val="BodyText"/>
        <w:rPr>
          <w:sz w:val="20"/>
        </w:rPr>
      </w:pPr>
    </w:p>
    <w:p>
      <w:pPr>
        <w:pStyle w:val="BodyText"/>
        <w:spacing w:before="7"/>
        <w:rPr>
          <w:sz w:val="23"/>
        </w:rPr>
      </w:pPr>
    </w:p>
    <w:p>
      <w:pPr>
        <w:pStyle w:val="BodyText"/>
        <w:spacing w:line="360" w:lineRule="auto" w:before="89"/>
        <w:ind w:left="882" w:right="889"/>
        <w:jc w:val="both"/>
      </w:pPr>
      <w:r>
        <w:rPr/>
        <w:t>khách hàng sẽ giảm. Vì vậy cung ứng chất lượng dịch vụ tốt kèm với cảng phí hợp lý sẽ là điều kiện cần thiết góp phần tạo ra lợi thế cạnh tranh cho các cảng container</w:t>
      </w:r>
    </w:p>
    <w:p>
      <w:pPr>
        <w:pStyle w:val="BodyText"/>
        <w:spacing w:line="360" w:lineRule="auto"/>
        <w:ind w:left="882" w:right="891" w:firstLine="575"/>
        <w:jc w:val="both"/>
      </w:pPr>
      <w:r>
        <w:rPr/>
        <w:t>Ngoài ra, theo Nguyễn Thị Phương (2015), các đặc điểm của cảng container bao gồm cơ sở vật chất kỹ thuật; cơ sở hạ tầng kết nối với hệ thống cảng; cơ chế quản lý và khai thác cảng và đặc biệt là nguồn nhân lực cho phục vụ vận hành cảng, các dịch vụ của cảng, sự nổi tiếng về hình ảnh của cảng… sẽ ảnh hưởng đến việc lựa chọn cảng của khách hàng và điều này sẽ tác động đến năng lực cạnh tranh của</w:t>
      </w:r>
      <w:r>
        <w:rPr>
          <w:spacing w:val="-12"/>
        </w:rPr>
        <w:t> </w:t>
      </w:r>
      <w:r>
        <w:rPr/>
        <w:t>cảng</w:t>
      </w:r>
    </w:p>
    <w:p>
      <w:pPr>
        <w:pStyle w:val="BodyText"/>
        <w:spacing w:line="360" w:lineRule="auto"/>
        <w:ind w:left="882" w:right="888" w:firstLine="575"/>
        <w:jc w:val="both"/>
      </w:pPr>
      <w:r>
        <w:rPr/>
        <w:t>Việt nam đang trong quá trình hội nhập kinh tế mạnh mẽ, gia nhập WTO, TPP, và các khu vực mậu dịch tự do, nhiều thỏa thuận song và đa phương về hợp tác kinh tế đã dẫn đến tăng cường nhanh chóng đầu tư và hoạt động kinh doanh XNK. Do đó hiệu quả của các nhân tố của cảng container sẽ đóng vai trò quan trọng trong việc nâng cao năng lực cạnh tranh, tạo lợi thế cạnh tranh cho cảng và từ đó tạo thuận lợi và nâng cao các hoạt động đầu tư và xuất nhập khẩu. Vì vậy rất nhiều yêu cầu được đặt ra và đòi hỏi cảng cần tiếp tục phát triển, nâng cao chất lượng, hiệu quả dịch vụ và qua đó nâng cao năng lực cạnh tranh của</w:t>
      </w:r>
      <w:r>
        <w:rPr>
          <w:spacing w:val="-5"/>
        </w:rPr>
        <w:t> </w:t>
      </w:r>
      <w:r>
        <w:rPr/>
        <w:t>mình.</w:t>
      </w:r>
    </w:p>
    <w:p>
      <w:pPr>
        <w:pStyle w:val="Heading6"/>
        <w:spacing w:before="1"/>
        <w:ind w:left="4427"/>
      </w:pPr>
      <w:r>
        <w:rPr/>
        <w:t>Tóm tắt chương 2</w:t>
      </w:r>
    </w:p>
    <w:p>
      <w:pPr>
        <w:pStyle w:val="BodyText"/>
        <w:rPr>
          <w:b/>
          <w:sz w:val="28"/>
        </w:rPr>
      </w:pPr>
    </w:p>
    <w:p>
      <w:pPr>
        <w:pStyle w:val="BodyText"/>
        <w:rPr>
          <w:b/>
          <w:sz w:val="24"/>
        </w:rPr>
      </w:pPr>
    </w:p>
    <w:p>
      <w:pPr>
        <w:pStyle w:val="BodyText"/>
        <w:spacing w:line="360" w:lineRule="auto" w:before="1"/>
        <w:ind w:left="882" w:right="889" w:firstLine="719"/>
        <w:jc w:val="both"/>
      </w:pPr>
      <w:r>
        <w:rPr/>
        <w:t>Trong chương này tác giả khám phá lý thuyết lợi thế cạnh tranh của doanh nghiệp, đặc biệt là các doanh nghiệp hoạt động kinh doanh dịch vụ. Qua đó tác giả có sự liên kết với loại hình kinh doanh dịch vụ cảng container thông qua các đặc điểm chung từ đó định hướng các yếu tố ảnh hưởng đến lợi thế cạnh tranh cho kinh doanh dịch vụ cảng container.</w:t>
      </w:r>
    </w:p>
    <w:p>
      <w:pPr>
        <w:spacing w:after="0" w:line="360" w:lineRule="auto"/>
        <w:jc w:val="both"/>
        <w:sectPr>
          <w:pgSz w:w="11910" w:h="16850"/>
          <w:pgMar w:header="751" w:footer="0" w:top="960" w:bottom="280" w:left="820" w:right="240"/>
        </w:sectPr>
      </w:pPr>
    </w:p>
    <w:p>
      <w:pPr>
        <w:pStyle w:val="BodyText"/>
        <w:rPr>
          <w:sz w:val="20"/>
        </w:rPr>
      </w:pPr>
    </w:p>
    <w:p>
      <w:pPr>
        <w:pStyle w:val="BodyText"/>
        <w:spacing w:before="7"/>
        <w:rPr>
          <w:sz w:val="23"/>
        </w:rPr>
      </w:pPr>
    </w:p>
    <w:p>
      <w:pPr>
        <w:pStyle w:val="Heading6"/>
        <w:spacing w:line="360" w:lineRule="auto" w:before="89"/>
        <w:ind w:left="2420" w:right="1322" w:hanging="1090"/>
        <w:jc w:val="left"/>
      </w:pPr>
      <w:bookmarkStart w:name="_TOC_250029" w:id="27"/>
      <w:bookmarkEnd w:id="27"/>
      <w:r>
        <w:rPr/>
        <w:t>CHƯƠNG 3: XÂY DỰNG VÀ KIỂM ĐỊNH MÔ HÌNH LỢI THẾ CẠNH TRANH CHO CẢNG CONTAINER TẠI VIỆT NAM</w:t>
      </w:r>
    </w:p>
    <w:p>
      <w:pPr>
        <w:pStyle w:val="ListParagraph"/>
        <w:numPr>
          <w:ilvl w:val="1"/>
          <w:numId w:val="24"/>
        </w:numPr>
        <w:tabs>
          <w:tab w:pos="1271" w:val="left" w:leader="none"/>
        </w:tabs>
        <w:spacing w:line="357" w:lineRule="auto" w:before="0" w:after="0"/>
        <w:ind w:left="1602" w:right="891" w:hanging="720"/>
        <w:jc w:val="both"/>
        <w:rPr>
          <w:i/>
          <w:sz w:val="26"/>
        </w:rPr>
      </w:pPr>
      <w:r>
        <w:rPr>
          <w:b/>
          <w:sz w:val="26"/>
        </w:rPr>
        <w:t>Tổng quan các công trình nghiên cứu lợi thế cạnh tranh của cảng conatiner Tongzon,</w:t>
      </w:r>
      <w:r>
        <w:rPr>
          <w:b/>
          <w:spacing w:val="26"/>
          <w:sz w:val="26"/>
        </w:rPr>
        <w:t> </w:t>
      </w:r>
      <w:r>
        <w:rPr>
          <w:b/>
          <w:sz w:val="26"/>
        </w:rPr>
        <w:t>J.</w:t>
      </w:r>
      <w:r>
        <w:rPr>
          <w:b/>
          <w:spacing w:val="27"/>
          <w:sz w:val="26"/>
        </w:rPr>
        <w:t> </w:t>
      </w:r>
      <w:r>
        <w:rPr>
          <w:b/>
          <w:sz w:val="26"/>
        </w:rPr>
        <w:t>(1994)</w:t>
      </w:r>
      <w:r>
        <w:rPr>
          <w:b/>
          <w:spacing w:val="28"/>
          <w:sz w:val="26"/>
        </w:rPr>
        <w:t> </w:t>
      </w:r>
      <w:r>
        <w:rPr>
          <w:sz w:val="26"/>
        </w:rPr>
        <w:t>nghiên</w:t>
      </w:r>
      <w:r>
        <w:rPr>
          <w:spacing w:val="27"/>
          <w:sz w:val="26"/>
        </w:rPr>
        <w:t> </w:t>
      </w:r>
      <w:r>
        <w:rPr>
          <w:sz w:val="26"/>
        </w:rPr>
        <w:t>cứu</w:t>
      </w:r>
      <w:r>
        <w:rPr>
          <w:spacing w:val="27"/>
          <w:sz w:val="26"/>
        </w:rPr>
        <w:t> </w:t>
      </w:r>
      <w:r>
        <w:rPr>
          <w:sz w:val="26"/>
        </w:rPr>
        <w:t>“</w:t>
      </w:r>
      <w:r>
        <w:rPr>
          <w:spacing w:val="28"/>
          <w:sz w:val="26"/>
        </w:rPr>
        <w:t> </w:t>
      </w:r>
      <w:r>
        <w:rPr>
          <w:i/>
          <w:sz w:val="26"/>
        </w:rPr>
        <w:t>Yếu</w:t>
      </w:r>
      <w:r>
        <w:rPr>
          <w:i/>
          <w:spacing w:val="27"/>
          <w:sz w:val="26"/>
        </w:rPr>
        <w:t> </w:t>
      </w:r>
      <w:r>
        <w:rPr>
          <w:i/>
          <w:sz w:val="26"/>
        </w:rPr>
        <w:t>tố</w:t>
      </w:r>
      <w:r>
        <w:rPr>
          <w:i/>
          <w:spacing w:val="27"/>
          <w:sz w:val="26"/>
        </w:rPr>
        <w:t> </w:t>
      </w:r>
      <w:r>
        <w:rPr>
          <w:i/>
          <w:sz w:val="26"/>
        </w:rPr>
        <w:t>xác</w:t>
      </w:r>
      <w:r>
        <w:rPr>
          <w:i/>
          <w:spacing w:val="27"/>
          <w:sz w:val="26"/>
        </w:rPr>
        <w:t> </w:t>
      </w:r>
      <w:r>
        <w:rPr>
          <w:i/>
          <w:sz w:val="26"/>
        </w:rPr>
        <w:t>định</w:t>
      </w:r>
      <w:r>
        <w:rPr>
          <w:i/>
          <w:spacing w:val="27"/>
          <w:sz w:val="26"/>
        </w:rPr>
        <w:t> </w:t>
      </w:r>
      <w:r>
        <w:rPr>
          <w:i/>
          <w:sz w:val="26"/>
        </w:rPr>
        <w:t>hiệu</w:t>
      </w:r>
      <w:r>
        <w:rPr>
          <w:i/>
          <w:spacing w:val="27"/>
          <w:sz w:val="26"/>
        </w:rPr>
        <w:t> </w:t>
      </w:r>
      <w:r>
        <w:rPr>
          <w:i/>
          <w:sz w:val="26"/>
        </w:rPr>
        <w:t>suất</w:t>
      </w:r>
      <w:r>
        <w:rPr>
          <w:i/>
          <w:spacing w:val="26"/>
          <w:sz w:val="26"/>
        </w:rPr>
        <w:t> </w:t>
      </w:r>
      <w:r>
        <w:rPr>
          <w:i/>
          <w:sz w:val="26"/>
        </w:rPr>
        <w:t>và</w:t>
      </w:r>
      <w:r>
        <w:rPr>
          <w:i/>
          <w:spacing w:val="27"/>
          <w:sz w:val="26"/>
        </w:rPr>
        <w:t> </w:t>
      </w:r>
      <w:r>
        <w:rPr>
          <w:i/>
          <w:sz w:val="26"/>
        </w:rPr>
        <w:t>hiệu</w:t>
      </w:r>
      <w:r>
        <w:rPr>
          <w:i/>
          <w:spacing w:val="28"/>
          <w:sz w:val="26"/>
        </w:rPr>
        <w:t> </w:t>
      </w:r>
      <w:r>
        <w:rPr>
          <w:i/>
          <w:sz w:val="26"/>
        </w:rPr>
        <w:t>quả</w:t>
      </w:r>
      <w:r>
        <w:rPr>
          <w:i/>
          <w:spacing w:val="27"/>
          <w:sz w:val="26"/>
        </w:rPr>
        <w:t> </w:t>
      </w:r>
      <w:r>
        <w:rPr>
          <w:i/>
          <w:sz w:val="26"/>
        </w:rPr>
        <w:t>khai</w:t>
      </w:r>
    </w:p>
    <w:p>
      <w:pPr>
        <w:pStyle w:val="BodyText"/>
        <w:spacing w:line="360" w:lineRule="auto" w:before="5"/>
        <w:ind w:left="882" w:right="888"/>
        <w:jc w:val="both"/>
      </w:pPr>
      <w:r>
        <w:rPr>
          <w:i/>
        </w:rPr>
        <w:t>thác cảng</w:t>
      </w:r>
      <w:r>
        <w:rPr/>
        <w:t>”, với phương pháp thống kê miêu tả, tác giả quan sát từ 23 cảng biển Quốc Tế khu vực Châu Á đã xác định các nhóm yếu tố xác định hiệu quả khai thác cảng nhằm nâng cao lợi thế cạnh tranh cho cảng container bao gồm các thang đo như vị trí địa lý của cảng mà theo tác giả vị trí này ảnh hưởng đến lượng hàng hóa chuyển tải; thang đo tần số tàu ghé cảng đó là số lượng tàu ghé cảng cũng như hàng hóa thông qua cảng; thang đo cảng phí là phần mà khách hàng cảng quan tâm và ảnh hưởng đến việc lựa chọn cảng; thang đo các hoạt động kinh tế đó là các hoạt động cảng mang lại lợi ích cho khách hàng cảng và nhóm yếu tố xác định hiệu suất cảng đó là đó là hiệu suất của cần cẩu đó, khoảng thời gian cần cẩu làm việc liên tục trong quá trình xếp dỡ được xác định bằng TEU/ giờ, Tấn/ giờ/ ngày. Tiếp theo nghiên cứu của mình Tongzon, J. và Heng (2005) nghiên cứu về “</w:t>
      </w:r>
      <w:r>
        <w:rPr>
          <w:i/>
        </w:rPr>
        <w:t>Cảng tư nhân, hiệu quả khai thác và năng lực cạnh </w:t>
      </w:r>
      <w:r>
        <w:rPr>
          <w:i/>
        </w:rPr>
        <w:t>tranh: bằng chứng thực nghiệm từ các cảng container</w:t>
      </w:r>
      <w:r>
        <w:rPr/>
        <w:t>” với phương pháp sử dụng hàm sản xuất biên ngẫu nhiên của Battese and Coelli (1995), phương pháp phân tích thành phần chính (PCA) và hồi quy tuyến tính (Linear Regression) với 122 mẫu từ các cảng container khu vực Chấu Á để xác định khả năng cạnh tranh của cảng và các yếu tố quyết định đến cạnh tranh và kiểm tra các mối quan hệ nhân quả của các thang đo hiệu quả khai thác cảng như hiệu suất cảng cao, năng suất khai thác cảng, lượng tàu ra vào cảng và sở thích lựa chọn cảng của chủ hàng, chủ</w:t>
      </w:r>
      <w:r>
        <w:rPr>
          <w:spacing w:val="-6"/>
        </w:rPr>
        <w:t> </w:t>
      </w:r>
      <w:r>
        <w:rPr/>
        <w:t>tàu</w:t>
      </w:r>
    </w:p>
    <w:p>
      <w:pPr>
        <w:pStyle w:val="BodyText"/>
        <w:spacing w:line="360" w:lineRule="auto" w:before="2"/>
        <w:ind w:left="882" w:right="888" w:firstLine="719"/>
        <w:jc w:val="both"/>
      </w:pPr>
      <w:r>
        <w:rPr/>
        <w:t>Tóm lại nghiên cứu của Tongzon, J. và cộng sự (1994; 2005) đã thống kê được thang đo xác định lợi thế cạnh tranh cảng container là các khái niệm hiệu suất của các thiết bị cảng, năng suất làm hàng, lượng tàu qua cảng cũng như sở thích lựa chọn cảng của chủ hàng, chủ tàu. Phát hiện này tuy chưa được đo lường nhưng có ý nghĩa rất lớn tạo cơ sở để tiến tới đo lường các thành phần khái niệm ảnh hưởng đến lợi thế cạnh tranh của cảng container</w:t>
      </w:r>
    </w:p>
    <w:p>
      <w:pPr>
        <w:pStyle w:val="BodyText"/>
        <w:spacing w:line="360" w:lineRule="auto"/>
        <w:ind w:left="882" w:right="889" w:firstLine="719"/>
        <w:jc w:val="both"/>
      </w:pPr>
      <w:r>
        <w:rPr>
          <w:b/>
        </w:rPr>
        <w:t>G-T Yeo và cộng sự (2008) </w:t>
      </w:r>
      <w:r>
        <w:rPr/>
        <w:t>nghiên cứu “đánh giá lợi thế cạnh tranh của cảng container ở Hàn Quốc và Trung Quốc”. Trong nghiên cứu nhóm tác giả đã chỉ ra được 7 nhóm yếu tố ảnh hưởng đến lợi thế cạnh tranh giữa các cảng container trong khu vực</w:t>
      </w:r>
    </w:p>
    <w:p>
      <w:pPr>
        <w:spacing w:after="0" w:line="360" w:lineRule="auto"/>
        <w:jc w:val="both"/>
        <w:sectPr>
          <w:pgSz w:w="11910" w:h="16850"/>
          <w:pgMar w:header="751" w:footer="0" w:top="960" w:bottom="280" w:left="820" w:right="240"/>
        </w:sectPr>
      </w:pPr>
    </w:p>
    <w:p>
      <w:pPr>
        <w:pStyle w:val="BodyText"/>
        <w:rPr>
          <w:sz w:val="20"/>
        </w:rPr>
      </w:pPr>
    </w:p>
    <w:p>
      <w:pPr>
        <w:pStyle w:val="BodyText"/>
        <w:spacing w:before="7"/>
        <w:rPr>
          <w:sz w:val="23"/>
        </w:rPr>
      </w:pPr>
    </w:p>
    <w:p>
      <w:pPr>
        <w:pStyle w:val="BodyText"/>
        <w:spacing w:line="360" w:lineRule="auto" w:before="89"/>
        <w:ind w:left="882" w:right="888"/>
        <w:jc w:val="both"/>
      </w:pPr>
      <w:r>
        <w:rPr/>
        <w:pict>
          <v:group style="position:absolute;margin-left:131.050003pt;margin-top:98.526749pt;width:367pt;height:382.75pt;mso-position-horizontal-relative:page;mso-position-vertical-relative:paragraph;z-index:-15706624;mso-wrap-distance-left:0;mso-wrap-distance-right:0" coordorigin="2621,1971" coordsize="7340,7655">
            <v:shape style="position:absolute;left:4993;top:2454;width:2575;height:6793" coordorigin="4993,2454" coordsize="2575,6793" path="m7562,5813l7551,5812,7446,5797,7544,5741,7561,5731,7544,5721,7421,5649,7415,5651,7410,5660,7411,5666,7504,5721,5001,5721,5001,5741,7504,5741,7414,5793,7402,5791,7397,5795,7396,5801,7396,5806,7400,5811,7405,5812,7506,5826,4997,6861,5005,6880,7513,5844,7452,5925,7449,5930,7449,5936,7454,5939,7458,5943,7464,5942,7468,5937,7562,5813xm7565,5968l7405,5992,7402,5997,7403,6003,7403,6008,7408,6012,7515,5996,4995,8018,5007,8033,7527,6011,7491,6107,7489,6112,7491,6118,7502,6122,7507,6119,7509,6114,7563,5973,7565,5968xm7568,6166l7421,6219,7416,6221,7413,6227,7415,6232,7417,6237,7423,6240,7428,6238,7524,6203,4993,9234,5009,9247,7539,6216,7522,6317,7521,6322,7525,6327,7531,6328,7536,6329,7541,6325,7542,6320,7567,6175,7568,6166xm7568,5535l7567,5526,7542,5381,7541,5376,7536,5372,7531,5373,7525,5374,7521,5379,7522,5385,7537,5472,7505,5394,7503,5389,7497,5387,7492,5389,7487,5391,7484,5397,7486,5402,7503,5441,5009,2454,4993,2467,7517,5490,7500,5477,7500,5511,7470,5507,7463,5498,7461,5496,7500,5511,7500,5477,5007,3593,4995,3609,7468,5477,7428,5463,7423,5461,7417,5464,7415,5469,7413,5474,7416,5480,7421,5482,7454,5494,7453,5494,7444,5501,7444,5504,7412,5500,7407,5499,7402,5503,7401,5514,7404,5519,7410,5520,7459,5526,7512,5590,5004,4671,4998,4690,7505,5608,7399,5627,7396,5633,7398,5643,7403,5647,7548,5621,7562,5619,7488,5529,7565,5538,7563,5534,7563,5533,7568,5535xe" filled="true" fillcolor="#000000" stroked="false">
              <v:path arrowok="t"/>
              <v:fill type="solid"/>
            </v:shape>
            <v:shape style="position:absolute;left:2631;top:8850;width:2370;height:765" type="#_x0000_t202" filled="false" stroked="true" strokeweight="1pt" strokecolor="#2e528f">
              <v:textbox inset="0,0,0,0">
                <w:txbxContent>
                  <w:p>
                    <w:pPr>
                      <w:spacing w:before="76"/>
                      <w:ind w:left="215" w:right="0" w:firstLine="0"/>
                      <w:jc w:val="left"/>
                      <w:rPr>
                        <w:b/>
                        <w:sz w:val="26"/>
                      </w:rPr>
                    </w:pPr>
                    <w:r>
                      <w:rPr>
                        <w:b/>
                        <w:sz w:val="26"/>
                      </w:rPr>
                      <w:t>Khà năng kết nối</w:t>
                    </w:r>
                  </w:p>
                </w:txbxContent>
              </v:textbox>
              <v:stroke dashstyle="solid"/>
              <w10:wrap type="none"/>
            </v:shape>
            <v:shape style="position:absolute;left:2631;top:7680;width:2370;height:765" type="#_x0000_t202" filled="false" stroked="true" strokeweight="1pt" strokecolor="#2e528f">
              <v:textbox inset="0,0,0,0">
                <w:txbxContent>
                  <w:p>
                    <w:pPr>
                      <w:spacing w:before="74"/>
                      <w:ind w:left="956" w:right="334" w:hanging="605"/>
                      <w:jc w:val="left"/>
                      <w:rPr>
                        <w:b/>
                        <w:sz w:val="26"/>
                      </w:rPr>
                    </w:pPr>
                    <w:r>
                      <w:rPr>
                        <w:b/>
                        <w:sz w:val="26"/>
                      </w:rPr>
                      <w:t>Khu vực trung tâm</w:t>
                    </w:r>
                  </w:p>
                </w:txbxContent>
              </v:textbox>
              <v:stroke dashstyle="solid"/>
              <w10:wrap type="none"/>
            </v:shape>
            <v:shape style="position:absolute;left:2631;top:6495;width:2370;height:765" type="#_x0000_t202" filled="false" stroked="true" strokeweight="1pt" strokecolor="#2e528f">
              <v:textbox inset="0,0,0,0">
                <w:txbxContent>
                  <w:p>
                    <w:pPr>
                      <w:spacing w:before="76"/>
                      <w:ind w:left="234" w:right="0" w:firstLine="0"/>
                      <w:jc w:val="left"/>
                      <w:rPr>
                        <w:b/>
                        <w:sz w:val="26"/>
                      </w:rPr>
                    </w:pPr>
                    <w:r>
                      <w:rPr>
                        <w:b/>
                        <w:sz w:val="26"/>
                      </w:rPr>
                      <w:t>Chi phí Logistics</w:t>
                    </w:r>
                  </w:p>
                </w:txbxContent>
              </v:textbox>
              <v:stroke dashstyle="solid"/>
              <w10:wrap type="none"/>
            </v:shape>
            <v:shape style="position:absolute;left:2631;top:5385;width:2370;height:765" type="#_x0000_t202" filled="false" stroked="true" strokeweight="1pt" strokecolor="#2e528f">
              <v:textbox inset="0,0,0,0">
                <w:txbxContent>
                  <w:p>
                    <w:pPr>
                      <w:spacing w:before="75"/>
                      <w:ind w:left="229" w:right="0" w:firstLine="0"/>
                      <w:jc w:val="left"/>
                      <w:rPr>
                        <w:b/>
                        <w:sz w:val="26"/>
                      </w:rPr>
                    </w:pPr>
                    <w:r>
                      <w:rPr>
                        <w:b/>
                        <w:sz w:val="26"/>
                      </w:rPr>
                      <w:t>Điều kiện nội địa</w:t>
                    </w:r>
                  </w:p>
                </w:txbxContent>
              </v:textbox>
              <v:stroke dashstyle="solid"/>
              <w10:wrap type="none"/>
            </v:shape>
            <v:shape style="position:absolute;left:7581;top:5100;width:2370;height:1290" type="#_x0000_t202" filled="false" stroked="true" strokeweight="1pt" strokecolor="#2e528f">
              <v:textbox inset="0,0,0,0">
                <w:txbxContent>
                  <w:p>
                    <w:pPr>
                      <w:spacing w:before="74"/>
                      <w:ind w:left="202" w:right="199" w:firstLine="0"/>
                      <w:jc w:val="center"/>
                      <w:rPr>
                        <w:b/>
                        <w:sz w:val="26"/>
                      </w:rPr>
                    </w:pPr>
                    <w:r>
                      <w:rPr>
                        <w:b/>
                        <w:sz w:val="26"/>
                      </w:rPr>
                      <w:t>Lợi thế cạnh tranh cảng container</w:t>
                    </w:r>
                  </w:p>
                </w:txbxContent>
              </v:textbox>
              <v:stroke dashstyle="solid"/>
              <w10:wrap type="none"/>
            </v:shape>
            <v:shape style="position:absolute;left:2631;top:4260;width:2370;height:765" type="#_x0000_t202" filled="false" stroked="true" strokeweight="1pt" strokecolor="#2e528f">
              <v:textbox inset="0,0,0,0">
                <w:txbxContent>
                  <w:p>
                    <w:pPr>
                      <w:spacing w:before="74"/>
                      <w:ind w:left="920" w:right="390" w:hanging="512"/>
                      <w:jc w:val="left"/>
                      <w:rPr>
                        <w:b/>
                        <w:sz w:val="26"/>
                      </w:rPr>
                    </w:pPr>
                    <w:r>
                      <w:rPr>
                        <w:b/>
                        <w:sz w:val="26"/>
                      </w:rPr>
                      <w:t>Khả năng sẳn sàng</w:t>
                    </w:r>
                  </w:p>
                </w:txbxContent>
              </v:textbox>
              <v:stroke dashstyle="solid"/>
              <w10:wrap type="none"/>
            </v:shape>
            <v:shape style="position:absolute;left:2631;top:3120;width:2370;height:765" type="#_x0000_t202" filled="false" stroked="true" strokeweight="1pt" strokecolor="#2e528f">
              <v:textbox inset="0,0,0,0">
                <w:txbxContent>
                  <w:p>
                    <w:pPr>
                      <w:spacing w:before="73"/>
                      <w:ind w:left="424" w:right="0" w:firstLine="0"/>
                      <w:jc w:val="left"/>
                      <w:rPr>
                        <w:b/>
                        <w:sz w:val="26"/>
                      </w:rPr>
                    </w:pPr>
                    <w:r>
                      <w:rPr>
                        <w:b/>
                        <w:sz w:val="26"/>
                      </w:rPr>
                      <w:t>Sự thuận tiện</w:t>
                    </w:r>
                  </w:p>
                </w:txbxContent>
              </v:textbox>
              <v:stroke dashstyle="solid"/>
              <w10:wrap type="none"/>
            </v:shape>
            <v:shape style="position:absolute;left:2631;top:1980;width:2370;height:765" type="#_x0000_t202" filled="false" stroked="true" strokeweight="1pt" strokecolor="#2e528f">
              <v:textbox inset="0,0,0,0">
                <w:txbxContent>
                  <w:p>
                    <w:pPr>
                      <w:spacing w:before="73"/>
                      <w:ind w:left="450" w:right="0" w:firstLine="0"/>
                      <w:jc w:val="left"/>
                      <w:rPr>
                        <w:b/>
                        <w:sz w:val="26"/>
                      </w:rPr>
                    </w:pPr>
                    <w:r>
                      <w:rPr>
                        <w:b/>
                        <w:sz w:val="26"/>
                      </w:rPr>
                      <w:t>Dịch vụ cảng</w:t>
                    </w:r>
                  </w:p>
                </w:txbxContent>
              </v:textbox>
              <v:stroke dashstyle="solid"/>
              <w10:wrap type="none"/>
            </v:shape>
            <w10:wrap type="topAndBottom"/>
          </v:group>
        </w:pict>
      </w:r>
      <w:r>
        <w:rPr/>
        <w:t>Hàn Quốc và Trung Quốc bao gồm: Dịch vụ cảng; Điều kiện nội địa; Khả năng sẳn sàng; Sự thuận tiện; Chi phí Logistics; Khu vực trung tâm; Khả năng kết nối. Tuy nhiên hạn chế lớn nhất của nghiên cứu là không khảo sát mối quan hệ giữa các yếu tố tạo lợi thế cạnh tranh và nghiên cứu chỉ ở phạm vi ở Trung Quốc và Hàn</w:t>
      </w:r>
      <w:r>
        <w:rPr>
          <w:spacing w:val="-20"/>
        </w:rPr>
        <w:t> </w:t>
      </w:r>
      <w:r>
        <w:rPr/>
        <w:t>Quốc.</w:t>
      </w:r>
    </w:p>
    <w:p>
      <w:pPr>
        <w:pStyle w:val="Heading6"/>
        <w:spacing w:before="59"/>
        <w:ind w:left="2353"/>
        <w:rPr>
          <w:b w:val="0"/>
        </w:rPr>
      </w:pPr>
      <w:r>
        <w:rPr/>
        <w:t>Hình 3.1: Mô hình nghiên cứu của G-T Yeo và cộng sự</w:t>
      </w:r>
      <w:r>
        <w:rPr>
          <w:b w:val="0"/>
        </w:rPr>
        <w:t>.</w:t>
      </w:r>
    </w:p>
    <w:p>
      <w:pPr>
        <w:pStyle w:val="BodyText"/>
        <w:spacing w:line="360" w:lineRule="auto" w:before="150"/>
        <w:ind w:left="882" w:right="886" w:firstLine="719"/>
        <w:jc w:val="both"/>
      </w:pPr>
      <w:r>
        <w:rPr>
          <w:b/>
        </w:rPr>
        <w:t>Soner Esmer (2008) </w:t>
      </w:r>
      <w:r>
        <w:rPr/>
        <w:t>nghiên cứu về “</w:t>
      </w:r>
      <w:r>
        <w:rPr>
          <w:i/>
        </w:rPr>
        <w:t>Thước đo hiệu quả trong lợi thế cạnh </w:t>
      </w:r>
      <w:r>
        <w:rPr>
          <w:i/>
        </w:rPr>
        <w:t>tranh cảng container</w:t>
      </w:r>
      <w:r>
        <w:rPr/>
        <w:t>”, với phương pháp thống kê miêu tả dựa trên nghiên cứu kế thừa từ các tác giả Vis and Coster (2003); Kisi và cộng sự (1999); Hassan (1993); Thomas and Monie (2000); UNCTAD (1976), trong công trình nghiên cứu của mình tác giả đã xác định được 4 thước đo cho hiệu quả lợi thế cạnh tranh cảng container như là: thước đo hoạt động cảng đó các hoạt động đo lường khối lượng hàng hóa đi và đến cảng trong một đơn vị thời gian. Các hoạt động này bao gồm sản lượng thông qua tàu, cầu tàu, bến bãi, giao nhận container; thước đo về năng suất tức là năng suất cảng là thước đo quan trọng vì nó liên quan đến chi phí vận hành cảng, theo tác giả có 7 loại năng</w:t>
      </w:r>
    </w:p>
    <w:p>
      <w:pPr>
        <w:spacing w:after="0" w:line="360" w:lineRule="auto"/>
        <w:jc w:val="both"/>
        <w:sectPr>
          <w:pgSz w:w="11910" w:h="16850"/>
          <w:pgMar w:header="751" w:footer="0" w:top="960" w:bottom="280" w:left="820" w:right="240"/>
        </w:sectPr>
      </w:pPr>
    </w:p>
    <w:p>
      <w:pPr>
        <w:pStyle w:val="BodyText"/>
        <w:rPr>
          <w:sz w:val="20"/>
        </w:rPr>
      </w:pPr>
    </w:p>
    <w:p>
      <w:pPr>
        <w:pStyle w:val="BodyText"/>
        <w:spacing w:before="7"/>
        <w:rPr>
          <w:sz w:val="23"/>
        </w:rPr>
      </w:pPr>
    </w:p>
    <w:p>
      <w:pPr>
        <w:pStyle w:val="BodyText"/>
        <w:spacing w:line="360" w:lineRule="auto" w:before="89"/>
        <w:ind w:left="882" w:right="888"/>
        <w:jc w:val="both"/>
      </w:pPr>
      <w:r>
        <w:rPr/>
        <w:t>suất trong hoạt động khai thác cảng đó là năng suất giải phóng tàu, năng suất cần cẩu, năng suất cầu tàu, năng suất khu vực bến container, năng suất trang thiết bị, năng suất lao động và hiệu quả chi phí; thước đo dụng năng đó là khả năng sử dụng các trang thiết bị, cơ sở vật chất của cảng bao gồm: khả năng sử dụng cầu tàu, kho bãi, cổng cảng và trang thiết bị; thước đo dịch vụ đây là thước đo chỉ sự hài lòng của khách  hàng khi sử dụng dịch vụ của cảng bao gồm thời gian quay vòng của dịch vụ tàu, phương tiện bộ,</w:t>
      </w:r>
      <w:r>
        <w:rPr>
          <w:spacing w:val="-4"/>
        </w:rPr>
        <w:t> </w:t>
      </w:r>
      <w:r>
        <w:rPr/>
        <w:t>sắt.</w:t>
      </w:r>
    </w:p>
    <w:p>
      <w:pPr>
        <w:pStyle w:val="BodyText"/>
        <w:spacing w:line="360" w:lineRule="auto"/>
        <w:ind w:left="882" w:right="888" w:firstLine="719"/>
        <w:jc w:val="both"/>
      </w:pPr>
      <w:r>
        <w:rPr/>
        <w:t>Tóm lại nghiên cứu của Soner Esmer (2008) đã thống kê được các thành phần khái niệm đo lường tạo lợi thế cạnh tranh cảng container bao gồm 4 thước đo khái niệm như là thước đo hoạt động cảng, thước đo dịch vụ</w:t>
      </w:r>
      <w:r>
        <w:rPr>
          <w:sz w:val="24"/>
        </w:rPr>
        <w:t>, </w:t>
      </w:r>
      <w:r>
        <w:rPr/>
        <w:t>thước đo dụng năng</w:t>
      </w:r>
      <w:r>
        <w:rPr>
          <w:sz w:val="24"/>
        </w:rPr>
        <w:t>, </w:t>
      </w:r>
      <w:r>
        <w:rPr/>
        <w:t>thước đo về năng suất. Phát hiện này chủ yếu dựa vào thống kê miêu tả từ các nghiên cứu trước mà chưa được đo lường tuy nhiên có ý nghĩa rất lớn trong việc xác định các thành phần đo lường lợi thế cạnh tranh cảng</w:t>
      </w:r>
      <w:r>
        <w:rPr>
          <w:spacing w:val="-7"/>
        </w:rPr>
        <w:t> </w:t>
      </w:r>
      <w:r>
        <w:rPr/>
        <w:t>container.</w:t>
      </w:r>
    </w:p>
    <w:p>
      <w:pPr>
        <w:pStyle w:val="BodyText"/>
        <w:spacing w:line="360" w:lineRule="auto"/>
        <w:ind w:left="882" w:right="891" w:firstLine="719"/>
        <w:jc w:val="both"/>
      </w:pPr>
      <w:r>
        <w:rPr>
          <w:b/>
        </w:rPr>
        <w:t>Yap and Notteboom (2011) </w:t>
      </w:r>
      <w:r>
        <w:rPr/>
        <w:t>nghiên cứu về “ Sự năng động của lịch trình dịch vụ tàu chợ và tác động của nó vào năng lực cạnh tranh cảng container”. Nhóm tác giả đã sử dụng phương pháp định tính phỏng vấn trực tiếp bên cạnh kế thừa các nghiên cứu trước đó và nghiên cứu định lượng, nhóm tác giả đã chỉ ra được 3 yếu tố quan trọng của cảng container ảnh hưởng đến năng lực cạnh tranh của cảng nhìn từ giá trị của các hãng tàu chợ như là: Vị trí bến cảng; Chi phí dịch vụ cảng; Chất lượng dịch vụ cảng; Độ tin</w:t>
      </w:r>
      <w:r>
        <w:rPr>
          <w:spacing w:val="-4"/>
        </w:rPr>
        <w:t> </w:t>
      </w:r>
      <w:r>
        <w:rPr/>
        <w:t>cậy</w:t>
      </w:r>
    </w:p>
    <w:p>
      <w:pPr>
        <w:pStyle w:val="Heading6"/>
        <w:ind w:left="882"/>
      </w:pPr>
      <w:r>
        <w:rPr/>
        <w:t>Mô hình nghiên cứu:</w:t>
      </w:r>
    </w:p>
    <w:p>
      <w:pPr>
        <w:pStyle w:val="BodyText"/>
        <w:spacing w:before="6"/>
        <w:rPr>
          <w:b/>
          <w:sz w:val="16"/>
        </w:rPr>
      </w:pPr>
      <w:r>
        <w:rPr/>
        <w:pict>
          <v:group style="position:absolute;margin-left:129.5pt;margin-top:11.466455pt;width:372.95pt;height:197.05pt;mso-position-horizontal-relative:page;mso-position-vertical-relative:paragraph;z-index:-15701504;mso-wrap-distance-left:0;mso-wrap-distance-right:0" coordorigin="2590,229" coordsize="7459,3941">
            <v:shape style="position:absolute;left:4969;top:520;width:2670;height:2050" coordorigin="4969,521" coordsize="2670,2050" path="m7639,2087l7638,2086,7559,1946,7553,1945,7548,1948,7543,1950,7542,1956,7544,1961,7595,2050,4979,521,4969,538,7584,2067,7521,2067,7520,2066,7514,2066,7513,2067,7477,2067,7473,2072,7473,2083,7477,2087,7513,2087,7584,2155,4976,1518,4972,1537,7579,2175,7476,2205,7473,2211,7474,2216,7476,2222,7480,2224,7478,2228,7480,2234,7485,2237,7578,2278,4973,2550,4975,2570,7581,2298,7494,2362,7493,2368,7496,2373,7499,2377,7506,2378,7636,2282,7619,2275,7497,2220,7620,2184,7636,2179,7542,2087,7639,2087xe" filled="true" fillcolor="#000000" stroked="false">
              <v:path arrowok="t"/>
              <v:fill type="solid"/>
            </v:shape>
            <v:shape style="position:absolute;left:5090;top:243;width:1227;height:2142" coordorigin="5090,243" coordsize="1227,2142" path="m5755,1851l5090,1851,5090,2385,5755,2385,5755,1851xm6317,243l5652,243,5652,777,6317,777,6317,243xe" filled="true" fillcolor="#ffffff" stroked="false">
              <v:path arrowok="t"/>
              <v:fill type="solid"/>
            </v:shape>
            <v:shape style="position:absolute;left:4970;top:2391;width:2669;height:1394" coordorigin="4970,2391" coordsize="2669,1394" path="m7584,2417l4970,3768,4980,3785,7593,2434,7604,2418,7584,2417xm7639,2400l7617,2400,7626,2418,7593,2434,7539,2521,7536,2525,7537,2532,7542,2534,7546,2537,7552,2536,7555,2531,7639,2400xm7604,2418l7593,2434,7624,2419,7621,2419,7604,2418xm7613,2403l7604,2418,7621,2419,7613,2403xm7619,2403l7613,2403,7621,2419,7624,2419,7626,2418,7619,2403xm7617,2400l7584,2417,7604,2418,7613,2403,7619,2403,7617,2400xm7478,2391l7473,2396,7473,2401,7472,2407,7477,2411,7482,2412,7584,2417,7617,2400,7639,2400,7639,2400,7483,2392,7478,2391xe" filled="true" fillcolor="#000000" stroked="false">
              <v:path arrowok="t"/>
              <v:fill type="solid"/>
            </v:shape>
            <v:shape style="position:absolute;left:5797;top:327;width:337;height:288" type="#_x0000_t202" filled="false" stroked="false">
              <v:textbox inset="0,0,0,0">
                <w:txbxContent>
                  <w:p>
                    <w:pPr>
                      <w:spacing w:line="287" w:lineRule="exact" w:before="0"/>
                      <w:ind w:left="0" w:right="0" w:firstLine="0"/>
                      <w:jc w:val="left"/>
                      <w:rPr>
                        <w:sz w:val="26"/>
                      </w:rPr>
                    </w:pPr>
                    <w:r>
                      <w:rPr>
                        <w:sz w:val="26"/>
                      </w:rPr>
                      <w:t>H1</w:t>
                    </w:r>
                  </w:p>
                </w:txbxContent>
              </v:textbox>
              <w10:wrap type="none"/>
            </v:shape>
            <v:shape style="position:absolute;left:5091;top:1064;width:685;height:288" type="#_x0000_t202" filled="false" stroked="false">
              <v:textbox inset="0,0,0,0">
                <w:txbxContent>
                  <w:p>
                    <w:pPr>
                      <w:tabs>
                        <w:tab w:pos="664" w:val="left" w:leader="none"/>
                      </w:tabs>
                      <w:spacing w:line="287" w:lineRule="exact" w:before="0"/>
                      <w:ind w:left="0" w:right="0" w:firstLine="0"/>
                      <w:jc w:val="left"/>
                      <w:rPr>
                        <w:sz w:val="26"/>
                      </w:rPr>
                    </w:pPr>
                    <w:r>
                      <w:rPr>
                        <w:w w:val="99"/>
                        <w:sz w:val="26"/>
                        <w:shd w:fill="FFFFFF" w:color="auto" w:val="clear"/>
                      </w:rPr>
                      <w:t> </w:t>
                    </w:r>
                    <w:r>
                      <w:rPr>
                        <w:spacing w:val="14"/>
                        <w:sz w:val="26"/>
                        <w:shd w:fill="FFFFFF" w:color="auto" w:val="clear"/>
                      </w:rPr>
                      <w:t> </w:t>
                    </w:r>
                    <w:r>
                      <w:rPr>
                        <w:sz w:val="26"/>
                        <w:shd w:fill="FFFFFF" w:color="auto" w:val="clear"/>
                      </w:rPr>
                      <w:t>H2</w:t>
                      <w:tab/>
                    </w:r>
                  </w:p>
                </w:txbxContent>
              </v:textbox>
              <w10:wrap type="none"/>
            </v:shape>
            <v:shape style="position:absolute;left:5235;top:1936;width:337;height:288" type="#_x0000_t202" filled="false" stroked="false">
              <v:textbox inset="0,0,0,0">
                <w:txbxContent>
                  <w:p>
                    <w:pPr>
                      <w:spacing w:line="287" w:lineRule="exact" w:before="0"/>
                      <w:ind w:left="0" w:right="0" w:firstLine="0"/>
                      <w:jc w:val="left"/>
                      <w:rPr>
                        <w:sz w:val="26"/>
                      </w:rPr>
                    </w:pPr>
                    <w:r>
                      <w:rPr>
                        <w:sz w:val="26"/>
                      </w:rPr>
                      <w:t>H3</w:t>
                    </w:r>
                  </w:p>
                </w:txbxContent>
              </v:textbox>
              <w10:wrap type="none"/>
            </v:shape>
            <v:shape style="position:absolute;left:5276;top:2905;width:685;height:288" type="#_x0000_t202" filled="false" stroked="false">
              <v:textbox inset="0,0,0,0">
                <w:txbxContent>
                  <w:p>
                    <w:pPr>
                      <w:tabs>
                        <w:tab w:pos="664" w:val="left" w:leader="none"/>
                      </w:tabs>
                      <w:spacing w:line="287" w:lineRule="exact" w:before="0"/>
                      <w:ind w:left="0" w:right="0" w:firstLine="0"/>
                      <w:jc w:val="left"/>
                      <w:rPr>
                        <w:sz w:val="26"/>
                      </w:rPr>
                    </w:pPr>
                    <w:r>
                      <w:rPr>
                        <w:w w:val="99"/>
                        <w:sz w:val="26"/>
                        <w:shd w:fill="FFFFFF" w:color="auto" w:val="clear"/>
                      </w:rPr>
                      <w:t> </w:t>
                    </w:r>
                    <w:r>
                      <w:rPr>
                        <w:spacing w:val="14"/>
                        <w:sz w:val="26"/>
                        <w:shd w:fill="FFFFFF" w:color="auto" w:val="clear"/>
                      </w:rPr>
                      <w:t> </w:t>
                    </w:r>
                    <w:r>
                      <w:rPr>
                        <w:sz w:val="26"/>
                        <w:shd w:fill="FFFFFF" w:color="auto" w:val="clear"/>
                      </w:rPr>
                      <w:t>H4</w:t>
                      <w:tab/>
                    </w:r>
                  </w:p>
                </w:txbxContent>
              </v:textbox>
              <w10:wrap type="none"/>
            </v:shape>
            <v:shape style="position:absolute;left:2600;top:3334;width:2370;height:826" type="#_x0000_t202" filled="false" stroked="true" strokeweight="1pt" strokecolor="#2e528f">
              <v:textbox inset="0,0,0,0">
                <w:txbxContent>
                  <w:p>
                    <w:pPr>
                      <w:spacing w:before="73"/>
                      <w:ind w:left="611" w:right="0" w:firstLine="0"/>
                      <w:jc w:val="left"/>
                      <w:rPr>
                        <w:b/>
                        <w:sz w:val="26"/>
                      </w:rPr>
                    </w:pPr>
                    <w:r>
                      <w:rPr>
                        <w:b/>
                        <w:sz w:val="26"/>
                      </w:rPr>
                      <w:t>Độ tin cậy</w:t>
                    </w:r>
                  </w:p>
                </w:txbxContent>
              </v:textbox>
              <v:stroke dashstyle="solid"/>
              <w10:wrap type="none"/>
            </v:shape>
            <v:shape style="position:absolute;left:2611;top:2185;width:2370;height:827" type="#_x0000_t202" filled="false" stroked="true" strokeweight="1pt" strokecolor="#2e528f">
              <v:textbox inset="0,0,0,0">
                <w:txbxContent>
                  <w:p>
                    <w:pPr>
                      <w:spacing w:before="75"/>
                      <w:ind w:left="744" w:right="254" w:hanging="471"/>
                      <w:jc w:val="left"/>
                      <w:rPr>
                        <w:b/>
                        <w:sz w:val="26"/>
                      </w:rPr>
                    </w:pPr>
                    <w:r>
                      <w:rPr>
                        <w:b/>
                        <w:sz w:val="26"/>
                      </w:rPr>
                      <w:t>Chất lượng dịch vụ cảng</w:t>
                    </w:r>
                  </w:p>
                </w:txbxContent>
              </v:textbox>
              <v:stroke dashstyle="solid"/>
              <w10:wrap type="none"/>
            </v:shape>
            <v:shape style="position:absolute;left:7669;top:1679;width:2370;height:1155" type="#_x0000_t202" filled="false" stroked="true" strokeweight="1pt" strokecolor="#2e528f">
              <v:textbox inset="0,0,0,0">
                <w:txbxContent>
                  <w:p>
                    <w:pPr>
                      <w:spacing w:before="74"/>
                      <w:ind w:left="203" w:right="199" w:firstLine="0"/>
                      <w:jc w:val="center"/>
                      <w:rPr>
                        <w:b/>
                        <w:sz w:val="26"/>
                      </w:rPr>
                    </w:pPr>
                    <w:r>
                      <w:rPr>
                        <w:b/>
                        <w:sz w:val="26"/>
                      </w:rPr>
                      <w:t>Năng lực cạnh tranh cảng container</w:t>
                    </w:r>
                  </w:p>
                </w:txbxContent>
              </v:textbox>
              <v:stroke dashstyle="solid"/>
              <w10:wrap type="none"/>
            </v:shape>
            <v:shape style="position:absolute;left:2611;top:1184;width:2370;height:685" type="#_x0000_t202" filled="false" stroked="true" strokeweight="1pt" strokecolor="#2e528f">
              <v:textbox inset="0,0,0,0">
                <w:txbxContent>
                  <w:p>
                    <w:pPr>
                      <w:spacing w:before="74"/>
                      <w:ind w:left="914" w:right="299" w:hanging="596"/>
                      <w:jc w:val="left"/>
                      <w:rPr>
                        <w:b/>
                        <w:sz w:val="26"/>
                      </w:rPr>
                    </w:pPr>
                    <w:r>
                      <w:rPr>
                        <w:b/>
                        <w:sz w:val="26"/>
                      </w:rPr>
                      <w:t>Chi phí dịch vụ cảng</w:t>
                    </w:r>
                  </w:p>
                </w:txbxContent>
              </v:textbox>
              <v:stroke dashstyle="solid"/>
              <w10:wrap type="none"/>
            </v:shape>
            <v:shape style="position:absolute;left:2611;top:239;width:2370;height:685" type="#_x0000_t202" filled="false" stroked="true" strokeweight="1pt" strokecolor="#2e528f">
              <v:textbox inset="0,0,0,0">
                <w:txbxContent>
                  <w:p>
                    <w:pPr>
                      <w:spacing w:before="76"/>
                      <w:ind w:left="583" w:right="0" w:firstLine="0"/>
                      <w:jc w:val="left"/>
                      <w:rPr>
                        <w:b/>
                        <w:sz w:val="26"/>
                      </w:rPr>
                    </w:pPr>
                    <w:r>
                      <w:rPr>
                        <w:b/>
                        <w:sz w:val="26"/>
                      </w:rPr>
                      <w:t>Vị trí cảng</w:t>
                    </w:r>
                  </w:p>
                </w:txbxContent>
              </v:textbox>
              <v:stroke dashstyle="solid"/>
              <w10:wrap type="none"/>
            </v:shape>
            <w10:wrap type="topAndBottom"/>
          </v:group>
        </w:pict>
      </w:r>
    </w:p>
    <w:p>
      <w:pPr>
        <w:pStyle w:val="BodyText"/>
        <w:spacing w:before="7"/>
        <w:rPr>
          <w:b/>
          <w:sz w:val="9"/>
        </w:rPr>
      </w:pPr>
    </w:p>
    <w:p>
      <w:pPr>
        <w:spacing w:before="89"/>
        <w:ind w:left="1095" w:right="829" w:firstLine="0"/>
        <w:jc w:val="center"/>
        <w:rPr>
          <w:b/>
          <w:sz w:val="26"/>
        </w:rPr>
      </w:pPr>
      <w:r>
        <w:rPr>
          <w:b/>
          <w:sz w:val="26"/>
        </w:rPr>
        <w:t>Hình 3.2 Mô hình nghiên cứu của Yap và Notteboom, 2011</w:t>
      </w:r>
    </w:p>
    <w:p>
      <w:pPr>
        <w:spacing w:after="0"/>
        <w:jc w:val="center"/>
        <w:rPr>
          <w:sz w:val="26"/>
        </w:rPr>
        <w:sectPr>
          <w:pgSz w:w="11910" w:h="16850"/>
          <w:pgMar w:header="751" w:footer="0" w:top="960" w:bottom="280" w:left="820" w:right="240"/>
        </w:sectPr>
      </w:pPr>
    </w:p>
    <w:p>
      <w:pPr>
        <w:pStyle w:val="BodyText"/>
        <w:rPr>
          <w:b/>
          <w:sz w:val="20"/>
        </w:rPr>
      </w:pPr>
    </w:p>
    <w:p>
      <w:pPr>
        <w:pStyle w:val="BodyText"/>
        <w:spacing w:before="7"/>
        <w:rPr>
          <w:b/>
          <w:sz w:val="23"/>
        </w:rPr>
      </w:pPr>
    </w:p>
    <w:p>
      <w:pPr>
        <w:pStyle w:val="BodyText"/>
        <w:spacing w:line="360" w:lineRule="auto" w:before="89"/>
        <w:ind w:left="882" w:right="888" w:firstLine="719"/>
        <w:jc w:val="both"/>
      </w:pPr>
      <w:r>
        <w:rPr/>
        <w:t>Từ kết quả nghiên cứu đạt được nhóm tác giả nhận định năng lực cạnh tranh của các cảng container có mối quan hệ với lịch trình khai thác tàu của các hãng tàu chợ và chịu sự tác động của 3 yếu tố quyết định quan trọng nhất là vị trí cảng, chi phí dịch vụ cảng và chất lượng dịch vụ cảng. Tuy nhiên nghiên cứu này nhóm tác giả đứng trên quan điểm giá trị khách hàng cảng là các hãng tàu chợ và điều này chưa thể khẳng định đối với lượng khách hàng còn lại của cảng là các doanh nghiệp XNK và các doanh nghiệp dịch vụ Logistics chiếm phần lớn khách hàng của</w:t>
      </w:r>
      <w:r>
        <w:rPr>
          <w:spacing w:val="-4"/>
        </w:rPr>
        <w:t> </w:t>
      </w:r>
      <w:r>
        <w:rPr/>
        <w:t>cảng.</w:t>
      </w:r>
    </w:p>
    <w:p>
      <w:pPr>
        <w:pStyle w:val="BodyText"/>
        <w:spacing w:line="360" w:lineRule="auto"/>
        <w:ind w:left="882" w:right="888" w:firstLine="719"/>
        <w:jc w:val="both"/>
      </w:pPr>
      <w:r>
        <w:rPr>
          <w:b/>
        </w:rPr>
        <w:t>Ahmed Shaheen &amp; Hany Mahmoud (2018) </w:t>
      </w:r>
      <w:r>
        <w:rPr/>
        <w:t>nghiên cứu “Lợi thế cạnh tranh của cảng biển áp dụng cho các cảng Đông Port Said”. Trong nghiên cứu của mình nhóm tác giả đã khám phá 4 yếu tố ảnh hưởng đến lợi thế cạnh tranh của cảng Đông Port Said: Vị trí địa lý, cơ sở vật chất, dịch vụ cảng, chi phí Logistics. Nhóm nghiên cứu sử dụng phương pháp định tính kết hợp với định lượng sử dụng công cụ hồi quy tuyến tính với sự trợ giúp của SPSS, nhóm tác giả tiếp cận từ khách hàng của cảng Đông Port Said khảo sát qua phỏng vấn với bảng câu hỏi thang đo Likert 5 điểm để tìm ra 4 yếu tố ảnh hưởng đến lợi thế cạnh tranh cảng Đông Port Said từ đó sẽ giúp nhà quản lý cảng đưa ra giải pháp nâng cao nâng cao hiệu quả cũng như năng lực cạnh tranh của Đông Port Said. Hạn chế lớn nhất của nghiên cứu là mục đích chỉ để nhằm nâng cao lợi thế cạnh tranh cho cảng Đông Port Said, vì vậy với nghiên cứu này khó có thể áp dụng cho các khu vực khác hoặc các cảng</w:t>
      </w:r>
      <w:r>
        <w:rPr>
          <w:spacing w:val="-3"/>
        </w:rPr>
        <w:t> </w:t>
      </w:r>
      <w:r>
        <w:rPr/>
        <w:t>khác.</w:t>
      </w:r>
    </w:p>
    <w:p>
      <w:pPr>
        <w:pStyle w:val="BodyText"/>
        <w:spacing w:before="10"/>
        <w:rPr>
          <w:sz w:val="10"/>
        </w:rPr>
      </w:pPr>
      <w:r>
        <w:rPr/>
        <w:pict>
          <v:group style="position:absolute;margin-left:140.25pt;margin-top:8.238281pt;width:371.5pt;height:209.45pt;mso-position-horizontal-relative:page;mso-position-vertical-relative:paragraph;z-index:-15696384;mso-wrap-distance-left:0;mso-wrap-distance-right:0" coordorigin="2805,165" coordsize="7430,4189">
            <v:shape style="position:absolute;left:5172;top:639;width:2665;height:3289" coordorigin="5172,640" coordsize="2665,3289" path="m7837,2099l7820,2100,7835,2085,7825,2082,7835,2078,7826,2071,7837,2070,7837,2070,7816,2035,7816,2071,7815,2080,7816,2071,7816,2035,7755,1937,7753,1933,7746,1931,7742,1934,7737,1937,7736,1943,7738,1948,7792,2035,7738,2006,7709,1985,7705,1982,7699,1983,7697,1984,5184,640,5174,658,7727,2023,7768,2053,7716,2055,7709,2054,7683,2048,7678,2046,7672,2050,7672,2050,5180,1780,5178,1800,7671,2070,7671,2072,7676,2076,7711,2075,7763,2088,7719,2108,7676,2111,7672,2116,7672,2122,5175,2866,5181,2885,7681,2141,7682,2141,7687,2144,7692,2141,7718,2130,7726,2127,7770,2124,7747,2149,5172,3913,5184,3929,7712,2197,7718,2203,7724,2202,7728,2198,7760,2164,7796,2139,7753,2232,7750,2237,7752,2243,7762,2247,7768,2245,7771,2240,7836,2102,7837,2099xe" filled="true" fillcolor="#000000" stroked="false">
              <v:path arrowok="t"/>
              <v:fill type="solid"/>
            </v:shape>
            <v:shape style="position:absolute;left:6224;top:734;width:740;height:288" type="#_x0000_t202" filled="false" stroked="false">
              <v:textbox inset="0,0,0,0">
                <w:txbxContent>
                  <w:p>
                    <w:pPr>
                      <w:tabs>
                        <w:tab w:pos="719" w:val="left" w:leader="none"/>
                      </w:tabs>
                      <w:spacing w:line="287" w:lineRule="exact" w:before="0"/>
                      <w:ind w:left="0" w:right="0" w:firstLine="0"/>
                      <w:jc w:val="left"/>
                      <w:rPr>
                        <w:sz w:val="26"/>
                      </w:rPr>
                    </w:pPr>
                    <w:r>
                      <w:rPr>
                        <w:w w:val="99"/>
                        <w:sz w:val="26"/>
                        <w:shd w:fill="FFFFFF" w:color="auto" w:val="clear"/>
                      </w:rPr>
                      <w:t> </w:t>
                    </w:r>
                    <w:r>
                      <w:rPr>
                        <w:sz w:val="26"/>
                        <w:shd w:fill="FFFFFF" w:color="auto" w:val="clear"/>
                      </w:rPr>
                      <w:t> </w:t>
                    </w:r>
                    <w:r>
                      <w:rPr>
                        <w:spacing w:val="7"/>
                        <w:sz w:val="26"/>
                        <w:shd w:fill="FFFFFF" w:color="auto" w:val="clear"/>
                      </w:rPr>
                      <w:t> </w:t>
                    </w:r>
                    <w:r>
                      <w:rPr>
                        <w:sz w:val="26"/>
                        <w:shd w:fill="FFFFFF" w:color="auto" w:val="clear"/>
                      </w:rPr>
                      <w:t>H1</w:t>
                      <w:tab/>
                    </w:r>
                  </w:p>
                </w:txbxContent>
              </v:textbox>
              <w10:wrap type="none"/>
            </v:shape>
            <v:shape style="position:absolute;left:5350;top:1286;width:740;height:288" type="#_x0000_t202" filled="false" stroked="false">
              <v:textbox inset="0,0,0,0">
                <w:txbxContent>
                  <w:p>
                    <w:pPr>
                      <w:tabs>
                        <w:tab w:pos="719" w:val="left" w:leader="none"/>
                      </w:tabs>
                      <w:spacing w:line="287" w:lineRule="exact" w:before="0"/>
                      <w:ind w:left="0" w:right="0" w:firstLine="0"/>
                      <w:jc w:val="left"/>
                      <w:rPr>
                        <w:sz w:val="26"/>
                      </w:rPr>
                    </w:pPr>
                    <w:r>
                      <w:rPr>
                        <w:w w:val="99"/>
                        <w:sz w:val="26"/>
                        <w:shd w:fill="FFFFFF" w:color="auto" w:val="clear"/>
                      </w:rPr>
                      <w:t> </w:t>
                    </w:r>
                    <w:r>
                      <w:rPr>
                        <w:sz w:val="26"/>
                        <w:shd w:fill="FFFFFF" w:color="auto" w:val="clear"/>
                      </w:rPr>
                      <w:t> </w:t>
                    </w:r>
                    <w:r>
                      <w:rPr>
                        <w:spacing w:val="7"/>
                        <w:sz w:val="26"/>
                        <w:shd w:fill="FFFFFF" w:color="auto" w:val="clear"/>
                      </w:rPr>
                      <w:t> </w:t>
                    </w:r>
                    <w:r>
                      <w:rPr>
                        <w:sz w:val="26"/>
                        <w:shd w:fill="FFFFFF" w:color="auto" w:val="clear"/>
                      </w:rPr>
                      <w:t>H2</w:t>
                      <w:tab/>
                    </w:r>
                  </w:p>
                </w:txbxContent>
              </v:textbox>
              <w10:wrap type="none"/>
            </v:shape>
            <v:shape style="position:absolute;left:5363;top:2220;width:740;height:288" type="#_x0000_t202" filled="false" stroked="false">
              <v:textbox inset="0,0,0,0">
                <w:txbxContent>
                  <w:p>
                    <w:pPr>
                      <w:spacing w:line="287" w:lineRule="exact" w:before="0"/>
                      <w:ind w:left="0" w:right="0" w:firstLine="0"/>
                      <w:jc w:val="left"/>
                      <w:rPr>
                        <w:sz w:val="26"/>
                      </w:rPr>
                    </w:pPr>
                    <w:r>
                      <w:rPr>
                        <w:w w:val="99"/>
                        <w:sz w:val="26"/>
                        <w:shd w:fill="FFFFFF" w:color="auto" w:val="clear"/>
                      </w:rPr>
                      <w:t> </w:t>
                    </w:r>
                    <w:r>
                      <w:rPr>
                        <w:sz w:val="26"/>
                        <w:shd w:fill="FFFFFF" w:color="auto" w:val="clear"/>
                      </w:rPr>
                      <w:t>  H3 </w:t>
                    </w:r>
                  </w:p>
                </w:txbxContent>
              </v:textbox>
              <w10:wrap type="none"/>
            </v:shape>
            <v:shape style="position:absolute;left:6339;top:3377;width:740;height:288" type="#_x0000_t202" filled="false" stroked="false">
              <v:textbox inset="0,0,0,0">
                <w:txbxContent>
                  <w:p>
                    <w:pPr>
                      <w:tabs>
                        <w:tab w:pos="719" w:val="left" w:leader="none"/>
                      </w:tabs>
                      <w:spacing w:line="287" w:lineRule="exact" w:before="0"/>
                      <w:ind w:left="0" w:right="0" w:firstLine="0"/>
                      <w:jc w:val="left"/>
                      <w:rPr>
                        <w:sz w:val="26"/>
                      </w:rPr>
                    </w:pPr>
                    <w:r>
                      <w:rPr>
                        <w:w w:val="99"/>
                        <w:sz w:val="26"/>
                        <w:shd w:fill="FFFFFF" w:color="auto" w:val="clear"/>
                      </w:rPr>
                      <w:t> </w:t>
                    </w:r>
                    <w:r>
                      <w:rPr>
                        <w:sz w:val="26"/>
                        <w:shd w:fill="FFFFFF" w:color="auto" w:val="clear"/>
                      </w:rPr>
                      <w:t> </w:t>
                    </w:r>
                    <w:r>
                      <w:rPr>
                        <w:spacing w:val="7"/>
                        <w:sz w:val="26"/>
                        <w:shd w:fill="FFFFFF" w:color="auto" w:val="clear"/>
                      </w:rPr>
                      <w:t> </w:t>
                    </w:r>
                    <w:r>
                      <w:rPr>
                        <w:sz w:val="26"/>
                        <w:shd w:fill="FFFFFF" w:color="auto" w:val="clear"/>
                      </w:rPr>
                      <w:t>H4</w:t>
                      <w:tab/>
                    </w:r>
                  </w:p>
                </w:txbxContent>
              </v:textbox>
              <w10:wrap type="none"/>
            </v:shape>
            <v:shape style="position:absolute;left:2815;top:3578;width:2370;height:765" type="#_x0000_t202" filled="false" stroked="true" strokeweight="1pt" strokecolor="#2e528f">
              <v:textbox inset="0,0,0,0">
                <w:txbxContent>
                  <w:p>
                    <w:pPr>
                      <w:spacing w:before="77"/>
                      <w:ind w:left="235" w:right="0" w:firstLine="0"/>
                      <w:jc w:val="left"/>
                      <w:rPr>
                        <w:b/>
                        <w:sz w:val="26"/>
                      </w:rPr>
                    </w:pPr>
                    <w:r>
                      <w:rPr>
                        <w:b/>
                        <w:sz w:val="26"/>
                      </w:rPr>
                      <w:t>Chi phí Logistics</w:t>
                    </w:r>
                  </w:p>
                </w:txbxContent>
              </v:textbox>
              <v:stroke dashstyle="solid"/>
              <w10:wrap type="none"/>
            </v:shape>
            <v:shape style="position:absolute;left:2815;top:2453;width:2370;height:765" type="#_x0000_t202" filled="false" stroked="true" strokeweight="1pt" strokecolor="#2e528f">
              <v:textbox inset="0,0,0,0">
                <w:txbxContent>
                  <w:p>
                    <w:pPr>
                      <w:spacing w:before="74"/>
                      <w:ind w:left="744" w:right="19" w:hanging="471"/>
                      <w:jc w:val="left"/>
                      <w:rPr>
                        <w:b/>
                        <w:sz w:val="26"/>
                      </w:rPr>
                    </w:pPr>
                    <w:r>
                      <w:rPr>
                        <w:b/>
                        <w:sz w:val="26"/>
                      </w:rPr>
                      <w:t>Chất lượng dịch vụ cảng</w:t>
                    </w:r>
                  </w:p>
                </w:txbxContent>
              </v:textbox>
              <v:stroke dashstyle="solid"/>
              <w10:wrap type="none"/>
            </v:shape>
            <v:shape style="position:absolute;left:7855;top:1477;width:2370;height:1576" type="#_x0000_t202" filled="false" stroked="true" strokeweight="1pt" strokecolor="#2e528f">
              <v:textbox inset="0,0,0,0">
                <w:txbxContent>
                  <w:p>
                    <w:pPr>
                      <w:spacing w:before="75"/>
                      <w:ind w:left="203" w:right="199" w:firstLine="0"/>
                      <w:jc w:val="center"/>
                      <w:rPr>
                        <w:sz w:val="26"/>
                      </w:rPr>
                    </w:pPr>
                    <w:r>
                      <w:rPr>
                        <w:sz w:val="26"/>
                      </w:rPr>
                      <w:t>Lợi thế cạnh tranh cảng Đông Port Said</w:t>
                    </w:r>
                  </w:p>
                </w:txbxContent>
              </v:textbox>
              <v:stroke dashstyle="solid"/>
              <w10:wrap type="none"/>
            </v:shape>
            <v:shape style="position:absolute;left:2815;top:1313;width:2370;height:765" type="#_x0000_t202" filled="false" stroked="true" strokeweight="1pt" strokecolor="#2e528f">
              <v:textbox inset="0,0,0,0">
                <w:txbxContent>
                  <w:p>
                    <w:pPr>
                      <w:spacing w:before="75"/>
                      <w:ind w:left="376" w:right="0" w:firstLine="0"/>
                      <w:jc w:val="left"/>
                      <w:rPr>
                        <w:b/>
                        <w:sz w:val="26"/>
                      </w:rPr>
                    </w:pPr>
                    <w:r>
                      <w:rPr>
                        <w:b/>
                        <w:sz w:val="26"/>
                      </w:rPr>
                      <w:t>Cơ sở vật chất</w:t>
                    </w:r>
                  </w:p>
                </w:txbxContent>
              </v:textbox>
              <v:stroke dashstyle="solid"/>
              <w10:wrap type="none"/>
            </v:shape>
            <v:shape style="position:absolute;left:2815;top:174;width:2370;height:765" type="#_x0000_t202" filled="false" stroked="true" strokeweight="1pt" strokecolor="#2e528f">
              <v:textbox inset="0,0,0,0">
                <w:txbxContent>
                  <w:p>
                    <w:pPr>
                      <w:spacing w:before="74"/>
                      <w:ind w:left="535" w:right="0" w:firstLine="0"/>
                      <w:jc w:val="left"/>
                      <w:rPr>
                        <w:b/>
                        <w:sz w:val="26"/>
                      </w:rPr>
                    </w:pPr>
                    <w:r>
                      <w:rPr>
                        <w:b/>
                        <w:sz w:val="26"/>
                      </w:rPr>
                      <w:t>Vị trí địa lý</w:t>
                    </w:r>
                  </w:p>
                </w:txbxContent>
              </v:textbox>
              <v:stroke dashstyle="solid"/>
              <w10:wrap type="none"/>
            </v:shape>
            <w10:wrap type="topAndBottom"/>
          </v:group>
        </w:pict>
      </w:r>
    </w:p>
    <w:p>
      <w:pPr>
        <w:pStyle w:val="BodyText"/>
        <w:spacing w:before="8"/>
        <w:rPr>
          <w:sz w:val="16"/>
        </w:rPr>
      </w:pPr>
    </w:p>
    <w:p>
      <w:pPr>
        <w:pStyle w:val="Heading6"/>
        <w:spacing w:before="89"/>
        <w:ind w:left="1110"/>
        <w:jc w:val="left"/>
      </w:pPr>
      <w:r>
        <w:rPr/>
        <w:t>Hình 3.3: Mô hình nghiên cứu Ahmed Shaheen &amp; Hany Mahmoud, 2018</w:t>
      </w:r>
    </w:p>
    <w:p>
      <w:pPr>
        <w:spacing w:after="0"/>
        <w:jc w:val="left"/>
        <w:sectPr>
          <w:pgSz w:w="11910" w:h="16850"/>
          <w:pgMar w:header="751" w:footer="0" w:top="960" w:bottom="280" w:left="820" w:right="240"/>
        </w:sectPr>
      </w:pPr>
    </w:p>
    <w:p>
      <w:pPr>
        <w:pStyle w:val="BodyText"/>
        <w:rPr>
          <w:b/>
          <w:sz w:val="20"/>
        </w:rPr>
      </w:pPr>
    </w:p>
    <w:p>
      <w:pPr>
        <w:pStyle w:val="BodyText"/>
        <w:spacing w:before="7"/>
        <w:rPr>
          <w:b/>
          <w:sz w:val="23"/>
        </w:rPr>
      </w:pPr>
    </w:p>
    <w:p>
      <w:pPr>
        <w:pStyle w:val="BodyText"/>
        <w:spacing w:line="360" w:lineRule="auto" w:before="89"/>
        <w:ind w:left="882" w:right="888" w:firstLine="719"/>
        <w:jc w:val="both"/>
      </w:pPr>
      <w:r>
        <w:rPr>
          <w:b/>
        </w:rPr>
        <w:t>Elvira Haezendonck và cộng sự (2019) </w:t>
      </w:r>
      <w:r>
        <w:rPr/>
        <w:t>nghiên cứu “Tích hợp cụm cảng và lợi thế cạnh tranh trong nguồn lực mở rộng cảng biển Antwerp” nhóm tác giả dựa vào kết quả nghiên cứu định tính với 59 chuyên gia đã chỉ ra được lợi thế cạnh tranh của cảng ngoài các nguồn lực như vị trí, cơ sở vật chất, các dịch vụ, hình ảnh thương hiệu của cảng thì việc tích hợp, hợp tác của các cảng trong cụm cảng có thể không dẫn đến lợi thế cạnh tranh tốt bằng các nguồn lực cơ bản của cảng.</w:t>
      </w:r>
    </w:p>
    <w:p>
      <w:pPr>
        <w:pStyle w:val="Heading6"/>
        <w:numPr>
          <w:ilvl w:val="1"/>
          <w:numId w:val="24"/>
        </w:numPr>
        <w:tabs>
          <w:tab w:pos="1271" w:val="left" w:leader="none"/>
        </w:tabs>
        <w:spacing w:line="299" w:lineRule="exact" w:before="0" w:after="0"/>
        <w:ind w:left="1270" w:right="0" w:hanging="389"/>
        <w:jc w:val="both"/>
      </w:pPr>
      <w:r>
        <w:rPr/>
        <w:t>Kết quả nghiên cưu định tính để phát triển thang</w:t>
      </w:r>
      <w:r>
        <w:rPr>
          <w:spacing w:val="-6"/>
        </w:rPr>
        <w:t> </w:t>
      </w:r>
      <w:r>
        <w:rPr/>
        <w:t>đo</w:t>
      </w:r>
    </w:p>
    <w:p>
      <w:pPr>
        <w:pStyle w:val="BodyText"/>
        <w:spacing w:line="360" w:lineRule="auto" w:before="150"/>
        <w:ind w:left="882" w:right="888" w:firstLine="719"/>
        <w:jc w:val="both"/>
      </w:pPr>
      <w:r>
        <w:rPr/>
        <w:t>Sau khi nghiên cứu tài liệu xác định các thang đo khái niệm tác giả tiến hành phương pháp phỏng vấn tay đôi với 1 chuyên gia giám đốc khai thác hãng tàu TS Line, 1 chuyên gia là giám đốc công ty đại lý giao nhận Trans Pacific Global, 1 chuyên gia là giám đốc công ty nhôm Phong Phong Phú, 1 chuyên gia là giám đốc khai thác Tân cảng Cái Mép, 1 chuyên gia là phó tổng giám đốc Cảng VICT và 1 chuyên gia là Giảng viên có nhiều năm kinh nghiệm giảng dạy cảng và kinh tế biển để chỉnh sửa và lược bỏ bớt các thang đo khái niệm bị trùng và các thuật ngữ không phù hợp. Sau khi ổn định các khái niệm thang đo tác giả thực hiện phương pháp định tính tiếp theo đó là thảo luận nhóm, và tác giả đã thực hiện thảo luận thông qua thảo luận. Trong thảo luận nhóm tác giả đã đặt câu hỏi về các thang đo là các yếu tố ảnh hưởng đến lợi thế cạnh tranh cảng container, thông qua thảo luận nhóm tác giả đã bổ sung một số biến quan sát có giá trị để đo lường</w:t>
      </w:r>
      <w:r>
        <w:rPr>
          <w:spacing w:val="-5"/>
        </w:rPr>
        <w:t> </w:t>
      </w:r>
      <w:r>
        <w:rPr/>
        <w:t>như:</w:t>
      </w:r>
    </w:p>
    <w:p>
      <w:pPr>
        <w:pStyle w:val="BodyText"/>
        <w:spacing w:line="360" w:lineRule="auto"/>
        <w:ind w:left="882" w:right="888" w:firstLine="719"/>
        <w:jc w:val="both"/>
      </w:pPr>
      <w:r>
        <w:rPr/>
        <w:t>- Khoảng cách luồng ngắn, phần lớn cảng biển Việt Nam nằm trên các nhánh sông và nằm sâu trong các trung tâm Thành phố lớn vì vậy đối với các hãng tàu hoặc đại lý khi tính toán chi phí khai thác và lựa chọn cảng rất quan tâm đến vấn đề này và đây cũng là một nhân tố nằm trong yếu tố vị trí cảng ảnh hưởng đến lợi thế cạnh tranh cảng container tại Việt Nam.</w:t>
      </w:r>
    </w:p>
    <w:p>
      <w:pPr>
        <w:pStyle w:val="BodyText"/>
        <w:spacing w:line="360" w:lineRule="auto" w:before="2"/>
        <w:ind w:left="882" w:right="889" w:firstLine="719"/>
        <w:jc w:val="both"/>
      </w:pPr>
      <w:r>
        <w:rPr>
          <w:b/>
          <w:i/>
        </w:rPr>
        <w:t>- </w:t>
      </w:r>
      <w:r>
        <w:rPr/>
        <w:t>Cảng gần các cảng liên kết khác bao gồm các Depot. Các chuyên gia cho rằng một cảng để phát triển và nâng cao lợi thế cạnh tranh phải có nhiều vệ tinh bao quanh, vệ tinh có vai trò hỗ trợ và giúp cảng điều tiết một lượng container đi và đến tránh việc quá tải và tắc nghẽn. Vệ tinh ở đây có thể là các ICD (Inland Clearance Depot), các Depot, các khu bến container…Và đây cũng là một nhân tố quan trọng để mang đến lợi thế cạnh tranh cảng container Việt</w:t>
      </w:r>
      <w:r>
        <w:rPr>
          <w:spacing w:val="-3"/>
        </w:rPr>
        <w:t> </w:t>
      </w:r>
      <w:r>
        <w:rPr/>
        <w:t>Nam.</w:t>
      </w:r>
    </w:p>
    <w:p>
      <w:pPr>
        <w:spacing w:after="0" w:line="360" w:lineRule="auto"/>
        <w:jc w:val="both"/>
        <w:sectPr>
          <w:pgSz w:w="11910" w:h="16850"/>
          <w:pgMar w:header="751" w:footer="0" w:top="960" w:bottom="280" w:left="820" w:right="240"/>
        </w:sectPr>
      </w:pPr>
    </w:p>
    <w:p>
      <w:pPr>
        <w:pStyle w:val="BodyText"/>
        <w:rPr>
          <w:sz w:val="20"/>
        </w:rPr>
      </w:pPr>
    </w:p>
    <w:p>
      <w:pPr>
        <w:pStyle w:val="BodyText"/>
        <w:spacing w:before="7"/>
        <w:rPr>
          <w:sz w:val="23"/>
        </w:rPr>
      </w:pPr>
    </w:p>
    <w:p>
      <w:pPr>
        <w:pStyle w:val="BodyText"/>
        <w:spacing w:line="360" w:lineRule="auto" w:before="89"/>
        <w:ind w:left="882" w:right="888" w:firstLine="719"/>
        <w:jc w:val="both"/>
      </w:pPr>
      <w:r>
        <w:rPr/>
        <w:t>- Có nhiều tuyến đường sông đến cảng. Theo các chuyên gia do đặc thù của VN có hệ thống sông ngòi chằng chịt, đặc biệt ở phía nam VN hệ thống sông ngòi đã kết nối các vùng kinh tế trọng điểm với nhau và các doanh nghiệp để tiết kiệm chi phí vận tải nên thường sử dụng bằng vận tải thủy nội địa để vận tải hàng hóa xuất nhập khẩu từ kho về cảng và ngược lại. Vì vậy một cảng có nhiều tuyến đường sông kết nối sẽ là một ưu thế rất lớn để các doanh nghiệp lựa chọn từ đó tăng lợi thế cạnh</w:t>
      </w:r>
      <w:r>
        <w:rPr>
          <w:spacing w:val="-18"/>
        </w:rPr>
        <w:t> </w:t>
      </w:r>
      <w:r>
        <w:rPr/>
        <w:t>tranh.</w:t>
      </w:r>
    </w:p>
    <w:p>
      <w:pPr>
        <w:pStyle w:val="ListParagraph"/>
        <w:numPr>
          <w:ilvl w:val="0"/>
          <w:numId w:val="25"/>
        </w:numPr>
        <w:tabs>
          <w:tab w:pos="1787" w:val="left" w:leader="none"/>
        </w:tabs>
        <w:spacing w:line="360" w:lineRule="auto" w:before="0" w:after="0"/>
        <w:ind w:left="882" w:right="891" w:firstLine="719"/>
        <w:jc w:val="both"/>
        <w:rPr>
          <w:sz w:val="26"/>
        </w:rPr>
      </w:pPr>
      <w:r>
        <w:rPr>
          <w:sz w:val="26"/>
        </w:rPr>
        <w:t>Lợi thế vận tải của các công ty Logistics trong khu vực lớn. Các cảng VN thường nằm trên các nhánh sông và sâu trong các trung tâm thành phố nên rất hạn chế về diện tích vì vậy theo các chuyên gia thì cảng biển sẽ đạt lơi thế cạnh tranh hơn  trong khai thác nếu lợi thế vận tải của các công ty Logistics trong khu vực</w:t>
      </w:r>
      <w:r>
        <w:rPr>
          <w:spacing w:val="-12"/>
          <w:sz w:val="26"/>
        </w:rPr>
        <w:t> </w:t>
      </w:r>
      <w:r>
        <w:rPr>
          <w:sz w:val="26"/>
        </w:rPr>
        <w:t>lớn.</w:t>
      </w:r>
    </w:p>
    <w:p>
      <w:pPr>
        <w:pStyle w:val="ListParagraph"/>
        <w:numPr>
          <w:ilvl w:val="0"/>
          <w:numId w:val="25"/>
        </w:numPr>
        <w:tabs>
          <w:tab w:pos="1778" w:val="left" w:leader="none"/>
        </w:tabs>
        <w:spacing w:line="360" w:lineRule="auto" w:before="1" w:after="0"/>
        <w:ind w:left="882" w:right="888" w:firstLine="719"/>
        <w:jc w:val="both"/>
        <w:rPr>
          <w:sz w:val="26"/>
        </w:rPr>
      </w:pPr>
      <w:r>
        <w:rPr>
          <w:sz w:val="26"/>
        </w:rPr>
        <w:t>Khả năng kết nối mạng lưới đường sông và đường bộ vào các bãi container lớn, theo các chuyên gia thì hệ thống giao thông thủy và bộ của VN tương đối kém phát triển, có những khu vực đường giao thông kết nối các bãi container của cảng với quốc lộ rất hạn chế và nhỏ hẹp điều này sẽ ảnh hưởng rất lớn đến lưu thông của tuyến hậu phương cảng. Vì vậy đặc tính kết nối mạng lưới đường sông và đường bộ vào các bãi container lớn sẽ ảnh hưởng rất nhiều cho việc lựa chọn cảng của khách hàng, nâng cao hiệu quả khai thác</w:t>
      </w:r>
      <w:r>
        <w:rPr>
          <w:spacing w:val="3"/>
          <w:sz w:val="26"/>
        </w:rPr>
        <w:t> </w:t>
      </w:r>
      <w:r>
        <w:rPr>
          <w:sz w:val="26"/>
        </w:rPr>
        <w:t>cảng.</w:t>
      </w:r>
    </w:p>
    <w:p>
      <w:pPr>
        <w:pStyle w:val="ListParagraph"/>
        <w:numPr>
          <w:ilvl w:val="0"/>
          <w:numId w:val="25"/>
        </w:numPr>
        <w:tabs>
          <w:tab w:pos="1775" w:val="left" w:leader="none"/>
        </w:tabs>
        <w:spacing w:line="360" w:lineRule="auto" w:before="1" w:after="0"/>
        <w:ind w:left="882" w:right="888" w:firstLine="719"/>
        <w:jc w:val="both"/>
        <w:rPr>
          <w:sz w:val="26"/>
        </w:rPr>
      </w:pPr>
      <w:r>
        <w:rPr>
          <w:sz w:val="26"/>
        </w:rPr>
        <w:t>Chất lượng dịch vụ cảng nổi tiếng. Thể hiện ở chất lượng cung ứng dịch vụ Logistics cảng. Theo các chuyên gia trong nhóm thảo luận cùng tác giả thì đây là đặc tính rất quan trọng để tạo hiệu ứng lựa chọn cảng của khách hàng để mang đến lợi thế cạnh</w:t>
      </w:r>
      <w:r>
        <w:rPr>
          <w:spacing w:val="-1"/>
          <w:sz w:val="26"/>
        </w:rPr>
        <w:t> </w:t>
      </w:r>
      <w:r>
        <w:rPr>
          <w:sz w:val="26"/>
        </w:rPr>
        <w:t>tranh</w:t>
      </w:r>
    </w:p>
    <w:p>
      <w:pPr>
        <w:pStyle w:val="ListParagraph"/>
        <w:numPr>
          <w:ilvl w:val="0"/>
          <w:numId w:val="25"/>
        </w:numPr>
        <w:tabs>
          <w:tab w:pos="1756" w:val="left" w:leader="none"/>
        </w:tabs>
        <w:spacing w:line="360" w:lineRule="auto" w:before="0" w:after="0"/>
        <w:ind w:left="882" w:right="888" w:firstLine="719"/>
        <w:jc w:val="both"/>
        <w:rPr>
          <w:sz w:val="26"/>
        </w:rPr>
      </w:pPr>
      <w:r>
        <w:rPr>
          <w:sz w:val="26"/>
        </w:rPr>
        <w:t>Dịch vụ thủ tục hải quan thuận lợi. Theo các chuyên gia đối với quốc gia đang phát triển như VN thì thủ tục luôn là rào cản lớn đối với các doanh nghiệp đặc biệt là thủ tục thông quan, khi mà chúng ta còn sử dụng con người nhiều vào kiểm tra thông quan thì sẽ dễ xảy ra tình trạng mỗi nơi mỗi kiểu vì vậy cảng nào có dịch vụ thủ tục hải quan thuận lợi sẽ là yếu tố rất quan trọng trong việc thỏa mãn nhu cầu của doanh nghiệp và làm tăng lợi thế cạnh tranh.</w:t>
      </w:r>
    </w:p>
    <w:p>
      <w:pPr>
        <w:pStyle w:val="Heading6"/>
        <w:ind w:left="882"/>
      </w:pPr>
      <w:r>
        <w:rPr/>
        <w:t>Mô hình nghiên cứu đề xuất</w:t>
      </w:r>
    </w:p>
    <w:p>
      <w:pPr>
        <w:pStyle w:val="BodyText"/>
        <w:spacing w:line="360" w:lineRule="auto" w:before="149"/>
        <w:ind w:left="882" w:right="889" w:firstLine="575"/>
        <w:jc w:val="both"/>
      </w:pPr>
      <w:r>
        <w:rPr/>
        <w:t>Quá trình nghiên cứu định lượng đã giúp tác giả kế thừa nghiên cứu của Jose L. Tongzon (2005; 2008) về vai trò quan trọng của vị trí địa lý cảng khi nó góp phần tác động đến các quyết định lựa chọn cảng của khách hàng và từ đó sẽ ảnh hưởng đến lợi</w:t>
      </w:r>
    </w:p>
    <w:p>
      <w:pPr>
        <w:spacing w:after="0" w:line="360" w:lineRule="auto"/>
        <w:jc w:val="both"/>
        <w:sectPr>
          <w:pgSz w:w="11910" w:h="16850"/>
          <w:pgMar w:header="751" w:footer="0" w:top="960" w:bottom="280" w:left="820" w:right="240"/>
        </w:sectPr>
      </w:pPr>
    </w:p>
    <w:p>
      <w:pPr>
        <w:pStyle w:val="BodyText"/>
        <w:rPr>
          <w:sz w:val="20"/>
        </w:rPr>
      </w:pPr>
    </w:p>
    <w:p>
      <w:pPr>
        <w:pStyle w:val="BodyText"/>
        <w:spacing w:before="7"/>
        <w:rPr>
          <w:sz w:val="23"/>
        </w:rPr>
      </w:pPr>
    </w:p>
    <w:p>
      <w:pPr>
        <w:pStyle w:val="BodyText"/>
        <w:spacing w:line="360" w:lineRule="auto" w:before="89"/>
        <w:ind w:left="882" w:right="888"/>
        <w:jc w:val="both"/>
      </w:pPr>
      <w:r>
        <w:rPr/>
        <w:t>thế cạnh tranh. Điều này Yap and Notteboom (2011); Ahmed Shaheen &amp; Hany Mahmoud (2018); Elvira Haezendonck và cộng sự (2019) cũng khẳng định, khi khoảng cách vị trí cảng container với trung tâm sản xuất, thị trường nội địa và các khu vực phát triển kinh tế hợp lý bao giờ cũng là một lợi thế. Đồng quan điểm, Willingale (1984); Murphy và cộng sự (1991); Tongzon và cộng sự (2002) cũng cho rằng đây là yếu tố quan trọng nhất trong quan điểm thông thường khi các khách hàng lựa chọn cảng, vị trí của cảng có tác động to lớn đến chi phí của khách hàng, vị trí cảng có thể kể đến là khoảng cách từ cảng đến nhà kho của khách hàng, hoặc đến các cảng với nhau. Vị trí cảng được đo lường bởi tính thuận lợi trong vận tải, gần các khu công nghiệp, khu chế xuất, các trung tâm thương mại hay gần các cảng liên kết khác Chien- Chang Chou (2009); Chang Y. &amp; ctg</w:t>
      </w:r>
      <w:r>
        <w:rPr>
          <w:spacing w:val="-5"/>
        </w:rPr>
        <w:t> </w:t>
      </w:r>
      <w:r>
        <w:rPr/>
        <w:t>(2008).</w:t>
      </w:r>
    </w:p>
    <w:p>
      <w:pPr>
        <w:pStyle w:val="BodyText"/>
        <w:spacing w:line="360" w:lineRule="auto"/>
        <w:ind w:left="882" w:right="889" w:firstLine="575"/>
        <w:jc w:val="both"/>
      </w:pPr>
      <w:r>
        <w:rPr/>
        <w:t>Yếu tố cơ sở hạ tầng hay còn gọi là tiện nghi cảng được kế thừa từ nghiên cứu của Tongzon và cộng sự (2005, 2008); Chang, Y. &amp; ctg (2008); Ahmed Shaheen &amp; Hany Mahmoud (2018). Cơ sở hạ tầng cảng bao gồm các trang thiết bị hiện đại, hệ thống cứu chữa đạt tiêu chuẩn. Bên cạnh đó theo G-T Yeo (2008); Raimonds Aronietis và cộng sự (2010); Yap &amp; Notteboom (2011); Ahmed Shaheen &amp; Hany Mahmoud (2018); Elvira Haezendonck và cộng sự (2019) thì cơ sở hạ tầng còn bao gồm số lượng bến, cầu tàu, trang thiết bị xếp dỡ và có ảnh hưởng đến lợi thế cạnh tranh của</w:t>
      </w:r>
      <w:r>
        <w:rPr>
          <w:spacing w:val="-18"/>
        </w:rPr>
        <w:t> </w:t>
      </w:r>
      <w:r>
        <w:rPr/>
        <w:t>cảng.</w:t>
      </w:r>
    </w:p>
    <w:p>
      <w:pPr>
        <w:pStyle w:val="BodyText"/>
        <w:spacing w:line="360" w:lineRule="auto"/>
        <w:ind w:left="882" w:right="889" w:firstLine="575"/>
        <w:jc w:val="both"/>
      </w:pPr>
      <w:r>
        <w:rPr/>
        <w:t>Năng lực kết nối nội địa trong nghiên cứu của Viegmans (2008); Juang and Roe (2010); Woo et al. (2011); Bichou e Gray (2004); De Langen (2007); Vítor  Caldeirinha &amp; ctg (2012, 2014) liên quan đến khả năng kết nối tuyến đường sắt, đường bộ, tích hợp mạng lưới Logistics, kết nối mạng lưới Logistics với cảng nội địa, qua đó đảm bảo việc vận chuyển hàng hóa đến nơi đúng thời hạn với chi phí thấp nhất, thỏa mãn yêu cầu của khách hàng. Nếu một cảng container có năng lực kết nối đồng bộ giữa các phương thức vận tải sẽ mang lại niềm tin cho chủ hàng. Kết quả phỏng vấn chuyên gia bổ sung 3 biến quan sát cho bộ thang đo khái niệm này đó là: sự đa dạng tuyến đường sông đến cảng, năng lực vận tải của các công ty Logistics trong khu vực lớn.</w:t>
      </w:r>
    </w:p>
    <w:p>
      <w:pPr>
        <w:pStyle w:val="BodyText"/>
        <w:spacing w:line="360" w:lineRule="auto" w:before="1"/>
        <w:ind w:left="882" w:right="889" w:firstLine="575"/>
        <w:jc w:val="both"/>
      </w:pPr>
      <w:r>
        <w:rPr/>
        <w:t>Chi phí Logistics dịch vụ cảng được kế thừa từ G-T Yeo et al (2008); Chang Y. &amp; ctg (2008) yếu tố này được một số tác giả phát triển bằng hệ thống thang đo như cảng</w:t>
      </w:r>
      <w:r>
        <w:rPr>
          <w:spacing w:val="26"/>
        </w:rPr>
        <w:t> </w:t>
      </w:r>
      <w:r>
        <w:rPr/>
        <w:t>phí</w:t>
      </w:r>
      <w:r>
        <w:rPr>
          <w:spacing w:val="27"/>
        </w:rPr>
        <w:t> </w:t>
      </w:r>
      <w:r>
        <w:rPr/>
        <w:t>phù</w:t>
      </w:r>
      <w:r>
        <w:rPr>
          <w:spacing w:val="27"/>
        </w:rPr>
        <w:t> </w:t>
      </w:r>
      <w:r>
        <w:rPr/>
        <w:t>hợp,</w:t>
      </w:r>
      <w:r>
        <w:rPr>
          <w:spacing w:val="27"/>
        </w:rPr>
        <w:t> </w:t>
      </w:r>
      <w:r>
        <w:rPr/>
        <w:t>thấp</w:t>
      </w:r>
      <w:r>
        <w:rPr>
          <w:spacing w:val="26"/>
        </w:rPr>
        <w:t> </w:t>
      </w:r>
      <w:r>
        <w:rPr/>
        <w:t>hơn</w:t>
      </w:r>
      <w:r>
        <w:rPr>
          <w:spacing w:val="27"/>
        </w:rPr>
        <w:t> </w:t>
      </w:r>
      <w:r>
        <w:rPr/>
        <w:t>các</w:t>
      </w:r>
      <w:r>
        <w:rPr>
          <w:spacing w:val="27"/>
        </w:rPr>
        <w:t> </w:t>
      </w:r>
      <w:r>
        <w:rPr/>
        <w:t>cảng</w:t>
      </w:r>
      <w:r>
        <w:rPr>
          <w:spacing w:val="30"/>
        </w:rPr>
        <w:t> </w:t>
      </w:r>
      <w:r>
        <w:rPr/>
        <w:t>khác.</w:t>
      </w:r>
      <w:r>
        <w:rPr>
          <w:spacing w:val="26"/>
        </w:rPr>
        <w:t> </w:t>
      </w:r>
      <w:r>
        <w:rPr/>
        <w:t>Hay</w:t>
      </w:r>
      <w:r>
        <w:rPr>
          <w:spacing w:val="27"/>
        </w:rPr>
        <w:t> </w:t>
      </w:r>
      <w:r>
        <w:rPr/>
        <w:t>theo</w:t>
      </w:r>
      <w:r>
        <w:rPr>
          <w:spacing w:val="28"/>
        </w:rPr>
        <w:t> </w:t>
      </w:r>
      <w:r>
        <w:rPr/>
        <w:t>Wiegmans</w:t>
      </w:r>
      <w:r>
        <w:rPr>
          <w:spacing w:val="27"/>
        </w:rPr>
        <w:t> </w:t>
      </w:r>
      <w:r>
        <w:rPr/>
        <w:t>et</w:t>
      </w:r>
      <w:r>
        <w:rPr>
          <w:spacing w:val="26"/>
        </w:rPr>
        <w:t> </w:t>
      </w:r>
      <w:r>
        <w:rPr/>
        <w:t>al</w:t>
      </w:r>
      <w:r>
        <w:rPr>
          <w:spacing w:val="27"/>
        </w:rPr>
        <w:t> </w:t>
      </w:r>
      <w:r>
        <w:rPr/>
        <w:t>(2008);</w:t>
      </w:r>
      <w:r>
        <w:rPr>
          <w:spacing w:val="27"/>
        </w:rPr>
        <w:t> </w:t>
      </w:r>
      <w:r>
        <w:rPr/>
        <w:t>Elvira</w:t>
      </w:r>
    </w:p>
    <w:p>
      <w:pPr>
        <w:spacing w:after="0" w:line="360" w:lineRule="auto"/>
        <w:jc w:val="both"/>
        <w:sectPr>
          <w:pgSz w:w="11910" w:h="16850"/>
          <w:pgMar w:header="751" w:footer="0" w:top="960" w:bottom="280" w:left="820" w:right="240"/>
        </w:sectPr>
      </w:pPr>
    </w:p>
    <w:p>
      <w:pPr>
        <w:pStyle w:val="BodyText"/>
        <w:rPr>
          <w:sz w:val="20"/>
        </w:rPr>
      </w:pPr>
    </w:p>
    <w:p>
      <w:pPr>
        <w:pStyle w:val="BodyText"/>
        <w:spacing w:before="7"/>
        <w:rPr>
          <w:sz w:val="23"/>
        </w:rPr>
      </w:pPr>
    </w:p>
    <w:p>
      <w:pPr>
        <w:pStyle w:val="BodyText"/>
        <w:spacing w:line="360" w:lineRule="auto" w:before="89"/>
        <w:ind w:left="882" w:right="888"/>
        <w:jc w:val="both"/>
      </w:pPr>
      <w:r>
        <w:rPr/>
        <w:t>Haezendonck và cộng sự (2019) thì bao gồm cả các chi phí phụ trợ như chi phí thủ tục hải quan…Bên cạnh đó tác giả khi phỏng vấn nhóm chuyên gia thì phát triển thêm một biến quan sát là cảng phí ổn định. Cảng phí có ý nghĩa rất quan trọng tác động đến lợi thế cạnh tranh của cảng.</w:t>
      </w:r>
    </w:p>
    <w:p>
      <w:pPr>
        <w:pStyle w:val="BodyText"/>
        <w:spacing w:line="360" w:lineRule="auto"/>
        <w:ind w:left="882" w:right="888" w:firstLine="575"/>
        <w:jc w:val="both"/>
      </w:pPr>
      <w:r>
        <w:rPr/>
        <w:t>Độ tin cậy trong hoạt động cảng sẽ tác động đến lợi thế cạnh tranh cảng (Tongzon 1995) và sẽ ảnh hưởng đến sự lựa chọn cảng của khách hàng. Nếu chính quyền cảng hoặc nhà khai thác cảng luôn làm cho tàu hoặc hàng hóa bị chậm trễ vì lý do đình công, trang thiết bị hư hỏng, thời tiết và gây thiệt hại cho họ thì có nghĩa là họ không có sự tin cậy dành cho cảng vì vậy nếu các cảng có cùng mức phí thì yếu tố độ tin cậy sẽ là yếu tố lựa chọn của khách hàng. Bên cạnh đó độ tin cậy của cảng theo Vieg-mans (2008); Cachon and Fisher (2000); Zhao et al. (2002); Liu et al. (2009); Hosssein Cheraghi và cộng sự (2012) còn bao gồm hệ thống thông tin, quản lý, và các chiến lược chính sách</w:t>
      </w:r>
      <w:r>
        <w:rPr>
          <w:spacing w:val="-5"/>
        </w:rPr>
        <w:t> </w:t>
      </w:r>
      <w:r>
        <w:rPr/>
        <w:t>cảng</w:t>
      </w:r>
    </w:p>
    <w:p>
      <w:pPr>
        <w:pStyle w:val="BodyText"/>
        <w:spacing w:line="360" w:lineRule="auto"/>
        <w:ind w:left="882" w:right="888" w:firstLine="575"/>
        <w:jc w:val="both"/>
      </w:pPr>
      <w:r>
        <w:rPr/>
        <w:t>Chất lượng dịch vụ cảng bao gồm năng lực cung cấp container; năng suất của bãi container; năng lực làm việc hải quan; năng lực bến đậu tàu; hệ thống trao đổi dữ liệu điện tử; hệ thống dịch vụ cung cấp thông tin giao thông cho tàu; hệ thống quản lý thông tin (Chien Chang Chou, 2009; Yap and Notteboom, 2011; Ahmed Shaheen &amp; Hany Mahmoud, 2018). Chất lượng dịch vụ còn ao gồm những hình ảnh hay danh tiếng hoạt động cảng (Wiegmans et al., 2008); Elvira Haezendonck và cộng sự (2019) điều này sẽ tác động đến lợi thế cạnh tranh cảng. Bên cạnh đó việc một cản có chất lượng dịch vụ tốt hay hoạt động khai thác nổi tiếng cũng là yếu tố giúp cảng nâng cao lợi thế cạnh</w:t>
      </w:r>
      <w:r>
        <w:rPr>
          <w:spacing w:val="-4"/>
        </w:rPr>
        <w:t> </w:t>
      </w:r>
      <w:r>
        <w:rPr/>
        <w:t>tranh</w:t>
      </w:r>
    </w:p>
    <w:p>
      <w:pPr>
        <w:pStyle w:val="BodyText"/>
        <w:spacing w:line="360" w:lineRule="auto" w:before="1"/>
        <w:ind w:left="882" w:right="890" w:firstLine="575"/>
        <w:jc w:val="both"/>
      </w:pPr>
      <w:r>
        <w:rPr/>
        <w:t>Các yếu tố tạo lợi thế cạnh tranh cho doanh nghiệp đồng nghĩa với các yếu tố tạo ra giá trị, hay giá trị cảm nhận của khách hàng vượt trội so với các đối thủ; chất lượng dịch vụ là một trong các yếu tố cấu thành giá trị, hay giá trị cảm nhận của khách hàng và cũng là yếu tố trung tâm tạo ra lợi thế cạnh tranh cho doanh nghiệp (Nguyện Đình Thọ và Nguyễn Thị Mai Trang, 2011). Đó là các giá trị mà khách hàng có được sau khi sử dụng dịch vụ và mức độ hài lòng của khách</w:t>
      </w:r>
      <w:r>
        <w:rPr>
          <w:spacing w:val="-7"/>
        </w:rPr>
        <w:t> </w:t>
      </w:r>
      <w:r>
        <w:rPr/>
        <w:t>hàng.</w:t>
      </w:r>
    </w:p>
    <w:p>
      <w:pPr>
        <w:pStyle w:val="BodyText"/>
        <w:spacing w:line="360" w:lineRule="auto"/>
        <w:ind w:left="882" w:right="889" w:firstLine="719"/>
        <w:jc w:val="both"/>
      </w:pPr>
      <w:r>
        <w:rPr/>
        <w:t>Như vậy thông qua những công trình nghiên cứu đã được khám phá và kiểm định kết hợp với kết quả phỏng vấn chuyên gia, tác giả đề xuất mô hình nghiên cứu gồm 6 biến độc lập. Bảng câu hỏi được thiết kể trên thang đo Likert 5 điểm. Đối tượng</w:t>
      </w:r>
    </w:p>
    <w:p>
      <w:pPr>
        <w:spacing w:after="0" w:line="360" w:lineRule="auto"/>
        <w:jc w:val="both"/>
        <w:sectPr>
          <w:pgSz w:w="11910" w:h="16850"/>
          <w:pgMar w:header="751" w:footer="0" w:top="960" w:bottom="280" w:left="820" w:right="240"/>
        </w:sectPr>
      </w:pPr>
    </w:p>
    <w:p>
      <w:pPr>
        <w:pStyle w:val="BodyText"/>
        <w:rPr>
          <w:sz w:val="20"/>
        </w:rPr>
      </w:pPr>
    </w:p>
    <w:p>
      <w:pPr>
        <w:pStyle w:val="BodyText"/>
        <w:spacing w:before="7"/>
        <w:rPr>
          <w:sz w:val="23"/>
        </w:rPr>
      </w:pPr>
    </w:p>
    <w:p>
      <w:pPr>
        <w:pStyle w:val="BodyText"/>
        <w:spacing w:line="360" w:lineRule="auto" w:before="89"/>
        <w:ind w:left="882" w:right="1174"/>
      </w:pPr>
      <w:r>
        <w:rPr/>
        <w:t>khảo sát là khách hàng của cảng như các hãng tàu, doanh nghiệp xuất nhập khẩu và các doanh nghiệp kinh doanh dịch vụ Logistics.</w:t>
      </w:r>
    </w:p>
    <w:p>
      <w:pPr>
        <w:pStyle w:val="Heading7"/>
        <w:jc w:val="left"/>
        <w:rPr>
          <w:i/>
        </w:rPr>
      </w:pPr>
      <w:r>
        <w:rPr/>
        <w:pict>
          <v:group style="position:absolute;margin-left:59.950001pt;margin-top:31.796743pt;width:104.55pt;height:28.7pt;mso-position-horizontal-relative:page;mso-position-vertical-relative:paragraph;z-index:15770112" coordorigin="1199,636" coordsize="2091,574">
            <v:shape style="position:absolute;left:1209;top:645;width:2071;height:554" coordorigin="1209,646" coordsize="2071,554" path="m1301,646l1265,653,1236,673,1216,702,1209,738,1209,1108,1216,1143,1236,1173,1265,1193,1301,1200,3188,1200,3224,1193,3253,1173,3273,1143,3280,1108,3280,738,3273,702,3253,673,3224,653,3188,646,1301,646xe" filled="false" stroked="true" strokeweight="1pt" strokecolor="#2e528f">
              <v:path arrowok="t"/>
              <v:stroke dashstyle="solid"/>
            </v:shape>
            <v:shape style="position:absolute;left:1232;top:664;width:2024;height:517" type="#_x0000_t202" filled="false" stroked="false">
              <v:textbox inset="0,0,0,0">
                <w:txbxContent>
                  <w:p>
                    <w:pPr>
                      <w:spacing w:before="81"/>
                      <w:ind w:left="715" w:right="715" w:firstLine="0"/>
                      <w:jc w:val="center"/>
                      <w:rPr>
                        <w:b/>
                        <w:sz w:val="24"/>
                      </w:rPr>
                    </w:pPr>
                    <w:r>
                      <w:rPr>
                        <w:b/>
                        <w:sz w:val="24"/>
                      </w:rPr>
                      <w:t>Vị trí</w:t>
                    </w:r>
                  </w:p>
                </w:txbxContent>
              </v:textbox>
              <w10:wrap type="none"/>
            </v:shape>
            <w10:wrap type="none"/>
          </v:group>
        </w:pict>
      </w:r>
      <w:r>
        <w:rPr>
          <w:i/>
        </w:rPr>
        <w:t>Mô hình đề xuất:</w:t>
      </w:r>
    </w:p>
    <w:p>
      <w:pPr>
        <w:pStyle w:val="BodyText"/>
        <w:rPr>
          <w:b/>
          <w:i/>
          <w:sz w:val="20"/>
        </w:rPr>
      </w:pPr>
    </w:p>
    <w:p>
      <w:pPr>
        <w:pStyle w:val="BodyText"/>
        <w:rPr>
          <w:b/>
          <w:i/>
          <w:sz w:val="20"/>
        </w:rPr>
      </w:pPr>
    </w:p>
    <w:p>
      <w:pPr>
        <w:pStyle w:val="BodyText"/>
        <w:spacing w:before="7"/>
        <w:rPr>
          <w:b/>
          <w:i/>
          <w:sz w:val="11"/>
        </w:rPr>
      </w:pPr>
      <w:r>
        <w:rPr/>
        <w:pict>
          <v:group style="position:absolute;margin-left:57.900002pt;margin-top:8.650771pt;width:466.15pt;height:275.45pt;mso-position-horizontal-relative:page;mso-position-vertical-relative:paragraph;z-index:-15688192;mso-wrap-distance-left:0;mso-wrap-distance-right:0" coordorigin="1158,173" coordsize="9323,5509">
            <v:shape style="position:absolute;left:1182;top:716;width:2084;height:1792" coordorigin="1182,717" coordsize="2084,1792" path="m1285,717l1250,724,1221,743,1202,772,1195,806,1195,1166,1202,1201,1221,1229,1250,1249,1285,1256,3176,1256,3211,1249,3240,1229,3259,1201,3266,1166,3266,806,3259,772,3240,743,3211,724,3176,717,1285,717xm1329,1627l1272,1638,1225,1670,1194,1716,1182,1774,1182,2362,1194,2419,1225,2466,1272,2497,1329,2509,3106,2509,3163,2497,3210,2466,3241,2419,3253,2362,3253,1774,3241,1716,3210,1670,3163,1638,3106,1627,1329,1627xe" filled="false" stroked="true" strokeweight="1pt" strokecolor="#2e528f">
              <v:path arrowok="t"/>
              <v:stroke dashstyle="solid"/>
            </v:shape>
            <v:shape style="position:absolute;left:5081;top:1922;width:2630;height:1334" coordorigin="5081,1923" coordsize="2630,1334" path="m6396,1923l6298,1925,6202,1930,6108,1939,6016,1951,5927,1966,5842,1985,5759,2006,5680,2030,5605,2057,5533,2086,5466,2118,5404,2152,5346,2188,5293,2226,5245,2267,5167,2352,5113,2443,5085,2540,5081,2590,5085,2639,5113,2736,5167,2827,5245,2913,5293,2953,5346,2991,5404,3027,5466,3061,5533,3093,5605,3122,5680,3149,5759,3173,5842,3195,5927,3213,6016,3228,6108,3241,6202,3249,6298,3255,6396,3257,6494,3255,6590,3249,6684,3241,6776,3228,6865,3213,6950,3195,7033,3173,7112,3149,7187,3122,7259,3093,7326,3061,7388,3027,7446,2991,7499,2953,7547,2913,7625,2827,7679,2736,7707,2639,7711,2590,7707,2540,7679,2443,7625,2352,7547,2267,7499,2226,7446,2188,7388,2152,7326,2118,7259,2086,7187,2057,7112,2030,7033,2006,6950,1985,6865,1966,6776,1951,6684,1939,6590,1930,6494,1925,6396,1923xe" filled="false" stroked="true" strokeweight="1pt" strokecolor="#2e528f">
              <v:path arrowok="t"/>
              <v:stroke dashstyle="solid"/>
            </v:shape>
            <v:shape style="position:absolute;left:3232;top:952;width:5215;height:1633" coordorigin="3233,953" coordsize="5215,1633" path="m5062,2543l4952,2432,4948,2428,4942,2428,4938,2432,4934,2436,4934,2442,4938,2446,5009,2519,3242,2040,3236,2059,5004,2538,4906,2565,4900,2566,4897,2572,4899,2577,4900,2582,4906,2585,5045,2548,5062,2543xm5065,2423l5063,2418,5007,2272,5001,2270,4996,2272,4991,2274,4989,2279,5027,2380,3245,953,3233,968,5015,2396,4908,2380,4903,2383,4902,2394,4905,2399,5065,2423xm8447,1770l8297,1812,8291,1813,8288,1819,8290,1824,8291,1830,8297,1833,8302,1831,8400,1804,7683,2542,7697,2556,8415,1818,8390,1917,8389,1922,8392,1927,8403,1930,8408,1927,8409,1922,8445,1777,8447,1770xe" filled="true" fillcolor="#000000" stroked="false">
              <v:path arrowok="t"/>
              <v:fill type="solid"/>
            </v:shape>
            <v:shape style="position:absolute;left:1168;top:2903;width:2071;height:502" coordorigin="1168,2904" coordsize="2071,502" path="m1252,2904l1219,2910,1193,2928,1175,2955,1168,2987,1168,3322,1175,3355,1193,3381,1219,3399,1252,3406,3155,3406,3188,3399,3215,3381,3232,3355,3239,3322,3239,2987,3232,2955,3215,2928,3188,2910,3155,2904,1252,2904xe" filled="false" stroked="true" strokeweight="1pt" strokecolor="#2e528f">
              <v:path arrowok="t"/>
              <v:stroke dashstyle="solid"/>
            </v:shape>
            <v:shape style="position:absolute;left:3236;top:2593;width:1826;height:580" coordorigin="3236,2593" coordsize="1826,580" path="m5004,2639l3236,3154,3242,3173,5010,2658,5024,2643,5004,2639xm5046,2628l5040,2628,5045,2647,5010,2658,4940,2732,4936,2736,4936,2742,4940,2746,4944,2750,4950,2749,5062,2632,5046,2628xm5024,2643l5010,2658,5045,2647,5040,2647,5024,2643xm5035,2631l5024,2643,5040,2647,5035,2631xm5041,2631l5035,2631,5040,2647,5045,2647,5041,2631xm5040,2628l5004,2639,5024,2643,5035,2631,5041,2631,5040,2628xm4905,2593l4899,2596,4898,2602,4897,2607,4900,2613,4905,2614,5004,2639,5040,2628,5046,2628,4910,2594,4905,2593xe" filled="true" fillcolor="#000000" stroked="false">
              <v:path arrowok="t"/>
              <v:fill type="solid"/>
            </v:shape>
            <v:shape style="position:absolute;left:1168;top:3813;width:2071;height:867" coordorigin="1168,3814" coordsize="2071,867" path="m1313,3814l1256,3825,1210,3856,1179,3902,1168,3958,1168,4536,1179,4592,1210,4638,1256,4669,1313,4681,3095,4681,3151,4669,3197,4638,3228,4592,3239,4536,3239,3958,3228,3902,3197,3856,3151,3825,3095,3814,1313,3814xe" filled="false" stroked="true" strokeweight="1pt" strokecolor="#2e528f">
              <v:path arrowok="t"/>
              <v:stroke dashstyle="solid"/>
            </v:shape>
            <v:shape style="position:absolute;left:3208;top:2686;width:1857;height:1491" coordorigin="3209,2686" coordsize="1857,1491" path="m5034,2711l5015,2714,3209,4161,3221,4176,5027,2730,5034,2711xm5063,2691l5044,2691,5056,2706,5027,2730,4989,2830,4991,2836,4996,2838,5001,2840,5007,2837,5063,2691xm5065,2686l4905,2710,4902,2715,4903,2726,4908,2730,5015,2714,5044,2691,5063,2691,5065,2686xm5047,2695l5040,2695,5051,2709,5034,2711,5027,2730,5056,2706,5047,2695xm5044,2691l5015,2714,5034,2711,5040,2695,5047,2695,5044,2691xm5040,2695l5034,2711,5051,2709,5040,2695xe" filled="true" fillcolor="#000000" stroked="false">
              <v:path arrowok="t"/>
              <v:fill type="solid"/>
            </v:shape>
            <v:shape style="position:absolute;left:1168;top:5063;width:2071;height:608" coordorigin="1168,5064" coordsize="2071,608" path="m1269,5064l1230,5072,1198,5093,1176,5126,1168,5165,1168,5570,1176,5610,1198,5642,1230,5664,1269,5672,3138,5672,3177,5664,3209,5642,3231,5610,3239,5570,3239,5165,3231,5126,3209,5093,3177,5072,3138,5064,1269,5064xe" filled="false" stroked="true" strokeweight="1pt" strokecolor="#2e528f">
              <v:path arrowok="t"/>
              <v:stroke dashstyle="solid"/>
            </v:shape>
            <v:shape style="position:absolute;left:3245;top:2765;width:1857;height:2550" coordorigin="3245,2765" coordsize="1857,2550" path="m5078,2797l5059,2805,3245,5303,3261,5314,5076,2817,5078,2797xm5100,2775l5081,2775,5098,2787,5076,2817,5066,2918,5065,2924,5069,2929,5075,2929,5080,2930,5085,2926,5086,2920,5100,2775xm5101,2765l4953,2830,4951,2836,4953,2841,4955,2846,4961,2848,4966,2846,5059,2805,5081,2775,5100,2775,5101,2765xm5088,2780l5080,2780,5094,2790,5078,2797,5076,2817,5098,2787,5088,2780xm5081,2775l5059,2805,5078,2797,5080,2780,5088,2780,5081,2775xm5080,2780l5078,2797,5094,2790,5080,2780xe" filled="true" fillcolor="#000000" stroked="false">
              <v:path arrowok="t"/>
              <v:fill type="solid"/>
            </v:shape>
            <v:rect style="position:absolute;left:3239;top:2475;width:719;height:473" filled="true" fillcolor="#ffffff" stroked="false">
              <v:fill type="solid"/>
            </v:rect>
            <v:shape style="position:absolute;left:7841;top:565;width:2630;height:4025" coordorigin="7841,566" coordsize="2630,4025" path="m9156,566l9058,568,8962,573,8868,582,8776,594,8687,609,8602,628,8519,649,8440,673,8365,700,8293,729,8226,761,8164,795,8106,831,8053,869,8005,910,7963,951,7927,995,7897,1040,7873,1086,7855,1134,7845,1183,7841,1233,7845,1282,7855,1331,7873,1379,7897,1425,7927,1470,7963,1514,8005,1556,8053,1596,8106,1634,8164,1670,8226,1704,8293,1736,8365,1765,8440,1792,8519,1816,8602,1838,8687,1856,8776,1871,8868,1884,8962,1892,9058,1898,9156,1900,9254,1898,9350,1892,9444,1884,9536,1871,9625,1856,9710,1838,9793,1816,9872,1792,9947,1765,10019,1736,10086,1704,10148,1670,10206,1634,10259,1596,10307,1556,10349,1514,10385,1470,10415,1425,10439,1379,10457,1331,10467,1282,10471,1233,10467,1183,10457,1134,10439,1086,10415,1040,10385,995,10349,951,10307,910,10259,869,10206,831,10148,795,10086,761,10019,729,9947,700,9872,673,9793,649,9710,628,9625,609,9536,594,9444,582,9350,573,9254,568,9156,566xm9156,3257l9058,3259,8962,3264,8868,3273,8776,3285,8687,3300,8602,3319,8519,3340,8440,3364,8365,3391,8293,3420,8226,3452,8164,3486,8106,3522,8053,3560,8005,3601,7963,3642,7927,3686,7897,3731,7873,3777,7855,3825,7845,3874,7841,3924,7845,3973,7855,4022,7873,4070,7897,4116,7927,4161,7963,4205,8005,4247,8053,4287,8106,4325,8164,4361,8226,4395,8293,4427,8365,4456,8440,4483,8519,4507,8602,4529,8687,4547,8776,4562,8868,4575,8962,4583,9058,4589,9156,4591,9254,4589,9350,4583,9444,4575,9536,4562,9625,4547,9710,4529,9793,4507,9872,4483,9947,4456,10019,4427,10086,4395,10148,4361,10206,4325,10259,4287,10307,4247,10349,4205,10385,4161,10415,4116,10439,4070,10457,4022,10467,3973,10471,3924,10467,3874,10457,3825,10439,3777,10415,3731,10385,3686,10349,3642,10307,3601,10259,3560,10206,3522,10148,3486,10086,3452,10019,3420,9947,3391,9872,3364,9793,3340,9710,3319,9625,3300,9536,3285,9444,3273,9350,3264,9254,3259,9156,3257xe" filled="false" stroked="true" strokeweight="1pt" strokecolor="#2e528f">
              <v:path arrowok="t"/>
              <v:stroke dashstyle="solid"/>
            </v:shape>
            <v:shape style="position:absolute;left:1522;top:828;width:1438;height:266" type="#_x0000_t202" filled="false" stroked="false">
              <v:textbox inset="0,0,0,0">
                <w:txbxContent>
                  <w:p>
                    <w:pPr>
                      <w:spacing w:line="266" w:lineRule="exact" w:before="0"/>
                      <w:ind w:left="0" w:right="0" w:firstLine="0"/>
                      <w:jc w:val="left"/>
                      <w:rPr>
                        <w:b/>
                        <w:sz w:val="24"/>
                      </w:rPr>
                    </w:pPr>
                    <w:r>
                      <w:rPr>
                        <w:b/>
                        <w:sz w:val="24"/>
                      </w:rPr>
                      <w:t>Cơ sở hạ tầng</w:t>
                    </w:r>
                  </w:p>
                </w:txbxContent>
              </v:textbox>
              <w10:wrap type="none"/>
            </v:shape>
            <v:shape style="position:absolute;left:8559;top:828;width:1216;height:542" type="#_x0000_t202" filled="false" stroked="false">
              <v:textbox inset="0,0,0,0">
                <w:txbxContent>
                  <w:p>
                    <w:pPr>
                      <w:spacing w:line="240" w:lineRule="auto" w:before="0"/>
                      <w:ind w:left="0" w:right="2" w:firstLine="24"/>
                      <w:jc w:val="left"/>
                      <w:rPr>
                        <w:b/>
                        <w:sz w:val="24"/>
                      </w:rPr>
                    </w:pPr>
                    <w:r>
                      <w:rPr>
                        <w:b/>
                        <w:sz w:val="24"/>
                      </w:rPr>
                      <w:t>Lợi ích của khách hàng</w:t>
                    </w:r>
                  </w:p>
                </w:txbxContent>
              </v:textbox>
              <w10:wrap type="none"/>
            </v:shape>
            <v:shape style="position:absolute;left:1382;top:1752;width:1685;height:543" type="#_x0000_t202" filled="false" stroked="false">
              <v:textbox inset="0,0,0,0">
                <w:txbxContent>
                  <w:p>
                    <w:pPr>
                      <w:spacing w:line="240" w:lineRule="auto" w:before="0"/>
                      <w:ind w:left="436" w:right="2" w:hanging="437"/>
                      <w:jc w:val="left"/>
                      <w:rPr>
                        <w:b/>
                        <w:sz w:val="24"/>
                      </w:rPr>
                    </w:pPr>
                    <w:r>
                      <w:rPr>
                        <w:b/>
                        <w:sz w:val="24"/>
                      </w:rPr>
                      <w:t>Chất lượng dịch vụ cảng</w:t>
                    </w:r>
                  </w:p>
                </w:txbxContent>
              </v:textbox>
              <w10:wrap type="none"/>
            </v:shape>
            <v:shape style="position:absolute;left:7739;top:1925;width:313;height:266" type="#_x0000_t202" filled="false" stroked="false">
              <v:textbox inset="0,0,0,0">
                <w:txbxContent>
                  <w:p>
                    <w:pPr>
                      <w:spacing w:line="266" w:lineRule="exact" w:before="0"/>
                      <w:ind w:left="0" w:right="0" w:firstLine="0"/>
                      <w:jc w:val="left"/>
                      <w:rPr>
                        <w:sz w:val="24"/>
                      </w:rPr>
                    </w:pPr>
                    <w:r>
                      <w:rPr>
                        <w:sz w:val="24"/>
                      </w:rPr>
                      <w:t>H7</w:t>
                    </w:r>
                  </w:p>
                </w:txbxContent>
              </v:textbox>
              <w10:wrap type="none"/>
            </v:shape>
            <v:shape style="position:absolute;left:3384;top:2559;width:313;height:266" type="#_x0000_t202" filled="false" stroked="false">
              <v:textbox inset="0,0,0,0">
                <w:txbxContent>
                  <w:p>
                    <w:pPr>
                      <w:spacing w:line="266" w:lineRule="exact" w:before="0"/>
                      <w:ind w:left="0" w:right="0" w:firstLine="0"/>
                      <w:jc w:val="left"/>
                      <w:rPr>
                        <w:sz w:val="24"/>
                      </w:rPr>
                    </w:pPr>
                    <w:r>
                      <w:rPr>
                        <w:sz w:val="24"/>
                      </w:rPr>
                      <w:t>H4</w:t>
                    </w:r>
                  </w:p>
                </w:txbxContent>
              </v:textbox>
              <w10:wrap type="none"/>
            </v:shape>
            <v:shape style="position:absolute;left:5749;top:2187;width:1313;height:818" type="#_x0000_t202" filled="false" stroked="false">
              <v:textbox inset="0,0,0,0">
                <w:txbxContent>
                  <w:p>
                    <w:pPr>
                      <w:spacing w:line="240" w:lineRule="auto" w:before="0"/>
                      <w:ind w:left="-1" w:right="18" w:firstLine="0"/>
                      <w:jc w:val="center"/>
                      <w:rPr>
                        <w:b/>
                        <w:sz w:val="24"/>
                      </w:rPr>
                    </w:pPr>
                    <w:r>
                      <w:rPr>
                        <w:b/>
                        <w:sz w:val="24"/>
                      </w:rPr>
                      <w:t>Lợi thế </w:t>
                    </w:r>
                    <w:r>
                      <w:rPr>
                        <w:b/>
                        <w:spacing w:val="-5"/>
                        <w:sz w:val="24"/>
                      </w:rPr>
                      <w:t>cạnh </w:t>
                    </w:r>
                    <w:r>
                      <w:rPr>
                        <w:b/>
                        <w:sz w:val="24"/>
                      </w:rPr>
                      <w:t>tranh cảng container</w:t>
                    </w:r>
                  </w:p>
                </w:txbxContent>
              </v:textbox>
              <w10:wrap type="none"/>
            </v:shape>
            <v:shape style="position:absolute;left:1382;top:3012;width:1662;height:266" type="#_x0000_t202" filled="false" stroked="false">
              <v:textbox inset="0,0,0,0">
                <w:txbxContent>
                  <w:p>
                    <w:pPr>
                      <w:spacing w:line="266" w:lineRule="exact" w:before="0"/>
                      <w:ind w:left="0" w:right="0" w:firstLine="0"/>
                      <w:jc w:val="left"/>
                      <w:rPr>
                        <w:b/>
                        <w:sz w:val="24"/>
                      </w:rPr>
                    </w:pPr>
                    <w:r>
                      <w:rPr>
                        <w:b/>
                        <w:sz w:val="24"/>
                      </w:rPr>
                      <w:t>Chi phí logistics</w:t>
                    </w:r>
                  </w:p>
                </w:txbxContent>
              </v:textbox>
              <w10:wrap type="none"/>
            </v:shape>
            <v:shape style="position:absolute;left:3384;top:3480;width:318;height:314" type="#_x0000_t202" filled="false" stroked="false">
              <v:textbox inset="0,0,0,0">
                <w:txbxContent>
                  <w:p>
                    <w:pPr>
                      <w:spacing w:before="33"/>
                      <w:ind w:left="0" w:right="0" w:firstLine="0"/>
                      <w:jc w:val="left"/>
                      <w:rPr>
                        <w:sz w:val="24"/>
                      </w:rPr>
                    </w:pPr>
                    <w:r>
                      <w:rPr>
                        <w:sz w:val="24"/>
                      </w:rPr>
                      <w:t>H5</w:t>
                    </w:r>
                  </w:p>
                </w:txbxContent>
              </v:textbox>
              <w10:wrap type="none"/>
            </v:shape>
            <v:shape style="position:absolute;left:1361;top:3941;width:1704;height:542" type="#_x0000_t202" filled="false" stroked="false">
              <v:textbox inset="0,0,0,0">
                <w:txbxContent>
                  <w:p>
                    <w:pPr>
                      <w:spacing w:line="240" w:lineRule="auto" w:before="0"/>
                      <w:ind w:left="492" w:right="-1" w:hanging="492"/>
                      <w:jc w:val="left"/>
                      <w:rPr>
                        <w:b/>
                        <w:sz w:val="24"/>
                      </w:rPr>
                    </w:pPr>
                    <w:r>
                      <w:rPr>
                        <w:b/>
                        <w:sz w:val="24"/>
                      </w:rPr>
                      <w:t>Năng lực kết nối nội địa</w:t>
                    </w:r>
                  </w:p>
                </w:txbxContent>
              </v:textbox>
              <w10:wrap type="none"/>
            </v:shape>
            <v:shape style="position:absolute;left:8367;top:3521;width:1600;height:542" type="#_x0000_t202" filled="false" stroked="false">
              <v:textbox inset="0,0,0,0">
                <w:txbxContent>
                  <w:p>
                    <w:pPr>
                      <w:spacing w:line="240" w:lineRule="auto" w:before="0"/>
                      <w:ind w:left="192" w:right="2" w:hanging="192"/>
                      <w:jc w:val="left"/>
                      <w:rPr>
                        <w:b/>
                        <w:sz w:val="24"/>
                      </w:rPr>
                    </w:pPr>
                    <w:r>
                      <w:rPr>
                        <w:b/>
                        <w:sz w:val="24"/>
                      </w:rPr>
                      <w:t>Sự hài lòng của khách hàng</w:t>
                    </w:r>
                  </w:p>
                </w:txbxContent>
              </v:textbox>
              <w10:wrap type="none"/>
            </v:shape>
            <v:shape style="position:absolute;left:4113;top:4440;width:739;height:266" type="#_x0000_t202" filled="false" stroked="false">
              <v:textbox inset="0,0,0,0">
                <w:txbxContent>
                  <w:p>
                    <w:pPr>
                      <w:tabs>
                        <w:tab w:pos="718" w:val="left" w:leader="none"/>
                      </w:tabs>
                      <w:spacing w:line="266" w:lineRule="exact" w:before="0"/>
                      <w:ind w:left="0" w:right="0" w:firstLine="0"/>
                      <w:jc w:val="left"/>
                      <w:rPr>
                        <w:sz w:val="24"/>
                      </w:rPr>
                    </w:pPr>
                    <w:r>
                      <w:rPr>
                        <w:sz w:val="24"/>
                        <w:shd w:fill="FFFFFF" w:color="auto" w:val="clear"/>
                      </w:rPr>
                      <w:t> </w:t>
                    </w:r>
                    <w:r>
                      <w:rPr>
                        <w:spacing w:val="25"/>
                        <w:sz w:val="24"/>
                        <w:shd w:fill="FFFFFF" w:color="auto" w:val="clear"/>
                      </w:rPr>
                      <w:t> </w:t>
                    </w:r>
                    <w:r>
                      <w:rPr>
                        <w:sz w:val="24"/>
                        <w:shd w:fill="FFFFFF" w:color="auto" w:val="clear"/>
                      </w:rPr>
                      <w:t>H6</w:t>
                      <w:tab/>
                    </w:r>
                  </w:p>
                </w:txbxContent>
              </v:textbox>
              <w10:wrap type="none"/>
            </v:shape>
            <v:shape style="position:absolute;left:1685;top:5177;width:1059;height:266" type="#_x0000_t202" filled="false" stroked="false">
              <v:textbox inset="0,0,0,0">
                <w:txbxContent>
                  <w:p>
                    <w:pPr>
                      <w:spacing w:line="266" w:lineRule="exact" w:before="0"/>
                      <w:ind w:left="0" w:right="0" w:firstLine="0"/>
                      <w:jc w:val="left"/>
                      <w:rPr>
                        <w:b/>
                        <w:sz w:val="24"/>
                      </w:rPr>
                    </w:pPr>
                    <w:r>
                      <w:rPr>
                        <w:b/>
                        <w:sz w:val="24"/>
                      </w:rPr>
                      <w:t>Độ tin cậy</w:t>
                    </w:r>
                  </w:p>
                </w:txbxContent>
              </v:textbox>
              <w10:wrap type="none"/>
            </v:shape>
            <v:shape style="position:absolute;left:3456;top:986;width:498;height:960" type="#_x0000_t202" filled="false" stroked="false">
              <v:textbox inset="0,0,0,0">
                <w:txbxContent>
                  <w:p>
                    <w:pPr>
                      <w:spacing w:before="33"/>
                      <w:ind w:left="180" w:right="0" w:firstLine="0"/>
                      <w:jc w:val="left"/>
                      <w:rPr>
                        <w:sz w:val="24"/>
                      </w:rPr>
                    </w:pPr>
                    <w:r>
                      <w:rPr>
                        <w:sz w:val="24"/>
                      </w:rPr>
                      <w:t>H2</w:t>
                    </w:r>
                  </w:p>
                  <w:p>
                    <w:pPr>
                      <w:spacing w:line="240" w:lineRule="auto" w:before="1"/>
                      <w:rPr>
                        <w:sz w:val="32"/>
                      </w:rPr>
                    </w:pPr>
                  </w:p>
                  <w:p>
                    <w:pPr>
                      <w:spacing w:before="1"/>
                      <w:ind w:left="0" w:right="0" w:firstLine="0"/>
                      <w:jc w:val="left"/>
                      <w:rPr>
                        <w:sz w:val="24"/>
                      </w:rPr>
                    </w:pPr>
                    <w:r>
                      <w:rPr>
                        <w:sz w:val="24"/>
                      </w:rPr>
                      <w:t>H3</w:t>
                    </w:r>
                  </w:p>
                </w:txbxContent>
              </v:textbox>
              <w10:wrap type="none"/>
            </v:shape>
            <v:shape style="position:absolute;left:3823;top:173;width:313;height:266" type="#_x0000_t202" filled="false" stroked="false">
              <v:textbox inset="0,0,0,0">
                <w:txbxContent>
                  <w:p>
                    <w:pPr>
                      <w:spacing w:line="266" w:lineRule="exact" w:before="0"/>
                      <w:ind w:left="0" w:right="0" w:firstLine="0"/>
                      <w:jc w:val="left"/>
                      <w:rPr>
                        <w:sz w:val="24"/>
                      </w:rPr>
                    </w:pPr>
                    <w:r>
                      <w:rPr>
                        <w:sz w:val="24"/>
                      </w:rPr>
                      <w:t>H1</w:t>
                    </w:r>
                  </w:p>
                </w:txbxContent>
              </v:textbox>
              <w10:wrap type="none"/>
            </v:shape>
            <v:shape style="position:absolute;left:3258;top:269;width:1888;height:2071" coordorigin="3259,270" coordsize="1888,2071" path="m4998,2273l4993,2276,4991,2281,4989,2287,4992,2292,4998,2294,5146,2341,5145,2333,5126,2333,5101,2305,5003,2275,4998,2273xm5101,2305l5126,2333,5131,2328,5123,2328,5120,2311,5101,2305xm5107,2179l5097,2182,5093,2187,5094,2192,5115,2292,5140,2319,5126,2333,5145,2333,5114,2188,5113,2183,5107,2179xm5120,2311l5123,2328,5136,2316,5120,2311xm5115,2292l5120,2311,5136,2316,5123,2328,5131,2328,5140,2319,5115,2292xm3273,270l3259,283,5101,2305,5120,2311,5115,2292,3273,270xe" filled="true" fillcolor="#000000" stroked="false">
              <v:path arrowok="t"/>
              <v:fill type="solid"/>
            </v:shape>
            <v:shape style="position:absolute;left:7706;top:2709;width:1013;height:572" type="#_x0000_t202" filled="false" stroked="false">
              <v:textbox inset="0,0,0,0">
                <w:txbxContent>
                  <w:p>
                    <w:pPr>
                      <w:spacing w:line="240" w:lineRule="auto" w:before="7"/>
                      <w:rPr>
                        <w:b/>
                        <w:i/>
                        <w:sz w:val="25"/>
                      </w:rPr>
                    </w:pPr>
                  </w:p>
                  <w:p>
                    <w:pPr>
                      <w:spacing w:before="0"/>
                      <w:ind w:left="47" w:right="0" w:firstLine="0"/>
                      <w:jc w:val="left"/>
                      <w:rPr>
                        <w:sz w:val="24"/>
                      </w:rPr>
                    </w:pPr>
                    <w:r>
                      <w:rPr>
                        <w:sz w:val="24"/>
                      </w:rPr>
                      <w:t>H8</w:t>
                    </w:r>
                  </w:p>
                </w:txbxContent>
              </v:textbox>
              <w10:wrap type="none"/>
            </v:shape>
            <v:shape style="position:absolute;left:7706;top:2709;width:1013;height:545" coordorigin="7706,2710" coordsize="1013,545" path="m8664,3230l8562,3234,8557,3235,8553,3239,8553,3250,8558,3255,8563,3254,8719,3247,8719,3247,8697,3247,8664,3230xm8684,3229l8664,3230,8697,3247,8699,3243,8693,3243,8684,3229xm8627,3109l8622,3112,8618,3115,8616,3121,8619,3126,8674,3212,8706,3229,8697,3247,8719,3247,8636,3115,8633,3110,8627,3109xm8701,3228l8684,3229,8693,3243,8701,3228xm8704,3228l8701,3228,8693,3243,8699,3243,8706,3229,8704,3228xm7716,2710l7706,2727,8664,3230,8684,3229,8674,3212,7716,2710xm8674,3212l8684,3229,8701,3228,8704,3228,8674,3212xe" filled="true" fillcolor="#000000" stroked="false">
              <v:path arrowok="t"/>
              <v:fill type="solid"/>
            </v:shape>
            <w10:wrap type="topAndBottom"/>
          </v:group>
        </w:pict>
      </w:r>
    </w:p>
    <w:p>
      <w:pPr>
        <w:pStyle w:val="BodyText"/>
        <w:spacing w:before="3"/>
        <w:rPr>
          <w:b/>
          <w:i/>
          <w:sz w:val="6"/>
        </w:rPr>
      </w:pPr>
    </w:p>
    <w:p>
      <w:pPr>
        <w:spacing w:before="89"/>
        <w:ind w:left="1095" w:right="726" w:firstLine="0"/>
        <w:jc w:val="center"/>
        <w:rPr>
          <w:b/>
          <w:sz w:val="26"/>
        </w:rPr>
      </w:pPr>
      <w:r>
        <w:rPr>
          <w:b/>
          <w:sz w:val="26"/>
        </w:rPr>
        <w:t>Hình 3.4: Mô hình nghiên cứu đề xuất của tác giả</w:t>
      </w:r>
    </w:p>
    <w:p>
      <w:pPr>
        <w:pStyle w:val="BodyText"/>
        <w:spacing w:before="4"/>
        <w:rPr>
          <w:b/>
          <w:sz w:val="25"/>
        </w:rPr>
      </w:pPr>
    </w:p>
    <w:p>
      <w:pPr>
        <w:spacing w:before="88"/>
        <w:ind w:left="940" w:right="952" w:firstLine="0"/>
        <w:jc w:val="center"/>
        <w:rPr>
          <w:b/>
          <w:sz w:val="26"/>
        </w:rPr>
      </w:pPr>
      <w:r>
        <w:rPr>
          <w:b/>
          <w:sz w:val="26"/>
        </w:rPr>
        <w:t>Bảng 3.1 Tổng kết thang đo các khái niệm</w:t>
      </w:r>
    </w:p>
    <w:p>
      <w:pPr>
        <w:pStyle w:val="BodyText"/>
        <w:spacing w:before="10"/>
        <w:rPr>
          <w:b/>
          <w:sz w:val="12"/>
        </w:rPr>
      </w:pPr>
    </w:p>
    <w:tbl>
      <w:tblPr>
        <w:tblW w:w="0" w:type="auto"/>
        <w:jc w:val="left"/>
        <w:tblInd w:w="34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1959"/>
        <w:gridCol w:w="3827"/>
        <w:gridCol w:w="3829"/>
      </w:tblGrid>
      <w:tr>
        <w:trPr>
          <w:trHeight w:val="448" w:hRule="atLeast"/>
        </w:trPr>
        <w:tc>
          <w:tcPr>
            <w:tcW w:w="1959" w:type="dxa"/>
          </w:tcPr>
          <w:p>
            <w:pPr>
              <w:pStyle w:val="TableParagraph"/>
              <w:spacing w:before="2"/>
              <w:ind w:left="396"/>
              <w:rPr>
                <w:b/>
                <w:sz w:val="26"/>
              </w:rPr>
            </w:pPr>
            <w:r>
              <w:rPr>
                <w:b/>
                <w:sz w:val="26"/>
              </w:rPr>
              <w:t>Khái niệm</w:t>
            </w:r>
          </w:p>
        </w:tc>
        <w:tc>
          <w:tcPr>
            <w:tcW w:w="3827" w:type="dxa"/>
          </w:tcPr>
          <w:p>
            <w:pPr>
              <w:pStyle w:val="TableParagraph"/>
              <w:spacing w:before="2"/>
              <w:ind w:left="1154"/>
              <w:rPr>
                <w:b/>
                <w:sz w:val="26"/>
              </w:rPr>
            </w:pPr>
            <w:r>
              <w:rPr>
                <w:b/>
                <w:sz w:val="26"/>
              </w:rPr>
              <w:t>Biến quan sát</w:t>
            </w:r>
          </w:p>
        </w:tc>
        <w:tc>
          <w:tcPr>
            <w:tcW w:w="3829" w:type="dxa"/>
          </w:tcPr>
          <w:p>
            <w:pPr>
              <w:pStyle w:val="TableParagraph"/>
              <w:spacing w:before="2"/>
              <w:ind w:left="1482" w:right="1480"/>
              <w:jc w:val="center"/>
              <w:rPr>
                <w:b/>
                <w:sz w:val="26"/>
              </w:rPr>
            </w:pPr>
            <w:r>
              <w:rPr>
                <w:b/>
                <w:sz w:val="26"/>
              </w:rPr>
              <w:t>Tác giả</w:t>
            </w:r>
          </w:p>
        </w:tc>
      </w:tr>
      <w:tr>
        <w:trPr>
          <w:trHeight w:val="381" w:hRule="atLeast"/>
        </w:trPr>
        <w:tc>
          <w:tcPr>
            <w:tcW w:w="1959" w:type="dxa"/>
            <w:tcBorders>
              <w:bottom w:val="nil"/>
            </w:tcBorders>
          </w:tcPr>
          <w:p>
            <w:pPr>
              <w:pStyle w:val="TableParagraph"/>
              <w:rPr>
                <w:sz w:val="24"/>
              </w:rPr>
            </w:pPr>
          </w:p>
        </w:tc>
        <w:tc>
          <w:tcPr>
            <w:tcW w:w="3827" w:type="dxa"/>
            <w:tcBorders>
              <w:bottom w:val="nil"/>
            </w:tcBorders>
          </w:tcPr>
          <w:p>
            <w:pPr>
              <w:pStyle w:val="TableParagraph"/>
              <w:spacing w:before="2"/>
              <w:ind w:left="107"/>
              <w:rPr>
                <w:sz w:val="26"/>
              </w:rPr>
            </w:pPr>
            <w:r>
              <w:rPr>
                <w:b/>
                <w:sz w:val="26"/>
              </w:rPr>
              <w:t>LI1</w:t>
            </w:r>
            <w:r>
              <w:rPr>
                <w:sz w:val="26"/>
              </w:rPr>
              <w:t>: Lợi ích khách hàng nhận</w:t>
            </w:r>
          </w:p>
        </w:tc>
        <w:tc>
          <w:tcPr>
            <w:tcW w:w="3829" w:type="dxa"/>
            <w:tcBorders>
              <w:bottom w:val="nil"/>
            </w:tcBorders>
          </w:tcPr>
          <w:p>
            <w:pPr>
              <w:pStyle w:val="TableParagraph"/>
              <w:spacing w:before="2"/>
              <w:ind w:left="107"/>
              <w:rPr>
                <w:sz w:val="26"/>
              </w:rPr>
            </w:pPr>
            <w:r>
              <w:rPr>
                <w:sz w:val="26"/>
              </w:rPr>
              <w:t>Sharma và Yu (2009); Acochrane</w:t>
            </w:r>
          </w:p>
        </w:tc>
      </w:tr>
      <w:tr>
        <w:trPr>
          <w:trHeight w:val="448" w:hRule="atLeast"/>
        </w:trPr>
        <w:tc>
          <w:tcPr>
            <w:tcW w:w="1959" w:type="dxa"/>
            <w:tcBorders>
              <w:top w:val="nil"/>
              <w:bottom w:val="nil"/>
            </w:tcBorders>
          </w:tcPr>
          <w:p>
            <w:pPr>
              <w:pStyle w:val="TableParagraph"/>
              <w:rPr>
                <w:sz w:val="24"/>
              </w:rPr>
            </w:pPr>
          </w:p>
        </w:tc>
        <w:tc>
          <w:tcPr>
            <w:tcW w:w="3827" w:type="dxa"/>
            <w:tcBorders>
              <w:top w:val="nil"/>
              <w:bottom w:val="nil"/>
            </w:tcBorders>
          </w:tcPr>
          <w:p>
            <w:pPr>
              <w:pStyle w:val="TableParagraph"/>
              <w:spacing w:before="69"/>
              <w:ind w:left="107"/>
              <w:rPr>
                <w:sz w:val="26"/>
              </w:rPr>
            </w:pPr>
            <w:r>
              <w:rPr>
                <w:sz w:val="26"/>
              </w:rPr>
              <w:t>được khi sử dụng dịch vụ cảng</w:t>
            </w:r>
          </w:p>
        </w:tc>
        <w:tc>
          <w:tcPr>
            <w:tcW w:w="3829" w:type="dxa"/>
            <w:tcBorders>
              <w:top w:val="nil"/>
              <w:bottom w:val="nil"/>
            </w:tcBorders>
          </w:tcPr>
          <w:p>
            <w:pPr>
              <w:pStyle w:val="TableParagraph"/>
              <w:spacing w:before="69"/>
              <w:ind w:left="107"/>
              <w:rPr>
                <w:sz w:val="26"/>
              </w:rPr>
            </w:pPr>
            <w:r>
              <w:rPr>
                <w:sz w:val="26"/>
              </w:rPr>
              <w:t>(2008); Vitor Caldeirinha (2014)</w:t>
            </w:r>
          </w:p>
        </w:tc>
      </w:tr>
      <w:tr>
        <w:trPr>
          <w:trHeight w:val="515" w:hRule="atLeast"/>
        </w:trPr>
        <w:tc>
          <w:tcPr>
            <w:tcW w:w="1959" w:type="dxa"/>
            <w:tcBorders>
              <w:top w:val="nil"/>
              <w:bottom w:val="nil"/>
            </w:tcBorders>
          </w:tcPr>
          <w:p>
            <w:pPr>
              <w:pStyle w:val="TableParagraph"/>
              <w:rPr>
                <w:sz w:val="24"/>
              </w:rPr>
            </w:pPr>
          </w:p>
        </w:tc>
        <w:tc>
          <w:tcPr>
            <w:tcW w:w="3827" w:type="dxa"/>
            <w:tcBorders>
              <w:top w:val="nil"/>
            </w:tcBorders>
          </w:tcPr>
          <w:p>
            <w:pPr>
              <w:pStyle w:val="TableParagraph"/>
              <w:spacing w:before="69"/>
              <w:ind w:left="107"/>
              <w:rPr>
                <w:sz w:val="26"/>
              </w:rPr>
            </w:pPr>
            <w:r>
              <w:rPr>
                <w:sz w:val="26"/>
              </w:rPr>
              <w:t>xứng đáng với thời gian bỏ ra</w:t>
            </w:r>
          </w:p>
        </w:tc>
        <w:tc>
          <w:tcPr>
            <w:tcW w:w="3829" w:type="dxa"/>
            <w:tcBorders>
              <w:top w:val="nil"/>
            </w:tcBorders>
          </w:tcPr>
          <w:p>
            <w:pPr>
              <w:pStyle w:val="TableParagraph"/>
              <w:rPr>
                <w:sz w:val="24"/>
              </w:rPr>
            </w:pPr>
          </w:p>
        </w:tc>
      </w:tr>
      <w:tr>
        <w:trPr>
          <w:trHeight w:val="1346" w:hRule="atLeast"/>
        </w:trPr>
        <w:tc>
          <w:tcPr>
            <w:tcW w:w="1959" w:type="dxa"/>
            <w:vMerge w:val="restart"/>
            <w:tcBorders>
              <w:top w:val="nil"/>
              <w:bottom w:val="nil"/>
            </w:tcBorders>
          </w:tcPr>
          <w:p>
            <w:pPr>
              <w:pStyle w:val="TableParagraph"/>
              <w:spacing w:line="360" w:lineRule="auto" w:before="233"/>
              <w:ind w:left="182" w:right="170"/>
              <w:jc w:val="center"/>
              <w:rPr>
                <w:b/>
                <w:sz w:val="26"/>
              </w:rPr>
            </w:pPr>
            <w:r>
              <w:rPr>
                <w:b/>
                <w:sz w:val="26"/>
              </w:rPr>
              <w:t>Lợi thế cạnh tranh cảng container (LTCT)</w:t>
            </w:r>
          </w:p>
        </w:tc>
        <w:tc>
          <w:tcPr>
            <w:tcW w:w="3827" w:type="dxa"/>
          </w:tcPr>
          <w:p>
            <w:pPr>
              <w:pStyle w:val="TableParagraph"/>
              <w:spacing w:before="2"/>
              <w:ind w:left="107"/>
              <w:rPr>
                <w:sz w:val="26"/>
              </w:rPr>
            </w:pPr>
            <w:r>
              <w:rPr>
                <w:b/>
                <w:sz w:val="26"/>
              </w:rPr>
              <w:t>LI2: </w:t>
            </w:r>
            <w:r>
              <w:rPr>
                <w:sz w:val="26"/>
              </w:rPr>
              <w:t>Lợi ích khách hàng nhận</w:t>
            </w:r>
          </w:p>
          <w:p>
            <w:pPr>
              <w:pStyle w:val="TableParagraph"/>
              <w:spacing w:line="450" w:lineRule="atLeast"/>
              <w:ind w:left="107" w:right="483"/>
              <w:rPr>
                <w:sz w:val="26"/>
              </w:rPr>
            </w:pPr>
            <w:r>
              <w:rPr>
                <w:sz w:val="26"/>
              </w:rPr>
              <w:t>được khi sử dụng dịch vụ cảng xứng đáng với chi phí bỏ ra</w:t>
            </w:r>
          </w:p>
        </w:tc>
        <w:tc>
          <w:tcPr>
            <w:tcW w:w="3829" w:type="dxa"/>
          </w:tcPr>
          <w:p>
            <w:pPr>
              <w:pStyle w:val="TableParagraph"/>
              <w:tabs>
                <w:tab w:pos="1815" w:val="left" w:leader="none"/>
                <w:tab w:pos="3170" w:val="left" w:leader="none"/>
              </w:tabs>
              <w:spacing w:before="2"/>
              <w:ind w:left="107"/>
              <w:rPr>
                <w:sz w:val="26"/>
              </w:rPr>
            </w:pPr>
            <w:r>
              <w:rPr>
                <w:sz w:val="26"/>
              </w:rPr>
              <w:t>Acochrane</w:t>
              <w:tab/>
              <w:t>(2008);</w:t>
              <w:tab/>
              <w:t>Vitor</w:t>
            </w:r>
          </w:p>
          <w:p>
            <w:pPr>
              <w:pStyle w:val="TableParagraph"/>
              <w:spacing w:before="150"/>
              <w:ind w:left="107"/>
              <w:rPr>
                <w:sz w:val="26"/>
              </w:rPr>
            </w:pPr>
            <w:r>
              <w:rPr>
                <w:sz w:val="26"/>
              </w:rPr>
              <w:t>Caldeirinha  (2012);  Baird</w:t>
            </w:r>
            <w:r>
              <w:rPr>
                <w:spacing w:val="-37"/>
                <w:sz w:val="26"/>
              </w:rPr>
              <w:t> </w:t>
            </w:r>
            <w:r>
              <w:rPr>
                <w:sz w:val="26"/>
              </w:rPr>
              <w:t>(2006),</w:t>
            </w:r>
          </w:p>
          <w:p>
            <w:pPr>
              <w:pStyle w:val="TableParagraph"/>
              <w:spacing w:before="150"/>
              <w:ind w:left="107"/>
              <w:rPr>
                <w:sz w:val="26"/>
              </w:rPr>
            </w:pPr>
            <w:r>
              <w:rPr>
                <w:sz w:val="26"/>
              </w:rPr>
              <w:t>Chien-Chang Chou (2009)</w:t>
            </w:r>
          </w:p>
        </w:tc>
      </w:tr>
      <w:tr>
        <w:trPr>
          <w:trHeight w:val="830" w:hRule="atLeast"/>
        </w:trPr>
        <w:tc>
          <w:tcPr>
            <w:tcW w:w="1959" w:type="dxa"/>
            <w:vMerge/>
            <w:tcBorders>
              <w:top w:val="nil"/>
              <w:bottom w:val="nil"/>
            </w:tcBorders>
          </w:tcPr>
          <w:p>
            <w:pPr>
              <w:rPr>
                <w:sz w:val="2"/>
                <w:szCs w:val="2"/>
              </w:rPr>
            </w:pPr>
          </w:p>
        </w:tc>
        <w:tc>
          <w:tcPr>
            <w:tcW w:w="3827" w:type="dxa"/>
            <w:tcBorders>
              <w:bottom w:val="nil"/>
            </w:tcBorders>
          </w:tcPr>
          <w:p>
            <w:pPr>
              <w:pStyle w:val="TableParagraph"/>
              <w:spacing w:before="2"/>
              <w:ind w:left="107"/>
              <w:rPr>
                <w:sz w:val="26"/>
              </w:rPr>
            </w:pPr>
            <w:r>
              <w:rPr>
                <w:b/>
                <w:sz w:val="26"/>
              </w:rPr>
              <w:t>LI3: </w:t>
            </w:r>
            <w:r>
              <w:rPr>
                <w:sz w:val="26"/>
              </w:rPr>
              <w:t>Khách hàng có thể sử dụng</w:t>
            </w:r>
          </w:p>
          <w:p>
            <w:pPr>
              <w:pStyle w:val="TableParagraph"/>
              <w:spacing w:before="149"/>
              <w:ind w:left="107"/>
              <w:rPr>
                <w:sz w:val="26"/>
              </w:rPr>
            </w:pPr>
            <w:r>
              <w:rPr>
                <w:sz w:val="26"/>
              </w:rPr>
              <w:t>nhiều dịch vụ hơn so với nhu cầu</w:t>
            </w:r>
          </w:p>
        </w:tc>
        <w:tc>
          <w:tcPr>
            <w:tcW w:w="3829" w:type="dxa"/>
            <w:tcBorders>
              <w:bottom w:val="nil"/>
            </w:tcBorders>
          </w:tcPr>
          <w:p>
            <w:pPr>
              <w:pStyle w:val="TableParagraph"/>
              <w:spacing w:before="2"/>
              <w:ind w:left="107"/>
              <w:rPr>
                <w:sz w:val="26"/>
              </w:rPr>
            </w:pPr>
            <w:r>
              <w:rPr>
                <w:sz w:val="26"/>
              </w:rPr>
              <w:t>Tongzon,   J.   and   et   al </w:t>
            </w:r>
            <w:r>
              <w:rPr>
                <w:spacing w:val="31"/>
                <w:sz w:val="26"/>
              </w:rPr>
              <w:t> </w:t>
            </w:r>
            <w:r>
              <w:rPr>
                <w:sz w:val="26"/>
              </w:rPr>
              <w:t>(2002),</w:t>
            </w:r>
          </w:p>
          <w:p>
            <w:pPr>
              <w:pStyle w:val="TableParagraph"/>
              <w:tabs>
                <w:tab w:pos="1308" w:val="left" w:leader="none"/>
                <w:tab w:pos="1688" w:val="left" w:leader="none"/>
                <w:tab w:pos="2663" w:val="left" w:leader="none"/>
              </w:tabs>
              <w:spacing w:before="149"/>
              <w:ind w:left="107"/>
              <w:rPr>
                <w:sz w:val="26"/>
              </w:rPr>
            </w:pPr>
            <w:r>
              <w:rPr>
                <w:sz w:val="26"/>
              </w:rPr>
              <w:t>Tongzon,</w:t>
              <w:tab/>
              <w:t>J.</w:t>
              <w:tab/>
              <w:t>(2008),</w:t>
              <w:tab/>
              <w:t>Raimonds</w:t>
            </w:r>
          </w:p>
        </w:tc>
      </w:tr>
      <w:tr>
        <w:trPr>
          <w:trHeight w:val="513" w:hRule="atLeast"/>
        </w:trPr>
        <w:tc>
          <w:tcPr>
            <w:tcW w:w="1959" w:type="dxa"/>
            <w:tcBorders>
              <w:top w:val="nil"/>
              <w:bottom w:val="nil"/>
            </w:tcBorders>
          </w:tcPr>
          <w:p>
            <w:pPr>
              <w:pStyle w:val="TableParagraph"/>
              <w:rPr>
                <w:sz w:val="24"/>
              </w:rPr>
            </w:pPr>
          </w:p>
        </w:tc>
        <w:tc>
          <w:tcPr>
            <w:tcW w:w="3827" w:type="dxa"/>
            <w:tcBorders>
              <w:top w:val="nil"/>
            </w:tcBorders>
          </w:tcPr>
          <w:p>
            <w:pPr>
              <w:pStyle w:val="TableParagraph"/>
              <w:rPr>
                <w:sz w:val="24"/>
              </w:rPr>
            </w:pPr>
          </w:p>
        </w:tc>
        <w:tc>
          <w:tcPr>
            <w:tcW w:w="3829" w:type="dxa"/>
            <w:tcBorders>
              <w:top w:val="nil"/>
            </w:tcBorders>
          </w:tcPr>
          <w:p>
            <w:pPr>
              <w:pStyle w:val="TableParagraph"/>
              <w:spacing w:before="69"/>
              <w:ind w:left="107"/>
              <w:rPr>
                <w:sz w:val="26"/>
              </w:rPr>
            </w:pPr>
            <w:r>
              <w:rPr>
                <w:sz w:val="26"/>
              </w:rPr>
              <w:t>Aronietis và cộng sự (2010)</w:t>
            </w:r>
          </w:p>
        </w:tc>
      </w:tr>
      <w:tr>
        <w:trPr>
          <w:trHeight w:val="382" w:hRule="atLeast"/>
        </w:trPr>
        <w:tc>
          <w:tcPr>
            <w:tcW w:w="1959" w:type="dxa"/>
            <w:tcBorders>
              <w:top w:val="nil"/>
              <w:bottom w:val="nil"/>
            </w:tcBorders>
          </w:tcPr>
          <w:p>
            <w:pPr>
              <w:pStyle w:val="TableParagraph"/>
              <w:rPr>
                <w:sz w:val="24"/>
              </w:rPr>
            </w:pPr>
          </w:p>
        </w:tc>
        <w:tc>
          <w:tcPr>
            <w:tcW w:w="3827" w:type="dxa"/>
            <w:tcBorders>
              <w:bottom w:val="nil"/>
            </w:tcBorders>
          </w:tcPr>
          <w:p>
            <w:pPr>
              <w:pStyle w:val="TableParagraph"/>
              <w:spacing w:before="4"/>
              <w:ind w:left="107"/>
              <w:rPr>
                <w:sz w:val="26"/>
              </w:rPr>
            </w:pPr>
            <w:r>
              <w:rPr>
                <w:b/>
                <w:sz w:val="26"/>
              </w:rPr>
              <w:t>HL1</w:t>
            </w:r>
            <w:r>
              <w:rPr>
                <w:sz w:val="26"/>
              </w:rPr>
              <w:t>: Người gửi hàng rất hài lòng</w:t>
            </w:r>
          </w:p>
        </w:tc>
        <w:tc>
          <w:tcPr>
            <w:tcW w:w="3829" w:type="dxa"/>
            <w:tcBorders>
              <w:bottom w:val="nil"/>
            </w:tcBorders>
          </w:tcPr>
          <w:p>
            <w:pPr>
              <w:pStyle w:val="TableParagraph"/>
              <w:tabs>
                <w:tab w:pos="1345" w:val="left" w:leader="none"/>
                <w:tab w:pos="2354" w:val="left" w:leader="none"/>
                <w:tab w:pos="2958" w:val="left" w:leader="none"/>
              </w:tabs>
              <w:spacing w:before="4"/>
              <w:ind w:left="107"/>
              <w:rPr>
                <w:sz w:val="26"/>
              </w:rPr>
            </w:pPr>
            <w:r>
              <w:rPr>
                <w:sz w:val="26"/>
              </w:rPr>
              <w:t>Robinson</w:t>
              <w:tab/>
              <w:t>(2002);</w:t>
              <w:tab/>
              <w:t>Liu</w:t>
              <w:tab/>
              <w:t>(2009),</w:t>
            </w:r>
          </w:p>
        </w:tc>
      </w:tr>
      <w:tr>
        <w:trPr>
          <w:trHeight w:val="514" w:hRule="atLeast"/>
        </w:trPr>
        <w:tc>
          <w:tcPr>
            <w:tcW w:w="1959" w:type="dxa"/>
            <w:tcBorders>
              <w:top w:val="nil"/>
            </w:tcBorders>
          </w:tcPr>
          <w:p>
            <w:pPr>
              <w:pStyle w:val="TableParagraph"/>
              <w:rPr>
                <w:sz w:val="24"/>
              </w:rPr>
            </w:pPr>
          </w:p>
        </w:tc>
        <w:tc>
          <w:tcPr>
            <w:tcW w:w="3827" w:type="dxa"/>
            <w:tcBorders>
              <w:top w:val="nil"/>
            </w:tcBorders>
          </w:tcPr>
          <w:p>
            <w:pPr>
              <w:pStyle w:val="TableParagraph"/>
              <w:spacing w:before="68"/>
              <w:ind w:left="107"/>
              <w:rPr>
                <w:sz w:val="26"/>
              </w:rPr>
            </w:pPr>
            <w:r>
              <w:rPr>
                <w:sz w:val="26"/>
              </w:rPr>
              <w:t>vào dịch vụ cảng</w:t>
            </w:r>
          </w:p>
        </w:tc>
        <w:tc>
          <w:tcPr>
            <w:tcW w:w="3829" w:type="dxa"/>
            <w:tcBorders>
              <w:top w:val="nil"/>
            </w:tcBorders>
          </w:tcPr>
          <w:p>
            <w:pPr>
              <w:pStyle w:val="TableParagraph"/>
              <w:spacing w:before="68"/>
              <w:ind w:left="107"/>
              <w:rPr>
                <w:sz w:val="26"/>
              </w:rPr>
            </w:pPr>
            <w:r>
              <w:rPr>
                <w:sz w:val="26"/>
              </w:rPr>
              <w:t>Tongzon, J. (2008); Soner Esmer</w:t>
            </w:r>
          </w:p>
        </w:tc>
      </w:tr>
    </w:tbl>
    <w:p>
      <w:pPr>
        <w:spacing w:after="0"/>
        <w:rPr>
          <w:sz w:val="26"/>
        </w:rPr>
        <w:sectPr>
          <w:pgSz w:w="11910" w:h="16850"/>
          <w:pgMar w:header="751" w:footer="0" w:top="960" w:bottom="280" w:left="820" w:right="240"/>
        </w:sectPr>
      </w:pPr>
    </w:p>
    <w:p>
      <w:pPr>
        <w:pStyle w:val="BodyText"/>
        <w:rPr>
          <w:b/>
          <w:sz w:val="20"/>
        </w:rPr>
      </w:pPr>
    </w:p>
    <w:p>
      <w:pPr>
        <w:pStyle w:val="BodyText"/>
        <w:rPr>
          <w:b/>
          <w:sz w:val="20"/>
        </w:rPr>
      </w:pPr>
    </w:p>
    <w:p>
      <w:pPr>
        <w:pStyle w:val="BodyText"/>
        <w:spacing w:before="1"/>
        <w:rPr>
          <w:b/>
          <w:sz w:val="11"/>
        </w:rPr>
      </w:pPr>
    </w:p>
    <w:tbl>
      <w:tblPr>
        <w:tblW w:w="0" w:type="auto"/>
        <w:jc w:val="left"/>
        <w:tblInd w:w="34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1959"/>
        <w:gridCol w:w="3827"/>
        <w:gridCol w:w="3829"/>
      </w:tblGrid>
      <w:tr>
        <w:trPr>
          <w:trHeight w:val="448" w:hRule="atLeast"/>
        </w:trPr>
        <w:tc>
          <w:tcPr>
            <w:tcW w:w="1959" w:type="dxa"/>
          </w:tcPr>
          <w:p>
            <w:pPr>
              <w:pStyle w:val="TableParagraph"/>
              <w:spacing w:before="2"/>
              <w:ind w:left="396"/>
              <w:rPr>
                <w:b/>
                <w:sz w:val="26"/>
              </w:rPr>
            </w:pPr>
            <w:r>
              <w:rPr>
                <w:b/>
                <w:sz w:val="26"/>
              </w:rPr>
              <w:t>Khái niệm</w:t>
            </w:r>
          </w:p>
        </w:tc>
        <w:tc>
          <w:tcPr>
            <w:tcW w:w="3827" w:type="dxa"/>
          </w:tcPr>
          <w:p>
            <w:pPr>
              <w:pStyle w:val="TableParagraph"/>
              <w:spacing w:before="2"/>
              <w:ind w:left="1154"/>
              <w:rPr>
                <w:b/>
                <w:sz w:val="26"/>
              </w:rPr>
            </w:pPr>
            <w:r>
              <w:rPr>
                <w:b/>
                <w:sz w:val="26"/>
              </w:rPr>
              <w:t>Biến quan sát</w:t>
            </w:r>
          </w:p>
        </w:tc>
        <w:tc>
          <w:tcPr>
            <w:tcW w:w="3829" w:type="dxa"/>
          </w:tcPr>
          <w:p>
            <w:pPr>
              <w:pStyle w:val="TableParagraph"/>
              <w:spacing w:before="2"/>
              <w:ind w:left="1482" w:right="1480"/>
              <w:jc w:val="center"/>
              <w:rPr>
                <w:b/>
                <w:sz w:val="26"/>
              </w:rPr>
            </w:pPr>
            <w:r>
              <w:rPr>
                <w:b/>
                <w:sz w:val="26"/>
              </w:rPr>
              <w:t>Tác giả</w:t>
            </w:r>
          </w:p>
        </w:tc>
      </w:tr>
      <w:tr>
        <w:trPr>
          <w:trHeight w:val="448" w:hRule="atLeast"/>
        </w:trPr>
        <w:tc>
          <w:tcPr>
            <w:tcW w:w="1959" w:type="dxa"/>
            <w:vMerge w:val="restart"/>
          </w:tcPr>
          <w:p>
            <w:pPr>
              <w:pStyle w:val="TableParagraph"/>
              <w:rPr>
                <w:sz w:val="24"/>
              </w:rPr>
            </w:pPr>
          </w:p>
        </w:tc>
        <w:tc>
          <w:tcPr>
            <w:tcW w:w="3827" w:type="dxa"/>
          </w:tcPr>
          <w:p>
            <w:pPr>
              <w:pStyle w:val="TableParagraph"/>
              <w:rPr>
                <w:sz w:val="24"/>
              </w:rPr>
            </w:pPr>
          </w:p>
        </w:tc>
        <w:tc>
          <w:tcPr>
            <w:tcW w:w="3829" w:type="dxa"/>
          </w:tcPr>
          <w:p>
            <w:pPr>
              <w:pStyle w:val="TableParagraph"/>
              <w:spacing w:before="2"/>
              <w:ind w:left="107"/>
              <w:rPr>
                <w:sz w:val="26"/>
              </w:rPr>
            </w:pPr>
            <w:r>
              <w:rPr>
                <w:sz w:val="26"/>
              </w:rPr>
              <w:t>(2008)</w:t>
            </w:r>
          </w:p>
        </w:tc>
      </w:tr>
      <w:tr>
        <w:trPr>
          <w:trHeight w:val="1794" w:hRule="atLeast"/>
        </w:trPr>
        <w:tc>
          <w:tcPr>
            <w:tcW w:w="1959" w:type="dxa"/>
            <w:vMerge/>
            <w:tcBorders>
              <w:top w:val="nil"/>
            </w:tcBorders>
          </w:tcPr>
          <w:p>
            <w:pPr>
              <w:rPr>
                <w:sz w:val="2"/>
                <w:szCs w:val="2"/>
              </w:rPr>
            </w:pPr>
          </w:p>
        </w:tc>
        <w:tc>
          <w:tcPr>
            <w:tcW w:w="3827" w:type="dxa"/>
          </w:tcPr>
          <w:p>
            <w:pPr>
              <w:pStyle w:val="TableParagraph"/>
              <w:spacing w:line="360" w:lineRule="auto" w:before="2"/>
              <w:ind w:left="107" w:right="144"/>
              <w:rPr>
                <w:sz w:val="26"/>
              </w:rPr>
            </w:pPr>
            <w:r>
              <w:rPr>
                <w:b/>
                <w:sz w:val="26"/>
              </w:rPr>
              <w:t>HL2: </w:t>
            </w:r>
            <w:r>
              <w:rPr>
                <w:sz w:val="26"/>
              </w:rPr>
              <w:t>Chủ tàu rất hài lòng về dịch vụ cảng</w:t>
            </w:r>
          </w:p>
        </w:tc>
        <w:tc>
          <w:tcPr>
            <w:tcW w:w="3829" w:type="dxa"/>
          </w:tcPr>
          <w:p>
            <w:pPr>
              <w:pStyle w:val="TableParagraph"/>
              <w:spacing w:line="360" w:lineRule="auto" w:before="2"/>
              <w:ind w:left="107" w:right="99"/>
              <w:jc w:val="both"/>
              <w:rPr>
                <w:sz w:val="26"/>
              </w:rPr>
            </w:pPr>
            <w:r>
              <w:rPr>
                <w:sz w:val="26"/>
              </w:rPr>
              <w:t>Liu (2009), Chang Y andat </w:t>
            </w:r>
            <w:r>
              <w:rPr>
                <w:spacing w:val="-7"/>
                <w:sz w:val="26"/>
              </w:rPr>
              <w:t>al </w:t>
            </w:r>
            <w:r>
              <w:rPr>
                <w:sz w:val="26"/>
              </w:rPr>
              <w:t>(2008); Gordon Wilmsmeier và công sự (2006); Vitor</w:t>
            </w:r>
            <w:r>
              <w:rPr>
                <w:spacing w:val="59"/>
                <w:sz w:val="26"/>
              </w:rPr>
              <w:t> </w:t>
            </w:r>
            <w:r>
              <w:rPr>
                <w:sz w:val="26"/>
              </w:rPr>
              <w:t>Caldeirinha</w:t>
            </w:r>
          </w:p>
          <w:p>
            <w:pPr>
              <w:pStyle w:val="TableParagraph"/>
              <w:spacing w:before="1"/>
              <w:ind w:left="107"/>
              <w:jc w:val="both"/>
              <w:rPr>
                <w:sz w:val="26"/>
              </w:rPr>
            </w:pPr>
            <w:r>
              <w:rPr>
                <w:sz w:val="26"/>
              </w:rPr>
              <w:t>(2014); Soner Esmer (2008)</w:t>
            </w:r>
          </w:p>
        </w:tc>
      </w:tr>
      <w:tr>
        <w:trPr>
          <w:trHeight w:val="1793" w:hRule="atLeast"/>
        </w:trPr>
        <w:tc>
          <w:tcPr>
            <w:tcW w:w="1959" w:type="dxa"/>
            <w:vMerge/>
            <w:tcBorders>
              <w:top w:val="nil"/>
            </w:tcBorders>
          </w:tcPr>
          <w:p>
            <w:pPr>
              <w:rPr>
                <w:sz w:val="2"/>
                <w:szCs w:val="2"/>
              </w:rPr>
            </w:pPr>
          </w:p>
        </w:tc>
        <w:tc>
          <w:tcPr>
            <w:tcW w:w="3827" w:type="dxa"/>
          </w:tcPr>
          <w:p>
            <w:pPr>
              <w:pStyle w:val="TableParagraph"/>
              <w:spacing w:line="360" w:lineRule="auto" w:before="2"/>
              <w:ind w:left="107" w:right="231"/>
              <w:rPr>
                <w:sz w:val="26"/>
              </w:rPr>
            </w:pPr>
            <w:r>
              <w:rPr>
                <w:b/>
                <w:sz w:val="26"/>
              </w:rPr>
              <w:t>HL3: </w:t>
            </w:r>
            <w:r>
              <w:rPr>
                <w:sz w:val="26"/>
              </w:rPr>
              <w:t>Đại lý và các công ty giao nhận rất hài lòng về dịch vụ cảng</w:t>
            </w:r>
          </w:p>
        </w:tc>
        <w:tc>
          <w:tcPr>
            <w:tcW w:w="3829" w:type="dxa"/>
          </w:tcPr>
          <w:p>
            <w:pPr>
              <w:pStyle w:val="TableParagraph"/>
              <w:spacing w:line="360" w:lineRule="auto" w:before="2"/>
              <w:ind w:left="107" w:right="99"/>
              <w:jc w:val="both"/>
              <w:rPr>
                <w:sz w:val="26"/>
              </w:rPr>
            </w:pPr>
            <w:r>
              <w:rPr>
                <w:sz w:val="26"/>
              </w:rPr>
              <w:t>Liu (2009); Magala và Sammons (2008), Tongzon, J. (2008); Joana Coeloho và cộng sự (2013); Soner</w:t>
            </w:r>
          </w:p>
          <w:p>
            <w:pPr>
              <w:pStyle w:val="TableParagraph"/>
              <w:spacing w:line="298" w:lineRule="exact"/>
              <w:ind w:left="107"/>
              <w:jc w:val="both"/>
              <w:rPr>
                <w:sz w:val="26"/>
              </w:rPr>
            </w:pPr>
            <w:r>
              <w:rPr>
                <w:sz w:val="26"/>
              </w:rPr>
              <w:t>Esmer (2008)</w:t>
            </w:r>
          </w:p>
        </w:tc>
      </w:tr>
      <w:tr>
        <w:trPr>
          <w:trHeight w:val="1794" w:hRule="atLeast"/>
        </w:trPr>
        <w:tc>
          <w:tcPr>
            <w:tcW w:w="1959" w:type="dxa"/>
            <w:vMerge w:val="restart"/>
          </w:tcPr>
          <w:p>
            <w:pPr>
              <w:pStyle w:val="TableParagraph"/>
              <w:rPr>
                <w:b/>
                <w:sz w:val="28"/>
              </w:rPr>
            </w:pPr>
          </w:p>
          <w:p>
            <w:pPr>
              <w:pStyle w:val="TableParagraph"/>
              <w:rPr>
                <w:b/>
                <w:sz w:val="28"/>
              </w:rPr>
            </w:pPr>
          </w:p>
          <w:p>
            <w:pPr>
              <w:pStyle w:val="TableParagraph"/>
              <w:rPr>
                <w:b/>
                <w:sz w:val="28"/>
              </w:rPr>
            </w:pPr>
          </w:p>
          <w:p>
            <w:pPr>
              <w:pStyle w:val="TableParagraph"/>
              <w:rPr>
                <w:b/>
                <w:sz w:val="28"/>
              </w:rPr>
            </w:pPr>
          </w:p>
          <w:p>
            <w:pPr>
              <w:pStyle w:val="TableParagraph"/>
              <w:rPr>
                <w:b/>
                <w:sz w:val="28"/>
              </w:rPr>
            </w:pPr>
          </w:p>
          <w:p>
            <w:pPr>
              <w:pStyle w:val="TableParagraph"/>
              <w:rPr>
                <w:b/>
                <w:sz w:val="28"/>
              </w:rPr>
            </w:pPr>
          </w:p>
          <w:p>
            <w:pPr>
              <w:pStyle w:val="TableParagraph"/>
              <w:rPr>
                <w:b/>
                <w:sz w:val="28"/>
              </w:rPr>
            </w:pPr>
          </w:p>
          <w:p>
            <w:pPr>
              <w:pStyle w:val="TableParagraph"/>
              <w:rPr>
                <w:b/>
                <w:sz w:val="28"/>
              </w:rPr>
            </w:pPr>
          </w:p>
          <w:p>
            <w:pPr>
              <w:pStyle w:val="TableParagraph"/>
              <w:rPr>
                <w:b/>
                <w:sz w:val="28"/>
              </w:rPr>
            </w:pPr>
          </w:p>
          <w:p>
            <w:pPr>
              <w:pStyle w:val="TableParagraph"/>
              <w:rPr>
                <w:b/>
                <w:sz w:val="28"/>
              </w:rPr>
            </w:pPr>
          </w:p>
          <w:p>
            <w:pPr>
              <w:pStyle w:val="TableParagraph"/>
              <w:rPr>
                <w:b/>
                <w:sz w:val="28"/>
              </w:rPr>
            </w:pPr>
          </w:p>
          <w:p>
            <w:pPr>
              <w:pStyle w:val="TableParagraph"/>
              <w:rPr>
                <w:b/>
                <w:sz w:val="28"/>
              </w:rPr>
            </w:pPr>
          </w:p>
          <w:p>
            <w:pPr>
              <w:pStyle w:val="TableParagraph"/>
              <w:spacing w:line="360" w:lineRule="auto" w:before="194"/>
              <w:ind w:left="182" w:right="170"/>
              <w:jc w:val="center"/>
              <w:rPr>
                <w:b/>
                <w:sz w:val="26"/>
              </w:rPr>
            </w:pPr>
            <w:r>
              <w:rPr>
                <w:b/>
                <w:sz w:val="26"/>
              </w:rPr>
              <w:t>Cơ sở vật chất hạ tầng cảng (HT)</w:t>
            </w:r>
          </w:p>
        </w:tc>
        <w:tc>
          <w:tcPr>
            <w:tcW w:w="3827" w:type="dxa"/>
          </w:tcPr>
          <w:p>
            <w:pPr>
              <w:pStyle w:val="TableParagraph"/>
              <w:spacing w:before="2"/>
              <w:ind w:left="107"/>
              <w:rPr>
                <w:sz w:val="26"/>
              </w:rPr>
            </w:pPr>
            <w:r>
              <w:rPr>
                <w:b/>
                <w:color w:val="0D0D0D"/>
                <w:sz w:val="26"/>
              </w:rPr>
              <w:t>HT1: </w:t>
            </w:r>
            <w:r>
              <w:rPr>
                <w:color w:val="0D0D0D"/>
                <w:sz w:val="26"/>
              </w:rPr>
              <w:t>Trang thiết bị cảng hiện đại</w:t>
            </w:r>
          </w:p>
        </w:tc>
        <w:tc>
          <w:tcPr>
            <w:tcW w:w="3829" w:type="dxa"/>
          </w:tcPr>
          <w:p>
            <w:pPr>
              <w:pStyle w:val="TableParagraph"/>
              <w:spacing w:line="360" w:lineRule="auto" w:before="2"/>
              <w:ind w:left="107" w:right="99"/>
              <w:jc w:val="both"/>
              <w:rPr>
                <w:sz w:val="26"/>
              </w:rPr>
            </w:pPr>
            <w:r>
              <w:rPr>
                <w:sz w:val="26"/>
              </w:rPr>
              <w:t>Tongzon, J. and Heng </w:t>
            </w:r>
            <w:r>
              <w:rPr>
                <w:spacing w:val="-3"/>
                <w:sz w:val="26"/>
              </w:rPr>
              <w:t>(2002, </w:t>
            </w:r>
            <w:r>
              <w:rPr>
                <w:sz w:val="26"/>
              </w:rPr>
              <w:t>2005); Gordon Wilmsmeier </w:t>
            </w:r>
            <w:r>
              <w:rPr>
                <w:spacing w:val="-7"/>
                <w:sz w:val="26"/>
              </w:rPr>
              <w:t>và </w:t>
            </w:r>
            <w:r>
              <w:rPr>
                <w:sz w:val="26"/>
              </w:rPr>
              <w:t>cộng sự (2006); Luna, J. H. </w:t>
            </w:r>
            <w:r>
              <w:rPr>
                <w:spacing w:val="-6"/>
                <w:sz w:val="26"/>
              </w:rPr>
              <w:t>và</w:t>
            </w:r>
          </w:p>
          <w:p>
            <w:pPr>
              <w:pStyle w:val="TableParagraph"/>
              <w:spacing w:before="1"/>
              <w:ind w:left="107"/>
              <w:jc w:val="both"/>
              <w:rPr>
                <w:sz w:val="26"/>
              </w:rPr>
            </w:pPr>
            <w:r>
              <w:rPr>
                <w:sz w:val="26"/>
              </w:rPr>
              <w:t>cộng sự (2018)</w:t>
            </w:r>
          </w:p>
        </w:tc>
      </w:tr>
      <w:tr>
        <w:trPr>
          <w:trHeight w:val="1792" w:hRule="atLeast"/>
        </w:trPr>
        <w:tc>
          <w:tcPr>
            <w:tcW w:w="1959" w:type="dxa"/>
            <w:vMerge/>
            <w:tcBorders>
              <w:top w:val="nil"/>
            </w:tcBorders>
          </w:tcPr>
          <w:p>
            <w:pPr>
              <w:rPr>
                <w:sz w:val="2"/>
                <w:szCs w:val="2"/>
              </w:rPr>
            </w:pPr>
          </w:p>
        </w:tc>
        <w:tc>
          <w:tcPr>
            <w:tcW w:w="3827" w:type="dxa"/>
          </w:tcPr>
          <w:p>
            <w:pPr>
              <w:pStyle w:val="TableParagraph"/>
              <w:spacing w:line="360" w:lineRule="auto" w:before="2"/>
              <w:ind w:left="107" w:right="234"/>
              <w:rPr>
                <w:sz w:val="26"/>
              </w:rPr>
            </w:pPr>
            <w:r>
              <w:rPr>
                <w:b/>
                <w:color w:val="0D0D0D"/>
                <w:sz w:val="26"/>
              </w:rPr>
              <w:t>HT2: </w:t>
            </w:r>
            <w:r>
              <w:rPr>
                <w:color w:val="0D0D0D"/>
                <w:sz w:val="26"/>
              </w:rPr>
              <w:t>Hệ thống cứu chữa sự cố ở cảng đạt tiêu chuẩn</w:t>
            </w:r>
          </w:p>
        </w:tc>
        <w:tc>
          <w:tcPr>
            <w:tcW w:w="3829" w:type="dxa"/>
          </w:tcPr>
          <w:p>
            <w:pPr>
              <w:pStyle w:val="TableParagraph"/>
              <w:spacing w:line="360" w:lineRule="auto" w:before="2"/>
              <w:ind w:left="107" w:right="99"/>
              <w:jc w:val="both"/>
              <w:rPr>
                <w:sz w:val="26"/>
              </w:rPr>
            </w:pPr>
            <w:r>
              <w:rPr>
                <w:sz w:val="26"/>
              </w:rPr>
              <w:t>Tongzon, J. (2008); Chien Chang Chou (2009); Raimonds Aronietis và cộng sự (2010); Joana Coeloho</w:t>
            </w:r>
          </w:p>
          <w:p>
            <w:pPr>
              <w:pStyle w:val="TableParagraph"/>
              <w:spacing w:before="1"/>
              <w:ind w:left="107"/>
              <w:jc w:val="both"/>
              <w:rPr>
                <w:sz w:val="26"/>
              </w:rPr>
            </w:pPr>
            <w:r>
              <w:rPr>
                <w:sz w:val="26"/>
              </w:rPr>
              <w:t>và cộng sự (2013)</w:t>
            </w:r>
          </w:p>
        </w:tc>
      </w:tr>
      <w:tr>
        <w:trPr>
          <w:trHeight w:val="2243" w:hRule="atLeast"/>
        </w:trPr>
        <w:tc>
          <w:tcPr>
            <w:tcW w:w="1959" w:type="dxa"/>
            <w:vMerge/>
            <w:tcBorders>
              <w:top w:val="nil"/>
            </w:tcBorders>
          </w:tcPr>
          <w:p>
            <w:pPr>
              <w:rPr>
                <w:sz w:val="2"/>
                <w:szCs w:val="2"/>
              </w:rPr>
            </w:pPr>
          </w:p>
        </w:tc>
        <w:tc>
          <w:tcPr>
            <w:tcW w:w="3827" w:type="dxa"/>
          </w:tcPr>
          <w:p>
            <w:pPr>
              <w:pStyle w:val="TableParagraph"/>
              <w:spacing w:line="357" w:lineRule="auto" w:before="4"/>
              <w:ind w:left="107"/>
              <w:rPr>
                <w:sz w:val="26"/>
              </w:rPr>
            </w:pPr>
            <w:r>
              <w:rPr>
                <w:b/>
                <w:color w:val="0D0D0D"/>
                <w:sz w:val="26"/>
              </w:rPr>
              <w:t>HT3</w:t>
            </w:r>
            <w:r>
              <w:rPr>
                <w:color w:val="0D0D0D"/>
                <w:sz w:val="26"/>
              </w:rPr>
              <w:t>: Năng suất xếp dỡ container cao</w:t>
            </w:r>
          </w:p>
        </w:tc>
        <w:tc>
          <w:tcPr>
            <w:tcW w:w="3829" w:type="dxa"/>
          </w:tcPr>
          <w:p>
            <w:pPr>
              <w:pStyle w:val="TableParagraph"/>
              <w:spacing w:line="360" w:lineRule="auto" w:before="4"/>
              <w:ind w:left="107" w:right="125"/>
              <w:rPr>
                <w:sz w:val="26"/>
              </w:rPr>
            </w:pPr>
            <w:r>
              <w:rPr>
                <w:sz w:val="26"/>
              </w:rPr>
              <w:t>Tongzon, J. (2005,2008); Joana Coeloho và cộng sự (2013); Vitor Caldeirinha (2014); Luna, J. H. và cộng sự 2018; Elvira</w:t>
            </w:r>
          </w:p>
          <w:p>
            <w:pPr>
              <w:pStyle w:val="TableParagraph"/>
              <w:spacing w:line="298" w:lineRule="exact"/>
              <w:ind w:left="107"/>
              <w:rPr>
                <w:sz w:val="26"/>
              </w:rPr>
            </w:pPr>
            <w:r>
              <w:rPr>
                <w:sz w:val="26"/>
              </w:rPr>
              <w:t>Haezendonck và cộng sự (2019)</w:t>
            </w:r>
          </w:p>
        </w:tc>
      </w:tr>
      <w:tr>
        <w:trPr>
          <w:trHeight w:val="1346" w:hRule="atLeast"/>
        </w:trPr>
        <w:tc>
          <w:tcPr>
            <w:tcW w:w="1959" w:type="dxa"/>
            <w:vMerge/>
            <w:tcBorders>
              <w:top w:val="nil"/>
            </w:tcBorders>
          </w:tcPr>
          <w:p>
            <w:pPr>
              <w:rPr>
                <w:sz w:val="2"/>
                <w:szCs w:val="2"/>
              </w:rPr>
            </w:pPr>
          </w:p>
        </w:tc>
        <w:tc>
          <w:tcPr>
            <w:tcW w:w="3827" w:type="dxa"/>
          </w:tcPr>
          <w:p>
            <w:pPr>
              <w:pStyle w:val="TableParagraph"/>
              <w:spacing w:line="360" w:lineRule="auto" w:before="2"/>
              <w:ind w:left="107" w:right="187"/>
              <w:rPr>
                <w:sz w:val="26"/>
              </w:rPr>
            </w:pPr>
            <w:r>
              <w:rPr>
                <w:b/>
                <w:color w:val="0D0D0D"/>
                <w:sz w:val="26"/>
              </w:rPr>
              <w:t>HT4: </w:t>
            </w:r>
            <w:r>
              <w:rPr>
                <w:color w:val="0D0D0D"/>
                <w:sz w:val="26"/>
              </w:rPr>
              <w:t>Điều kiện cơ sở hạ tầng đạt tiêu chuẩn cao</w:t>
            </w:r>
          </w:p>
        </w:tc>
        <w:tc>
          <w:tcPr>
            <w:tcW w:w="3829" w:type="dxa"/>
          </w:tcPr>
          <w:p>
            <w:pPr>
              <w:pStyle w:val="TableParagraph"/>
              <w:spacing w:before="2"/>
              <w:ind w:left="107"/>
              <w:rPr>
                <w:sz w:val="26"/>
              </w:rPr>
            </w:pPr>
            <w:r>
              <w:rPr>
                <w:sz w:val="26"/>
              </w:rPr>
              <w:t>Jose L Tongzon, J. (2008); Chien</w:t>
            </w:r>
          </w:p>
          <w:p>
            <w:pPr>
              <w:pStyle w:val="TableParagraph"/>
              <w:tabs>
                <w:tab w:pos="1052" w:val="left" w:leader="none"/>
                <w:tab w:pos="1885" w:val="left" w:leader="none"/>
                <w:tab w:pos="2922" w:val="left" w:leader="none"/>
              </w:tabs>
              <w:spacing w:line="450" w:lineRule="atLeast"/>
              <w:ind w:left="107" w:right="99"/>
              <w:rPr>
                <w:sz w:val="26"/>
              </w:rPr>
            </w:pPr>
            <w:r>
              <w:rPr>
                <w:sz w:val="26"/>
              </w:rPr>
              <w:t>Chang</w:t>
              <w:tab/>
              <w:t>Chou</w:t>
              <w:tab/>
              <w:t>(2009);</w:t>
              <w:tab/>
            </w:r>
            <w:r>
              <w:rPr>
                <w:spacing w:val="-3"/>
                <w:sz w:val="26"/>
              </w:rPr>
              <w:t>Gordon </w:t>
            </w:r>
            <w:r>
              <w:rPr>
                <w:sz w:val="26"/>
              </w:rPr>
              <w:t>Wilmsmeier và cộng sự</w:t>
            </w:r>
            <w:r>
              <w:rPr>
                <w:spacing w:val="-2"/>
                <w:sz w:val="26"/>
              </w:rPr>
              <w:t> </w:t>
            </w:r>
            <w:r>
              <w:rPr>
                <w:sz w:val="26"/>
              </w:rPr>
              <w:t>(2006)</w:t>
            </w:r>
          </w:p>
        </w:tc>
      </w:tr>
      <w:tr>
        <w:trPr>
          <w:trHeight w:val="2241" w:hRule="atLeast"/>
        </w:trPr>
        <w:tc>
          <w:tcPr>
            <w:tcW w:w="1959" w:type="dxa"/>
            <w:vMerge/>
            <w:tcBorders>
              <w:top w:val="nil"/>
            </w:tcBorders>
          </w:tcPr>
          <w:p>
            <w:pPr>
              <w:rPr>
                <w:sz w:val="2"/>
                <w:szCs w:val="2"/>
              </w:rPr>
            </w:pPr>
          </w:p>
        </w:tc>
        <w:tc>
          <w:tcPr>
            <w:tcW w:w="3827" w:type="dxa"/>
          </w:tcPr>
          <w:p>
            <w:pPr>
              <w:pStyle w:val="TableParagraph"/>
              <w:spacing w:before="2"/>
              <w:ind w:left="172"/>
              <w:rPr>
                <w:sz w:val="26"/>
              </w:rPr>
            </w:pPr>
            <w:r>
              <w:rPr>
                <w:b/>
                <w:color w:val="0D0D0D"/>
                <w:sz w:val="26"/>
              </w:rPr>
              <w:t>HT5: </w:t>
            </w:r>
            <w:r>
              <w:rPr>
                <w:color w:val="0D0D0D"/>
                <w:sz w:val="26"/>
              </w:rPr>
              <w:t>Số lượng bến đậu tàu nhiều</w:t>
            </w:r>
          </w:p>
        </w:tc>
        <w:tc>
          <w:tcPr>
            <w:tcW w:w="3829" w:type="dxa"/>
          </w:tcPr>
          <w:p>
            <w:pPr>
              <w:pStyle w:val="TableParagraph"/>
              <w:spacing w:line="360" w:lineRule="auto" w:before="2"/>
              <w:ind w:left="107" w:right="98"/>
              <w:jc w:val="both"/>
              <w:rPr>
                <w:sz w:val="26"/>
              </w:rPr>
            </w:pPr>
            <w:r>
              <w:rPr>
                <w:sz w:val="26"/>
              </w:rPr>
              <w:t>Raimonds Aronietis và cộng </w:t>
            </w:r>
            <w:r>
              <w:rPr>
                <w:spacing w:val="-7"/>
                <w:sz w:val="26"/>
              </w:rPr>
              <w:t>sự </w:t>
            </w:r>
            <w:r>
              <w:rPr>
                <w:sz w:val="26"/>
              </w:rPr>
              <w:t>(2010); Notteboom </w:t>
            </w:r>
            <w:r>
              <w:rPr>
                <w:spacing w:val="-3"/>
                <w:sz w:val="26"/>
              </w:rPr>
              <w:t>(2011); </w:t>
            </w:r>
            <w:r>
              <w:rPr>
                <w:sz w:val="26"/>
              </w:rPr>
              <w:t>Gordon Wilmsmeier và công sự (2006); Joana Coeloho và cộng</w:t>
            </w:r>
            <w:r>
              <w:rPr>
                <w:spacing w:val="51"/>
                <w:sz w:val="26"/>
              </w:rPr>
              <w:t> </w:t>
            </w:r>
            <w:r>
              <w:rPr>
                <w:spacing w:val="-7"/>
                <w:sz w:val="26"/>
              </w:rPr>
              <w:t>sự</w:t>
            </w:r>
          </w:p>
          <w:p>
            <w:pPr>
              <w:pStyle w:val="TableParagraph"/>
              <w:spacing w:line="298" w:lineRule="exact"/>
              <w:ind w:left="107"/>
              <w:rPr>
                <w:sz w:val="26"/>
              </w:rPr>
            </w:pPr>
            <w:r>
              <w:rPr>
                <w:sz w:val="26"/>
              </w:rPr>
              <w:t>(2013)</w:t>
            </w:r>
          </w:p>
        </w:tc>
      </w:tr>
    </w:tbl>
    <w:p>
      <w:pPr>
        <w:spacing w:after="0" w:line="298" w:lineRule="exact"/>
        <w:rPr>
          <w:sz w:val="26"/>
        </w:rPr>
        <w:sectPr>
          <w:pgSz w:w="11910" w:h="16850"/>
          <w:pgMar w:header="751" w:footer="0" w:top="960" w:bottom="280" w:left="820" w:right="240"/>
        </w:sectPr>
      </w:pPr>
    </w:p>
    <w:p>
      <w:pPr>
        <w:pStyle w:val="BodyText"/>
        <w:rPr>
          <w:b/>
          <w:sz w:val="20"/>
        </w:rPr>
      </w:pPr>
    </w:p>
    <w:p>
      <w:pPr>
        <w:pStyle w:val="BodyText"/>
        <w:rPr>
          <w:b/>
          <w:sz w:val="20"/>
        </w:rPr>
      </w:pPr>
    </w:p>
    <w:p>
      <w:pPr>
        <w:pStyle w:val="BodyText"/>
        <w:spacing w:before="1"/>
        <w:rPr>
          <w:b/>
          <w:sz w:val="11"/>
        </w:rPr>
      </w:pPr>
    </w:p>
    <w:tbl>
      <w:tblPr>
        <w:tblW w:w="0" w:type="auto"/>
        <w:jc w:val="left"/>
        <w:tblInd w:w="34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1959"/>
        <w:gridCol w:w="3827"/>
        <w:gridCol w:w="3829"/>
      </w:tblGrid>
      <w:tr>
        <w:trPr>
          <w:trHeight w:val="448" w:hRule="atLeast"/>
        </w:trPr>
        <w:tc>
          <w:tcPr>
            <w:tcW w:w="1959" w:type="dxa"/>
          </w:tcPr>
          <w:p>
            <w:pPr>
              <w:pStyle w:val="TableParagraph"/>
              <w:spacing w:before="2"/>
              <w:ind w:left="396"/>
              <w:rPr>
                <w:b/>
                <w:sz w:val="26"/>
              </w:rPr>
            </w:pPr>
            <w:r>
              <w:rPr>
                <w:b/>
                <w:sz w:val="26"/>
              </w:rPr>
              <w:t>Khái niệm</w:t>
            </w:r>
          </w:p>
        </w:tc>
        <w:tc>
          <w:tcPr>
            <w:tcW w:w="3827" w:type="dxa"/>
          </w:tcPr>
          <w:p>
            <w:pPr>
              <w:pStyle w:val="TableParagraph"/>
              <w:spacing w:before="2"/>
              <w:ind w:left="1154"/>
              <w:rPr>
                <w:b/>
                <w:sz w:val="26"/>
              </w:rPr>
            </w:pPr>
            <w:r>
              <w:rPr>
                <w:b/>
                <w:sz w:val="26"/>
              </w:rPr>
              <w:t>Biến quan sát</w:t>
            </w:r>
          </w:p>
        </w:tc>
        <w:tc>
          <w:tcPr>
            <w:tcW w:w="3829" w:type="dxa"/>
          </w:tcPr>
          <w:p>
            <w:pPr>
              <w:pStyle w:val="TableParagraph"/>
              <w:spacing w:before="2"/>
              <w:ind w:left="1482" w:right="1480"/>
              <w:jc w:val="center"/>
              <w:rPr>
                <w:b/>
                <w:sz w:val="26"/>
              </w:rPr>
            </w:pPr>
            <w:r>
              <w:rPr>
                <w:b/>
                <w:sz w:val="26"/>
              </w:rPr>
              <w:t>Tác giả</w:t>
            </w:r>
          </w:p>
        </w:tc>
      </w:tr>
      <w:tr>
        <w:trPr>
          <w:trHeight w:val="1794" w:hRule="atLeast"/>
        </w:trPr>
        <w:tc>
          <w:tcPr>
            <w:tcW w:w="1959" w:type="dxa"/>
            <w:vMerge w:val="restart"/>
          </w:tcPr>
          <w:p>
            <w:pPr>
              <w:pStyle w:val="TableParagraph"/>
              <w:rPr>
                <w:sz w:val="24"/>
              </w:rPr>
            </w:pPr>
          </w:p>
        </w:tc>
        <w:tc>
          <w:tcPr>
            <w:tcW w:w="3827" w:type="dxa"/>
          </w:tcPr>
          <w:p>
            <w:pPr>
              <w:pStyle w:val="TableParagraph"/>
              <w:spacing w:line="360" w:lineRule="auto" w:before="2"/>
              <w:ind w:left="107" w:right="288"/>
              <w:rPr>
                <w:sz w:val="26"/>
              </w:rPr>
            </w:pPr>
            <w:r>
              <w:rPr>
                <w:b/>
                <w:color w:val="0D0D0D"/>
                <w:sz w:val="26"/>
              </w:rPr>
              <w:t>HT6</w:t>
            </w:r>
            <w:r>
              <w:rPr>
                <w:color w:val="0D0D0D"/>
                <w:sz w:val="26"/>
              </w:rPr>
              <w:t>: Số lượng cầu tàu nước sâu nhiều</w:t>
            </w:r>
          </w:p>
        </w:tc>
        <w:tc>
          <w:tcPr>
            <w:tcW w:w="3829" w:type="dxa"/>
          </w:tcPr>
          <w:p>
            <w:pPr>
              <w:pStyle w:val="TableParagraph"/>
              <w:spacing w:line="360" w:lineRule="auto" w:before="2"/>
              <w:ind w:left="107" w:right="99"/>
              <w:jc w:val="both"/>
              <w:rPr>
                <w:sz w:val="26"/>
              </w:rPr>
            </w:pPr>
            <w:r>
              <w:rPr>
                <w:sz w:val="26"/>
              </w:rPr>
              <w:t>Raimonds Aronietis và cộng sự (2010); Gordon Wilmsmeier </w:t>
            </w:r>
            <w:r>
              <w:rPr>
                <w:spacing w:val="-8"/>
                <w:sz w:val="26"/>
              </w:rPr>
              <w:t>và </w:t>
            </w:r>
            <w:r>
              <w:rPr>
                <w:sz w:val="26"/>
              </w:rPr>
              <w:t>cộng sự (2006); Luna, J. H. </w:t>
            </w:r>
            <w:r>
              <w:rPr>
                <w:spacing w:val="-6"/>
                <w:sz w:val="26"/>
              </w:rPr>
              <w:t>và</w:t>
            </w:r>
          </w:p>
          <w:p>
            <w:pPr>
              <w:pStyle w:val="TableParagraph"/>
              <w:spacing w:before="1"/>
              <w:ind w:left="107"/>
              <w:jc w:val="both"/>
              <w:rPr>
                <w:sz w:val="26"/>
              </w:rPr>
            </w:pPr>
            <w:r>
              <w:rPr>
                <w:sz w:val="26"/>
              </w:rPr>
              <w:t>cộng sự 2018</w:t>
            </w:r>
          </w:p>
        </w:tc>
      </w:tr>
      <w:tr>
        <w:trPr>
          <w:trHeight w:val="2241" w:hRule="atLeast"/>
        </w:trPr>
        <w:tc>
          <w:tcPr>
            <w:tcW w:w="1959" w:type="dxa"/>
            <w:vMerge/>
            <w:tcBorders>
              <w:top w:val="nil"/>
            </w:tcBorders>
          </w:tcPr>
          <w:p>
            <w:pPr>
              <w:rPr>
                <w:sz w:val="2"/>
                <w:szCs w:val="2"/>
              </w:rPr>
            </w:pPr>
          </w:p>
        </w:tc>
        <w:tc>
          <w:tcPr>
            <w:tcW w:w="3827" w:type="dxa"/>
          </w:tcPr>
          <w:p>
            <w:pPr>
              <w:pStyle w:val="TableParagraph"/>
              <w:spacing w:line="360" w:lineRule="auto" w:before="2"/>
              <w:ind w:left="107" w:right="248"/>
              <w:rPr>
                <w:sz w:val="26"/>
              </w:rPr>
            </w:pPr>
            <w:r>
              <w:rPr>
                <w:b/>
                <w:color w:val="0D0D0D"/>
                <w:sz w:val="26"/>
              </w:rPr>
              <w:t>HT7: </w:t>
            </w:r>
            <w:r>
              <w:rPr>
                <w:color w:val="0D0D0D"/>
                <w:sz w:val="26"/>
              </w:rPr>
              <w:t>Số lượng trang thiết bị xếp dỡ nhiều</w:t>
            </w:r>
          </w:p>
        </w:tc>
        <w:tc>
          <w:tcPr>
            <w:tcW w:w="3829" w:type="dxa"/>
          </w:tcPr>
          <w:p>
            <w:pPr>
              <w:pStyle w:val="TableParagraph"/>
              <w:spacing w:line="360" w:lineRule="auto" w:before="2"/>
              <w:ind w:left="107" w:right="97"/>
              <w:jc w:val="both"/>
              <w:rPr>
                <w:sz w:val="26"/>
              </w:rPr>
            </w:pPr>
            <w:r>
              <w:rPr>
                <w:sz w:val="26"/>
              </w:rPr>
              <w:t>Tongzon, J. and Heng (2005); Joana Coeloho và cộng sự </w:t>
            </w:r>
            <w:r>
              <w:rPr>
                <w:spacing w:val="-3"/>
                <w:sz w:val="26"/>
              </w:rPr>
              <w:t>(2013); </w:t>
            </w:r>
            <w:r>
              <w:rPr>
                <w:sz w:val="26"/>
              </w:rPr>
              <w:t>Vitor Caldeirinha (2014); Luna,</w:t>
            </w:r>
            <w:r>
              <w:rPr>
                <w:spacing w:val="49"/>
                <w:sz w:val="26"/>
              </w:rPr>
              <w:t> </w:t>
            </w:r>
            <w:r>
              <w:rPr>
                <w:sz w:val="26"/>
              </w:rPr>
              <w:t>J.</w:t>
            </w:r>
          </w:p>
          <w:p>
            <w:pPr>
              <w:pStyle w:val="TableParagraph"/>
              <w:spacing w:line="298" w:lineRule="exact"/>
              <w:ind w:left="107"/>
              <w:jc w:val="both"/>
              <w:rPr>
                <w:sz w:val="26"/>
              </w:rPr>
            </w:pPr>
            <w:r>
              <w:rPr>
                <w:sz w:val="26"/>
              </w:rPr>
              <w:t>H.   và   cộng   sự   (2018); </w:t>
            </w:r>
            <w:r>
              <w:rPr>
                <w:spacing w:val="47"/>
                <w:sz w:val="26"/>
              </w:rPr>
              <w:t> </w:t>
            </w:r>
            <w:r>
              <w:rPr>
                <w:sz w:val="26"/>
              </w:rPr>
              <w:t>Elvira</w:t>
            </w:r>
          </w:p>
          <w:p>
            <w:pPr>
              <w:pStyle w:val="TableParagraph"/>
              <w:spacing w:before="149"/>
              <w:ind w:left="107"/>
              <w:jc w:val="both"/>
              <w:rPr>
                <w:sz w:val="26"/>
              </w:rPr>
            </w:pPr>
            <w:r>
              <w:rPr>
                <w:sz w:val="26"/>
              </w:rPr>
              <w:t>Haezendonck và cộng sự (2019)</w:t>
            </w:r>
          </w:p>
        </w:tc>
      </w:tr>
      <w:tr>
        <w:trPr>
          <w:trHeight w:val="1794" w:hRule="atLeast"/>
        </w:trPr>
        <w:tc>
          <w:tcPr>
            <w:tcW w:w="1959" w:type="dxa"/>
            <w:vMerge w:val="restart"/>
          </w:tcPr>
          <w:p>
            <w:pPr>
              <w:pStyle w:val="TableParagraph"/>
              <w:rPr>
                <w:b/>
                <w:sz w:val="28"/>
              </w:rPr>
            </w:pPr>
          </w:p>
          <w:p>
            <w:pPr>
              <w:pStyle w:val="TableParagraph"/>
              <w:rPr>
                <w:b/>
                <w:sz w:val="28"/>
              </w:rPr>
            </w:pPr>
          </w:p>
          <w:p>
            <w:pPr>
              <w:pStyle w:val="TableParagraph"/>
              <w:rPr>
                <w:b/>
                <w:sz w:val="28"/>
              </w:rPr>
            </w:pPr>
          </w:p>
          <w:p>
            <w:pPr>
              <w:pStyle w:val="TableParagraph"/>
              <w:rPr>
                <w:b/>
                <w:sz w:val="28"/>
              </w:rPr>
            </w:pPr>
          </w:p>
          <w:p>
            <w:pPr>
              <w:pStyle w:val="TableParagraph"/>
              <w:rPr>
                <w:b/>
                <w:sz w:val="28"/>
              </w:rPr>
            </w:pPr>
          </w:p>
          <w:p>
            <w:pPr>
              <w:pStyle w:val="TableParagraph"/>
              <w:rPr>
                <w:b/>
                <w:sz w:val="28"/>
              </w:rPr>
            </w:pPr>
          </w:p>
          <w:p>
            <w:pPr>
              <w:pStyle w:val="TableParagraph"/>
              <w:rPr>
                <w:b/>
                <w:sz w:val="28"/>
              </w:rPr>
            </w:pPr>
          </w:p>
          <w:p>
            <w:pPr>
              <w:pStyle w:val="TableParagraph"/>
              <w:rPr>
                <w:b/>
                <w:sz w:val="28"/>
              </w:rPr>
            </w:pPr>
          </w:p>
          <w:p>
            <w:pPr>
              <w:pStyle w:val="TableParagraph"/>
              <w:rPr>
                <w:b/>
                <w:sz w:val="28"/>
              </w:rPr>
            </w:pPr>
          </w:p>
          <w:p>
            <w:pPr>
              <w:pStyle w:val="TableParagraph"/>
              <w:rPr>
                <w:b/>
                <w:sz w:val="28"/>
              </w:rPr>
            </w:pPr>
          </w:p>
          <w:p>
            <w:pPr>
              <w:pStyle w:val="TableParagraph"/>
              <w:rPr>
                <w:b/>
                <w:sz w:val="28"/>
              </w:rPr>
            </w:pPr>
          </w:p>
          <w:p>
            <w:pPr>
              <w:pStyle w:val="TableParagraph"/>
              <w:rPr>
                <w:b/>
                <w:sz w:val="28"/>
              </w:rPr>
            </w:pPr>
          </w:p>
          <w:p>
            <w:pPr>
              <w:pStyle w:val="TableParagraph"/>
              <w:spacing w:before="11"/>
              <w:rPr>
                <w:b/>
                <w:sz w:val="36"/>
              </w:rPr>
            </w:pPr>
          </w:p>
          <w:p>
            <w:pPr>
              <w:pStyle w:val="TableParagraph"/>
              <w:spacing w:line="360" w:lineRule="auto"/>
              <w:ind w:left="710" w:hanging="324"/>
              <w:rPr>
                <w:b/>
                <w:sz w:val="26"/>
              </w:rPr>
            </w:pPr>
            <w:r>
              <w:rPr>
                <w:b/>
                <w:sz w:val="26"/>
              </w:rPr>
              <w:t>Vị trí cảng (VT)</w:t>
            </w:r>
          </w:p>
        </w:tc>
        <w:tc>
          <w:tcPr>
            <w:tcW w:w="3827" w:type="dxa"/>
          </w:tcPr>
          <w:p>
            <w:pPr>
              <w:pStyle w:val="TableParagraph"/>
              <w:spacing w:line="360" w:lineRule="auto" w:before="2"/>
              <w:ind w:left="107" w:right="136"/>
              <w:rPr>
                <w:sz w:val="26"/>
              </w:rPr>
            </w:pPr>
            <w:r>
              <w:rPr>
                <w:b/>
                <w:color w:val="0D0D0D"/>
                <w:sz w:val="26"/>
              </w:rPr>
              <w:t>VT1</w:t>
            </w:r>
            <w:r>
              <w:rPr>
                <w:color w:val="0D0D0D"/>
                <w:sz w:val="26"/>
              </w:rPr>
              <w:t>: Gần các cảng trung chuyển lớn trên thế giới (Cảng Singapore, Cảng Hongkong).</w:t>
            </w:r>
          </w:p>
        </w:tc>
        <w:tc>
          <w:tcPr>
            <w:tcW w:w="3829" w:type="dxa"/>
          </w:tcPr>
          <w:p>
            <w:pPr>
              <w:pStyle w:val="TableParagraph"/>
              <w:spacing w:line="360" w:lineRule="auto" w:before="2"/>
              <w:ind w:left="107" w:right="98"/>
              <w:jc w:val="both"/>
              <w:rPr>
                <w:sz w:val="26"/>
              </w:rPr>
            </w:pPr>
            <w:r>
              <w:rPr>
                <w:sz w:val="26"/>
              </w:rPr>
              <w:t>Hosssein Cheraghi và cộng </w:t>
            </w:r>
            <w:r>
              <w:rPr>
                <w:spacing w:val="-7"/>
                <w:sz w:val="26"/>
              </w:rPr>
              <w:t>sự </w:t>
            </w:r>
            <w:r>
              <w:rPr>
                <w:sz w:val="26"/>
              </w:rPr>
              <w:t>(2012); Liu và cộng sự (2010); J. Augusto Felicio (2011);</w:t>
            </w:r>
            <w:r>
              <w:rPr>
                <w:spacing w:val="63"/>
                <w:sz w:val="26"/>
              </w:rPr>
              <w:t> </w:t>
            </w:r>
            <w:r>
              <w:rPr>
                <w:spacing w:val="-3"/>
                <w:sz w:val="26"/>
              </w:rPr>
              <w:t>Joana</w:t>
            </w:r>
          </w:p>
          <w:p>
            <w:pPr>
              <w:pStyle w:val="TableParagraph"/>
              <w:spacing w:before="1"/>
              <w:ind w:left="107"/>
              <w:jc w:val="both"/>
              <w:rPr>
                <w:sz w:val="26"/>
              </w:rPr>
            </w:pPr>
            <w:r>
              <w:rPr>
                <w:sz w:val="26"/>
              </w:rPr>
              <w:t>Coeloho và cộng sự (2013)</w:t>
            </w:r>
          </w:p>
        </w:tc>
      </w:tr>
      <w:tr>
        <w:trPr>
          <w:trHeight w:val="448" w:hRule="atLeast"/>
        </w:trPr>
        <w:tc>
          <w:tcPr>
            <w:tcW w:w="1959" w:type="dxa"/>
            <w:vMerge/>
            <w:tcBorders>
              <w:top w:val="nil"/>
            </w:tcBorders>
          </w:tcPr>
          <w:p>
            <w:pPr>
              <w:rPr>
                <w:sz w:val="2"/>
                <w:szCs w:val="2"/>
              </w:rPr>
            </w:pPr>
          </w:p>
        </w:tc>
        <w:tc>
          <w:tcPr>
            <w:tcW w:w="3827" w:type="dxa"/>
          </w:tcPr>
          <w:p>
            <w:pPr>
              <w:pStyle w:val="TableParagraph"/>
              <w:spacing w:before="2"/>
              <w:ind w:left="107"/>
              <w:rPr>
                <w:sz w:val="26"/>
              </w:rPr>
            </w:pPr>
            <w:r>
              <w:rPr>
                <w:b/>
                <w:color w:val="0D0D0D"/>
                <w:sz w:val="26"/>
              </w:rPr>
              <w:t>VT2: </w:t>
            </w:r>
            <w:r>
              <w:rPr>
                <w:color w:val="0D0D0D"/>
                <w:sz w:val="26"/>
              </w:rPr>
              <w:t>Khoảng cách luồng ngắn</w:t>
            </w:r>
          </w:p>
        </w:tc>
        <w:tc>
          <w:tcPr>
            <w:tcW w:w="3829" w:type="dxa"/>
          </w:tcPr>
          <w:p>
            <w:pPr>
              <w:pStyle w:val="TableParagraph"/>
              <w:spacing w:before="2"/>
              <w:ind w:left="107"/>
              <w:rPr>
                <w:sz w:val="26"/>
              </w:rPr>
            </w:pPr>
            <w:r>
              <w:rPr>
                <w:sz w:val="26"/>
              </w:rPr>
              <w:t>Phát triển bằng định tính</w:t>
            </w:r>
          </w:p>
        </w:tc>
      </w:tr>
      <w:tr>
        <w:trPr>
          <w:trHeight w:val="2241" w:hRule="atLeast"/>
        </w:trPr>
        <w:tc>
          <w:tcPr>
            <w:tcW w:w="1959" w:type="dxa"/>
            <w:vMerge/>
            <w:tcBorders>
              <w:top w:val="nil"/>
            </w:tcBorders>
          </w:tcPr>
          <w:p>
            <w:pPr>
              <w:rPr>
                <w:sz w:val="2"/>
                <w:szCs w:val="2"/>
              </w:rPr>
            </w:pPr>
          </w:p>
        </w:tc>
        <w:tc>
          <w:tcPr>
            <w:tcW w:w="3827" w:type="dxa"/>
          </w:tcPr>
          <w:p>
            <w:pPr>
              <w:pStyle w:val="TableParagraph"/>
              <w:spacing w:line="360" w:lineRule="auto" w:before="2"/>
              <w:ind w:left="107" w:right="621"/>
              <w:rPr>
                <w:sz w:val="26"/>
              </w:rPr>
            </w:pPr>
            <w:r>
              <w:rPr>
                <w:b/>
                <w:color w:val="0D0D0D"/>
                <w:sz w:val="26"/>
              </w:rPr>
              <w:t>VT3: </w:t>
            </w:r>
            <w:r>
              <w:rPr>
                <w:color w:val="0D0D0D"/>
                <w:sz w:val="26"/>
              </w:rPr>
              <w:t>Cảng gần các khu công nghiệp, khu chế xuất</w:t>
            </w:r>
          </w:p>
        </w:tc>
        <w:tc>
          <w:tcPr>
            <w:tcW w:w="3829" w:type="dxa"/>
          </w:tcPr>
          <w:p>
            <w:pPr>
              <w:pStyle w:val="TableParagraph"/>
              <w:spacing w:line="360" w:lineRule="auto" w:before="2"/>
              <w:ind w:left="107"/>
              <w:rPr>
                <w:sz w:val="26"/>
              </w:rPr>
            </w:pPr>
            <w:r>
              <w:rPr>
                <w:sz w:val="26"/>
              </w:rPr>
              <w:t>Yap and Notteboom (2011) </w:t>
            </w:r>
            <w:r>
              <w:rPr>
                <w:spacing w:val="-3"/>
                <w:sz w:val="26"/>
              </w:rPr>
              <w:t>Chou </w:t>
            </w:r>
            <w:r>
              <w:rPr>
                <w:sz w:val="26"/>
              </w:rPr>
              <w:t>(2010);   Onut   (2011);   Zohil </w:t>
            </w:r>
            <w:r>
              <w:rPr>
                <w:spacing w:val="29"/>
                <w:sz w:val="26"/>
              </w:rPr>
              <w:t> </w:t>
            </w:r>
            <w:r>
              <w:rPr>
                <w:spacing w:val="-6"/>
                <w:sz w:val="26"/>
              </w:rPr>
              <w:t>và</w:t>
            </w:r>
          </w:p>
          <w:p>
            <w:pPr>
              <w:pStyle w:val="TableParagraph"/>
              <w:spacing w:line="357" w:lineRule="auto" w:before="1"/>
              <w:ind w:left="107"/>
              <w:rPr>
                <w:sz w:val="26"/>
              </w:rPr>
            </w:pPr>
            <w:r>
              <w:rPr>
                <w:sz w:val="26"/>
              </w:rPr>
              <w:t>Prijon (1999); Cheo (2007); </w:t>
            </w:r>
            <w:r>
              <w:rPr>
                <w:spacing w:val="-3"/>
                <w:sz w:val="26"/>
              </w:rPr>
              <w:t>Hung </w:t>
            </w:r>
            <w:r>
              <w:rPr>
                <w:sz w:val="26"/>
              </w:rPr>
              <w:t>(2010); Joana Coeloho và cộng</w:t>
            </w:r>
            <w:r>
              <w:rPr>
                <w:spacing w:val="49"/>
                <w:sz w:val="26"/>
              </w:rPr>
              <w:t> </w:t>
            </w:r>
            <w:r>
              <w:rPr>
                <w:spacing w:val="-6"/>
                <w:sz w:val="26"/>
              </w:rPr>
              <w:t>sự</w:t>
            </w:r>
          </w:p>
          <w:p>
            <w:pPr>
              <w:pStyle w:val="TableParagraph"/>
              <w:spacing w:before="4"/>
              <w:ind w:left="107"/>
              <w:rPr>
                <w:sz w:val="26"/>
              </w:rPr>
            </w:pPr>
            <w:r>
              <w:rPr>
                <w:sz w:val="26"/>
              </w:rPr>
              <w:t>(2013)</w:t>
            </w:r>
          </w:p>
        </w:tc>
      </w:tr>
      <w:tr>
        <w:trPr>
          <w:trHeight w:val="2244" w:hRule="atLeast"/>
        </w:trPr>
        <w:tc>
          <w:tcPr>
            <w:tcW w:w="1959" w:type="dxa"/>
            <w:vMerge/>
            <w:tcBorders>
              <w:top w:val="nil"/>
            </w:tcBorders>
          </w:tcPr>
          <w:p>
            <w:pPr>
              <w:rPr>
                <w:sz w:val="2"/>
                <w:szCs w:val="2"/>
              </w:rPr>
            </w:pPr>
          </w:p>
        </w:tc>
        <w:tc>
          <w:tcPr>
            <w:tcW w:w="3827" w:type="dxa"/>
          </w:tcPr>
          <w:p>
            <w:pPr>
              <w:pStyle w:val="TableParagraph"/>
              <w:spacing w:line="360" w:lineRule="auto" w:before="2"/>
              <w:ind w:left="107" w:right="315"/>
              <w:rPr>
                <w:sz w:val="26"/>
              </w:rPr>
            </w:pPr>
            <w:r>
              <w:rPr>
                <w:b/>
                <w:color w:val="0D0D0D"/>
                <w:sz w:val="26"/>
              </w:rPr>
              <w:t>VT4: </w:t>
            </w:r>
            <w:r>
              <w:rPr>
                <w:color w:val="0D0D0D"/>
                <w:sz w:val="26"/>
              </w:rPr>
              <w:t>Cảng gần các thềm lục địa Á-Âu</w:t>
            </w:r>
          </w:p>
        </w:tc>
        <w:tc>
          <w:tcPr>
            <w:tcW w:w="3829" w:type="dxa"/>
          </w:tcPr>
          <w:p>
            <w:pPr>
              <w:pStyle w:val="TableParagraph"/>
              <w:spacing w:line="360" w:lineRule="auto" w:before="2"/>
              <w:ind w:left="107" w:right="98"/>
              <w:jc w:val="both"/>
              <w:rPr>
                <w:sz w:val="26"/>
              </w:rPr>
            </w:pPr>
            <w:r>
              <w:rPr>
                <w:sz w:val="26"/>
              </w:rPr>
              <w:t>Hosssein Cheraghi và cộng sự (2012); Liu và cộng sự (2010); Lirn </w:t>
            </w:r>
            <w:r>
              <w:rPr>
                <w:i/>
                <w:sz w:val="26"/>
              </w:rPr>
              <w:t>et al. </w:t>
            </w:r>
            <w:r>
              <w:rPr>
                <w:sz w:val="26"/>
              </w:rPr>
              <w:t>(2004); Joana Coeloho và cộng sự (2013); Vitor</w:t>
            </w:r>
          </w:p>
          <w:p>
            <w:pPr>
              <w:pStyle w:val="TableParagraph"/>
              <w:spacing w:before="2"/>
              <w:ind w:left="107"/>
              <w:jc w:val="both"/>
              <w:rPr>
                <w:sz w:val="26"/>
              </w:rPr>
            </w:pPr>
            <w:r>
              <w:rPr>
                <w:sz w:val="26"/>
              </w:rPr>
              <w:t>Caldeirinha (2014).</w:t>
            </w:r>
          </w:p>
        </w:tc>
      </w:tr>
      <w:tr>
        <w:trPr>
          <w:trHeight w:val="2241" w:hRule="atLeast"/>
        </w:trPr>
        <w:tc>
          <w:tcPr>
            <w:tcW w:w="1959" w:type="dxa"/>
            <w:vMerge/>
            <w:tcBorders>
              <w:top w:val="nil"/>
            </w:tcBorders>
          </w:tcPr>
          <w:p>
            <w:pPr>
              <w:rPr>
                <w:sz w:val="2"/>
                <w:szCs w:val="2"/>
              </w:rPr>
            </w:pPr>
          </w:p>
        </w:tc>
        <w:tc>
          <w:tcPr>
            <w:tcW w:w="3827" w:type="dxa"/>
          </w:tcPr>
          <w:p>
            <w:pPr>
              <w:pStyle w:val="TableParagraph"/>
              <w:spacing w:line="360" w:lineRule="auto" w:before="2"/>
              <w:ind w:left="107"/>
              <w:rPr>
                <w:sz w:val="26"/>
              </w:rPr>
            </w:pPr>
            <w:r>
              <w:rPr>
                <w:b/>
                <w:color w:val="0D0D0D"/>
                <w:sz w:val="26"/>
              </w:rPr>
              <w:t>VT5: </w:t>
            </w:r>
            <w:r>
              <w:rPr>
                <w:color w:val="0D0D0D"/>
                <w:sz w:val="26"/>
              </w:rPr>
              <w:t>Tuyến đường liên kết liên hợp đến cảng phù hợp cho vận tải lượng hàng lớn (vd: đường sắt, xa lộ, sà lan...)</w:t>
            </w:r>
          </w:p>
        </w:tc>
        <w:tc>
          <w:tcPr>
            <w:tcW w:w="3829" w:type="dxa"/>
          </w:tcPr>
          <w:p>
            <w:pPr>
              <w:pStyle w:val="TableParagraph"/>
              <w:spacing w:line="360" w:lineRule="auto" w:before="2"/>
              <w:ind w:left="107" w:right="99"/>
              <w:jc w:val="both"/>
              <w:rPr>
                <w:sz w:val="26"/>
              </w:rPr>
            </w:pPr>
            <w:r>
              <w:rPr>
                <w:sz w:val="26"/>
              </w:rPr>
              <w:t>Lirn </w:t>
            </w:r>
            <w:r>
              <w:rPr>
                <w:i/>
                <w:sz w:val="26"/>
              </w:rPr>
              <w:t>et al. </w:t>
            </w:r>
            <w:r>
              <w:rPr>
                <w:sz w:val="26"/>
              </w:rPr>
              <w:t>(2004); Tongzon, J. và cộng sự (1995, 2007, 2009); Joana Coeloho và cộng sự (2013); Vitor Caldeirinha (2014); Luna, J. H. và</w:t>
            </w:r>
          </w:p>
          <w:p>
            <w:pPr>
              <w:pStyle w:val="TableParagraph"/>
              <w:spacing w:line="298" w:lineRule="exact"/>
              <w:ind w:left="107"/>
              <w:jc w:val="both"/>
              <w:rPr>
                <w:sz w:val="26"/>
              </w:rPr>
            </w:pPr>
            <w:r>
              <w:rPr>
                <w:sz w:val="26"/>
              </w:rPr>
              <w:t>cộng sự (2018)</w:t>
            </w:r>
          </w:p>
        </w:tc>
      </w:tr>
      <w:tr>
        <w:trPr>
          <w:trHeight w:val="448" w:hRule="atLeast"/>
        </w:trPr>
        <w:tc>
          <w:tcPr>
            <w:tcW w:w="1959" w:type="dxa"/>
            <w:vMerge/>
            <w:tcBorders>
              <w:top w:val="nil"/>
            </w:tcBorders>
          </w:tcPr>
          <w:p>
            <w:pPr>
              <w:rPr>
                <w:sz w:val="2"/>
                <w:szCs w:val="2"/>
              </w:rPr>
            </w:pPr>
          </w:p>
        </w:tc>
        <w:tc>
          <w:tcPr>
            <w:tcW w:w="3827" w:type="dxa"/>
          </w:tcPr>
          <w:p>
            <w:pPr>
              <w:pStyle w:val="TableParagraph"/>
              <w:spacing w:before="2"/>
              <w:ind w:left="107"/>
              <w:rPr>
                <w:sz w:val="26"/>
              </w:rPr>
            </w:pPr>
            <w:r>
              <w:rPr>
                <w:b/>
                <w:color w:val="0D0D0D"/>
                <w:sz w:val="26"/>
              </w:rPr>
              <w:t>VT6: </w:t>
            </w:r>
            <w:r>
              <w:rPr>
                <w:color w:val="0D0D0D"/>
                <w:sz w:val="26"/>
              </w:rPr>
              <w:t>Cảng gần các cảng liên kết</w:t>
            </w:r>
          </w:p>
        </w:tc>
        <w:tc>
          <w:tcPr>
            <w:tcW w:w="3829" w:type="dxa"/>
          </w:tcPr>
          <w:p>
            <w:pPr>
              <w:pStyle w:val="TableParagraph"/>
              <w:spacing w:before="2"/>
              <w:ind w:left="107"/>
              <w:rPr>
                <w:sz w:val="26"/>
              </w:rPr>
            </w:pPr>
            <w:r>
              <w:rPr>
                <w:sz w:val="26"/>
              </w:rPr>
              <w:t>Phát triển bằng định tính</w:t>
            </w:r>
          </w:p>
        </w:tc>
      </w:tr>
    </w:tbl>
    <w:p>
      <w:pPr>
        <w:spacing w:after="0"/>
        <w:rPr>
          <w:sz w:val="26"/>
        </w:rPr>
        <w:sectPr>
          <w:pgSz w:w="11910" w:h="16850"/>
          <w:pgMar w:header="751" w:footer="0" w:top="960" w:bottom="280" w:left="820" w:right="240"/>
        </w:sectPr>
      </w:pPr>
    </w:p>
    <w:p>
      <w:pPr>
        <w:pStyle w:val="BodyText"/>
        <w:rPr>
          <w:b/>
          <w:sz w:val="20"/>
        </w:rPr>
      </w:pPr>
    </w:p>
    <w:p>
      <w:pPr>
        <w:pStyle w:val="BodyText"/>
        <w:rPr>
          <w:b/>
          <w:sz w:val="20"/>
        </w:rPr>
      </w:pPr>
    </w:p>
    <w:p>
      <w:pPr>
        <w:pStyle w:val="BodyText"/>
        <w:spacing w:before="1"/>
        <w:rPr>
          <w:b/>
          <w:sz w:val="11"/>
        </w:rPr>
      </w:pPr>
    </w:p>
    <w:tbl>
      <w:tblPr>
        <w:tblW w:w="0" w:type="auto"/>
        <w:jc w:val="left"/>
        <w:tblInd w:w="34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1959"/>
        <w:gridCol w:w="3827"/>
        <w:gridCol w:w="3829"/>
      </w:tblGrid>
      <w:tr>
        <w:trPr>
          <w:trHeight w:val="448" w:hRule="atLeast"/>
        </w:trPr>
        <w:tc>
          <w:tcPr>
            <w:tcW w:w="1959" w:type="dxa"/>
          </w:tcPr>
          <w:p>
            <w:pPr>
              <w:pStyle w:val="TableParagraph"/>
              <w:spacing w:before="2"/>
              <w:ind w:left="396"/>
              <w:rPr>
                <w:b/>
                <w:sz w:val="26"/>
              </w:rPr>
            </w:pPr>
            <w:r>
              <w:rPr>
                <w:b/>
                <w:sz w:val="26"/>
              </w:rPr>
              <w:t>Khái niệm</w:t>
            </w:r>
          </w:p>
        </w:tc>
        <w:tc>
          <w:tcPr>
            <w:tcW w:w="3827" w:type="dxa"/>
          </w:tcPr>
          <w:p>
            <w:pPr>
              <w:pStyle w:val="TableParagraph"/>
              <w:spacing w:before="2"/>
              <w:ind w:left="1154"/>
              <w:rPr>
                <w:b/>
                <w:sz w:val="26"/>
              </w:rPr>
            </w:pPr>
            <w:r>
              <w:rPr>
                <w:b/>
                <w:sz w:val="26"/>
              </w:rPr>
              <w:t>Biến quan sát</w:t>
            </w:r>
          </w:p>
        </w:tc>
        <w:tc>
          <w:tcPr>
            <w:tcW w:w="3829" w:type="dxa"/>
          </w:tcPr>
          <w:p>
            <w:pPr>
              <w:pStyle w:val="TableParagraph"/>
              <w:spacing w:before="2"/>
              <w:ind w:left="1482" w:right="1480"/>
              <w:jc w:val="center"/>
              <w:rPr>
                <w:b/>
                <w:sz w:val="26"/>
              </w:rPr>
            </w:pPr>
            <w:r>
              <w:rPr>
                <w:b/>
                <w:sz w:val="26"/>
              </w:rPr>
              <w:t>Tác giả</w:t>
            </w:r>
          </w:p>
        </w:tc>
      </w:tr>
      <w:tr>
        <w:trPr>
          <w:trHeight w:val="448" w:hRule="atLeast"/>
        </w:trPr>
        <w:tc>
          <w:tcPr>
            <w:tcW w:w="1959" w:type="dxa"/>
            <w:vMerge w:val="restart"/>
          </w:tcPr>
          <w:p>
            <w:pPr>
              <w:pStyle w:val="TableParagraph"/>
              <w:rPr>
                <w:sz w:val="24"/>
              </w:rPr>
            </w:pPr>
          </w:p>
        </w:tc>
        <w:tc>
          <w:tcPr>
            <w:tcW w:w="3827" w:type="dxa"/>
          </w:tcPr>
          <w:p>
            <w:pPr>
              <w:pStyle w:val="TableParagraph"/>
              <w:spacing w:before="2"/>
              <w:ind w:left="107"/>
              <w:rPr>
                <w:sz w:val="26"/>
              </w:rPr>
            </w:pPr>
            <w:r>
              <w:rPr>
                <w:color w:val="0D0D0D"/>
                <w:sz w:val="26"/>
              </w:rPr>
              <w:t>khác bao gồm các Depot</w:t>
            </w:r>
          </w:p>
        </w:tc>
        <w:tc>
          <w:tcPr>
            <w:tcW w:w="3829" w:type="dxa"/>
          </w:tcPr>
          <w:p>
            <w:pPr>
              <w:pStyle w:val="TableParagraph"/>
              <w:rPr>
                <w:sz w:val="24"/>
              </w:rPr>
            </w:pPr>
          </w:p>
        </w:tc>
      </w:tr>
      <w:tr>
        <w:trPr>
          <w:trHeight w:val="2241" w:hRule="atLeast"/>
        </w:trPr>
        <w:tc>
          <w:tcPr>
            <w:tcW w:w="1959" w:type="dxa"/>
            <w:vMerge/>
            <w:tcBorders>
              <w:top w:val="nil"/>
            </w:tcBorders>
          </w:tcPr>
          <w:p>
            <w:pPr>
              <w:rPr>
                <w:sz w:val="2"/>
                <w:szCs w:val="2"/>
              </w:rPr>
            </w:pPr>
          </w:p>
        </w:tc>
        <w:tc>
          <w:tcPr>
            <w:tcW w:w="3827" w:type="dxa"/>
          </w:tcPr>
          <w:p>
            <w:pPr>
              <w:pStyle w:val="TableParagraph"/>
              <w:spacing w:before="2"/>
              <w:ind w:left="107"/>
              <w:rPr>
                <w:sz w:val="26"/>
              </w:rPr>
            </w:pPr>
            <w:r>
              <w:rPr>
                <w:b/>
                <w:color w:val="0D0D0D"/>
                <w:sz w:val="26"/>
              </w:rPr>
              <w:t>VT7: </w:t>
            </w:r>
            <w:r>
              <w:rPr>
                <w:color w:val="0D0D0D"/>
                <w:sz w:val="26"/>
              </w:rPr>
              <w:t>Vị trí địa lý thuận lợi</w:t>
            </w:r>
          </w:p>
        </w:tc>
        <w:tc>
          <w:tcPr>
            <w:tcW w:w="3829" w:type="dxa"/>
          </w:tcPr>
          <w:p>
            <w:pPr>
              <w:pStyle w:val="TableParagraph"/>
              <w:spacing w:line="360" w:lineRule="auto" w:before="2"/>
              <w:ind w:left="107" w:right="99"/>
              <w:jc w:val="both"/>
              <w:rPr>
                <w:sz w:val="26"/>
              </w:rPr>
            </w:pPr>
            <w:r>
              <w:rPr>
                <w:sz w:val="26"/>
              </w:rPr>
              <w:t>Willingale (1984); Murphy và cộng sự (1991); Tongzon, J. và cộng sự (2002, 2005); Yap and Notteboom (2011); J. Augusto</w:t>
            </w:r>
          </w:p>
          <w:p>
            <w:pPr>
              <w:pStyle w:val="TableParagraph"/>
              <w:spacing w:before="1"/>
              <w:ind w:left="107"/>
              <w:jc w:val="both"/>
              <w:rPr>
                <w:sz w:val="26"/>
              </w:rPr>
            </w:pPr>
            <w:r>
              <w:rPr>
                <w:sz w:val="26"/>
              </w:rPr>
              <w:t>Felicio (2011).</w:t>
            </w:r>
          </w:p>
        </w:tc>
      </w:tr>
      <w:tr>
        <w:trPr>
          <w:trHeight w:val="2244" w:hRule="atLeast"/>
        </w:trPr>
        <w:tc>
          <w:tcPr>
            <w:tcW w:w="1959" w:type="dxa"/>
            <w:vMerge/>
            <w:tcBorders>
              <w:top w:val="nil"/>
            </w:tcBorders>
          </w:tcPr>
          <w:p>
            <w:pPr>
              <w:rPr>
                <w:sz w:val="2"/>
                <w:szCs w:val="2"/>
              </w:rPr>
            </w:pPr>
          </w:p>
        </w:tc>
        <w:tc>
          <w:tcPr>
            <w:tcW w:w="3827" w:type="dxa"/>
          </w:tcPr>
          <w:p>
            <w:pPr>
              <w:pStyle w:val="TableParagraph"/>
              <w:spacing w:line="360" w:lineRule="auto" w:before="4"/>
              <w:ind w:left="107" w:right="119"/>
              <w:rPr>
                <w:sz w:val="26"/>
              </w:rPr>
            </w:pPr>
            <w:r>
              <w:rPr>
                <w:b/>
                <w:color w:val="0D0D0D"/>
                <w:sz w:val="26"/>
              </w:rPr>
              <w:t>VT8: </w:t>
            </w:r>
            <w:r>
              <w:rPr>
                <w:color w:val="0D0D0D"/>
                <w:sz w:val="26"/>
              </w:rPr>
              <w:t>Cảng gần những tuyến hàng hải chính yếu</w:t>
            </w:r>
          </w:p>
        </w:tc>
        <w:tc>
          <w:tcPr>
            <w:tcW w:w="3829" w:type="dxa"/>
          </w:tcPr>
          <w:p>
            <w:pPr>
              <w:pStyle w:val="TableParagraph"/>
              <w:spacing w:line="360" w:lineRule="auto" w:before="4"/>
              <w:ind w:left="107" w:right="98"/>
              <w:jc w:val="both"/>
              <w:rPr>
                <w:sz w:val="26"/>
              </w:rPr>
            </w:pPr>
            <w:r>
              <w:rPr>
                <w:sz w:val="26"/>
              </w:rPr>
              <w:t>Chien-Chang Chou (2009); Raimonds Aronietis và cộng </w:t>
            </w:r>
            <w:r>
              <w:rPr>
                <w:spacing w:val="-6"/>
                <w:sz w:val="26"/>
              </w:rPr>
              <w:t>sự </w:t>
            </w:r>
            <w:r>
              <w:rPr>
                <w:sz w:val="26"/>
              </w:rPr>
              <w:t>(2010); Yap and Notteboom (2011); Joana Coeloho và cộng</w:t>
            </w:r>
            <w:r>
              <w:rPr>
                <w:spacing w:val="51"/>
                <w:sz w:val="26"/>
              </w:rPr>
              <w:t> </w:t>
            </w:r>
            <w:r>
              <w:rPr>
                <w:spacing w:val="-7"/>
                <w:sz w:val="26"/>
              </w:rPr>
              <w:t>sự</w:t>
            </w:r>
          </w:p>
          <w:p>
            <w:pPr>
              <w:pStyle w:val="TableParagraph"/>
              <w:spacing w:line="299" w:lineRule="exact"/>
              <w:ind w:left="107"/>
              <w:rPr>
                <w:sz w:val="26"/>
              </w:rPr>
            </w:pPr>
            <w:r>
              <w:rPr>
                <w:sz w:val="26"/>
              </w:rPr>
              <w:t>(2013)</w:t>
            </w:r>
          </w:p>
        </w:tc>
      </w:tr>
      <w:tr>
        <w:trPr>
          <w:trHeight w:val="1346" w:hRule="atLeast"/>
        </w:trPr>
        <w:tc>
          <w:tcPr>
            <w:tcW w:w="1959" w:type="dxa"/>
            <w:vMerge/>
            <w:tcBorders>
              <w:top w:val="nil"/>
            </w:tcBorders>
          </w:tcPr>
          <w:p>
            <w:pPr>
              <w:rPr>
                <w:sz w:val="2"/>
                <w:szCs w:val="2"/>
              </w:rPr>
            </w:pPr>
          </w:p>
        </w:tc>
        <w:tc>
          <w:tcPr>
            <w:tcW w:w="3827" w:type="dxa"/>
          </w:tcPr>
          <w:p>
            <w:pPr>
              <w:pStyle w:val="TableParagraph"/>
              <w:spacing w:line="360" w:lineRule="auto" w:before="2"/>
              <w:ind w:left="107" w:right="578"/>
              <w:rPr>
                <w:sz w:val="26"/>
              </w:rPr>
            </w:pPr>
            <w:r>
              <w:rPr>
                <w:b/>
                <w:color w:val="0D0D0D"/>
                <w:sz w:val="26"/>
              </w:rPr>
              <w:t>VT9: </w:t>
            </w:r>
            <w:r>
              <w:rPr>
                <w:color w:val="0D0D0D"/>
                <w:sz w:val="26"/>
              </w:rPr>
              <w:t>Cảng gần các trung tâm thương mại</w:t>
            </w:r>
          </w:p>
        </w:tc>
        <w:tc>
          <w:tcPr>
            <w:tcW w:w="3829" w:type="dxa"/>
          </w:tcPr>
          <w:p>
            <w:pPr>
              <w:pStyle w:val="TableParagraph"/>
              <w:spacing w:before="2"/>
              <w:ind w:left="107"/>
              <w:rPr>
                <w:sz w:val="26"/>
              </w:rPr>
            </w:pPr>
            <w:r>
              <w:rPr>
                <w:sz w:val="26"/>
              </w:rPr>
              <w:t>Chou  (2010);  Onut  (2011);</w:t>
            </w:r>
            <w:r>
              <w:rPr>
                <w:spacing w:val="-30"/>
                <w:sz w:val="26"/>
              </w:rPr>
              <w:t> </w:t>
            </w:r>
            <w:r>
              <w:rPr>
                <w:sz w:val="26"/>
              </w:rPr>
              <w:t>Zohil</w:t>
            </w:r>
          </w:p>
          <w:p>
            <w:pPr>
              <w:pStyle w:val="TableParagraph"/>
              <w:spacing w:before="149"/>
              <w:ind w:left="107"/>
              <w:rPr>
                <w:sz w:val="26"/>
              </w:rPr>
            </w:pPr>
            <w:r>
              <w:rPr>
                <w:sz w:val="26"/>
              </w:rPr>
              <w:t>và   Prijon   (1999);   Cheo</w:t>
            </w:r>
            <w:r>
              <w:rPr>
                <w:spacing w:val="-5"/>
                <w:sz w:val="26"/>
              </w:rPr>
              <w:t> </w:t>
            </w:r>
            <w:r>
              <w:rPr>
                <w:sz w:val="26"/>
              </w:rPr>
              <w:t>(2007);</w:t>
            </w:r>
          </w:p>
          <w:p>
            <w:pPr>
              <w:pStyle w:val="TableParagraph"/>
              <w:spacing w:before="150"/>
              <w:ind w:left="107"/>
              <w:rPr>
                <w:sz w:val="26"/>
              </w:rPr>
            </w:pPr>
            <w:r>
              <w:rPr>
                <w:sz w:val="26"/>
              </w:rPr>
              <w:t>Hung (2010)</w:t>
            </w:r>
          </w:p>
        </w:tc>
      </w:tr>
      <w:tr>
        <w:trPr>
          <w:trHeight w:val="897" w:hRule="atLeast"/>
        </w:trPr>
        <w:tc>
          <w:tcPr>
            <w:tcW w:w="1959" w:type="dxa"/>
            <w:vMerge w:val="restart"/>
          </w:tcPr>
          <w:p>
            <w:pPr>
              <w:pStyle w:val="TableParagraph"/>
              <w:rPr>
                <w:b/>
                <w:sz w:val="28"/>
              </w:rPr>
            </w:pPr>
          </w:p>
          <w:p>
            <w:pPr>
              <w:pStyle w:val="TableParagraph"/>
              <w:rPr>
                <w:b/>
                <w:sz w:val="28"/>
              </w:rPr>
            </w:pPr>
          </w:p>
          <w:p>
            <w:pPr>
              <w:pStyle w:val="TableParagraph"/>
              <w:rPr>
                <w:b/>
                <w:sz w:val="28"/>
              </w:rPr>
            </w:pPr>
          </w:p>
          <w:p>
            <w:pPr>
              <w:pStyle w:val="TableParagraph"/>
              <w:rPr>
                <w:b/>
                <w:sz w:val="28"/>
              </w:rPr>
            </w:pPr>
          </w:p>
          <w:p>
            <w:pPr>
              <w:pStyle w:val="TableParagraph"/>
              <w:rPr>
                <w:b/>
                <w:sz w:val="28"/>
              </w:rPr>
            </w:pPr>
          </w:p>
          <w:p>
            <w:pPr>
              <w:pStyle w:val="TableParagraph"/>
              <w:rPr>
                <w:b/>
                <w:sz w:val="28"/>
              </w:rPr>
            </w:pPr>
          </w:p>
          <w:p>
            <w:pPr>
              <w:pStyle w:val="TableParagraph"/>
              <w:rPr>
                <w:b/>
                <w:sz w:val="28"/>
              </w:rPr>
            </w:pPr>
          </w:p>
          <w:p>
            <w:pPr>
              <w:pStyle w:val="TableParagraph"/>
              <w:rPr>
                <w:b/>
                <w:sz w:val="28"/>
              </w:rPr>
            </w:pPr>
          </w:p>
          <w:p>
            <w:pPr>
              <w:pStyle w:val="TableParagraph"/>
              <w:spacing w:before="7"/>
              <w:rPr>
                <w:b/>
                <w:sz w:val="30"/>
              </w:rPr>
            </w:pPr>
          </w:p>
          <w:p>
            <w:pPr>
              <w:pStyle w:val="TableParagraph"/>
              <w:spacing w:line="360" w:lineRule="auto"/>
              <w:ind w:left="181" w:right="170"/>
              <w:jc w:val="center"/>
              <w:rPr>
                <w:b/>
                <w:sz w:val="26"/>
              </w:rPr>
            </w:pPr>
            <w:r>
              <w:rPr>
                <w:b/>
                <w:sz w:val="26"/>
              </w:rPr>
              <w:t>Năng lực kết nối nội địa (ND)</w:t>
            </w:r>
          </w:p>
        </w:tc>
        <w:tc>
          <w:tcPr>
            <w:tcW w:w="3827" w:type="dxa"/>
          </w:tcPr>
          <w:p>
            <w:pPr>
              <w:pStyle w:val="TableParagraph"/>
              <w:spacing w:before="2"/>
              <w:ind w:left="107"/>
              <w:rPr>
                <w:sz w:val="26"/>
              </w:rPr>
            </w:pPr>
            <w:r>
              <w:rPr>
                <w:b/>
                <w:color w:val="0D0D0D"/>
                <w:sz w:val="26"/>
              </w:rPr>
              <w:t>ND1: </w:t>
            </w:r>
            <w:r>
              <w:rPr>
                <w:color w:val="0D0D0D"/>
                <w:sz w:val="26"/>
              </w:rPr>
              <w:t>Có nhiều tuyến đường sông</w:t>
            </w:r>
          </w:p>
          <w:p>
            <w:pPr>
              <w:pStyle w:val="TableParagraph"/>
              <w:spacing w:before="150"/>
              <w:ind w:left="107"/>
              <w:rPr>
                <w:sz w:val="26"/>
              </w:rPr>
            </w:pPr>
            <w:r>
              <w:rPr>
                <w:color w:val="0D0D0D"/>
                <w:sz w:val="26"/>
              </w:rPr>
              <w:t>đến cảng</w:t>
            </w:r>
          </w:p>
        </w:tc>
        <w:tc>
          <w:tcPr>
            <w:tcW w:w="3829" w:type="dxa"/>
          </w:tcPr>
          <w:p>
            <w:pPr>
              <w:pStyle w:val="TableParagraph"/>
              <w:spacing w:before="2"/>
              <w:ind w:left="107"/>
              <w:rPr>
                <w:sz w:val="26"/>
              </w:rPr>
            </w:pPr>
            <w:r>
              <w:rPr>
                <w:sz w:val="26"/>
              </w:rPr>
              <w:t>Phát triển bằng định tính</w:t>
            </w:r>
          </w:p>
        </w:tc>
      </w:tr>
      <w:tr>
        <w:trPr>
          <w:trHeight w:val="2690" w:hRule="atLeast"/>
        </w:trPr>
        <w:tc>
          <w:tcPr>
            <w:tcW w:w="1959" w:type="dxa"/>
            <w:vMerge/>
            <w:tcBorders>
              <w:top w:val="nil"/>
            </w:tcBorders>
          </w:tcPr>
          <w:p>
            <w:pPr>
              <w:rPr>
                <w:sz w:val="2"/>
                <w:szCs w:val="2"/>
              </w:rPr>
            </w:pPr>
          </w:p>
        </w:tc>
        <w:tc>
          <w:tcPr>
            <w:tcW w:w="3827" w:type="dxa"/>
          </w:tcPr>
          <w:p>
            <w:pPr>
              <w:pStyle w:val="TableParagraph"/>
              <w:spacing w:line="360" w:lineRule="auto" w:before="2"/>
              <w:ind w:left="107" w:right="321" w:firstLine="64"/>
              <w:rPr>
                <w:sz w:val="26"/>
              </w:rPr>
            </w:pPr>
            <w:r>
              <w:rPr>
                <w:b/>
                <w:color w:val="0D0D0D"/>
                <w:sz w:val="26"/>
              </w:rPr>
              <w:t>ND2: </w:t>
            </w:r>
            <w:r>
              <w:rPr>
                <w:color w:val="0D0D0D"/>
                <w:sz w:val="26"/>
              </w:rPr>
              <w:t>Có nhiều tuyến đường bộ đến cảng</w:t>
            </w:r>
          </w:p>
        </w:tc>
        <w:tc>
          <w:tcPr>
            <w:tcW w:w="3829" w:type="dxa"/>
          </w:tcPr>
          <w:p>
            <w:pPr>
              <w:pStyle w:val="TableParagraph"/>
              <w:spacing w:line="360" w:lineRule="auto" w:before="2"/>
              <w:ind w:left="107" w:right="99"/>
              <w:jc w:val="both"/>
              <w:rPr>
                <w:sz w:val="26"/>
              </w:rPr>
            </w:pPr>
            <w:r>
              <w:rPr>
                <w:sz w:val="26"/>
              </w:rPr>
              <w:t>Yap and Notteboom (2000, </w:t>
            </w:r>
            <w:r>
              <w:rPr>
                <w:spacing w:val="-3"/>
                <w:sz w:val="26"/>
              </w:rPr>
              <w:t>2011); </w:t>
            </w:r>
            <w:r>
              <w:rPr>
                <w:sz w:val="26"/>
              </w:rPr>
              <w:t>Juang và Roe (2010); Tongzon, </w:t>
            </w:r>
            <w:r>
              <w:rPr>
                <w:spacing w:val="-6"/>
                <w:sz w:val="26"/>
              </w:rPr>
              <w:t>J. </w:t>
            </w:r>
            <w:r>
              <w:rPr>
                <w:sz w:val="26"/>
              </w:rPr>
              <w:t>(2002); Wiegmans  </w:t>
            </w:r>
            <w:r>
              <w:rPr>
                <w:spacing w:val="-3"/>
                <w:sz w:val="26"/>
              </w:rPr>
              <w:t>(2003); </w:t>
            </w:r>
            <w:r>
              <w:rPr>
                <w:sz w:val="26"/>
              </w:rPr>
              <w:t>Gordon Wilmsmeier và cộng </w:t>
            </w:r>
            <w:r>
              <w:rPr>
                <w:spacing w:val="-7"/>
                <w:sz w:val="26"/>
              </w:rPr>
              <w:t>sự </w:t>
            </w:r>
            <w:r>
              <w:rPr>
                <w:sz w:val="26"/>
              </w:rPr>
              <w:t>(2006); Luna, J. H. và cộng</w:t>
            </w:r>
            <w:r>
              <w:rPr>
                <w:spacing w:val="45"/>
                <w:sz w:val="26"/>
              </w:rPr>
              <w:t> </w:t>
            </w:r>
            <w:r>
              <w:rPr>
                <w:sz w:val="26"/>
              </w:rPr>
              <w:t>sự</w:t>
            </w:r>
          </w:p>
          <w:p>
            <w:pPr>
              <w:pStyle w:val="TableParagraph"/>
              <w:spacing w:line="298" w:lineRule="exact"/>
              <w:ind w:left="107"/>
              <w:rPr>
                <w:sz w:val="26"/>
              </w:rPr>
            </w:pPr>
            <w:r>
              <w:rPr>
                <w:sz w:val="26"/>
              </w:rPr>
              <w:t>(2018)</w:t>
            </w:r>
          </w:p>
        </w:tc>
      </w:tr>
      <w:tr>
        <w:trPr>
          <w:trHeight w:val="3588" w:hRule="atLeast"/>
        </w:trPr>
        <w:tc>
          <w:tcPr>
            <w:tcW w:w="1959" w:type="dxa"/>
            <w:vMerge/>
            <w:tcBorders>
              <w:top w:val="nil"/>
            </w:tcBorders>
          </w:tcPr>
          <w:p>
            <w:pPr>
              <w:rPr>
                <w:sz w:val="2"/>
                <w:szCs w:val="2"/>
              </w:rPr>
            </w:pPr>
          </w:p>
        </w:tc>
        <w:tc>
          <w:tcPr>
            <w:tcW w:w="3827" w:type="dxa"/>
          </w:tcPr>
          <w:p>
            <w:pPr>
              <w:pStyle w:val="TableParagraph"/>
              <w:spacing w:line="360" w:lineRule="auto" w:before="2"/>
              <w:ind w:left="107" w:right="267"/>
              <w:rPr>
                <w:sz w:val="26"/>
              </w:rPr>
            </w:pPr>
            <w:r>
              <w:rPr>
                <w:b/>
                <w:color w:val="0D0D0D"/>
                <w:sz w:val="26"/>
              </w:rPr>
              <w:t>ND3: </w:t>
            </w:r>
            <w:r>
              <w:rPr>
                <w:color w:val="0D0D0D"/>
                <w:sz w:val="26"/>
              </w:rPr>
              <w:t>Khả năng kết nối của cảng với các mạng lưới Logistics nội địa cao</w:t>
            </w:r>
          </w:p>
        </w:tc>
        <w:tc>
          <w:tcPr>
            <w:tcW w:w="3829" w:type="dxa"/>
          </w:tcPr>
          <w:p>
            <w:pPr>
              <w:pStyle w:val="TableParagraph"/>
              <w:spacing w:line="360" w:lineRule="auto" w:before="2"/>
              <w:ind w:left="107" w:right="98"/>
              <w:jc w:val="both"/>
              <w:rPr>
                <w:sz w:val="26"/>
              </w:rPr>
            </w:pPr>
            <w:r>
              <w:rPr>
                <w:sz w:val="26"/>
              </w:rPr>
              <w:t>Juang and Roe (2010); Vitor Caldeirinha (2013); Woo et al. (2011); Elvira Haezendonck và cộng sự (2019); Bichou e Gray (2004); Joana Coeloho và cộng sự (2013); Vitor Caldeirinha (2014); Gordon Wilmsmeier và công sự</w:t>
            </w:r>
          </w:p>
          <w:p>
            <w:pPr>
              <w:pStyle w:val="TableParagraph"/>
              <w:ind w:left="107"/>
              <w:rPr>
                <w:sz w:val="26"/>
              </w:rPr>
            </w:pPr>
            <w:r>
              <w:rPr>
                <w:sz w:val="26"/>
              </w:rPr>
              <w:t>(2006)</w:t>
            </w:r>
          </w:p>
        </w:tc>
      </w:tr>
    </w:tbl>
    <w:p>
      <w:pPr>
        <w:spacing w:after="0"/>
        <w:rPr>
          <w:sz w:val="26"/>
        </w:rPr>
        <w:sectPr>
          <w:pgSz w:w="11910" w:h="16850"/>
          <w:pgMar w:header="751" w:footer="0" w:top="960" w:bottom="280" w:left="820" w:right="240"/>
        </w:sectPr>
      </w:pPr>
    </w:p>
    <w:p>
      <w:pPr>
        <w:pStyle w:val="BodyText"/>
        <w:rPr>
          <w:b/>
          <w:sz w:val="20"/>
        </w:rPr>
      </w:pPr>
    </w:p>
    <w:p>
      <w:pPr>
        <w:pStyle w:val="BodyText"/>
        <w:rPr>
          <w:b/>
          <w:sz w:val="20"/>
        </w:rPr>
      </w:pPr>
    </w:p>
    <w:p>
      <w:pPr>
        <w:pStyle w:val="BodyText"/>
        <w:spacing w:before="1"/>
        <w:rPr>
          <w:b/>
          <w:sz w:val="11"/>
        </w:rPr>
      </w:pPr>
    </w:p>
    <w:tbl>
      <w:tblPr>
        <w:tblW w:w="0" w:type="auto"/>
        <w:jc w:val="left"/>
        <w:tblInd w:w="34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1959"/>
        <w:gridCol w:w="3827"/>
        <w:gridCol w:w="3829"/>
      </w:tblGrid>
      <w:tr>
        <w:trPr>
          <w:trHeight w:val="448" w:hRule="atLeast"/>
        </w:trPr>
        <w:tc>
          <w:tcPr>
            <w:tcW w:w="1959" w:type="dxa"/>
          </w:tcPr>
          <w:p>
            <w:pPr>
              <w:pStyle w:val="TableParagraph"/>
              <w:spacing w:before="2"/>
              <w:ind w:left="396"/>
              <w:rPr>
                <w:b/>
                <w:sz w:val="26"/>
              </w:rPr>
            </w:pPr>
            <w:r>
              <w:rPr>
                <w:b/>
                <w:sz w:val="26"/>
              </w:rPr>
              <w:t>Khái niệm</w:t>
            </w:r>
          </w:p>
        </w:tc>
        <w:tc>
          <w:tcPr>
            <w:tcW w:w="3827" w:type="dxa"/>
          </w:tcPr>
          <w:p>
            <w:pPr>
              <w:pStyle w:val="TableParagraph"/>
              <w:spacing w:before="2"/>
              <w:ind w:left="1154"/>
              <w:rPr>
                <w:b/>
                <w:sz w:val="26"/>
              </w:rPr>
            </w:pPr>
            <w:r>
              <w:rPr>
                <w:b/>
                <w:sz w:val="26"/>
              </w:rPr>
              <w:t>Biến quan sát</w:t>
            </w:r>
          </w:p>
        </w:tc>
        <w:tc>
          <w:tcPr>
            <w:tcW w:w="3829" w:type="dxa"/>
          </w:tcPr>
          <w:p>
            <w:pPr>
              <w:pStyle w:val="TableParagraph"/>
              <w:spacing w:before="2"/>
              <w:ind w:left="1482" w:right="1480"/>
              <w:jc w:val="center"/>
              <w:rPr>
                <w:b/>
                <w:sz w:val="26"/>
              </w:rPr>
            </w:pPr>
            <w:r>
              <w:rPr>
                <w:b/>
                <w:sz w:val="26"/>
              </w:rPr>
              <w:t>Tác giả</w:t>
            </w:r>
          </w:p>
        </w:tc>
      </w:tr>
      <w:tr>
        <w:trPr>
          <w:trHeight w:val="1345" w:hRule="atLeast"/>
        </w:trPr>
        <w:tc>
          <w:tcPr>
            <w:tcW w:w="1959" w:type="dxa"/>
            <w:vMerge w:val="restart"/>
          </w:tcPr>
          <w:p>
            <w:pPr>
              <w:pStyle w:val="TableParagraph"/>
              <w:rPr>
                <w:sz w:val="24"/>
              </w:rPr>
            </w:pPr>
          </w:p>
        </w:tc>
        <w:tc>
          <w:tcPr>
            <w:tcW w:w="3827" w:type="dxa"/>
          </w:tcPr>
          <w:p>
            <w:pPr>
              <w:pStyle w:val="TableParagraph"/>
              <w:spacing w:line="360" w:lineRule="auto" w:before="2"/>
              <w:ind w:left="107" w:right="378"/>
              <w:rPr>
                <w:sz w:val="26"/>
              </w:rPr>
            </w:pPr>
            <w:r>
              <w:rPr>
                <w:b/>
                <w:color w:val="0D0D0D"/>
                <w:sz w:val="26"/>
              </w:rPr>
              <w:t>ND4: </w:t>
            </w:r>
            <w:r>
              <w:rPr>
                <w:color w:val="0D0D0D"/>
                <w:sz w:val="26"/>
              </w:rPr>
              <w:t>Năng lực vận tải của các công ty Logistics trong khu vực</w:t>
            </w:r>
          </w:p>
          <w:p>
            <w:pPr>
              <w:pStyle w:val="TableParagraph"/>
              <w:ind w:left="107"/>
              <w:rPr>
                <w:sz w:val="26"/>
              </w:rPr>
            </w:pPr>
            <w:r>
              <w:rPr>
                <w:color w:val="0D0D0D"/>
                <w:sz w:val="26"/>
              </w:rPr>
              <w:t>lớn</w:t>
            </w:r>
          </w:p>
        </w:tc>
        <w:tc>
          <w:tcPr>
            <w:tcW w:w="3829" w:type="dxa"/>
          </w:tcPr>
          <w:p>
            <w:pPr>
              <w:pStyle w:val="TableParagraph"/>
              <w:spacing w:before="2"/>
              <w:ind w:left="107"/>
              <w:rPr>
                <w:sz w:val="26"/>
              </w:rPr>
            </w:pPr>
            <w:r>
              <w:rPr>
                <w:sz w:val="26"/>
              </w:rPr>
              <w:t>Phát triển bằng định tính</w:t>
            </w:r>
          </w:p>
        </w:tc>
      </w:tr>
      <w:tr>
        <w:trPr>
          <w:trHeight w:val="1343" w:hRule="atLeast"/>
        </w:trPr>
        <w:tc>
          <w:tcPr>
            <w:tcW w:w="1959" w:type="dxa"/>
            <w:vMerge/>
            <w:tcBorders>
              <w:top w:val="nil"/>
            </w:tcBorders>
          </w:tcPr>
          <w:p>
            <w:pPr>
              <w:rPr>
                <w:sz w:val="2"/>
                <w:szCs w:val="2"/>
              </w:rPr>
            </w:pPr>
          </w:p>
        </w:tc>
        <w:tc>
          <w:tcPr>
            <w:tcW w:w="3827" w:type="dxa"/>
          </w:tcPr>
          <w:p>
            <w:pPr>
              <w:pStyle w:val="TableParagraph"/>
              <w:spacing w:line="360" w:lineRule="auto" w:before="2"/>
              <w:ind w:left="107" w:right="118"/>
              <w:rPr>
                <w:sz w:val="26"/>
              </w:rPr>
            </w:pPr>
            <w:r>
              <w:rPr>
                <w:b/>
                <w:color w:val="0D0D0D"/>
                <w:sz w:val="26"/>
              </w:rPr>
              <w:t>ND5: </w:t>
            </w:r>
            <w:r>
              <w:rPr>
                <w:color w:val="0D0D0D"/>
                <w:sz w:val="26"/>
              </w:rPr>
              <w:t>Khả năng kết nối mạng lưới đường sông và đường bộ vào các</w:t>
            </w:r>
          </w:p>
          <w:p>
            <w:pPr>
              <w:pStyle w:val="TableParagraph"/>
              <w:ind w:left="107"/>
              <w:rPr>
                <w:sz w:val="26"/>
              </w:rPr>
            </w:pPr>
            <w:r>
              <w:rPr>
                <w:color w:val="0D0D0D"/>
                <w:sz w:val="26"/>
              </w:rPr>
              <w:t>bãi container</w:t>
            </w:r>
          </w:p>
        </w:tc>
        <w:tc>
          <w:tcPr>
            <w:tcW w:w="3829" w:type="dxa"/>
          </w:tcPr>
          <w:p>
            <w:pPr>
              <w:pStyle w:val="TableParagraph"/>
              <w:spacing w:before="2"/>
              <w:ind w:left="107"/>
              <w:rPr>
                <w:sz w:val="26"/>
              </w:rPr>
            </w:pPr>
            <w:r>
              <w:rPr>
                <w:sz w:val="26"/>
              </w:rPr>
              <w:t>Phát triển bằng định tính</w:t>
            </w:r>
          </w:p>
        </w:tc>
      </w:tr>
      <w:tr>
        <w:trPr>
          <w:trHeight w:val="897" w:hRule="atLeast"/>
        </w:trPr>
        <w:tc>
          <w:tcPr>
            <w:tcW w:w="1959" w:type="dxa"/>
            <w:vMerge w:val="restart"/>
          </w:tcPr>
          <w:p>
            <w:pPr>
              <w:pStyle w:val="TableParagraph"/>
              <w:rPr>
                <w:b/>
                <w:sz w:val="28"/>
              </w:rPr>
            </w:pPr>
          </w:p>
          <w:p>
            <w:pPr>
              <w:pStyle w:val="TableParagraph"/>
              <w:rPr>
                <w:b/>
                <w:sz w:val="28"/>
              </w:rPr>
            </w:pPr>
          </w:p>
          <w:p>
            <w:pPr>
              <w:pStyle w:val="TableParagraph"/>
              <w:rPr>
                <w:b/>
                <w:sz w:val="28"/>
              </w:rPr>
            </w:pPr>
          </w:p>
          <w:p>
            <w:pPr>
              <w:pStyle w:val="TableParagraph"/>
              <w:rPr>
                <w:b/>
                <w:sz w:val="28"/>
              </w:rPr>
            </w:pPr>
          </w:p>
          <w:p>
            <w:pPr>
              <w:pStyle w:val="TableParagraph"/>
              <w:rPr>
                <w:b/>
                <w:sz w:val="28"/>
              </w:rPr>
            </w:pPr>
          </w:p>
          <w:p>
            <w:pPr>
              <w:pStyle w:val="TableParagraph"/>
              <w:rPr>
                <w:b/>
                <w:sz w:val="28"/>
              </w:rPr>
            </w:pPr>
          </w:p>
          <w:p>
            <w:pPr>
              <w:pStyle w:val="TableParagraph"/>
              <w:rPr>
                <w:b/>
                <w:sz w:val="28"/>
              </w:rPr>
            </w:pPr>
          </w:p>
          <w:p>
            <w:pPr>
              <w:pStyle w:val="TableParagraph"/>
              <w:rPr>
                <w:b/>
                <w:sz w:val="40"/>
              </w:rPr>
            </w:pPr>
          </w:p>
          <w:p>
            <w:pPr>
              <w:pStyle w:val="TableParagraph"/>
              <w:ind w:left="115"/>
              <w:rPr>
                <w:b/>
                <w:sz w:val="26"/>
              </w:rPr>
            </w:pPr>
            <w:r>
              <w:rPr>
                <w:b/>
                <w:sz w:val="26"/>
              </w:rPr>
              <w:t>Độ tin cậy (TC)</w:t>
            </w:r>
          </w:p>
        </w:tc>
        <w:tc>
          <w:tcPr>
            <w:tcW w:w="3827" w:type="dxa"/>
          </w:tcPr>
          <w:p>
            <w:pPr>
              <w:pStyle w:val="TableParagraph"/>
              <w:spacing w:before="4"/>
              <w:ind w:left="107"/>
              <w:rPr>
                <w:sz w:val="26"/>
              </w:rPr>
            </w:pPr>
            <w:r>
              <w:rPr>
                <w:b/>
                <w:sz w:val="26"/>
              </w:rPr>
              <w:t>TC1: </w:t>
            </w:r>
            <w:r>
              <w:rPr>
                <w:sz w:val="26"/>
              </w:rPr>
              <w:t>Khả năng đáp ứng nhanh</w:t>
            </w:r>
          </w:p>
          <w:p>
            <w:pPr>
              <w:pStyle w:val="TableParagraph"/>
              <w:spacing w:before="148"/>
              <w:ind w:left="107"/>
              <w:rPr>
                <w:sz w:val="26"/>
              </w:rPr>
            </w:pPr>
            <w:r>
              <w:rPr>
                <w:sz w:val="26"/>
              </w:rPr>
              <w:t>của cảng</w:t>
            </w:r>
          </w:p>
        </w:tc>
        <w:tc>
          <w:tcPr>
            <w:tcW w:w="3829" w:type="dxa"/>
          </w:tcPr>
          <w:p>
            <w:pPr>
              <w:pStyle w:val="TableParagraph"/>
              <w:spacing w:before="4"/>
              <w:ind w:left="107"/>
              <w:rPr>
                <w:sz w:val="26"/>
              </w:rPr>
            </w:pPr>
            <w:r>
              <w:rPr>
                <w:sz w:val="26"/>
              </w:rPr>
              <w:t>Tongzon &amp; Heng 2002, 2005,</w:t>
            </w:r>
          </w:p>
          <w:p>
            <w:pPr>
              <w:pStyle w:val="TableParagraph"/>
              <w:spacing w:before="148"/>
              <w:ind w:left="107"/>
              <w:rPr>
                <w:sz w:val="26"/>
              </w:rPr>
            </w:pPr>
            <w:r>
              <w:rPr>
                <w:sz w:val="26"/>
              </w:rPr>
              <w:t>2008</w:t>
            </w:r>
          </w:p>
        </w:tc>
      </w:tr>
      <w:tr>
        <w:trPr>
          <w:trHeight w:val="897" w:hRule="atLeast"/>
        </w:trPr>
        <w:tc>
          <w:tcPr>
            <w:tcW w:w="1959" w:type="dxa"/>
            <w:vMerge/>
            <w:tcBorders>
              <w:top w:val="nil"/>
            </w:tcBorders>
          </w:tcPr>
          <w:p>
            <w:pPr>
              <w:rPr>
                <w:sz w:val="2"/>
                <w:szCs w:val="2"/>
              </w:rPr>
            </w:pPr>
          </w:p>
        </w:tc>
        <w:tc>
          <w:tcPr>
            <w:tcW w:w="3827" w:type="dxa"/>
          </w:tcPr>
          <w:p>
            <w:pPr>
              <w:pStyle w:val="TableParagraph"/>
              <w:spacing w:before="2"/>
              <w:ind w:left="107"/>
              <w:rPr>
                <w:sz w:val="26"/>
              </w:rPr>
            </w:pPr>
            <w:r>
              <w:rPr>
                <w:b/>
                <w:sz w:val="26"/>
              </w:rPr>
              <w:t>TC2: </w:t>
            </w:r>
            <w:r>
              <w:rPr>
                <w:sz w:val="26"/>
              </w:rPr>
              <w:t>Uy tín cảng về thiệt hại</w:t>
            </w:r>
          </w:p>
          <w:p>
            <w:pPr>
              <w:pStyle w:val="TableParagraph"/>
              <w:spacing w:before="149"/>
              <w:ind w:left="107"/>
              <w:rPr>
                <w:sz w:val="26"/>
              </w:rPr>
            </w:pPr>
            <w:r>
              <w:rPr>
                <w:sz w:val="26"/>
              </w:rPr>
              <w:t>hàng hóa</w:t>
            </w:r>
          </w:p>
        </w:tc>
        <w:tc>
          <w:tcPr>
            <w:tcW w:w="3829" w:type="dxa"/>
          </w:tcPr>
          <w:p>
            <w:pPr>
              <w:pStyle w:val="TableParagraph"/>
              <w:spacing w:before="2"/>
              <w:ind w:left="107"/>
              <w:rPr>
                <w:sz w:val="26"/>
              </w:rPr>
            </w:pPr>
            <w:r>
              <w:rPr>
                <w:sz w:val="26"/>
              </w:rPr>
              <w:t>Tongzon &amp; Heng 2002, 2005,</w:t>
            </w:r>
          </w:p>
          <w:p>
            <w:pPr>
              <w:pStyle w:val="TableParagraph"/>
              <w:spacing w:before="149"/>
              <w:ind w:left="107"/>
              <w:rPr>
                <w:sz w:val="26"/>
              </w:rPr>
            </w:pPr>
            <w:r>
              <w:rPr>
                <w:sz w:val="26"/>
              </w:rPr>
              <w:t>2008</w:t>
            </w:r>
          </w:p>
        </w:tc>
      </w:tr>
      <w:tr>
        <w:trPr>
          <w:trHeight w:val="448" w:hRule="atLeast"/>
        </w:trPr>
        <w:tc>
          <w:tcPr>
            <w:tcW w:w="1959" w:type="dxa"/>
            <w:vMerge/>
            <w:tcBorders>
              <w:top w:val="nil"/>
            </w:tcBorders>
          </w:tcPr>
          <w:p>
            <w:pPr>
              <w:rPr>
                <w:sz w:val="2"/>
                <w:szCs w:val="2"/>
              </w:rPr>
            </w:pPr>
          </w:p>
        </w:tc>
        <w:tc>
          <w:tcPr>
            <w:tcW w:w="3827" w:type="dxa"/>
          </w:tcPr>
          <w:p>
            <w:pPr>
              <w:pStyle w:val="TableParagraph"/>
              <w:spacing w:before="2"/>
              <w:ind w:left="107"/>
              <w:rPr>
                <w:sz w:val="26"/>
              </w:rPr>
            </w:pPr>
            <w:r>
              <w:rPr>
                <w:b/>
                <w:sz w:val="26"/>
              </w:rPr>
              <w:t>TC3: </w:t>
            </w:r>
            <w:r>
              <w:rPr>
                <w:sz w:val="26"/>
              </w:rPr>
              <w:t>Hệ thống quản lý tốt</w:t>
            </w:r>
          </w:p>
        </w:tc>
        <w:tc>
          <w:tcPr>
            <w:tcW w:w="3829" w:type="dxa"/>
          </w:tcPr>
          <w:p>
            <w:pPr>
              <w:pStyle w:val="TableParagraph"/>
              <w:spacing w:before="2"/>
              <w:ind w:left="107"/>
              <w:rPr>
                <w:sz w:val="26"/>
              </w:rPr>
            </w:pPr>
            <w:r>
              <w:rPr>
                <w:sz w:val="26"/>
              </w:rPr>
              <w:t>Vieg-mans, 2008; Vitor, 2012</w:t>
            </w:r>
          </w:p>
        </w:tc>
      </w:tr>
      <w:tr>
        <w:trPr>
          <w:trHeight w:val="2692" w:hRule="atLeast"/>
        </w:trPr>
        <w:tc>
          <w:tcPr>
            <w:tcW w:w="1959" w:type="dxa"/>
            <w:vMerge/>
            <w:tcBorders>
              <w:top w:val="nil"/>
            </w:tcBorders>
          </w:tcPr>
          <w:p>
            <w:pPr>
              <w:rPr>
                <w:sz w:val="2"/>
                <w:szCs w:val="2"/>
              </w:rPr>
            </w:pPr>
          </w:p>
        </w:tc>
        <w:tc>
          <w:tcPr>
            <w:tcW w:w="3827" w:type="dxa"/>
          </w:tcPr>
          <w:p>
            <w:pPr>
              <w:pStyle w:val="TableParagraph"/>
              <w:rPr>
                <w:b/>
                <w:sz w:val="28"/>
              </w:rPr>
            </w:pPr>
          </w:p>
          <w:p>
            <w:pPr>
              <w:pStyle w:val="TableParagraph"/>
              <w:rPr>
                <w:b/>
                <w:sz w:val="28"/>
              </w:rPr>
            </w:pPr>
          </w:p>
          <w:p>
            <w:pPr>
              <w:pStyle w:val="TableParagraph"/>
              <w:spacing w:before="2"/>
              <w:rPr>
                <w:b/>
                <w:sz w:val="22"/>
              </w:rPr>
            </w:pPr>
          </w:p>
          <w:p>
            <w:pPr>
              <w:pStyle w:val="TableParagraph"/>
              <w:spacing w:line="360" w:lineRule="auto"/>
              <w:ind w:left="107" w:right="389"/>
              <w:rPr>
                <w:sz w:val="26"/>
              </w:rPr>
            </w:pPr>
            <w:r>
              <w:rPr>
                <w:b/>
                <w:sz w:val="26"/>
              </w:rPr>
              <w:t>TC4: </w:t>
            </w:r>
            <w:r>
              <w:rPr>
                <w:sz w:val="26"/>
              </w:rPr>
              <w:t>Hệ thống thông tin nhanh chóng, kịp thời</w:t>
            </w:r>
          </w:p>
        </w:tc>
        <w:tc>
          <w:tcPr>
            <w:tcW w:w="3829" w:type="dxa"/>
          </w:tcPr>
          <w:p>
            <w:pPr>
              <w:pStyle w:val="TableParagraph"/>
              <w:tabs>
                <w:tab w:pos="670" w:val="left" w:leader="none"/>
                <w:tab w:pos="1510" w:val="left" w:leader="none"/>
                <w:tab w:pos="2119" w:val="left" w:leader="none"/>
                <w:tab w:pos="2557" w:val="left" w:leader="none"/>
                <w:tab w:pos="3121" w:val="left" w:leader="none"/>
              </w:tabs>
              <w:spacing w:line="360" w:lineRule="auto" w:before="2"/>
              <w:ind w:left="107" w:right="98"/>
              <w:rPr>
                <w:sz w:val="26"/>
              </w:rPr>
            </w:pPr>
            <w:r>
              <w:rPr>
                <w:sz w:val="26"/>
              </w:rPr>
              <w:t>Carbone and De Martino, </w:t>
            </w:r>
            <w:r>
              <w:rPr>
                <w:spacing w:val="-3"/>
                <w:sz w:val="26"/>
              </w:rPr>
              <w:t>2003; </w:t>
            </w:r>
            <w:r>
              <w:rPr>
                <w:sz w:val="26"/>
              </w:rPr>
              <w:t>Panayedes and Song, 2009 ; Cachon and Fisher, 2000; Zhao </w:t>
            </w:r>
            <w:r>
              <w:rPr>
                <w:spacing w:val="-6"/>
                <w:sz w:val="26"/>
              </w:rPr>
              <w:t>et </w:t>
            </w:r>
            <w:r>
              <w:rPr>
                <w:sz w:val="26"/>
              </w:rPr>
              <w:t>al.,</w:t>
              <w:tab/>
              <w:t>2002;</w:t>
              <w:tab/>
              <w:t>Liu</w:t>
              <w:tab/>
              <w:t>et</w:t>
              <w:tab/>
              <w:t>al.,</w:t>
              <w:tab/>
            </w:r>
            <w:r>
              <w:rPr>
                <w:spacing w:val="-3"/>
                <w:sz w:val="26"/>
              </w:rPr>
              <w:t>2009; </w:t>
            </w:r>
            <w:r>
              <w:rPr>
                <w:sz w:val="26"/>
              </w:rPr>
              <w:t>Hosssein Cheraghi và cộng</w:t>
            </w:r>
            <w:r>
              <w:rPr>
                <w:spacing w:val="10"/>
                <w:sz w:val="26"/>
              </w:rPr>
              <w:t> </w:t>
            </w:r>
            <w:r>
              <w:rPr>
                <w:spacing w:val="-8"/>
                <w:sz w:val="26"/>
              </w:rPr>
              <w:t>sự</w:t>
            </w:r>
          </w:p>
          <w:p>
            <w:pPr>
              <w:pStyle w:val="TableParagraph"/>
              <w:spacing w:before="2"/>
              <w:ind w:left="107"/>
              <w:rPr>
                <w:sz w:val="26"/>
              </w:rPr>
            </w:pPr>
            <w:r>
              <w:rPr>
                <w:sz w:val="26"/>
              </w:rPr>
              <w:t>,2012</w:t>
            </w:r>
          </w:p>
        </w:tc>
      </w:tr>
      <w:tr>
        <w:trPr>
          <w:trHeight w:val="894" w:hRule="atLeast"/>
        </w:trPr>
        <w:tc>
          <w:tcPr>
            <w:tcW w:w="1959" w:type="dxa"/>
            <w:vMerge/>
            <w:tcBorders>
              <w:top w:val="nil"/>
            </w:tcBorders>
          </w:tcPr>
          <w:p>
            <w:pPr>
              <w:rPr>
                <w:sz w:val="2"/>
                <w:szCs w:val="2"/>
              </w:rPr>
            </w:pPr>
          </w:p>
        </w:tc>
        <w:tc>
          <w:tcPr>
            <w:tcW w:w="3827" w:type="dxa"/>
          </w:tcPr>
          <w:p>
            <w:pPr>
              <w:pStyle w:val="TableParagraph"/>
              <w:spacing w:before="2"/>
              <w:ind w:left="107"/>
              <w:rPr>
                <w:sz w:val="26"/>
              </w:rPr>
            </w:pPr>
            <w:r>
              <w:rPr>
                <w:b/>
                <w:sz w:val="26"/>
              </w:rPr>
              <w:t>TC5: </w:t>
            </w:r>
            <w:r>
              <w:rPr>
                <w:sz w:val="26"/>
              </w:rPr>
              <w:t>Chiến lược và chính sách</w:t>
            </w:r>
          </w:p>
          <w:p>
            <w:pPr>
              <w:pStyle w:val="TableParagraph"/>
              <w:spacing w:before="149"/>
              <w:ind w:left="107"/>
              <w:rPr>
                <w:sz w:val="26"/>
              </w:rPr>
            </w:pPr>
            <w:r>
              <w:rPr>
                <w:sz w:val="26"/>
              </w:rPr>
              <w:t>cảng</w:t>
            </w:r>
          </w:p>
        </w:tc>
        <w:tc>
          <w:tcPr>
            <w:tcW w:w="3829" w:type="dxa"/>
          </w:tcPr>
          <w:p>
            <w:pPr>
              <w:pStyle w:val="TableParagraph"/>
              <w:spacing w:before="2"/>
              <w:ind w:left="107"/>
              <w:rPr>
                <w:sz w:val="26"/>
              </w:rPr>
            </w:pPr>
            <w:r>
              <w:rPr>
                <w:sz w:val="26"/>
              </w:rPr>
              <w:t>Hosssein Cheraghi và cộng sự,</w:t>
            </w:r>
          </w:p>
          <w:p>
            <w:pPr>
              <w:pStyle w:val="TableParagraph"/>
              <w:spacing w:before="149"/>
              <w:ind w:left="107"/>
              <w:rPr>
                <w:sz w:val="26"/>
              </w:rPr>
            </w:pPr>
            <w:r>
              <w:rPr>
                <w:sz w:val="26"/>
              </w:rPr>
              <w:t>2012</w:t>
            </w:r>
          </w:p>
        </w:tc>
      </w:tr>
      <w:tr>
        <w:trPr>
          <w:trHeight w:val="830" w:hRule="atLeast"/>
        </w:trPr>
        <w:tc>
          <w:tcPr>
            <w:tcW w:w="1959" w:type="dxa"/>
            <w:vMerge w:val="restart"/>
          </w:tcPr>
          <w:p>
            <w:pPr>
              <w:pStyle w:val="TableParagraph"/>
              <w:rPr>
                <w:b/>
                <w:sz w:val="28"/>
              </w:rPr>
            </w:pPr>
          </w:p>
          <w:p>
            <w:pPr>
              <w:pStyle w:val="TableParagraph"/>
              <w:rPr>
                <w:b/>
                <w:sz w:val="28"/>
              </w:rPr>
            </w:pPr>
          </w:p>
          <w:p>
            <w:pPr>
              <w:pStyle w:val="TableParagraph"/>
              <w:rPr>
                <w:b/>
                <w:sz w:val="28"/>
              </w:rPr>
            </w:pPr>
          </w:p>
          <w:p>
            <w:pPr>
              <w:pStyle w:val="TableParagraph"/>
              <w:rPr>
                <w:b/>
                <w:sz w:val="28"/>
              </w:rPr>
            </w:pPr>
          </w:p>
          <w:p>
            <w:pPr>
              <w:pStyle w:val="TableParagraph"/>
              <w:spacing w:before="5"/>
              <w:rPr>
                <w:b/>
                <w:sz w:val="38"/>
              </w:rPr>
            </w:pPr>
          </w:p>
          <w:p>
            <w:pPr>
              <w:pStyle w:val="TableParagraph"/>
              <w:spacing w:line="360" w:lineRule="auto"/>
              <w:ind w:left="197" w:right="185" w:hanging="3"/>
              <w:jc w:val="center"/>
              <w:rPr>
                <w:b/>
                <w:sz w:val="26"/>
              </w:rPr>
            </w:pPr>
            <w:r>
              <w:rPr>
                <w:b/>
                <w:sz w:val="26"/>
              </w:rPr>
              <w:t>Chi phí Logistics </w:t>
            </w:r>
            <w:r>
              <w:rPr>
                <w:b/>
                <w:spacing w:val="-4"/>
                <w:sz w:val="26"/>
              </w:rPr>
              <w:t>cảng </w:t>
            </w:r>
            <w:r>
              <w:rPr>
                <w:b/>
                <w:sz w:val="26"/>
              </w:rPr>
              <w:t>(CP)</w:t>
            </w:r>
          </w:p>
        </w:tc>
        <w:tc>
          <w:tcPr>
            <w:tcW w:w="3827" w:type="dxa"/>
          </w:tcPr>
          <w:p>
            <w:pPr>
              <w:pStyle w:val="TableParagraph"/>
              <w:spacing w:before="1"/>
              <w:ind w:left="107"/>
              <w:rPr>
                <w:sz w:val="24"/>
              </w:rPr>
            </w:pPr>
            <w:r>
              <w:rPr>
                <w:b/>
                <w:sz w:val="24"/>
              </w:rPr>
              <w:t>CP1: </w:t>
            </w:r>
            <w:r>
              <w:rPr>
                <w:sz w:val="24"/>
              </w:rPr>
              <w:t>Chi phí cảng phù hợp với chất</w:t>
            </w:r>
          </w:p>
          <w:p>
            <w:pPr>
              <w:pStyle w:val="TableParagraph"/>
              <w:spacing w:before="137"/>
              <w:ind w:left="107"/>
              <w:rPr>
                <w:sz w:val="24"/>
              </w:rPr>
            </w:pPr>
            <w:r>
              <w:rPr>
                <w:sz w:val="24"/>
              </w:rPr>
              <w:t>lượng dịch vụ</w:t>
            </w:r>
          </w:p>
        </w:tc>
        <w:tc>
          <w:tcPr>
            <w:tcW w:w="3829" w:type="dxa"/>
          </w:tcPr>
          <w:p>
            <w:pPr>
              <w:pStyle w:val="TableParagraph"/>
              <w:spacing w:before="1"/>
              <w:ind w:left="107"/>
              <w:rPr>
                <w:sz w:val="24"/>
              </w:rPr>
            </w:pPr>
            <w:r>
              <w:rPr>
                <w:sz w:val="24"/>
              </w:rPr>
              <w:t>G-T Yeo et al, 2008; Chang Y. &amp;</w:t>
            </w:r>
          </w:p>
          <w:p>
            <w:pPr>
              <w:pStyle w:val="TableParagraph"/>
              <w:spacing w:before="137"/>
              <w:ind w:left="107"/>
              <w:rPr>
                <w:sz w:val="24"/>
              </w:rPr>
            </w:pPr>
            <w:r>
              <w:rPr>
                <w:sz w:val="24"/>
              </w:rPr>
              <w:t>ctg, 2008</w:t>
            </w:r>
          </w:p>
        </w:tc>
      </w:tr>
      <w:tr>
        <w:trPr>
          <w:trHeight w:val="412" w:hRule="atLeast"/>
        </w:trPr>
        <w:tc>
          <w:tcPr>
            <w:tcW w:w="1959" w:type="dxa"/>
            <w:vMerge/>
            <w:tcBorders>
              <w:top w:val="nil"/>
            </w:tcBorders>
          </w:tcPr>
          <w:p>
            <w:pPr>
              <w:rPr>
                <w:sz w:val="2"/>
                <w:szCs w:val="2"/>
              </w:rPr>
            </w:pPr>
          </w:p>
        </w:tc>
        <w:tc>
          <w:tcPr>
            <w:tcW w:w="3827" w:type="dxa"/>
          </w:tcPr>
          <w:p>
            <w:pPr>
              <w:pStyle w:val="TableParagraph"/>
              <w:spacing w:line="275" w:lineRule="exact"/>
              <w:ind w:left="107"/>
              <w:rPr>
                <w:sz w:val="24"/>
              </w:rPr>
            </w:pPr>
            <w:r>
              <w:rPr>
                <w:b/>
                <w:sz w:val="24"/>
              </w:rPr>
              <w:t>CP2: </w:t>
            </w:r>
            <w:r>
              <w:rPr>
                <w:sz w:val="24"/>
              </w:rPr>
              <w:t>Chi phí cảng ổn định</w:t>
            </w:r>
          </w:p>
        </w:tc>
        <w:tc>
          <w:tcPr>
            <w:tcW w:w="3829" w:type="dxa"/>
          </w:tcPr>
          <w:p>
            <w:pPr>
              <w:pStyle w:val="TableParagraph"/>
              <w:spacing w:line="275" w:lineRule="exact"/>
              <w:ind w:left="107"/>
              <w:rPr>
                <w:sz w:val="24"/>
              </w:rPr>
            </w:pPr>
            <w:r>
              <w:rPr>
                <w:sz w:val="24"/>
              </w:rPr>
              <w:t>Tác giả phỏng vấn chuyên gia,</w:t>
            </w:r>
          </w:p>
        </w:tc>
      </w:tr>
      <w:tr>
        <w:trPr>
          <w:trHeight w:val="828" w:hRule="atLeast"/>
        </w:trPr>
        <w:tc>
          <w:tcPr>
            <w:tcW w:w="1959" w:type="dxa"/>
            <w:vMerge/>
            <w:tcBorders>
              <w:top w:val="nil"/>
            </w:tcBorders>
          </w:tcPr>
          <w:p>
            <w:pPr>
              <w:rPr>
                <w:sz w:val="2"/>
                <w:szCs w:val="2"/>
              </w:rPr>
            </w:pPr>
          </w:p>
        </w:tc>
        <w:tc>
          <w:tcPr>
            <w:tcW w:w="3827" w:type="dxa"/>
          </w:tcPr>
          <w:p>
            <w:pPr>
              <w:pStyle w:val="TableParagraph"/>
              <w:spacing w:before="207"/>
              <w:ind w:left="107"/>
              <w:rPr>
                <w:sz w:val="24"/>
              </w:rPr>
            </w:pPr>
            <w:r>
              <w:rPr>
                <w:b/>
                <w:sz w:val="24"/>
              </w:rPr>
              <w:t>CP3: </w:t>
            </w:r>
            <w:r>
              <w:rPr>
                <w:sz w:val="24"/>
              </w:rPr>
              <w:t>Cảng phí thấp</w:t>
            </w:r>
          </w:p>
        </w:tc>
        <w:tc>
          <w:tcPr>
            <w:tcW w:w="3829" w:type="dxa"/>
          </w:tcPr>
          <w:p>
            <w:pPr>
              <w:pStyle w:val="TableParagraph"/>
              <w:spacing w:line="275" w:lineRule="exact"/>
              <w:ind w:left="107"/>
              <w:rPr>
                <w:sz w:val="24"/>
              </w:rPr>
            </w:pPr>
            <w:r>
              <w:rPr>
                <w:sz w:val="24"/>
              </w:rPr>
              <w:t>Van Der Horst and De Langen, 2008,</w:t>
            </w:r>
          </w:p>
          <w:p>
            <w:pPr>
              <w:pStyle w:val="TableParagraph"/>
              <w:spacing w:before="140"/>
              <w:ind w:left="107"/>
              <w:rPr>
                <w:sz w:val="24"/>
              </w:rPr>
            </w:pPr>
            <w:r>
              <w:rPr>
                <w:sz w:val="24"/>
              </w:rPr>
              <w:t>Vitor 2012, 2013</w:t>
            </w:r>
          </w:p>
        </w:tc>
      </w:tr>
      <w:tr>
        <w:trPr>
          <w:trHeight w:val="897" w:hRule="atLeast"/>
        </w:trPr>
        <w:tc>
          <w:tcPr>
            <w:tcW w:w="1959" w:type="dxa"/>
            <w:vMerge/>
            <w:tcBorders>
              <w:top w:val="nil"/>
            </w:tcBorders>
          </w:tcPr>
          <w:p>
            <w:pPr>
              <w:rPr>
                <w:sz w:val="2"/>
                <w:szCs w:val="2"/>
              </w:rPr>
            </w:pPr>
          </w:p>
        </w:tc>
        <w:tc>
          <w:tcPr>
            <w:tcW w:w="3827" w:type="dxa"/>
          </w:tcPr>
          <w:p>
            <w:pPr>
              <w:pStyle w:val="TableParagraph"/>
              <w:spacing w:before="11"/>
              <w:rPr>
                <w:b/>
                <w:sz w:val="20"/>
              </w:rPr>
            </w:pPr>
          </w:p>
          <w:p>
            <w:pPr>
              <w:pStyle w:val="TableParagraph"/>
              <w:ind w:left="107"/>
              <w:rPr>
                <w:sz w:val="24"/>
              </w:rPr>
            </w:pPr>
            <w:r>
              <w:rPr>
                <w:b/>
                <w:sz w:val="24"/>
              </w:rPr>
              <w:t>CP4: </w:t>
            </w:r>
            <w:r>
              <w:rPr>
                <w:sz w:val="24"/>
              </w:rPr>
              <w:t>Chi phí phụ trợ phù hợp</w:t>
            </w:r>
          </w:p>
        </w:tc>
        <w:tc>
          <w:tcPr>
            <w:tcW w:w="3829" w:type="dxa"/>
          </w:tcPr>
          <w:p>
            <w:pPr>
              <w:pStyle w:val="TableParagraph"/>
              <w:tabs>
                <w:tab w:pos="1381" w:val="left" w:leader="none"/>
                <w:tab w:pos="1803" w:val="left" w:leader="none"/>
                <w:tab w:pos="2286" w:val="left" w:leader="none"/>
                <w:tab w:pos="3083" w:val="left" w:leader="none"/>
              </w:tabs>
              <w:spacing w:before="4"/>
              <w:ind w:left="107"/>
              <w:rPr>
                <w:sz w:val="26"/>
              </w:rPr>
            </w:pPr>
            <w:r>
              <w:rPr>
                <w:sz w:val="24"/>
              </w:rPr>
              <w:t>Wiegmans</w:t>
              <w:tab/>
              <w:t>et</w:t>
              <w:tab/>
              <w:t>al,</w:t>
              <w:tab/>
              <w:t>2008;</w:t>
              <w:tab/>
            </w:r>
            <w:r>
              <w:rPr>
                <w:sz w:val="26"/>
              </w:rPr>
              <w:t>Elvira</w:t>
            </w:r>
          </w:p>
          <w:p>
            <w:pPr>
              <w:pStyle w:val="TableParagraph"/>
              <w:spacing w:before="147"/>
              <w:ind w:left="107"/>
              <w:rPr>
                <w:sz w:val="26"/>
              </w:rPr>
            </w:pPr>
            <w:r>
              <w:rPr>
                <w:sz w:val="26"/>
              </w:rPr>
              <w:t>Haezendonck và cộng sự (2019)</w:t>
            </w:r>
          </w:p>
        </w:tc>
      </w:tr>
      <w:tr>
        <w:trPr>
          <w:trHeight w:val="1794" w:hRule="atLeast"/>
        </w:trPr>
        <w:tc>
          <w:tcPr>
            <w:tcW w:w="1959" w:type="dxa"/>
            <w:vMerge/>
            <w:tcBorders>
              <w:top w:val="nil"/>
            </w:tcBorders>
          </w:tcPr>
          <w:p>
            <w:pPr>
              <w:rPr>
                <w:sz w:val="2"/>
                <w:szCs w:val="2"/>
              </w:rPr>
            </w:pPr>
          </w:p>
        </w:tc>
        <w:tc>
          <w:tcPr>
            <w:tcW w:w="3827" w:type="dxa"/>
          </w:tcPr>
          <w:p>
            <w:pPr>
              <w:pStyle w:val="TableParagraph"/>
              <w:rPr>
                <w:b/>
                <w:sz w:val="26"/>
              </w:rPr>
            </w:pPr>
          </w:p>
          <w:p>
            <w:pPr>
              <w:pStyle w:val="TableParagraph"/>
              <w:rPr>
                <w:b/>
                <w:sz w:val="34"/>
              </w:rPr>
            </w:pPr>
          </w:p>
          <w:p>
            <w:pPr>
              <w:pStyle w:val="TableParagraph"/>
              <w:ind w:left="107"/>
              <w:rPr>
                <w:sz w:val="24"/>
              </w:rPr>
            </w:pPr>
            <w:r>
              <w:rPr>
                <w:b/>
                <w:sz w:val="24"/>
              </w:rPr>
              <w:t>CP5: </w:t>
            </w:r>
            <w:r>
              <w:rPr>
                <w:sz w:val="24"/>
              </w:rPr>
              <w:t>Chi phí cảng luôn cạnh tranh.</w:t>
            </w:r>
          </w:p>
        </w:tc>
        <w:tc>
          <w:tcPr>
            <w:tcW w:w="3829" w:type="dxa"/>
          </w:tcPr>
          <w:p>
            <w:pPr>
              <w:pStyle w:val="TableParagraph"/>
              <w:tabs>
                <w:tab w:pos="906" w:val="left" w:leader="none"/>
                <w:tab w:pos="1911" w:val="left" w:leader="none"/>
                <w:tab w:pos="3102" w:val="left" w:leader="none"/>
                <w:tab w:pos="3529" w:val="left" w:leader="none"/>
              </w:tabs>
              <w:spacing w:line="360" w:lineRule="auto" w:before="2"/>
              <w:ind w:left="107" w:right="97"/>
              <w:rPr>
                <w:sz w:val="26"/>
              </w:rPr>
            </w:pPr>
            <w:r>
              <w:rPr>
                <w:sz w:val="26"/>
              </w:rPr>
              <w:t>Chou</w:t>
              <w:tab/>
              <w:t>(2010);</w:t>
              <w:tab/>
              <w:t>Veldman</w:t>
              <w:tab/>
              <w:t>et</w:t>
              <w:tab/>
            </w:r>
            <w:r>
              <w:rPr>
                <w:spacing w:val="-8"/>
                <w:sz w:val="26"/>
              </w:rPr>
              <w:t>al </w:t>
            </w:r>
            <w:r>
              <w:rPr>
                <w:sz w:val="26"/>
              </w:rPr>
              <w:t>(2011);  Vitor  Caldeirinha </w:t>
            </w:r>
            <w:r>
              <w:rPr>
                <w:spacing w:val="24"/>
                <w:sz w:val="26"/>
              </w:rPr>
              <w:t> </w:t>
            </w:r>
            <w:r>
              <w:rPr>
                <w:spacing w:val="-3"/>
                <w:sz w:val="26"/>
              </w:rPr>
              <w:t>(2012,</w:t>
            </w:r>
          </w:p>
          <w:p>
            <w:pPr>
              <w:pStyle w:val="TableParagraph"/>
              <w:tabs>
                <w:tab w:pos="1071" w:val="left" w:leader="none"/>
                <w:tab w:pos="2422" w:val="left" w:leader="none"/>
                <w:tab w:pos="2951" w:val="left" w:leader="none"/>
              </w:tabs>
              <w:ind w:left="107"/>
              <w:rPr>
                <w:sz w:val="26"/>
              </w:rPr>
            </w:pPr>
            <w:r>
              <w:rPr>
                <w:sz w:val="26"/>
              </w:rPr>
              <w:t>2013)</w:t>
              <w:tab/>
              <w:t>Tongzon,</w:t>
              <w:tab/>
              <w:t>J.</w:t>
              <w:tab/>
              <w:t>(2002);</w:t>
            </w:r>
          </w:p>
          <w:p>
            <w:pPr>
              <w:pStyle w:val="TableParagraph"/>
              <w:spacing w:before="150"/>
              <w:ind w:left="107"/>
              <w:rPr>
                <w:sz w:val="26"/>
              </w:rPr>
            </w:pPr>
            <w:r>
              <w:rPr>
                <w:sz w:val="26"/>
              </w:rPr>
              <w:t>Veldman  and  Buckmann</w:t>
            </w:r>
            <w:r>
              <w:rPr>
                <w:spacing w:val="62"/>
                <w:sz w:val="26"/>
              </w:rPr>
              <w:t> </w:t>
            </w:r>
            <w:r>
              <w:rPr>
                <w:sz w:val="26"/>
              </w:rPr>
              <w:t>(2003);</w:t>
            </w:r>
          </w:p>
        </w:tc>
      </w:tr>
    </w:tbl>
    <w:p>
      <w:pPr>
        <w:spacing w:after="0"/>
        <w:rPr>
          <w:sz w:val="26"/>
        </w:rPr>
        <w:sectPr>
          <w:pgSz w:w="11910" w:h="16850"/>
          <w:pgMar w:header="751" w:footer="0" w:top="960" w:bottom="280" w:left="820" w:right="240"/>
        </w:sectPr>
      </w:pPr>
    </w:p>
    <w:p>
      <w:pPr>
        <w:pStyle w:val="BodyText"/>
        <w:rPr>
          <w:b/>
          <w:sz w:val="20"/>
        </w:rPr>
      </w:pPr>
    </w:p>
    <w:p>
      <w:pPr>
        <w:pStyle w:val="BodyText"/>
        <w:rPr>
          <w:b/>
          <w:sz w:val="20"/>
        </w:rPr>
      </w:pPr>
    </w:p>
    <w:p>
      <w:pPr>
        <w:pStyle w:val="BodyText"/>
        <w:spacing w:before="1"/>
        <w:rPr>
          <w:b/>
          <w:sz w:val="11"/>
        </w:rPr>
      </w:pPr>
    </w:p>
    <w:tbl>
      <w:tblPr>
        <w:tblW w:w="0" w:type="auto"/>
        <w:jc w:val="left"/>
        <w:tblInd w:w="34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1959"/>
        <w:gridCol w:w="3827"/>
        <w:gridCol w:w="3829"/>
      </w:tblGrid>
      <w:tr>
        <w:trPr>
          <w:trHeight w:val="448" w:hRule="atLeast"/>
        </w:trPr>
        <w:tc>
          <w:tcPr>
            <w:tcW w:w="1959" w:type="dxa"/>
          </w:tcPr>
          <w:p>
            <w:pPr>
              <w:pStyle w:val="TableParagraph"/>
              <w:spacing w:before="2"/>
              <w:ind w:left="396"/>
              <w:rPr>
                <w:b/>
                <w:sz w:val="26"/>
              </w:rPr>
            </w:pPr>
            <w:r>
              <w:rPr>
                <w:b/>
                <w:sz w:val="26"/>
              </w:rPr>
              <w:t>Khái niệm</w:t>
            </w:r>
          </w:p>
        </w:tc>
        <w:tc>
          <w:tcPr>
            <w:tcW w:w="3827" w:type="dxa"/>
          </w:tcPr>
          <w:p>
            <w:pPr>
              <w:pStyle w:val="TableParagraph"/>
              <w:spacing w:before="2"/>
              <w:ind w:left="88" w:right="82"/>
              <w:jc w:val="center"/>
              <w:rPr>
                <w:b/>
                <w:sz w:val="26"/>
              </w:rPr>
            </w:pPr>
            <w:r>
              <w:rPr>
                <w:b/>
                <w:sz w:val="26"/>
              </w:rPr>
              <w:t>Biến quan sát</w:t>
            </w:r>
          </w:p>
        </w:tc>
        <w:tc>
          <w:tcPr>
            <w:tcW w:w="3829" w:type="dxa"/>
          </w:tcPr>
          <w:p>
            <w:pPr>
              <w:pStyle w:val="TableParagraph"/>
              <w:spacing w:before="2"/>
              <w:ind w:left="1482" w:right="1480"/>
              <w:jc w:val="center"/>
              <w:rPr>
                <w:b/>
                <w:sz w:val="26"/>
              </w:rPr>
            </w:pPr>
            <w:r>
              <w:rPr>
                <w:b/>
                <w:sz w:val="26"/>
              </w:rPr>
              <w:t>Tác giả</w:t>
            </w:r>
          </w:p>
        </w:tc>
      </w:tr>
      <w:tr>
        <w:trPr>
          <w:trHeight w:val="448" w:hRule="atLeast"/>
        </w:trPr>
        <w:tc>
          <w:tcPr>
            <w:tcW w:w="1959" w:type="dxa"/>
            <w:vMerge w:val="restart"/>
          </w:tcPr>
          <w:p>
            <w:pPr>
              <w:pStyle w:val="TableParagraph"/>
              <w:rPr>
                <w:sz w:val="24"/>
              </w:rPr>
            </w:pPr>
          </w:p>
        </w:tc>
        <w:tc>
          <w:tcPr>
            <w:tcW w:w="3827" w:type="dxa"/>
          </w:tcPr>
          <w:p>
            <w:pPr>
              <w:pStyle w:val="TableParagraph"/>
              <w:rPr>
                <w:sz w:val="24"/>
              </w:rPr>
            </w:pPr>
          </w:p>
        </w:tc>
        <w:tc>
          <w:tcPr>
            <w:tcW w:w="3829" w:type="dxa"/>
          </w:tcPr>
          <w:p>
            <w:pPr>
              <w:pStyle w:val="TableParagraph"/>
              <w:spacing w:before="2"/>
              <w:ind w:left="107"/>
              <w:rPr>
                <w:sz w:val="26"/>
              </w:rPr>
            </w:pPr>
            <w:r>
              <w:rPr>
                <w:sz w:val="26"/>
              </w:rPr>
              <w:t>Hung et al (2010).</w:t>
            </w:r>
          </w:p>
        </w:tc>
      </w:tr>
      <w:tr>
        <w:trPr>
          <w:trHeight w:val="1346" w:hRule="atLeast"/>
        </w:trPr>
        <w:tc>
          <w:tcPr>
            <w:tcW w:w="1959" w:type="dxa"/>
            <w:vMerge/>
            <w:tcBorders>
              <w:top w:val="nil"/>
            </w:tcBorders>
          </w:tcPr>
          <w:p>
            <w:pPr>
              <w:rPr>
                <w:sz w:val="2"/>
                <w:szCs w:val="2"/>
              </w:rPr>
            </w:pPr>
          </w:p>
        </w:tc>
        <w:tc>
          <w:tcPr>
            <w:tcW w:w="3827" w:type="dxa"/>
          </w:tcPr>
          <w:p>
            <w:pPr>
              <w:pStyle w:val="TableParagraph"/>
              <w:spacing w:before="2"/>
              <w:ind w:left="88" w:right="108"/>
              <w:jc w:val="center"/>
              <w:rPr>
                <w:sz w:val="26"/>
              </w:rPr>
            </w:pPr>
            <w:r>
              <w:rPr>
                <w:b/>
                <w:sz w:val="24"/>
              </w:rPr>
              <w:t>CP6: </w:t>
            </w:r>
            <w:r>
              <w:rPr>
                <w:color w:val="0D0D0D"/>
                <w:sz w:val="26"/>
              </w:rPr>
              <w:t>Chi phí cảng có nhiều ưu đãi</w:t>
            </w:r>
          </w:p>
        </w:tc>
        <w:tc>
          <w:tcPr>
            <w:tcW w:w="3829" w:type="dxa"/>
          </w:tcPr>
          <w:p>
            <w:pPr>
              <w:pStyle w:val="TableParagraph"/>
              <w:spacing w:line="360" w:lineRule="auto" w:before="2"/>
              <w:ind w:left="107"/>
              <w:rPr>
                <w:sz w:val="26"/>
              </w:rPr>
            </w:pPr>
            <w:r>
              <w:rPr>
                <w:sz w:val="26"/>
              </w:rPr>
              <w:t>Song e Yeo (2004); </w:t>
            </w:r>
            <w:r>
              <w:rPr>
                <w:i/>
                <w:sz w:val="26"/>
              </w:rPr>
              <w:t>J. Augusto </w:t>
            </w:r>
            <w:r>
              <w:rPr>
                <w:i/>
                <w:sz w:val="26"/>
              </w:rPr>
              <w:t>Felicio (2011)</w:t>
            </w:r>
            <w:r>
              <w:rPr>
                <w:sz w:val="26"/>
              </w:rPr>
              <w:t>; Vitor Caldeirinha</w:t>
            </w:r>
          </w:p>
          <w:p>
            <w:pPr>
              <w:pStyle w:val="TableParagraph"/>
              <w:ind w:left="107"/>
              <w:rPr>
                <w:sz w:val="26"/>
              </w:rPr>
            </w:pPr>
            <w:r>
              <w:rPr>
                <w:sz w:val="26"/>
              </w:rPr>
              <w:t>(2012, 2014)</w:t>
            </w:r>
          </w:p>
        </w:tc>
      </w:tr>
      <w:tr>
        <w:trPr>
          <w:trHeight w:val="1343" w:hRule="atLeast"/>
        </w:trPr>
        <w:tc>
          <w:tcPr>
            <w:tcW w:w="1959" w:type="dxa"/>
            <w:vMerge w:val="restart"/>
          </w:tcPr>
          <w:p>
            <w:pPr>
              <w:pStyle w:val="TableParagraph"/>
              <w:rPr>
                <w:b/>
                <w:sz w:val="28"/>
              </w:rPr>
            </w:pPr>
          </w:p>
          <w:p>
            <w:pPr>
              <w:pStyle w:val="TableParagraph"/>
              <w:rPr>
                <w:b/>
                <w:sz w:val="28"/>
              </w:rPr>
            </w:pPr>
          </w:p>
          <w:p>
            <w:pPr>
              <w:pStyle w:val="TableParagraph"/>
              <w:rPr>
                <w:b/>
                <w:sz w:val="28"/>
              </w:rPr>
            </w:pPr>
          </w:p>
          <w:p>
            <w:pPr>
              <w:pStyle w:val="TableParagraph"/>
              <w:rPr>
                <w:b/>
                <w:sz w:val="28"/>
              </w:rPr>
            </w:pPr>
          </w:p>
          <w:p>
            <w:pPr>
              <w:pStyle w:val="TableParagraph"/>
              <w:rPr>
                <w:b/>
                <w:sz w:val="28"/>
              </w:rPr>
            </w:pPr>
          </w:p>
          <w:p>
            <w:pPr>
              <w:pStyle w:val="TableParagraph"/>
              <w:rPr>
                <w:b/>
                <w:sz w:val="28"/>
              </w:rPr>
            </w:pPr>
          </w:p>
          <w:p>
            <w:pPr>
              <w:pStyle w:val="TableParagraph"/>
              <w:rPr>
                <w:b/>
                <w:sz w:val="28"/>
              </w:rPr>
            </w:pPr>
          </w:p>
          <w:p>
            <w:pPr>
              <w:pStyle w:val="TableParagraph"/>
              <w:rPr>
                <w:b/>
                <w:sz w:val="28"/>
              </w:rPr>
            </w:pPr>
          </w:p>
          <w:p>
            <w:pPr>
              <w:pStyle w:val="TableParagraph"/>
              <w:rPr>
                <w:b/>
                <w:sz w:val="28"/>
              </w:rPr>
            </w:pPr>
          </w:p>
          <w:p>
            <w:pPr>
              <w:pStyle w:val="TableParagraph"/>
              <w:rPr>
                <w:b/>
                <w:sz w:val="28"/>
              </w:rPr>
            </w:pPr>
          </w:p>
          <w:p>
            <w:pPr>
              <w:pStyle w:val="TableParagraph"/>
              <w:rPr>
                <w:b/>
                <w:sz w:val="28"/>
              </w:rPr>
            </w:pPr>
          </w:p>
          <w:p>
            <w:pPr>
              <w:pStyle w:val="TableParagraph"/>
              <w:rPr>
                <w:b/>
                <w:sz w:val="28"/>
              </w:rPr>
            </w:pPr>
          </w:p>
          <w:p>
            <w:pPr>
              <w:pStyle w:val="TableParagraph"/>
              <w:rPr>
                <w:b/>
                <w:sz w:val="28"/>
              </w:rPr>
            </w:pPr>
          </w:p>
          <w:p>
            <w:pPr>
              <w:pStyle w:val="TableParagraph"/>
              <w:rPr>
                <w:b/>
                <w:sz w:val="28"/>
              </w:rPr>
            </w:pPr>
          </w:p>
          <w:p>
            <w:pPr>
              <w:pStyle w:val="TableParagraph"/>
              <w:rPr>
                <w:b/>
                <w:sz w:val="28"/>
              </w:rPr>
            </w:pPr>
          </w:p>
          <w:p>
            <w:pPr>
              <w:pStyle w:val="TableParagraph"/>
              <w:spacing w:before="3"/>
              <w:rPr>
                <w:b/>
                <w:sz w:val="31"/>
              </w:rPr>
            </w:pPr>
          </w:p>
          <w:p>
            <w:pPr>
              <w:pStyle w:val="TableParagraph"/>
              <w:spacing w:line="360" w:lineRule="auto"/>
              <w:ind w:left="278" w:right="269" w:firstLine="2"/>
              <w:jc w:val="center"/>
              <w:rPr>
                <w:b/>
                <w:sz w:val="26"/>
              </w:rPr>
            </w:pPr>
            <w:r>
              <w:rPr>
                <w:b/>
                <w:sz w:val="26"/>
              </w:rPr>
              <w:t>Chất lượng dịch vụ cảng (CLDV)</w:t>
            </w:r>
          </w:p>
        </w:tc>
        <w:tc>
          <w:tcPr>
            <w:tcW w:w="3827" w:type="dxa"/>
          </w:tcPr>
          <w:p>
            <w:pPr>
              <w:pStyle w:val="TableParagraph"/>
              <w:spacing w:line="360" w:lineRule="auto" w:before="2"/>
              <w:ind w:left="107"/>
              <w:rPr>
                <w:sz w:val="26"/>
              </w:rPr>
            </w:pPr>
            <w:r>
              <w:rPr>
                <w:b/>
                <w:sz w:val="26"/>
              </w:rPr>
              <w:t>CLDV1: </w:t>
            </w:r>
            <w:r>
              <w:rPr>
                <w:sz w:val="26"/>
              </w:rPr>
              <w:t>Năng lực cung cấp container</w:t>
            </w:r>
          </w:p>
        </w:tc>
        <w:tc>
          <w:tcPr>
            <w:tcW w:w="3829" w:type="dxa"/>
          </w:tcPr>
          <w:p>
            <w:pPr>
              <w:pStyle w:val="TableParagraph"/>
              <w:tabs>
                <w:tab w:pos="1052" w:val="left" w:leader="none"/>
                <w:tab w:pos="2059" w:val="left" w:leader="none"/>
                <w:tab w:pos="2951" w:val="left" w:leader="none"/>
              </w:tabs>
              <w:spacing w:before="2"/>
              <w:ind w:left="107"/>
              <w:rPr>
                <w:sz w:val="26"/>
              </w:rPr>
            </w:pPr>
            <w:r>
              <w:rPr>
                <w:sz w:val="26"/>
              </w:rPr>
              <w:t>Chien</w:t>
              <w:tab/>
              <w:t>Chang</w:t>
              <w:tab/>
              <w:t>Chou</w:t>
              <w:tab/>
              <w:t>(2009);</w:t>
            </w:r>
          </w:p>
          <w:p>
            <w:pPr>
              <w:pStyle w:val="TableParagraph"/>
              <w:tabs>
                <w:tab w:pos="1270" w:val="left" w:leader="none"/>
                <w:tab w:pos="2551" w:val="left" w:leader="none"/>
                <w:tab w:pos="3154" w:val="left" w:leader="none"/>
              </w:tabs>
              <w:spacing w:line="450" w:lineRule="atLeast"/>
              <w:ind w:left="107" w:right="99"/>
              <w:rPr>
                <w:sz w:val="26"/>
              </w:rPr>
            </w:pPr>
            <w:r>
              <w:rPr>
                <w:sz w:val="26"/>
              </w:rPr>
              <w:t>Ahmed</w:t>
              <w:tab/>
              <w:t>Shaheen</w:t>
              <w:tab/>
              <w:t>&amp;</w:t>
              <w:tab/>
            </w:r>
            <w:r>
              <w:rPr>
                <w:spacing w:val="-5"/>
                <w:sz w:val="26"/>
              </w:rPr>
              <w:t>Hany </w:t>
            </w:r>
            <w:r>
              <w:rPr>
                <w:sz w:val="26"/>
              </w:rPr>
              <w:t>Mahmoud</w:t>
            </w:r>
            <w:r>
              <w:rPr>
                <w:spacing w:val="1"/>
                <w:sz w:val="26"/>
              </w:rPr>
              <w:t> </w:t>
            </w:r>
            <w:r>
              <w:rPr>
                <w:sz w:val="26"/>
              </w:rPr>
              <w:t>(2018)</w:t>
            </w:r>
          </w:p>
        </w:tc>
      </w:tr>
      <w:tr>
        <w:trPr>
          <w:trHeight w:val="1795" w:hRule="atLeast"/>
        </w:trPr>
        <w:tc>
          <w:tcPr>
            <w:tcW w:w="1959" w:type="dxa"/>
            <w:vMerge/>
            <w:tcBorders>
              <w:top w:val="nil"/>
            </w:tcBorders>
          </w:tcPr>
          <w:p>
            <w:pPr>
              <w:rPr>
                <w:sz w:val="2"/>
                <w:szCs w:val="2"/>
              </w:rPr>
            </w:pPr>
          </w:p>
        </w:tc>
        <w:tc>
          <w:tcPr>
            <w:tcW w:w="3827" w:type="dxa"/>
          </w:tcPr>
          <w:p>
            <w:pPr>
              <w:pStyle w:val="TableParagraph"/>
              <w:spacing w:line="357" w:lineRule="auto" w:before="5"/>
              <w:ind w:left="107" w:right="700"/>
              <w:rPr>
                <w:sz w:val="26"/>
              </w:rPr>
            </w:pPr>
            <w:r>
              <w:rPr>
                <w:b/>
                <w:sz w:val="26"/>
              </w:rPr>
              <w:t>CLDV2: </w:t>
            </w:r>
            <w:r>
              <w:rPr>
                <w:sz w:val="26"/>
              </w:rPr>
              <w:t>Dịch vụ chuyển tải nhanh chóng</w:t>
            </w:r>
          </w:p>
        </w:tc>
        <w:tc>
          <w:tcPr>
            <w:tcW w:w="3829" w:type="dxa"/>
          </w:tcPr>
          <w:p>
            <w:pPr>
              <w:pStyle w:val="TableParagraph"/>
              <w:spacing w:line="360" w:lineRule="auto" w:before="5"/>
              <w:ind w:left="107" w:right="99"/>
              <w:jc w:val="both"/>
              <w:rPr>
                <w:sz w:val="26"/>
              </w:rPr>
            </w:pPr>
            <w:r>
              <w:rPr>
                <w:sz w:val="26"/>
              </w:rPr>
              <w:t>Juang and Roe (2010); Hung et al. (2010); Luna, J. H. và cộng sự (2018); Chang, Y. T. và cộng sự</w:t>
            </w:r>
          </w:p>
          <w:p>
            <w:pPr>
              <w:pStyle w:val="TableParagraph"/>
              <w:spacing w:line="298" w:lineRule="exact"/>
              <w:ind w:left="107"/>
              <w:rPr>
                <w:sz w:val="26"/>
              </w:rPr>
            </w:pPr>
            <w:r>
              <w:rPr>
                <w:sz w:val="26"/>
              </w:rPr>
              <w:t>(2019)</w:t>
            </w:r>
          </w:p>
        </w:tc>
      </w:tr>
      <w:tr>
        <w:trPr>
          <w:trHeight w:val="1794" w:hRule="atLeast"/>
        </w:trPr>
        <w:tc>
          <w:tcPr>
            <w:tcW w:w="1959" w:type="dxa"/>
            <w:vMerge/>
            <w:tcBorders>
              <w:top w:val="nil"/>
            </w:tcBorders>
          </w:tcPr>
          <w:p>
            <w:pPr>
              <w:rPr>
                <w:sz w:val="2"/>
                <w:szCs w:val="2"/>
              </w:rPr>
            </w:pPr>
          </w:p>
        </w:tc>
        <w:tc>
          <w:tcPr>
            <w:tcW w:w="3827" w:type="dxa"/>
          </w:tcPr>
          <w:p>
            <w:pPr>
              <w:pStyle w:val="TableParagraph"/>
              <w:spacing w:line="360" w:lineRule="auto" w:before="2"/>
              <w:ind w:left="107" w:right="714"/>
              <w:rPr>
                <w:sz w:val="26"/>
              </w:rPr>
            </w:pPr>
            <w:r>
              <w:rPr>
                <w:b/>
                <w:sz w:val="26"/>
              </w:rPr>
              <w:t>CLDV3: </w:t>
            </w:r>
            <w:r>
              <w:rPr>
                <w:sz w:val="26"/>
              </w:rPr>
              <w:t>Hệ thống thông tin nhanh chóng, kịp thời</w:t>
            </w:r>
          </w:p>
        </w:tc>
        <w:tc>
          <w:tcPr>
            <w:tcW w:w="3829" w:type="dxa"/>
          </w:tcPr>
          <w:p>
            <w:pPr>
              <w:pStyle w:val="TableParagraph"/>
              <w:spacing w:line="360" w:lineRule="auto" w:before="2"/>
              <w:ind w:left="107" w:right="99"/>
              <w:jc w:val="both"/>
              <w:rPr>
                <w:sz w:val="26"/>
              </w:rPr>
            </w:pPr>
            <w:r>
              <w:rPr>
                <w:sz w:val="26"/>
              </w:rPr>
              <w:t>Carbone and De Martino (2003); Panayedes and Song (2009); Cachon and Fisher (2000); Zhao</w:t>
            </w:r>
          </w:p>
          <w:p>
            <w:pPr>
              <w:pStyle w:val="TableParagraph"/>
              <w:spacing w:before="1"/>
              <w:ind w:left="107"/>
              <w:jc w:val="both"/>
              <w:rPr>
                <w:sz w:val="26"/>
              </w:rPr>
            </w:pPr>
            <w:r>
              <w:rPr>
                <w:sz w:val="26"/>
              </w:rPr>
              <w:t>et al. (2002); Liu et al. (2009)</w:t>
            </w:r>
          </w:p>
        </w:tc>
      </w:tr>
      <w:tr>
        <w:trPr>
          <w:trHeight w:val="1792" w:hRule="atLeast"/>
        </w:trPr>
        <w:tc>
          <w:tcPr>
            <w:tcW w:w="1959" w:type="dxa"/>
            <w:vMerge/>
            <w:tcBorders>
              <w:top w:val="nil"/>
            </w:tcBorders>
          </w:tcPr>
          <w:p>
            <w:pPr>
              <w:rPr>
                <w:sz w:val="2"/>
                <w:szCs w:val="2"/>
              </w:rPr>
            </w:pPr>
          </w:p>
        </w:tc>
        <w:tc>
          <w:tcPr>
            <w:tcW w:w="3827" w:type="dxa"/>
          </w:tcPr>
          <w:p>
            <w:pPr>
              <w:pStyle w:val="TableParagraph"/>
              <w:spacing w:line="360" w:lineRule="auto" w:before="2"/>
              <w:ind w:left="107" w:right="111"/>
              <w:rPr>
                <w:sz w:val="26"/>
              </w:rPr>
            </w:pPr>
            <w:r>
              <w:rPr>
                <w:b/>
                <w:sz w:val="26"/>
              </w:rPr>
              <w:t>CLDV4: </w:t>
            </w:r>
            <w:r>
              <w:rPr>
                <w:sz w:val="26"/>
              </w:rPr>
              <w:t>Cấu trúc tổ chức bến cảng tiện lợi cho việc sử dụng làm giảm chi phí và thời gian cho</w:t>
            </w:r>
          </w:p>
          <w:p>
            <w:pPr>
              <w:pStyle w:val="TableParagraph"/>
              <w:spacing w:line="298" w:lineRule="exact"/>
              <w:ind w:left="107"/>
              <w:rPr>
                <w:sz w:val="26"/>
              </w:rPr>
            </w:pPr>
            <w:r>
              <w:rPr>
                <w:sz w:val="26"/>
              </w:rPr>
              <w:t>khách hàng</w:t>
            </w:r>
          </w:p>
        </w:tc>
        <w:tc>
          <w:tcPr>
            <w:tcW w:w="3829" w:type="dxa"/>
          </w:tcPr>
          <w:p>
            <w:pPr>
              <w:pStyle w:val="TableParagraph"/>
              <w:spacing w:line="360" w:lineRule="auto" w:before="2"/>
              <w:ind w:left="107"/>
              <w:rPr>
                <w:sz w:val="26"/>
              </w:rPr>
            </w:pPr>
            <w:r>
              <w:rPr>
                <w:sz w:val="26"/>
              </w:rPr>
              <w:t>Bichou e Gray (2004); Robinson (2002); Vitor Caldeirinha (2012,</w:t>
            </w:r>
          </w:p>
          <w:p>
            <w:pPr>
              <w:pStyle w:val="TableParagraph"/>
              <w:spacing w:before="1"/>
              <w:ind w:left="107"/>
              <w:rPr>
                <w:sz w:val="26"/>
              </w:rPr>
            </w:pPr>
            <w:r>
              <w:rPr>
                <w:sz w:val="26"/>
              </w:rPr>
              <w:t>2013)</w:t>
            </w:r>
          </w:p>
        </w:tc>
      </w:tr>
      <w:tr>
        <w:trPr>
          <w:trHeight w:val="1794" w:hRule="atLeast"/>
        </w:trPr>
        <w:tc>
          <w:tcPr>
            <w:tcW w:w="1959" w:type="dxa"/>
            <w:vMerge/>
            <w:tcBorders>
              <w:top w:val="nil"/>
            </w:tcBorders>
          </w:tcPr>
          <w:p>
            <w:pPr>
              <w:rPr>
                <w:sz w:val="2"/>
                <w:szCs w:val="2"/>
              </w:rPr>
            </w:pPr>
          </w:p>
        </w:tc>
        <w:tc>
          <w:tcPr>
            <w:tcW w:w="3827" w:type="dxa"/>
          </w:tcPr>
          <w:p>
            <w:pPr>
              <w:pStyle w:val="TableParagraph"/>
              <w:spacing w:line="360" w:lineRule="auto" w:before="2"/>
              <w:ind w:left="107" w:right="90"/>
              <w:rPr>
                <w:sz w:val="26"/>
              </w:rPr>
            </w:pPr>
            <w:r>
              <w:rPr>
                <w:b/>
                <w:sz w:val="26"/>
              </w:rPr>
              <w:t>CLDV5: </w:t>
            </w:r>
            <w:r>
              <w:rPr>
                <w:sz w:val="26"/>
              </w:rPr>
              <w:t>Thiết kế bến bãi container tiện lợi cho việc sử dụng làm giảm chi phí và thời gian cho</w:t>
            </w:r>
          </w:p>
          <w:p>
            <w:pPr>
              <w:pStyle w:val="TableParagraph"/>
              <w:spacing w:before="1"/>
              <w:ind w:left="107"/>
              <w:rPr>
                <w:sz w:val="26"/>
              </w:rPr>
            </w:pPr>
            <w:r>
              <w:rPr>
                <w:sz w:val="26"/>
              </w:rPr>
              <w:t>khách hàng</w:t>
            </w:r>
          </w:p>
        </w:tc>
        <w:tc>
          <w:tcPr>
            <w:tcW w:w="3829" w:type="dxa"/>
          </w:tcPr>
          <w:p>
            <w:pPr>
              <w:pStyle w:val="TableParagraph"/>
              <w:spacing w:line="360" w:lineRule="auto" w:before="2"/>
              <w:ind w:left="107" w:right="97"/>
              <w:jc w:val="both"/>
              <w:rPr>
                <w:sz w:val="26"/>
              </w:rPr>
            </w:pPr>
            <w:r>
              <w:rPr>
                <w:sz w:val="26"/>
              </w:rPr>
              <w:t>Bicou e Gray (2004); Robinson (2002); Vitor Caldeirinha (2012, 2013); Chang, Y. T. và cộng sự</w:t>
            </w:r>
          </w:p>
          <w:p>
            <w:pPr>
              <w:pStyle w:val="TableParagraph"/>
              <w:spacing w:before="1"/>
              <w:ind w:left="107"/>
              <w:rPr>
                <w:sz w:val="26"/>
              </w:rPr>
            </w:pPr>
            <w:r>
              <w:rPr>
                <w:sz w:val="26"/>
              </w:rPr>
              <w:t>(2019)</w:t>
            </w:r>
          </w:p>
        </w:tc>
      </w:tr>
      <w:tr>
        <w:trPr>
          <w:trHeight w:val="1346" w:hRule="atLeast"/>
        </w:trPr>
        <w:tc>
          <w:tcPr>
            <w:tcW w:w="1959" w:type="dxa"/>
            <w:vMerge/>
            <w:tcBorders>
              <w:top w:val="nil"/>
            </w:tcBorders>
          </w:tcPr>
          <w:p>
            <w:pPr>
              <w:rPr>
                <w:sz w:val="2"/>
                <w:szCs w:val="2"/>
              </w:rPr>
            </w:pPr>
          </w:p>
        </w:tc>
        <w:tc>
          <w:tcPr>
            <w:tcW w:w="3827" w:type="dxa"/>
          </w:tcPr>
          <w:p>
            <w:pPr>
              <w:pStyle w:val="TableParagraph"/>
              <w:spacing w:line="360" w:lineRule="auto" w:before="2"/>
              <w:ind w:left="107" w:right="505"/>
              <w:rPr>
                <w:sz w:val="26"/>
              </w:rPr>
            </w:pPr>
            <w:r>
              <w:rPr>
                <w:b/>
                <w:sz w:val="26"/>
              </w:rPr>
              <w:t>CLDV6: </w:t>
            </w:r>
            <w:r>
              <w:rPr>
                <w:sz w:val="26"/>
              </w:rPr>
              <w:t>Bố trí thiết bị xếp dỡ phù hợp</w:t>
            </w:r>
          </w:p>
        </w:tc>
        <w:tc>
          <w:tcPr>
            <w:tcW w:w="3829" w:type="dxa"/>
          </w:tcPr>
          <w:p>
            <w:pPr>
              <w:pStyle w:val="TableParagraph"/>
              <w:tabs>
                <w:tab w:pos="827" w:val="left" w:leader="none"/>
                <w:tab w:pos="1491" w:val="left" w:leader="none"/>
                <w:tab w:pos="1751" w:val="left" w:leader="none"/>
                <w:tab w:pos="2950" w:val="left" w:leader="none"/>
                <w:tab w:pos="3170" w:val="left" w:leader="none"/>
              </w:tabs>
              <w:spacing w:line="360" w:lineRule="auto" w:before="2"/>
              <w:ind w:left="107" w:right="99"/>
              <w:rPr>
                <w:sz w:val="26"/>
              </w:rPr>
            </w:pPr>
            <w:r>
              <w:rPr>
                <w:sz w:val="26"/>
              </w:rPr>
              <w:t>Yap</w:t>
              <w:tab/>
              <w:t>and</w:t>
              <w:tab/>
              <w:t>Notteboom</w:t>
              <w:tab/>
            </w:r>
            <w:r>
              <w:rPr>
                <w:spacing w:val="-3"/>
                <w:sz w:val="26"/>
              </w:rPr>
              <w:t>(2011); </w:t>
            </w:r>
            <w:r>
              <w:rPr>
                <w:sz w:val="26"/>
              </w:rPr>
              <w:t>Robinson</w:t>
              <w:tab/>
              <w:tab/>
              <w:t>(2002);</w:t>
              <w:tab/>
              <w:tab/>
            </w:r>
            <w:r>
              <w:rPr>
                <w:spacing w:val="-4"/>
                <w:sz w:val="26"/>
              </w:rPr>
              <w:t>Vitor</w:t>
            </w:r>
          </w:p>
          <w:p>
            <w:pPr>
              <w:pStyle w:val="TableParagraph"/>
              <w:spacing w:before="1"/>
              <w:ind w:left="107"/>
              <w:rPr>
                <w:sz w:val="26"/>
              </w:rPr>
            </w:pPr>
            <w:r>
              <w:rPr>
                <w:sz w:val="26"/>
              </w:rPr>
              <w:t>Caldeirinha (2012; 2013)</w:t>
            </w:r>
          </w:p>
        </w:tc>
      </w:tr>
      <w:tr>
        <w:trPr>
          <w:trHeight w:val="1792" w:hRule="atLeast"/>
        </w:trPr>
        <w:tc>
          <w:tcPr>
            <w:tcW w:w="1959" w:type="dxa"/>
            <w:vMerge/>
            <w:tcBorders>
              <w:top w:val="nil"/>
            </w:tcBorders>
          </w:tcPr>
          <w:p>
            <w:pPr>
              <w:rPr>
                <w:sz w:val="2"/>
                <w:szCs w:val="2"/>
              </w:rPr>
            </w:pPr>
          </w:p>
        </w:tc>
        <w:tc>
          <w:tcPr>
            <w:tcW w:w="3827" w:type="dxa"/>
          </w:tcPr>
          <w:p>
            <w:pPr>
              <w:pStyle w:val="TableParagraph"/>
              <w:spacing w:line="360" w:lineRule="auto" w:before="2"/>
              <w:ind w:left="107" w:right="144"/>
              <w:rPr>
                <w:sz w:val="26"/>
              </w:rPr>
            </w:pPr>
            <w:r>
              <w:rPr>
                <w:b/>
                <w:sz w:val="26"/>
              </w:rPr>
              <w:t>CLDV7: </w:t>
            </w:r>
            <w:r>
              <w:rPr>
                <w:sz w:val="26"/>
              </w:rPr>
              <w:t>Hoạt động khai thác của cảng định hướng vào phục vụ khách hàng</w:t>
            </w:r>
          </w:p>
        </w:tc>
        <w:tc>
          <w:tcPr>
            <w:tcW w:w="3829" w:type="dxa"/>
          </w:tcPr>
          <w:p>
            <w:pPr>
              <w:pStyle w:val="TableParagraph"/>
              <w:spacing w:line="360" w:lineRule="auto" w:before="2"/>
              <w:ind w:left="107" w:right="97"/>
              <w:jc w:val="both"/>
              <w:rPr>
                <w:sz w:val="26"/>
              </w:rPr>
            </w:pPr>
            <w:r>
              <w:rPr>
                <w:sz w:val="26"/>
              </w:rPr>
              <w:t>Juang and Roe (2010); </w:t>
            </w:r>
            <w:r>
              <w:rPr>
                <w:spacing w:val="-3"/>
                <w:sz w:val="26"/>
              </w:rPr>
              <w:t>Vitor </w:t>
            </w:r>
            <w:r>
              <w:rPr>
                <w:sz w:val="26"/>
              </w:rPr>
              <w:t>Caldeirinha (2012, </w:t>
            </w:r>
            <w:r>
              <w:rPr>
                <w:spacing w:val="-3"/>
                <w:sz w:val="26"/>
              </w:rPr>
              <w:t>2014); </w:t>
            </w:r>
            <w:r>
              <w:rPr>
                <w:sz w:val="26"/>
              </w:rPr>
              <w:t>Carbone e De Martino</w:t>
            </w:r>
            <w:r>
              <w:rPr>
                <w:spacing w:val="52"/>
                <w:sz w:val="26"/>
              </w:rPr>
              <w:t> </w:t>
            </w:r>
            <w:r>
              <w:rPr>
                <w:sz w:val="26"/>
              </w:rPr>
              <w:t>(2003);</w:t>
            </w:r>
          </w:p>
          <w:p>
            <w:pPr>
              <w:pStyle w:val="TableParagraph"/>
              <w:spacing w:line="298" w:lineRule="exact"/>
              <w:ind w:left="107"/>
              <w:jc w:val="both"/>
              <w:rPr>
                <w:sz w:val="26"/>
              </w:rPr>
            </w:pPr>
            <w:r>
              <w:rPr>
                <w:sz w:val="26"/>
              </w:rPr>
              <w:t>Vitor Caldeirinha (2012, 2014)</w:t>
            </w:r>
          </w:p>
        </w:tc>
      </w:tr>
    </w:tbl>
    <w:p>
      <w:pPr>
        <w:spacing w:after="0" w:line="298" w:lineRule="exact"/>
        <w:jc w:val="both"/>
        <w:rPr>
          <w:sz w:val="26"/>
        </w:rPr>
        <w:sectPr>
          <w:pgSz w:w="11910" w:h="16850"/>
          <w:pgMar w:header="751" w:footer="0" w:top="960" w:bottom="280" w:left="820" w:right="240"/>
        </w:sectPr>
      </w:pPr>
    </w:p>
    <w:p>
      <w:pPr>
        <w:pStyle w:val="BodyText"/>
        <w:rPr>
          <w:b/>
          <w:sz w:val="20"/>
        </w:rPr>
      </w:pPr>
    </w:p>
    <w:p>
      <w:pPr>
        <w:pStyle w:val="BodyText"/>
        <w:rPr>
          <w:b/>
          <w:sz w:val="20"/>
        </w:rPr>
      </w:pPr>
    </w:p>
    <w:p>
      <w:pPr>
        <w:pStyle w:val="BodyText"/>
        <w:spacing w:before="1"/>
        <w:rPr>
          <w:b/>
          <w:sz w:val="11"/>
        </w:rPr>
      </w:pPr>
    </w:p>
    <w:tbl>
      <w:tblPr>
        <w:tblW w:w="0" w:type="auto"/>
        <w:jc w:val="left"/>
        <w:tblInd w:w="34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1959"/>
        <w:gridCol w:w="3827"/>
        <w:gridCol w:w="3829"/>
      </w:tblGrid>
      <w:tr>
        <w:trPr>
          <w:trHeight w:val="448" w:hRule="atLeast"/>
        </w:trPr>
        <w:tc>
          <w:tcPr>
            <w:tcW w:w="1959" w:type="dxa"/>
          </w:tcPr>
          <w:p>
            <w:pPr>
              <w:pStyle w:val="TableParagraph"/>
              <w:spacing w:before="2"/>
              <w:ind w:left="396"/>
              <w:rPr>
                <w:b/>
                <w:sz w:val="26"/>
              </w:rPr>
            </w:pPr>
            <w:r>
              <w:rPr>
                <w:b/>
                <w:sz w:val="26"/>
              </w:rPr>
              <w:t>Khái niệm</w:t>
            </w:r>
          </w:p>
        </w:tc>
        <w:tc>
          <w:tcPr>
            <w:tcW w:w="3827" w:type="dxa"/>
          </w:tcPr>
          <w:p>
            <w:pPr>
              <w:pStyle w:val="TableParagraph"/>
              <w:spacing w:before="2"/>
              <w:ind w:left="1154"/>
              <w:rPr>
                <w:b/>
                <w:sz w:val="26"/>
              </w:rPr>
            </w:pPr>
            <w:r>
              <w:rPr>
                <w:b/>
                <w:sz w:val="26"/>
              </w:rPr>
              <w:t>Biến quan sát</w:t>
            </w:r>
          </w:p>
        </w:tc>
        <w:tc>
          <w:tcPr>
            <w:tcW w:w="3829" w:type="dxa"/>
          </w:tcPr>
          <w:p>
            <w:pPr>
              <w:pStyle w:val="TableParagraph"/>
              <w:spacing w:before="2"/>
              <w:ind w:left="1482" w:right="1480"/>
              <w:jc w:val="center"/>
              <w:rPr>
                <w:b/>
                <w:sz w:val="26"/>
              </w:rPr>
            </w:pPr>
            <w:r>
              <w:rPr>
                <w:b/>
                <w:sz w:val="26"/>
              </w:rPr>
              <w:t>Tác giả</w:t>
            </w:r>
          </w:p>
        </w:tc>
      </w:tr>
      <w:tr>
        <w:trPr>
          <w:trHeight w:val="1794" w:hRule="atLeast"/>
        </w:trPr>
        <w:tc>
          <w:tcPr>
            <w:tcW w:w="1959" w:type="dxa"/>
            <w:vMerge w:val="restart"/>
          </w:tcPr>
          <w:p>
            <w:pPr>
              <w:pStyle w:val="TableParagraph"/>
              <w:rPr>
                <w:sz w:val="24"/>
              </w:rPr>
            </w:pPr>
          </w:p>
        </w:tc>
        <w:tc>
          <w:tcPr>
            <w:tcW w:w="3827" w:type="dxa"/>
          </w:tcPr>
          <w:p>
            <w:pPr>
              <w:pStyle w:val="TableParagraph"/>
              <w:spacing w:line="360" w:lineRule="auto" w:before="2"/>
              <w:ind w:left="107"/>
              <w:rPr>
                <w:sz w:val="26"/>
              </w:rPr>
            </w:pPr>
            <w:r>
              <w:rPr>
                <w:b/>
                <w:sz w:val="26"/>
              </w:rPr>
              <w:t>CLDV8: </w:t>
            </w:r>
            <w:r>
              <w:rPr>
                <w:sz w:val="26"/>
              </w:rPr>
              <w:t>Dịch vụ thủ tục hải quan thuận lợi</w:t>
            </w:r>
          </w:p>
        </w:tc>
        <w:tc>
          <w:tcPr>
            <w:tcW w:w="3829" w:type="dxa"/>
          </w:tcPr>
          <w:p>
            <w:pPr>
              <w:pStyle w:val="TableParagraph"/>
              <w:spacing w:line="360" w:lineRule="auto" w:before="2"/>
              <w:ind w:left="107" w:right="99"/>
              <w:jc w:val="both"/>
              <w:rPr>
                <w:sz w:val="26"/>
              </w:rPr>
            </w:pPr>
            <w:r>
              <w:rPr>
                <w:sz w:val="26"/>
              </w:rPr>
              <w:t>Chien Chang Chou (2009); Yap and Notteboom (2011); Ahmed Shaheen &amp; Hany Mahmoud</w:t>
            </w:r>
          </w:p>
          <w:p>
            <w:pPr>
              <w:pStyle w:val="TableParagraph"/>
              <w:spacing w:before="1"/>
              <w:ind w:left="107"/>
              <w:rPr>
                <w:sz w:val="26"/>
              </w:rPr>
            </w:pPr>
            <w:r>
              <w:rPr>
                <w:sz w:val="26"/>
              </w:rPr>
              <w:t>(2018)</w:t>
            </w:r>
          </w:p>
        </w:tc>
      </w:tr>
      <w:tr>
        <w:trPr>
          <w:trHeight w:val="1343" w:hRule="atLeast"/>
        </w:trPr>
        <w:tc>
          <w:tcPr>
            <w:tcW w:w="1959" w:type="dxa"/>
            <w:vMerge/>
            <w:tcBorders>
              <w:top w:val="nil"/>
            </w:tcBorders>
          </w:tcPr>
          <w:p>
            <w:pPr>
              <w:rPr>
                <w:sz w:val="2"/>
                <w:szCs w:val="2"/>
              </w:rPr>
            </w:pPr>
          </w:p>
        </w:tc>
        <w:tc>
          <w:tcPr>
            <w:tcW w:w="3827" w:type="dxa"/>
          </w:tcPr>
          <w:p>
            <w:pPr>
              <w:pStyle w:val="TableParagraph"/>
              <w:spacing w:line="360" w:lineRule="auto" w:before="2"/>
              <w:ind w:left="107" w:right="310"/>
              <w:rPr>
                <w:sz w:val="26"/>
              </w:rPr>
            </w:pPr>
            <w:r>
              <w:rPr>
                <w:b/>
                <w:color w:val="0D0D0D"/>
                <w:sz w:val="26"/>
              </w:rPr>
              <w:t>CLDV9: </w:t>
            </w:r>
            <w:r>
              <w:rPr>
                <w:color w:val="0D0D0D"/>
                <w:sz w:val="26"/>
              </w:rPr>
              <w:t>Dịch vụ lai dắt tàu vào cảng nhanh chóng</w:t>
            </w:r>
          </w:p>
        </w:tc>
        <w:tc>
          <w:tcPr>
            <w:tcW w:w="3829" w:type="dxa"/>
          </w:tcPr>
          <w:p>
            <w:pPr>
              <w:pStyle w:val="TableParagraph"/>
              <w:spacing w:line="360" w:lineRule="auto" w:before="2"/>
              <w:ind w:left="107"/>
              <w:rPr>
                <w:sz w:val="26"/>
              </w:rPr>
            </w:pPr>
            <w:r>
              <w:rPr>
                <w:sz w:val="26"/>
              </w:rPr>
              <w:t>Juang and Roe (2010); Hung et al. (2010)</w:t>
            </w:r>
          </w:p>
        </w:tc>
      </w:tr>
      <w:tr>
        <w:trPr>
          <w:trHeight w:val="1795" w:hRule="atLeast"/>
        </w:trPr>
        <w:tc>
          <w:tcPr>
            <w:tcW w:w="1959" w:type="dxa"/>
            <w:vMerge/>
            <w:tcBorders>
              <w:top w:val="nil"/>
            </w:tcBorders>
          </w:tcPr>
          <w:p>
            <w:pPr>
              <w:rPr>
                <w:sz w:val="2"/>
                <w:szCs w:val="2"/>
              </w:rPr>
            </w:pPr>
          </w:p>
        </w:tc>
        <w:tc>
          <w:tcPr>
            <w:tcW w:w="3827" w:type="dxa"/>
          </w:tcPr>
          <w:p>
            <w:pPr>
              <w:pStyle w:val="TableParagraph"/>
              <w:spacing w:line="360" w:lineRule="auto" w:before="2"/>
              <w:ind w:left="107"/>
              <w:rPr>
                <w:sz w:val="26"/>
              </w:rPr>
            </w:pPr>
            <w:r>
              <w:rPr>
                <w:b/>
                <w:sz w:val="26"/>
              </w:rPr>
              <w:t>CVDV10: </w:t>
            </w:r>
            <w:r>
              <w:rPr>
                <w:sz w:val="26"/>
              </w:rPr>
              <w:t>Năng lực hệ thống trao đổi dữ liệu điện tử</w:t>
            </w:r>
          </w:p>
        </w:tc>
        <w:tc>
          <w:tcPr>
            <w:tcW w:w="3829" w:type="dxa"/>
          </w:tcPr>
          <w:p>
            <w:pPr>
              <w:pStyle w:val="TableParagraph"/>
              <w:tabs>
                <w:tab w:pos="1304" w:val="left" w:leader="none"/>
                <w:tab w:pos="1683" w:val="left" w:leader="none"/>
                <w:tab w:pos="2269" w:val="left" w:leader="none"/>
                <w:tab w:pos="3045" w:val="left" w:leader="none"/>
              </w:tabs>
              <w:spacing w:line="360" w:lineRule="auto" w:before="2"/>
              <w:ind w:left="107" w:right="99"/>
              <w:rPr>
                <w:sz w:val="26"/>
              </w:rPr>
            </w:pPr>
            <w:r>
              <w:rPr>
                <w:sz w:val="26"/>
              </w:rPr>
              <w:t>Tongzon,</w:t>
              <w:tab/>
              <w:t>J.</w:t>
              <w:tab/>
              <w:t>and</w:t>
              <w:tab/>
              <w:t>Heng</w:t>
              <w:tab/>
            </w:r>
            <w:r>
              <w:rPr>
                <w:spacing w:val="-3"/>
                <w:sz w:val="26"/>
              </w:rPr>
              <w:t>(2002, </w:t>
            </w:r>
            <w:r>
              <w:rPr>
                <w:sz w:val="26"/>
              </w:rPr>
              <w:t>2005); Chien Chang Chou</w:t>
            </w:r>
            <w:r>
              <w:rPr>
                <w:spacing w:val="25"/>
                <w:sz w:val="26"/>
              </w:rPr>
              <w:t> </w:t>
            </w:r>
            <w:r>
              <w:rPr>
                <w:sz w:val="26"/>
              </w:rPr>
              <w:t>(2009);</w:t>
            </w:r>
          </w:p>
          <w:p>
            <w:pPr>
              <w:pStyle w:val="TableParagraph"/>
              <w:tabs>
                <w:tab w:pos="1571" w:val="left" w:leader="none"/>
                <w:tab w:pos="2951" w:val="left" w:leader="none"/>
              </w:tabs>
              <w:spacing w:before="1"/>
              <w:ind w:left="107"/>
              <w:rPr>
                <w:sz w:val="26"/>
              </w:rPr>
            </w:pPr>
            <w:r>
              <w:rPr>
                <w:sz w:val="26"/>
              </w:rPr>
              <w:t>Raimonds</w:t>
              <w:tab/>
              <w:t>Aronietis</w:t>
              <w:tab/>
              <w:t>(2010);</w:t>
            </w:r>
          </w:p>
          <w:p>
            <w:pPr>
              <w:pStyle w:val="TableParagraph"/>
              <w:spacing w:before="150"/>
              <w:ind w:left="107"/>
              <w:rPr>
                <w:sz w:val="26"/>
              </w:rPr>
            </w:pPr>
            <w:r>
              <w:rPr>
                <w:sz w:val="26"/>
              </w:rPr>
              <w:t>Chang, Y. T. và cộng sự (2019)</w:t>
            </w:r>
          </w:p>
        </w:tc>
      </w:tr>
    </w:tbl>
    <w:p>
      <w:pPr>
        <w:spacing w:before="2"/>
        <w:ind w:left="0" w:right="885" w:firstLine="0"/>
        <w:jc w:val="right"/>
        <w:rPr>
          <w:i/>
          <w:sz w:val="26"/>
        </w:rPr>
      </w:pPr>
      <w:r>
        <w:rPr>
          <w:i/>
          <w:sz w:val="26"/>
        </w:rPr>
        <w:t>Nguồn: tác giả tổng hợp</w:t>
      </w:r>
    </w:p>
    <w:p>
      <w:pPr>
        <w:pStyle w:val="Heading7"/>
        <w:numPr>
          <w:ilvl w:val="1"/>
          <w:numId w:val="24"/>
        </w:numPr>
        <w:tabs>
          <w:tab w:pos="1271" w:val="left" w:leader="none"/>
        </w:tabs>
        <w:spacing w:line="240" w:lineRule="auto" w:before="150" w:after="0"/>
        <w:ind w:left="1270" w:right="0" w:hanging="389"/>
        <w:jc w:val="both"/>
        <w:rPr>
          <w:i/>
        </w:rPr>
      </w:pPr>
      <w:bookmarkStart w:name="_TOC_250028" w:id="28"/>
      <w:r>
        <w:rPr>
          <w:i/>
        </w:rPr>
        <w:t>Kết quả nghiên cứu định lượng sơ bộ để đánh giá các thang</w:t>
      </w:r>
      <w:r>
        <w:rPr>
          <w:i/>
          <w:spacing w:val="-9"/>
        </w:rPr>
        <w:t> </w:t>
      </w:r>
      <w:bookmarkEnd w:id="28"/>
      <w:r>
        <w:rPr>
          <w:i/>
        </w:rPr>
        <w:t>đo.</w:t>
      </w:r>
    </w:p>
    <w:p>
      <w:pPr>
        <w:pStyle w:val="Heading6"/>
        <w:numPr>
          <w:ilvl w:val="2"/>
          <w:numId w:val="24"/>
        </w:numPr>
        <w:tabs>
          <w:tab w:pos="1466" w:val="left" w:leader="none"/>
        </w:tabs>
        <w:spacing w:line="240" w:lineRule="auto" w:before="149" w:after="0"/>
        <w:ind w:left="1465" w:right="0" w:hanging="584"/>
        <w:jc w:val="both"/>
      </w:pPr>
      <w:bookmarkStart w:name="_TOC_250027" w:id="29"/>
      <w:r>
        <w:rPr/>
        <w:t>Mô tả nghiên cứu định lượng sơ</w:t>
      </w:r>
      <w:r>
        <w:rPr>
          <w:spacing w:val="-7"/>
        </w:rPr>
        <w:t> </w:t>
      </w:r>
      <w:bookmarkEnd w:id="29"/>
      <w:r>
        <w:rPr/>
        <w:t>bộ</w:t>
      </w:r>
    </w:p>
    <w:p>
      <w:pPr>
        <w:pStyle w:val="BodyText"/>
        <w:spacing w:line="360" w:lineRule="auto" w:before="150"/>
        <w:ind w:left="882" w:right="886" w:firstLine="719"/>
        <w:jc w:val="both"/>
      </w:pPr>
      <w:r>
        <w:rPr/>
        <w:t>Phương pháp nghiên cứu định lượng sơ bộ để đánh giá các thang đo nhằm gạn lọc bớt các biến quan sát không đạt yêu cầu (Nguyễn Đình Thọ, 2011), khi nghiên cứu định lượng sơ bộ dựa vào các phát biểu tác giả thiết kế một bảng câu hỏi với thang đo Likert 5 điểm để phỏng vấn trực tiếp và gián tiếp 195 nhà quản lý là khách hàng cảng container theo tỷ lệ tối thiểu 5:1 (Churchill, 1979). Nghiên cứu định lượng sơ bộ chủ yếu được thực hiện khảo sát tại khu vực Tp.HCM, Đồng Nai, Bình Dương, Vũng Tàu. Với số phiếu phát ra phỏng vấn 248, tác giả thu về được 215 và đã gạn lọc chọn 195 bản để phân tích định lượng sơ bộ. Tác giả đã sử dụng phần mềm SPSS 20 để xử lý làm sạch dữ liệu. Tác giả sử dụng Cronbach Alpha trước vì để loại các biến rác trước khi phân tích EFA (Nguyễn Đình Thọ và Nguyễn Thị Mai Trang, 2011, tr 33), bên cạnh với phương pháp trích PCA khi phân tích EFA, sử dụng phép xoay vuông góc Varimax. Với bước đánh giá sơ bộ thang đo nên không cần yêu cầu cấu trúc dữ liệu phải chặt chẽ như nghiên cứu định lượng chính thức cho nên không sử dụng phép xoay Promax nhưng tác giả cần tối đa phương sai trích được để nhằm giữ lại các biến quan sát mới trong thang</w:t>
      </w:r>
      <w:r>
        <w:rPr>
          <w:spacing w:val="-4"/>
        </w:rPr>
        <w:t> </w:t>
      </w:r>
      <w:r>
        <w:rPr/>
        <w:t>đo.</w:t>
      </w:r>
    </w:p>
    <w:p>
      <w:pPr>
        <w:spacing w:after="0" w:line="360" w:lineRule="auto"/>
        <w:jc w:val="both"/>
        <w:sectPr>
          <w:pgSz w:w="11910" w:h="16850"/>
          <w:pgMar w:header="751" w:footer="0" w:top="960" w:bottom="280" w:left="820" w:right="240"/>
        </w:sectPr>
      </w:pPr>
    </w:p>
    <w:p>
      <w:pPr>
        <w:pStyle w:val="BodyText"/>
        <w:rPr>
          <w:sz w:val="20"/>
        </w:rPr>
      </w:pPr>
    </w:p>
    <w:p>
      <w:pPr>
        <w:pStyle w:val="BodyText"/>
        <w:spacing w:before="7"/>
        <w:rPr>
          <w:sz w:val="23"/>
        </w:rPr>
      </w:pPr>
    </w:p>
    <w:p>
      <w:pPr>
        <w:pStyle w:val="Heading6"/>
        <w:numPr>
          <w:ilvl w:val="2"/>
          <w:numId w:val="24"/>
        </w:numPr>
        <w:tabs>
          <w:tab w:pos="1466" w:val="left" w:leader="none"/>
        </w:tabs>
        <w:spacing w:line="240" w:lineRule="auto" w:before="89" w:after="0"/>
        <w:ind w:left="1465" w:right="0" w:hanging="584"/>
        <w:jc w:val="left"/>
      </w:pPr>
      <w:bookmarkStart w:name="_TOC_250026" w:id="30"/>
      <w:r>
        <w:rPr/>
        <w:t>Mô tả mẫu cho định lượng sơ</w:t>
      </w:r>
      <w:r>
        <w:rPr>
          <w:spacing w:val="-3"/>
        </w:rPr>
        <w:t> </w:t>
      </w:r>
      <w:bookmarkEnd w:id="30"/>
      <w:r>
        <w:rPr/>
        <w:t>bộ</w:t>
      </w:r>
    </w:p>
    <w:p>
      <w:pPr>
        <w:pStyle w:val="BodyText"/>
        <w:spacing w:line="360" w:lineRule="auto" w:before="150"/>
        <w:ind w:left="882" w:right="924" w:firstLine="719"/>
      </w:pPr>
      <w:r>
        <w:rPr/>
        <w:t>Kết quả khảo sát trong nghiên cứu định lượng sơ bộ thu về được 195 mẫu hoàn chỉnh với các thông tin cụ thể được thể hiện trong bảng 3.2 bên dưới:</w:t>
      </w:r>
    </w:p>
    <w:p>
      <w:pPr>
        <w:pStyle w:val="Heading6"/>
        <w:spacing w:line="297" w:lineRule="exact"/>
        <w:ind w:left="3126"/>
        <w:jc w:val="left"/>
      </w:pPr>
      <w:r>
        <w:rPr/>
        <w:t>Bảng 3.2 Thống kê mẫu nghiên cứu sơ bộ</w:t>
      </w:r>
    </w:p>
    <w:p>
      <w:pPr>
        <w:pStyle w:val="BodyText"/>
        <w:spacing w:before="9"/>
        <w:rPr>
          <w:b/>
          <w:sz w:val="12"/>
        </w:rPr>
      </w:pPr>
    </w:p>
    <w:tbl>
      <w:tblPr>
        <w:tblW w:w="0" w:type="auto"/>
        <w:jc w:val="left"/>
        <w:tblInd w:w="77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1951"/>
        <w:gridCol w:w="2410"/>
        <w:gridCol w:w="1560"/>
        <w:gridCol w:w="1557"/>
        <w:gridCol w:w="1526"/>
      </w:tblGrid>
      <w:tr>
        <w:trPr>
          <w:trHeight w:val="448" w:hRule="atLeast"/>
        </w:trPr>
        <w:tc>
          <w:tcPr>
            <w:tcW w:w="1951" w:type="dxa"/>
          </w:tcPr>
          <w:p>
            <w:pPr>
              <w:pStyle w:val="TableParagraph"/>
              <w:spacing w:before="4"/>
              <w:ind w:left="467"/>
              <w:rPr>
                <w:b/>
                <w:sz w:val="26"/>
              </w:rPr>
            </w:pPr>
            <w:r>
              <w:rPr>
                <w:b/>
                <w:sz w:val="26"/>
              </w:rPr>
              <w:t>Khu Vực</w:t>
            </w:r>
          </w:p>
        </w:tc>
        <w:tc>
          <w:tcPr>
            <w:tcW w:w="2410" w:type="dxa"/>
          </w:tcPr>
          <w:p>
            <w:pPr>
              <w:pStyle w:val="TableParagraph"/>
              <w:spacing w:before="4"/>
              <w:ind w:left="191" w:right="184"/>
              <w:jc w:val="center"/>
              <w:rPr>
                <w:b/>
                <w:sz w:val="26"/>
              </w:rPr>
            </w:pPr>
            <w:r>
              <w:rPr>
                <w:b/>
                <w:sz w:val="26"/>
              </w:rPr>
              <w:t>Số lượng khảo sát</w:t>
            </w:r>
          </w:p>
        </w:tc>
        <w:tc>
          <w:tcPr>
            <w:tcW w:w="1560" w:type="dxa"/>
          </w:tcPr>
          <w:p>
            <w:pPr>
              <w:pStyle w:val="TableParagraph"/>
              <w:spacing w:before="4"/>
              <w:ind w:left="235" w:right="230"/>
              <w:jc w:val="center"/>
              <w:rPr>
                <w:b/>
                <w:sz w:val="26"/>
              </w:rPr>
            </w:pPr>
            <w:r>
              <w:rPr>
                <w:b/>
                <w:sz w:val="26"/>
              </w:rPr>
              <w:t>Trực tiếp</w:t>
            </w:r>
          </w:p>
        </w:tc>
        <w:tc>
          <w:tcPr>
            <w:tcW w:w="1557" w:type="dxa"/>
          </w:tcPr>
          <w:p>
            <w:pPr>
              <w:pStyle w:val="TableParagraph"/>
              <w:spacing w:before="4"/>
              <w:ind w:left="240" w:right="234"/>
              <w:jc w:val="center"/>
              <w:rPr>
                <w:b/>
                <w:sz w:val="26"/>
              </w:rPr>
            </w:pPr>
            <w:r>
              <w:rPr>
                <w:b/>
                <w:sz w:val="26"/>
              </w:rPr>
              <w:t>Gián tiếp</w:t>
            </w:r>
          </w:p>
        </w:tc>
        <w:tc>
          <w:tcPr>
            <w:tcW w:w="1526" w:type="dxa"/>
          </w:tcPr>
          <w:p>
            <w:pPr>
              <w:pStyle w:val="TableParagraph"/>
              <w:spacing w:before="4"/>
              <w:ind w:left="301" w:right="292"/>
              <w:jc w:val="center"/>
              <w:rPr>
                <w:b/>
                <w:sz w:val="26"/>
              </w:rPr>
            </w:pPr>
            <w:r>
              <w:rPr>
                <w:b/>
                <w:sz w:val="26"/>
              </w:rPr>
              <w:t>Tỷ lệ %</w:t>
            </w:r>
          </w:p>
        </w:tc>
      </w:tr>
      <w:tr>
        <w:trPr>
          <w:trHeight w:val="448" w:hRule="atLeast"/>
        </w:trPr>
        <w:tc>
          <w:tcPr>
            <w:tcW w:w="1951" w:type="dxa"/>
          </w:tcPr>
          <w:p>
            <w:pPr>
              <w:pStyle w:val="TableParagraph"/>
              <w:spacing w:before="4"/>
              <w:ind w:left="107"/>
              <w:rPr>
                <w:sz w:val="26"/>
              </w:rPr>
            </w:pPr>
            <w:r>
              <w:rPr>
                <w:sz w:val="26"/>
              </w:rPr>
              <w:t>Tp.HCM</w:t>
            </w:r>
          </w:p>
        </w:tc>
        <w:tc>
          <w:tcPr>
            <w:tcW w:w="2410" w:type="dxa"/>
          </w:tcPr>
          <w:p>
            <w:pPr>
              <w:pStyle w:val="TableParagraph"/>
              <w:spacing w:before="4"/>
              <w:ind w:left="189" w:right="184"/>
              <w:jc w:val="center"/>
              <w:rPr>
                <w:sz w:val="26"/>
              </w:rPr>
            </w:pPr>
            <w:r>
              <w:rPr>
                <w:sz w:val="26"/>
              </w:rPr>
              <w:t>154</w:t>
            </w:r>
          </w:p>
        </w:tc>
        <w:tc>
          <w:tcPr>
            <w:tcW w:w="1560" w:type="dxa"/>
          </w:tcPr>
          <w:p>
            <w:pPr>
              <w:pStyle w:val="TableParagraph"/>
              <w:spacing w:before="4"/>
              <w:ind w:left="235" w:right="225"/>
              <w:jc w:val="center"/>
              <w:rPr>
                <w:sz w:val="26"/>
              </w:rPr>
            </w:pPr>
            <w:r>
              <w:rPr>
                <w:sz w:val="26"/>
              </w:rPr>
              <w:t>38</w:t>
            </w:r>
          </w:p>
        </w:tc>
        <w:tc>
          <w:tcPr>
            <w:tcW w:w="1557" w:type="dxa"/>
          </w:tcPr>
          <w:p>
            <w:pPr>
              <w:pStyle w:val="TableParagraph"/>
              <w:spacing w:before="4"/>
              <w:ind w:left="238" w:right="234"/>
              <w:jc w:val="center"/>
              <w:rPr>
                <w:sz w:val="26"/>
              </w:rPr>
            </w:pPr>
            <w:r>
              <w:rPr>
                <w:sz w:val="26"/>
              </w:rPr>
              <w:t>116</w:t>
            </w:r>
          </w:p>
        </w:tc>
        <w:tc>
          <w:tcPr>
            <w:tcW w:w="1526" w:type="dxa"/>
          </w:tcPr>
          <w:p>
            <w:pPr>
              <w:pStyle w:val="TableParagraph"/>
              <w:spacing w:before="4"/>
              <w:ind w:left="301" w:right="292"/>
              <w:jc w:val="center"/>
              <w:rPr>
                <w:sz w:val="26"/>
              </w:rPr>
            </w:pPr>
            <w:r>
              <w:rPr>
                <w:sz w:val="26"/>
              </w:rPr>
              <w:t>79</w:t>
            </w:r>
          </w:p>
        </w:tc>
      </w:tr>
      <w:tr>
        <w:trPr>
          <w:trHeight w:val="448" w:hRule="atLeast"/>
        </w:trPr>
        <w:tc>
          <w:tcPr>
            <w:tcW w:w="1951" w:type="dxa"/>
          </w:tcPr>
          <w:p>
            <w:pPr>
              <w:pStyle w:val="TableParagraph"/>
              <w:spacing w:before="4"/>
              <w:ind w:left="107"/>
              <w:rPr>
                <w:sz w:val="26"/>
              </w:rPr>
            </w:pPr>
            <w:r>
              <w:rPr>
                <w:sz w:val="26"/>
              </w:rPr>
              <w:t>Đồng Nai</w:t>
            </w:r>
          </w:p>
        </w:tc>
        <w:tc>
          <w:tcPr>
            <w:tcW w:w="2410" w:type="dxa"/>
          </w:tcPr>
          <w:p>
            <w:pPr>
              <w:pStyle w:val="TableParagraph"/>
              <w:spacing w:before="4"/>
              <w:ind w:left="10"/>
              <w:jc w:val="center"/>
              <w:rPr>
                <w:sz w:val="26"/>
              </w:rPr>
            </w:pPr>
            <w:r>
              <w:rPr>
                <w:w w:val="99"/>
                <w:sz w:val="26"/>
              </w:rPr>
              <w:t>9</w:t>
            </w:r>
          </w:p>
        </w:tc>
        <w:tc>
          <w:tcPr>
            <w:tcW w:w="1560" w:type="dxa"/>
          </w:tcPr>
          <w:p>
            <w:pPr>
              <w:pStyle w:val="TableParagraph"/>
              <w:spacing w:before="4"/>
              <w:ind w:left="11"/>
              <w:jc w:val="center"/>
              <w:rPr>
                <w:sz w:val="26"/>
              </w:rPr>
            </w:pPr>
            <w:r>
              <w:rPr>
                <w:w w:val="99"/>
                <w:sz w:val="26"/>
              </w:rPr>
              <w:t>2</w:t>
            </w:r>
          </w:p>
        </w:tc>
        <w:tc>
          <w:tcPr>
            <w:tcW w:w="1557" w:type="dxa"/>
          </w:tcPr>
          <w:p>
            <w:pPr>
              <w:pStyle w:val="TableParagraph"/>
              <w:spacing w:before="4"/>
              <w:ind w:left="9"/>
              <w:jc w:val="center"/>
              <w:rPr>
                <w:sz w:val="26"/>
              </w:rPr>
            </w:pPr>
            <w:r>
              <w:rPr>
                <w:w w:val="99"/>
                <w:sz w:val="26"/>
              </w:rPr>
              <w:t>7</w:t>
            </w:r>
          </w:p>
        </w:tc>
        <w:tc>
          <w:tcPr>
            <w:tcW w:w="1526" w:type="dxa"/>
          </w:tcPr>
          <w:p>
            <w:pPr>
              <w:pStyle w:val="TableParagraph"/>
              <w:spacing w:before="4"/>
              <w:ind w:left="301" w:right="290"/>
              <w:jc w:val="center"/>
              <w:rPr>
                <w:sz w:val="26"/>
              </w:rPr>
            </w:pPr>
            <w:r>
              <w:rPr>
                <w:sz w:val="26"/>
              </w:rPr>
              <w:t>4.6</w:t>
            </w:r>
          </w:p>
        </w:tc>
      </w:tr>
      <w:tr>
        <w:trPr>
          <w:trHeight w:val="448" w:hRule="atLeast"/>
        </w:trPr>
        <w:tc>
          <w:tcPr>
            <w:tcW w:w="1951" w:type="dxa"/>
          </w:tcPr>
          <w:p>
            <w:pPr>
              <w:pStyle w:val="TableParagraph"/>
              <w:spacing w:before="4"/>
              <w:ind w:left="107"/>
              <w:rPr>
                <w:sz w:val="26"/>
              </w:rPr>
            </w:pPr>
            <w:r>
              <w:rPr>
                <w:sz w:val="26"/>
              </w:rPr>
              <w:t>Bình Dương</w:t>
            </w:r>
          </w:p>
        </w:tc>
        <w:tc>
          <w:tcPr>
            <w:tcW w:w="2410" w:type="dxa"/>
          </w:tcPr>
          <w:p>
            <w:pPr>
              <w:pStyle w:val="TableParagraph"/>
              <w:spacing w:before="4"/>
              <w:ind w:left="191" w:right="181"/>
              <w:jc w:val="center"/>
              <w:rPr>
                <w:sz w:val="26"/>
              </w:rPr>
            </w:pPr>
            <w:r>
              <w:rPr>
                <w:sz w:val="26"/>
              </w:rPr>
              <w:t>10</w:t>
            </w:r>
          </w:p>
        </w:tc>
        <w:tc>
          <w:tcPr>
            <w:tcW w:w="1560" w:type="dxa"/>
          </w:tcPr>
          <w:p>
            <w:pPr>
              <w:pStyle w:val="TableParagraph"/>
              <w:spacing w:before="4"/>
              <w:ind w:left="11"/>
              <w:jc w:val="center"/>
              <w:rPr>
                <w:sz w:val="26"/>
              </w:rPr>
            </w:pPr>
            <w:r>
              <w:rPr>
                <w:w w:val="99"/>
                <w:sz w:val="26"/>
              </w:rPr>
              <w:t>4</w:t>
            </w:r>
          </w:p>
        </w:tc>
        <w:tc>
          <w:tcPr>
            <w:tcW w:w="1557" w:type="dxa"/>
          </w:tcPr>
          <w:p>
            <w:pPr>
              <w:pStyle w:val="TableParagraph"/>
              <w:spacing w:before="4"/>
              <w:ind w:left="9"/>
              <w:jc w:val="center"/>
              <w:rPr>
                <w:sz w:val="26"/>
              </w:rPr>
            </w:pPr>
            <w:r>
              <w:rPr>
                <w:w w:val="99"/>
                <w:sz w:val="26"/>
              </w:rPr>
              <w:t>6</w:t>
            </w:r>
          </w:p>
        </w:tc>
        <w:tc>
          <w:tcPr>
            <w:tcW w:w="1526" w:type="dxa"/>
          </w:tcPr>
          <w:p>
            <w:pPr>
              <w:pStyle w:val="TableParagraph"/>
              <w:spacing w:before="4"/>
              <w:ind w:left="301" w:right="290"/>
              <w:jc w:val="center"/>
              <w:rPr>
                <w:sz w:val="26"/>
              </w:rPr>
            </w:pPr>
            <w:r>
              <w:rPr>
                <w:sz w:val="26"/>
              </w:rPr>
              <w:t>5.1</w:t>
            </w:r>
          </w:p>
        </w:tc>
      </w:tr>
      <w:tr>
        <w:trPr>
          <w:trHeight w:val="449" w:hRule="atLeast"/>
        </w:trPr>
        <w:tc>
          <w:tcPr>
            <w:tcW w:w="1951" w:type="dxa"/>
          </w:tcPr>
          <w:p>
            <w:pPr>
              <w:pStyle w:val="TableParagraph"/>
              <w:spacing w:before="5"/>
              <w:ind w:left="107"/>
              <w:rPr>
                <w:sz w:val="26"/>
              </w:rPr>
            </w:pPr>
            <w:r>
              <w:rPr>
                <w:sz w:val="26"/>
              </w:rPr>
              <w:t>Vũng Tàu</w:t>
            </w:r>
          </w:p>
        </w:tc>
        <w:tc>
          <w:tcPr>
            <w:tcW w:w="2410" w:type="dxa"/>
          </w:tcPr>
          <w:p>
            <w:pPr>
              <w:pStyle w:val="TableParagraph"/>
              <w:spacing w:before="5"/>
              <w:ind w:left="191" w:right="181"/>
              <w:jc w:val="center"/>
              <w:rPr>
                <w:sz w:val="26"/>
              </w:rPr>
            </w:pPr>
            <w:r>
              <w:rPr>
                <w:sz w:val="26"/>
              </w:rPr>
              <w:t>22</w:t>
            </w:r>
          </w:p>
        </w:tc>
        <w:tc>
          <w:tcPr>
            <w:tcW w:w="1560" w:type="dxa"/>
          </w:tcPr>
          <w:p>
            <w:pPr>
              <w:pStyle w:val="TableParagraph"/>
              <w:spacing w:before="5"/>
              <w:ind w:left="11"/>
              <w:jc w:val="center"/>
              <w:rPr>
                <w:sz w:val="26"/>
              </w:rPr>
            </w:pPr>
            <w:r>
              <w:rPr>
                <w:w w:val="99"/>
                <w:sz w:val="26"/>
              </w:rPr>
              <w:t>2</w:t>
            </w:r>
          </w:p>
        </w:tc>
        <w:tc>
          <w:tcPr>
            <w:tcW w:w="1557" w:type="dxa"/>
          </w:tcPr>
          <w:p>
            <w:pPr>
              <w:pStyle w:val="TableParagraph"/>
              <w:spacing w:before="5"/>
              <w:ind w:left="240" w:right="231"/>
              <w:jc w:val="center"/>
              <w:rPr>
                <w:sz w:val="26"/>
              </w:rPr>
            </w:pPr>
            <w:r>
              <w:rPr>
                <w:sz w:val="26"/>
              </w:rPr>
              <w:t>20</w:t>
            </w:r>
          </w:p>
        </w:tc>
        <w:tc>
          <w:tcPr>
            <w:tcW w:w="1526" w:type="dxa"/>
          </w:tcPr>
          <w:p>
            <w:pPr>
              <w:pStyle w:val="TableParagraph"/>
              <w:spacing w:before="5"/>
              <w:ind w:left="298" w:right="292"/>
              <w:jc w:val="center"/>
              <w:rPr>
                <w:sz w:val="26"/>
              </w:rPr>
            </w:pPr>
            <w:r>
              <w:rPr>
                <w:sz w:val="26"/>
              </w:rPr>
              <w:t>11,3</w:t>
            </w:r>
          </w:p>
        </w:tc>
      </w:tr>
      <w:tr>
        <w:trPr>
          <w:trHeight w:val="450" w:hRule="atLeast"/>
        </w:trPr>
        <w:tc>
          <w:tcPr>
            <w:tcW w:w="1951" w:type="dxa"/>
          </w:tcPr>
          <w:p>
            <w:pPr>
              <w:pStyle w:val="TableParagraph"/>
              <w:spacing w:before="4"/>
              <w:ind w:left="107"/>
              <w:rPr>
                <w:b/>
                <w:sz w:val="26"/>
              </w:rPr>
            </w:pPr>
            <w:r>
              <w:rPr>
                <w:b/>
                <w:sz w:val="26"/>
              </w:rPr>
              <w:t>Tổng cộng:</w:t>
            </w:r>
          </w:p>
        </w:tc>
        <w:tc>
          <w:tcPr>
            <w:tcW w:w="2410" w:type="dxa"/>
          </w:tcPr>
          <w:p>
            <w:pPr>
              <w:pStyle w:val="TableParagraph"/>
              <w:spacing w:before="4"/>
              <w:ind w:left="189" w:right="184"/>
              <w:jc w:val="center"/>
              <w:rPr>
                <w:b/>
                <w:sz w:val="26"/>
              </w:rPr>
            </w:pPr>
            <w:r>
              <w:rPr>
                <w:b/>
                <w:sz w:val="26"/>
              </w:rPr>
              <w:t>195</w:t>
            </w:r>
          </w:p>
        </w:tc>
        <w:tc>
          <w:tcPr>
            <w:tcW w:w="1560" w:type="dxa"/>
          </w:tcPr>
          <w:p>
            <w:pPr>
              <w:pStyle w:val="TableParagraph"/>
              <w:spacing w:before="4"/>
              <w:ind w:left="235" w:right="225"/>
              <w:jc w:val="center"/>
              <w:rPr>
                <w:b/>
                <w:sz w:val="26"/>
              </w:rPr>
            </w:pPr>
            <w:r>
              <w:rPr>
                <w:b/>
                <w:sz w:val="26"/>
              </w:rPr>
              <w:t>46</w:t>
            </w:r>
          </w:p>
        </w:tc>
        <w:tc>
          <w:tcPr>
            <w:tcW w:w="1557" w:type="dxa"/>
          </w:tcPr>
          <w:p>
            <w:pPr>
              <w:pStyle w:val="TableParagraph"/>
              <w:spacing w:before="4"/>
              <w:ind w:left="238" w:right="234"/>
              <w:jc w:val="center"/>
              <w:rPr>
                <w:b/>
                <w:sz w:val="26"/>
              </w:rPr>
            </w:pPr>
            <w:r>
              <w:rPr>
                <w:b/>
                <w:sz w:val="26"/>
              </w:rPr>
              <w:t>149</w:t>
            </w:r>
          </w:p>
        </w:tc>
        <w:tc>
          <w:tcPr>
            <w:tcW w:w="1526" w:type="dxa"/>
          </w:tcPr>
          <w:p>
            <w:pPr>
              <w:pStyle w:val="TableParagraph"/>
              <w:spacing w:before="4"/>
              <w:ind w:left="301" w:right="292"/>
              <w:jc w:val="center"/>
              <w:rPr>
                <w:b/>
                <w:sz w:val="26"/>
              </w:rPr>
            </w:pPr>
            <w:r>
              <w:rPr>
                <w:b/>
                <w:sz w:val="26"/>
              </w:rPr>
              <w:t>100</w:t>
            </w:r>
          </w:p>
        </w:tc>
      </w:tr>
    </w:tbl>
    <w:p>
      <w:pPr>
        <w:spacing w:before="2"/>
        <w:ind w:left="0" w:right="889" w:firstLine="0"/>
        <w:jc w:val="right"/>
        <w:rPr>
          <w:i/>
          <w:sz w:val="26"/>
        </w:rPr>
      </w:pPr>
      <w:r>
        <w:rPr>
          <w:i/>
          <w:sz w:val="26"/>
        </w:rPr>
        <w:t>Nguồn: Tác giả thống kê</w:t>
      </w:r>
    </w:p>
    <w:p>
      <w:pPr>
        <w:pStyle w:val="Heading6"/>
        <w:numPr>
          <w:ilvl w:val="2"/>
          <w:numId w:val="24"/>
        </w:numPr>
        <w:tabs>
          <w:tab w:pos="1466" w:val="left" w:leader="none"/>
        </w:tabs>
        <w:spacing w:line="240" w:lineRule="auto" w:before="150" w:after="0"/>
        <w:ind w:left="1465" w:right="0" w:hanging="584"/>
        <w:jc w:val="left"/>
      </w:pPr>
      <w:bookmarkStart w:name="_TOC_250025" w:id="31"/>
      <w:r>
        <w:rPr/>
        <w:t>Kết quả đánh giá độ tin cậy thang</w:t>
      </w:r>
      <w:r>
        <w:rPr>
          <w:spacing w:val="-15"/>
        </w:rPr>
        <w:t> </w:t>
      </w:r>
      <w:bookmarkEnd w:id="31"/>
      <w:r>
        <w:rPr/>
        <w:t>đo</w:t>
      </w:r>
    </w:p>
    <w:p>
      <w:pPr>
        <w:pStyle w:val="BodyText"/>
        <w:spacing w:line="360" w:lineRule="auto" w:before="147"/>
        <w:ind w:left="882" w:right="890"/>
        <w:jc w:val="both"/>
      </w:pPr>
      <w:r>
        <w:rPr/>
        <w:t>Theo Nguyễn Đình Thọ (2011) thì “Độ tin cậy của các thang đo được đánh giá thông qua hệ số Cronach’s Alpha trong đó các biến có hệ số tương quan biến tổng nhỏ hơn 0,3 không đáng tin cậy, tiêu chuẩn chọn độ tin cậy có Alpha từ 0,6 trở lên”. Từ kết quả phân tích trên phần mềm SPSS 20 ta được kết quả như</w:t>
      </w:r>
      <w:r>
        <w:rPr>
          <w:spacing w:val="-4"/>
        </w:rPr>
        <w:t> </w:t>
      </w:r>
      <w:r>
        <w:rPr/>
        <w:t>sau:</w:t>
      </w:r>
    </w:p>
    <w:p>
      <w:pPr>
        <w:pStyle w:val="Heading6"/>
        <w:spacing w:before="2"/>
        <w:ind w:left="1256"/>
      </w:pPr>
      <w:r>
        <w:rPr/>
        <w:t>Bảng 3.3: Kết quả Cronbach’s Alpha các thành phần trong phân tích sơ bộ</w:t>
      </w:r>
    </w:p>
    <w:p>
      <w:pPr>
        <w:pStyle w:val="BodyText"/>
        <w:spacing w:before="9" w:after="1"/>
        <w:rPr>
          <w:b/>
          <w:sz w:val="12"/>
        </w:rPr>
      </w:pPr>
    </w:p>
    <w:tbl>
      <w:tblPr>
        <w:tblW w:w="0" w:type="auto"/>
        <w:jc w:val="left"/>
        <w:tblInd w:w="77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1668"/>
        <w:gridCol w:w="1933"/>
        <w:gridCol w:w="1897"/>
        <w:gridCol w:w="1707"/>
        <w:gridCol w:w="1804"/>
      </w:tblGrid>
      <w:tr>
        <w:trPr>
          <w:trHeight w:val="1343" w:hRule="atLeast"/>
        </w:trPr>
        <w:tc>
          <w:tcPr>
            <w:tcW w:w="1668" w:type="dxa"/>
          </w:tcPr>
          <w:p>
            <w:pPr>
              <w:pStyle w:val="TableParagraph"/>
              <w:spacing w:line="360" w:lineRule="auto" w:before="2"/>
              <w:ind w:left="674" w:right="237" w:hanging="408"/>
              <w:rPr>
                <w:b/>
                <w:sz w:val="26"/>
              </w:rPr>
            </w:pPr>
            <w:r>
              <w:rPr>
                <w:b/>
                <w:sz w:val="26"/>
              </w:rPr>
              <w:t>Biến quan sát</w:t>
            </w:r>
          </w:p>
        </w:tc>
        <w:tc>
          <w:tcPr>
            <w:tcW w:w="1933" w:type="dxa"/>
          </w:tcPr>
          <w:p>
            <w:pPr>
              <w:pStyle w:val="TableParagraph"/>
              <w:spacing w:line="360" w:lineRule="auto" w:before="2"/>
              <w:ind w:left="244" w:right="233" w:hanging="3"/>
              <w:jc w:val="center"/>
              <w:rPr>
                <w:b/>
                <w:sz w:val="26"/>
              </w:rPr>
            </w:pPr>
            <w:r>
              <w:rPr>
                <w:b/>
                <w:sz w:val="26"/>
              </w:rPr>
              <w:t>Trung bình thang đo nếu</w:t>
            </w:r>
          </w:p>
          <w:p>
            <w:pPr>
              <w:pStyle w:val="TableParagraph"/>
              <w:ind w:left="470" w:right="466"/>
              <w:jc w:val="center"/>
              <w:rPr>
                <w:b/>
                <w:sz w:val="26"/>
              </w:rPr>
            </w:pPr>
            <w:r>
              <w:rPr>
                <w:b/>
                <w:sz w:val="26"/>
              </w:rPr>
              <w:t>loại biến</w:t>
            </w:r>
          </w:p>
        </w:tc>
        <w:tc>
          <w:tcPr>
            <w:tcW w:w="1897" w:type="dxa"/>
          </w:tcPr>
          <w:p>
            <w:pPr>
              <w:pStyle w:val="TableParagraph"/>
              <w:spacing w:line="360" w:lineRule="auto" w:before="2"/>
              <w:ind w:left="224" w:right="217" w:hanging="3"/>
              <w:jc w:val="center"/>
              <w:rPr>
                <w:b/>
                <w:sz w:val="26"/>
              </w:rPr>
            </w:pPr>
            <w:r>
              <w:rPr>
                <w:b/>
                <w:sz w:val="26"/>
              </w:rPr>
              <w:t>Phương sai thang đo nếu</w:t>
            </w:r>
          </w:p>
          <w:p>
            <w:pPr>
              <w:pStyle w:val="TableParagraph"/>
              <w:ind w:left="450" w:right="450"/>
              <w:jc w:val="center"/>
              <w:rPr>
                <w:b/>
                <w:sz w:val="26"/>
              </w:rPr>
            </w:pPr>
            <w:r>
              <w:rPr>
                <w:b/>
                <w:sz w:val="26"/>
              </w:rPr>
              <w:t>loại biến</w:t>
            </w:r>
          </w:p>
        </w:tc>
        <w:tc>
          <w:tcPr>
            <w:tcW w:w="1707" w:type="dxa"/>
          </w:tcPr>
          <w:p>
            <w:pPr>
              <w:pStyle w:val="TableParagraph"/>
              <w:spacing w:line="360" w:lineRule="auto" w:before="2"/>
              <w:ind w:left="334" w:right="139" w:hanging="173"/>
              <w:rPr>
                <w:b/>
                <w:sz w:val="26"/>
              </w:rPr>
            </w:pPr>
            <w:r>
              <w:rPr>
                <w:b/>
                <w:sz w:val="26"/>
              </w:rPr>
              <w:t>Tương quan biến tổng</w:t>
            </w:r>
          </w:p>
        </w:tc>
        <w:tc>
          <w:tcPr>
            <w:tcW w:w="1804" w:type="dxa"/>
          </w:tcPr>
          <w:p>
            <w:pPr>
              <w:pStyle w:val="TableParagraph"/>
              <w:spacing w:line="360" w:lineRule="auto" w:before="2"/>
              <w:ind w:left="425" w:right="301" w:hanging="101"/>
              <w:rPr>
                <w:b/>
                <w:sz w:val="26"/>
              </w:rPr>
            </w:pPr>
            <w:r>
              <w:rPr>
                <w:b/>
                <w:sz w:val="26"/>
              </w:rPr>
              <w:t>Alpha nếu loại biến</w:t>
            </w:r>
          </w:p>
        </w:tc>
      </w:tr>
      <w:tr>
        <w:trPr>
          <w:trHeight w:val="448" w:hRule="atLeast"/>
        </w:trPr>
        <w:tc>
          <w:tcPr>
            <w:tcW w:w="9009" w:type="dxa"/>
            <w:gridSpan w:val="5"/>
          </w:tcPr>
          <w:p>
            <w:pPr>
              <w:pStyle w:val="TableParagraph"/>
              <w:spacing w:before="4"/>
              <w:ind w:left="1079" w:right="1076"/>
              <w:jc w:val="center"/>
              <w:rPr>
                <w:b/>
                <w:sz w:val="26"/>
              </w:rPr>
            </w:pPr>
            <w:r>
              <w:rPr>
                <w:b/>
                <w:sz w:val="26"/>
              </w:rPr>
              <w:t>Thang đo cơ sở vật chất hạ tầng với Cronbach’s Alpha: 0,873</w:t>
            </w:r>
          </w:p>
        </w:tc>
      </w:tr>
      <w:tr>
        <w:trPr>
          <w:trHeight w:val="448" w:hRule="atLeast"/>
        </w:trPr>
        <w:tc>
          <w:tcPr>
            <w:tcW w:w="1668" w:type="dxa"/>
          </w:tcPr>
          <w:p>
            <w:pPr>
              <w:pStyle w:val="TableParagraph"/>
              <w:spacing w:before="4"/>
              <w:ind w:left="167"/>
              <w:rPr>
                <w:sz w:val="26"/>
              </w:rPr>
            </w:pPr>
            <w:r>
              <w:rPr>
                <w:sz w:val="26"/>
              </w:rPr>
              <w:t>HT1</w:t>
            </w:r>
          </w:p>
        </w:tc>
        <w:tc>
          <w:tcPr>
            <w:tcW w:w="1933" w:type="dxa"/>
          </w:tcPr>
          <w:p>
            <w:pPr>
              <w:pStyle w:val="TableParagraph"/>
              <w:spacing w:before="4"/>
              <w:ind w:right="159"/>
              <w:jc w:val="right"/>
              <w:rPr>
                <w:sz w:val="26"/>
              </w:rPr>
            </w:pPr>
            <w:r>
              <w:rPr>
                <w:w w:val="95"/>
                <w:sz w:val="26"/>
              </w:rPr>
              <w:t>18,80</w:t>
            </w:r>
          </w:p>
        </w:tc>
        <w:tc>
          <w:tcPr>
            <w:tcW w:w="1897" w:type="dxa"/>
          </w:tcPr>
          <w:p>
            <w:pPr>
              <w:pStyle w:val="TableParagraph"/>
              <w:spacing w:before="4"/>
              <w:ind w:right="162"/>
              <w:jc w:val="right"/>
              <w:rPr>
                <w:sz w:val="26"/>
              </w:rPr>
            </w:pPr>
            <w:r>
              <w:rPr>
                <w:w w:val="95"/>
                <w:sz w:val="26"/>
              </w:rPr>
              <w:t>27,656</w:t>
            </w:r>
          </w:p>
        </w:tc>
        <w:tc>
          <w:tcPr>
            <w:tcW w:w="1707" w:type="dxa"/>
          </w:tcPr>
          <w:p>
            <w:pPr>
              <w:pStyle w:val="TableParagraph"/>
              <w:spacing w:before="4"/>
              <w:ind w:right="160"/>
              <w:jc w:val="right"/>
              <w:rPr>
                <w:sz w:val="26"/>
              </w:rPr>
            </w:pPr>
            <w:r>
              <w:rPr>
                <w:w w:val="95"/>
                <w:sz w:val="26"/>
              </w:rPr>
              <w:t>0,707</w:t>
            </w:r>
          </w:p>
        </w:tc>
        <w:tc>
          <w:tcPr>
            <w:tcW w:w="1804" w:type="dxa"/>
          </w:tcPr>
          <w:p>
            <w:pPr>
              <w:pStyle w:val="TableParagraph"/>
              <w:spacing w:before="4"/>
              <w:ind w:right="163"/>
              <w:jc w:val="right"/>
              <w:rPr>
                <w:sz w:val="26"/>
              </w:rPr>
            </w:pPr>
            <w:r>
              <w:rPr>
                <w:w w:val="95"/>
                <w:sz w:val="26"/>
              </w:rPr>
              <w:t>0,848</w:t>
            </w:r>
          </w:p>
        </w:tc>
      </w:tr>
      <w:tr>
        <w:trPr>
          <w:trHeight w:val="450" w:hRule="atLeast"/>
        </w:trPr>
        <w:tc>
          <w:tcPr>
            <w:tcW w:w="1668" w:type="dxa"/>
          </w:tcPr>
          <w:p>
            <w:pPr>
              <w:pStyle w:val="TableParagraph"/>
              <w:spacing w:before="4"/>
              <w:ind w:left="167"/>
              <w:rPr>
                <w:sz w:val="26"/>
              </w:rPr>
            </w:pPr>
            <w:r>
              <w:rPr>
                <w:sz w:val="26"/>
              </w:rPr>
              <w:t>HT2</w:t>
            </w:r>
          </w:p>
        </w:tc>
        <w:tc>
          <w:tcPr>
            <w:tcW w:w="1933" w:type="dxa"/>
          </w:tcPr>
          <w:p>
            <w:pPr>
              <w:pStyle w:val="TableParagraph"/>
              <w:spacing w:before="4"/>
              <w:ind w:right="159"/>
              <w:jc w:val="right"/>
              <w:rPr>
                <w:sz w:val="26"/>
              </w:rPr>
            </w:pPr>
            <w:r>
              <w:rPr>
                <w:w w:val="95"/>
                <w:sz w:val="26"/>
              </w:rPr>
              <w:t>18,93</w:t>
            </w:r>
          </w:p>
        </w:tc>
        <w:tc>
          <w:tcPr>
            <w:tcW w:w="1897" w:type="dxa"/>
          </w:tcPr>
          <w:p>
            <w:pPr>
              <w:pStyle w:val="TableParagraph"/>
              <w:spacing w:before="4"/>
              <w:ind w:right="162"/>
              <w:jc w:val="right"/>
              <w:rPr>
                <w:sz w:val="26"/>
              </w:rPr>
            </w:pPr>
            <w:r>
              <w:rPr>
                <w:w w:val="95"/>
                <w:sz w:val="26"/>
              </w:rPr>
              <w:t>27,139</w:t>
            </w:r>
          </w:p>
        </w:tc>
        <w:tc>
          <w:tcPr>
            <w:tcW w:w="1707" w:type="dxa"/>
          </w:tcPr>
          <w:p>
            <w:pPr>
              <w:pStyle w:val="TableParagraph"/>
              <w:spacing w:before="4"/>
              <w:ind w:right="160"/>
              <w:jc w:val="right"/>
              <w:rPr>
                <w:sz w:val="26"/>
              </w:rPr>
            </w:pPr>
            <w:r>
              <w:rPr>
                <w:w w:val="95"/>
                <w:sz w:val="26"/>
              </w:rPr>
              <w:t>0,669</w:t>
            </w:r>
          </w:p>
        </w:tc>
        <w:tc>
          <w:tcPr>
            <w:tcW w:w="1804" w:type="dxa"/>
          </w:tcPr>
          <w:p>
            <w:pPr>
              <w:pStyle w:val="TableParagraph"/>
              <w:spacing w:before="4"/>
              <w:ind w:right="163"/>
              <w:jc w:val="right"/>
              <w:rPr>
                <w:sz w:val="26"/>
              </w:rPr>
            </w:pPr>
            <w:r>
              <w:rPr>
                <w:w w:val="95"/>
                <w:sz w:val="26"/>
              </w:rPr>
              <w:t>0,853</w:t>
            </w:r>
          </w:p>
        </w:tc>
      </w:tr>
      <w:tr>
        <w:trPr>
          <w:trHeight w:val="448" w:hRule="atLeast"/>
        </w:trPr>
        <w:tc>
          <w:tcPr>
            <w:tcW w:w="1668" w:type="dxa"/>
          </w:tcPr>
          <w:p>
            <w:pPr>
              <w:pStyle w:val="TableParagraph"/>
              <w:spacing w:before="2"/>
              <w:ind w:left="167"/>
              <w:rPr>
                <w:sz w:val="26"/>
              </w:rPr>
            </w:pPr>
            <w:r>
              <w:rPr>
                <w:sz w:val="26"/>
              </w:rPr>
              <w:t>HT3</w:t>
            </w:r>
          </w:p>
        </w:tc>
        <w:tc>
          <w:tcPr>
            <w:tcW w:w="1933" w:type="dxa"/>
          </w:tcPr>
          <w:p>
            <w:pPr>
              <w:pStyle w:val="TableParagraph"/>
              <w:spacing w:before="2"/>
              <w:ind w:right="159"/>
              <w:jc w:val="right"/>
              <w:rPr>
                <w:sz w:val="26"/>
              </w:rPr>
            </w:pPr>
            <w:r>
              <w:rPr>
                <w:w w:val="95"/>
                <w:sz w:val="26"/>
              </w:rPr>
              <w:t>20,13</w:t>
            </w:r>
          </w:p>
        </w:tc>
        <w:tc>
          <w:tcPr>
            <w:tcW w:w="1897" w:type="dxa"/>
          </w:tcPr>
          <w:p>
            <w:pPr>
              <w:pStyle w:val="TableParagraph"/>
              <w:spacing w:before="2"/>
              <w:ind w:right="162"/>
              <w:jc w:val="right"/>
              <w:rPr>
                <w:sz w:val="26"/>
              </w:rPr>
            </w:pPr>
            <w:r>
              <w:rPr>
                <w:w w:val="95"/>
                <w:sz w:val="26"/>
              </w:rPr>
              <w:t>34,504</w:t>
            </w:r>
          </w:p>
        </w:tc>
        <w:tc>
          <w:tcPr>
            <w:tcW w:w="1707" w:type="dxa"/>
          </w:tcPr>
          <w:p>
            <w:pPr>
              <w:pStyle w:val="TableParagraph"/>
              <w:spacing w:before="2"/>
              <w:ind w:right="160"/>
              <w:jc w:val="right"/>
              <w:rPr>
                <w:sz w:val="26"/>
              </w:rPr>
            </w:pPr>
            <w:r>
              <w:rPr>
                <w:w w:val="95"/>
                <w:sz w:val="26"/>
              </w:rPr>
              <w:t>0,124</w:t>
            </w:r>
          </w:p>
        </w:tc>
        <w:tc>
          <w:tcPr>
            <w:tcW w:w="1804" w:type="dxa"/>
          </w:tcPr>
          <w:p>
            <w:pPr>
              <w:pStyle w:val="TableParagraph"/>
              <w:spacing w:before="2"/>
              <w:ind w:right="163"/>
              <w:jc w:val="right"/>
              <w:rPr>
                <w:sz w:val="26"/>
              </w:rPr>
            </w:pPr>
            <w:r>
              <w:rPr>
                <w:w w:val="95"/>
                <w:sz w:val="26"/>
              </w:rPr>
              <w:t>0,918</w:t>
            </w:r>
          </w:p>
        </w:tc>
      </w:tr>
      <w:tr>
        <w:trPr>
          <w:trHeight w:val="448" w:hRule="atLeast"/>
        </w:trPr>
        <w:tc>
          <w:tcPr>
            <w:tcW w:w="1668" w:type="dxa"/>
          </w:tcPr>
          <w:p>
            <w:pPr>
              <w:pStyle w:val="TableParagraph"/>
              <w:spacing w:before="2"/>
              <w:ind w:left="167"/>
              <w:rPr>
                <w:sz w:val="26"/>
              </w:rPr>
            </w:pPr>
            <w:r>
              <w:rPr>
                <w:sz w:val="26"/>
              </w:rPr>
              <w:t>HT4</w:t>
            </w:r>
          </w:p>
        </w:tc>
        <w:tc>
          <w:tcPr>
            <w:tcW w:w="1933" w:type="dxa"/>
          </w:tcPr>
          <w:p>
            <w:pPr>
              <w:pStyle w:val="TableParagraph"/>
              <w:spacing w:before="2"/>
              <w:ind w:right="159"/>
              <w:jc w:val="right"/>
              <w:rPr>
                <w:sz w:val="26"/>
              </w:rPr>
            </w:pPr>
            <w:r>
              <w:rPr>
                <w:w w:val="95"/>
                <w:sz w:val="26"/>
              </w:rPr>
              <w:t>19,65</w:t>
            </w:r>
          </w:p>
        </w:tc>
        <w:tc>
          <w:tcPr>
            <w:tcW w:w="1897" w:type="dxa"/>
          </w:tcPr>
          <w:p>
            <w:pPr>
              <w:pStyle w:val="TableParagraph"/>
              <w:spacing w:before="2"/>
              <w:ind w:right="162"/>
              <w:jc w:val="right"/>
              <w:rPr>
                <w:sz w:val="26"/>
              </w:rPr>
            </w:pPr>
            <w:r>
              <w:rPr>
                <w:w w:val="95"/>
                <w:sz w:val="26"/>
              </w:rPr>
              <w:t>26,704</w:t>
            </w:r>
          </w:p>
        </w:tc>
        <w:tc>
          <w:tcPr>
            <w:tcW w:w="1707" w:type="dxa"/>
          </w:tcPr>
          <w:p>
            <w:pPr>
              <w:pStyle w:val="TableParagraph"/>
              <w:spacing w:before="2"/>
              <w:ind w:right="160"/>
              <w:jc w:val="right"/>
              <w:rPr>
                <w:sz w:val="26"/>
              </w:rPr>
            </w:pPr>
            <w:r>
              <w:rPr>
                <w:w w:val="95"/>
                <w:sz w:val="26"/>
              </w:rPr>
              <w:t>0,823</w:t>
            </w:r>
          </w:p>
        </w:tc>
        <w:tc>
          <w:tcPr>
            <w:tcW w:w="1804" w:type="dxa"/>
          </w:tcPr>
          <w:p>
            <w:pPr>
              <w:pStyle w:val="TableParagraph"/>
              <w:spacing w:before="2"/>
              <w:ind w:right="163"/>
              <w:jc w:val="right"/>
              <w:rPr>
                <w:sz w:val="26"/>
              </w:rPr>
            </w:pPr>
            <w:r>
              <w:rPr>
                <w:w w:val="95"/>
                <w:sz w:val="26"/>
              </w:rPr>
              <w:t>0,833</w:t>
            </w:r>
          </w:p>
        </w:tc>
      </w:tr>
      <w:tr>
        <w:trPr>
          <w:trHeight w:val="448" w:hRule="atLeast"/>
        </w:trPr>
        <w:tc>
          <w:tcPr>
            <w:tcW w:w="1668" w:type="dxa"/>
          </w:tcPr>
          <w:p>
            <w:pPr>
              <w:pStyle w:val="TableParagraph"/>
              <w:spacing w:before="2"/>
              <w:ind w:left="167"/>
              <w:rPr>
                <w:sz w:val="26"/>
              </w:rPr>
            </w:pPr>
            <w:r>
              <w:rPr>
                <w:sz w:val="26"/>
              </w:rPr>
              <w:t>HT5</w:t>
            </w:r>
          </w:p>
        </w:tc>
        <w:tc>
          <w:tcPr>
            <w:tcW w:w="1933" w:type="dxa"/>
          </w:tcPr>
          <w:p>
            <w:pPr>
              <w:pStyle w:val="TableParagraph"/>
              <w:spacing w:before="2"/>
              <w:ind w:right="159"/>
              <w:jc w:val="right"/>
              <w:rPr>
                <w:sz w:val="26"/>
              </w:rPr>
            </w:pPr>
            <w:r>
              <w:rPr>
                <w:w w:val="95"/>
                <w:sz w:val="26"/>
              </w:rPr>
              <w:t>19,66</w:t>
            </w:r>
          </w:p>
        </w:tc>
        <w:tc>
          <w:tcPr>
            <w:tcW w:w="1897" w:type="dxa"/>
          </w:tcPr>
          <w:p>
            <w:pPr>
              <w:pStyle w:val="TableParagraph"/>
              <w:spacing w:before="2"/>
              <w:ind w:right="162"/>
              <w:jc w:val="right"/>
              <w:rPr>
                <w:sz w:val="26"/>
              </w:rPr>
            </w:pPr>
            <w:r>
              <w:rPr>
                <w:w w:val="95"/>
                <w:sz w:val="26"/>
              </w:rPr>
              <w:t>26,907</w:t>
            </w:r>
          </w:p>
        </w:tc>
        <w:tc>
          <w:tcPr>
            <w:tcW w:w="1707" w:type="dxa"/>
          </w:tcPr>
          <w:p>
            <w:pPr>
              <w:pStyle w:val="TableParagraph"/>
              <w:spacing w:before="2"/>
              <w:ind w:right="160"/>
              <w:jc w:val="right"/>
              <w:rPr>
                <w:sz w:val="26"/>
              </w:rPr>
            </w:pPr>
            <w:r>
              <w:rPr>
                <w:w w:val="95"/>
                <w:sz w:val="26"/>
              </w:rPr>
              <w:t>0,811</w:t>
            </w:r>
          </w:p>
        </w:tc>
        <w:tc>
          <w:tcPr>
            <w:tcW w:w="1804" w:type="dxa"/>
          </w:tcPr>
          <w:p>
            <w:pPr>
              <w:pStyle w:val="TableParagraph"/>
              <w:spacing w:before="2"/>
              <w:ind w:right="163"/>
              <w:jc w:val="right"/>
              <w:rPr>
                <w:sz w:val="26"/>
              </w:rPr>
            </w:pPr>
            <w:r>
              <w:rPr>
                <w:w w:val="95"/>
                <w:sz w:val="26"/>
              </w:rPr>
              <w:t>0,835</w:t>
            </w:r>
          </w:p>
        </w:tc>
      </w:tr>
      <w:tr>
        <w:trPr>
          <w:trHeight w:val="448" w:hRule="atLeast"/>
        </w:trPr>
        <w:tc>
          <w:tcPr>
            <w:tcW w:w="1668" w:type="dxa"/>
          </w:tcPr>
          <w:p>
            <w:pPr>
              <w:pStyle w:val="TableParagraph"/>
              <w:spacing w:before="2"/>
              <w:ind w:left="167"/>
              <w:rPr>
                <w:sz w:val="26"/>
              </w:rPr>
            </w:pPr>
            <w:r>
              <w:rPr>
                <w:sz w:val="26"/>
              </w:rPr>
              <w:t>HT6</w:t>
            </w:r>
          </w:p>
        </w:tc>
        <w:tc>
          <w:tcPr>
            <w:tcW w:w="1933" w:type="dxa"/>
          </w:tcPr>
          <w:p>
            <w:pPr>
              <w:pStyle w:val="TableParagraph"/>
              <w:spacing w:before="2"/>
              <w:ind w:right="159"/>
              <w:jc w:val="right"/>
              <w:rPr>
                <w:sz w:val="26"/>
              </w:rPr>
            </w:pPr>
            <w:r>
              <w:rPr>
                <w:w w:val="95"/>
                <w:sz w:val="26"/>
              </w:rPr>
              <w:t>19,73</w:t>
            </w:r>
          </w:p>
        </w:tc>
        <w:tc>
          <w:tcPr>
            <w:tcW w:w="1897" w:type="dxa"/>
          </w:tcPr>
          <w:p>
            <w:pPr>
              <w:pStyle w:val="TableParagraph"/>
              <w:spacing w:before="2"/>
              <w:ind w:right="162"/>
              <w:jc w:val="right"/>
              <w:rPr>
                <w:sz w:val="26"/>
              </w:rPr>
            </w:pPr>
            <w:r>
              <w:rPr>
                <w:w w:val="95"/>
                <w:sz w:val="26"/>
              </w:rPr>
              <w:t>27,467</w:t>
            </w:r>
          </w:p>
        </w:tc>
        <w:tc>
          <w:tcPr>
            <w:tcW w:w="1707" w:type="dxa"/>
          </w:tcPr>
          <w:p>
            <w:pPr>
              <w:pStyle w:val="TableParagraph"/>
              <w:spacing w:before="2"/>
              <w:ind w:right="160"/>
              <w:jc w:val="right"/>
              <w:rPr>
                <w:sz w:val="26"/>
              </w:rPr>
            </w:pPr>
            <w:r>
              <w:rPr>
                <w:w w:val="95"/>
                <w:sz w:val="26"/>
              </w:rPr>
              <w:t>0,803</w:t>
            </w:r>
          </w:p>
        </w:tc>
        <w:tc>
          <w:tcPr>
            <w:tcW w:w="1804" w:type="dxa"/>
          </w:tcPr>
          <w:p>
            <w:pPr>
              <w:pStyle w:val="TableParagraph"/>
              <w:spacing w:before="2"/>
              <w:ind w:right="163"/>
              <w:jc w:val="right"/>
              <w:rPr>
                <w:sz w:val="26"/>
              </w:rPr>
            </w:pPr>
            <w:r>
              <w:rPr>
                <w:w w:val="95"/>
                <w:sz w:val="26"/>
              </w:rPr>
              <w:t>0,837</w:t>
            </w:r>
          </w:p>
        </w:tc>
      </w:tr>
      <w:tr>
        <w:trPr>
          <w:trHeight w:val="448" w:hRule="atLeast"/>
        </w:trPr>
        <w:tc>
          <w:tcPr>
            <w:tcW w:w="1668" w:type="dxa"/>
          </w:tcPr>
          <w:p>
            <w:pPr>
              <w:pStyle w:val="TableParagraph"/>
              <w:spacing w:before="2"/>
              <w:ind w:left="167"/>
              <w:rPr>
                <w:sz w:val="26"/>
              </w:rPr>
            </w:pPr>
            <w:r>
              <w:rPr>
                <w:sz w:val="26"/>
              </w:rPr>
              <w:t>HT7</w:t>
            </w:r>
          </w:p>
        </w:tc>
        <w:tc>
          <w:tcPr>
            <w:tcW w:w="1933" w:type="dxa"/>
          </w:tcPr>
          <w:p>
            <w:pPr>
              <w:pStyle w:val="TableParagraph"/>
              <w:spacing w:before="2"/>
              <w:ind w:right="159"/>
              <w:jc w:val="right"/>
              <w:rPr>
                <w:sz w:val="26"/>
              </w:rPr>
            </w:pPr>
            <w:r>
              <w:rPr>
                <w:w w:val="95"/>
                <w:sz w:val="26"/>
              </w:rPr>
              <w:t>18,77</w:t>
            </w:r>
          </w:p>
        </w:tc>
        <w:tc>
          <w:tcPr>
            <w:tcW w:w="1897" w:type="dxa"/>
          </w:tcPr>
          <w:p>
            <w:pPr>
              <w:pStyle w:val="TableParagraph"/>
              <w:spacing w:before="2"/>
              <w:ind w:right="162"/>
              <w:jc w:val="right"/>
              <w:rPr>
                <w:sz w:val="26"/>
              </w:rPr>
            </w:pPr>
            <w:r>
              <w:rPr>
                <w:w w:val="95"/>
                <w:sz w:val="26"/>
              </w:rPr>
              <w:t>26,640</w:t>
            </w:r>
          </w:p>
        </w:tc>
        <w:tc>
          <w:tcPr>
            <w:tcW w:w="1707" w:type="dxa"/>
          </w:tcPr>
          <w:p>
            <w:pPr>
              <w:pStyle w:val="TableParagraph"/>
              <w:spacing w:before="2"/>
              <w:ind w:right="160"/>
              <w:jc w:val="right"/>
              <w:rPr>
                <w:sz w:val="26"/>
              </w:rPr>
            </w:pPr>
            <w:r>
              <w:rPr>
                <w:w w:val="95"/>
                <w:sz w:val="26"/>
              </w:rPr>
              <w:t>0,723</w:t>
            </w:r>
          </w:p>
        </w:tc>
        <w:tc>
          <w:tcPr>
            <w:tcW w:w="1804" w:type="dxa"/>
          </w:tcPr>
          <w:p>
            <w:pPr>
              <w:pStyle w:val="TableParagraph"/>
              <w:spacing w:before="2"/>
              <w:ind w:right="163"/>
              <w:jc w:val="right"/>
              <w:rPr>
                <w:sz w:val="26"/>
              </w:rPr>
            </w:pPr>
            <w:r>
              <w:rPr>
                <w:w w:val="95"/>
                <w:sz w:val="26"/>
              </w:rPr>
              <w:t>0,846</w:t>
            </w:r>
          </w:p>
        </w:tc>
      </w:tr>
      <w:tr>
        <w:trPr>
          <w:trHeight w:val="448" w:hRule="atLeast"/>
        </w:trPr>
        <w:tc>
          <w:tcPr>
            <w:tcW w:w="9009" w:type="dxa"/>
            <w:gridSpan w:val="5"/>
          </w:tcPr>
          <w:p>
            <w:pPr>
              <w:pStyle w:val="TableParagraph"/>
              <w:spacing w:before="2"/>
              <w:ind w:left="1079" w:right="1076"/>
              <w:jc w:val="center"/>
              <w:rPr>
                <w:b/>
                <w:sz w:val="26"/>
              </w:rPr>
            </w:pPr>
            <w:r>
              <w:rPr>
                <w:b/>
                <w:sz w:val="26"/>
              </w:rPr>
              <w:t>Thang đo vị trí cảng với Cronbach’s Alpha: 0,746</w:t>
            </w:r>
          </w:p>
        </w:tc>
      </w:tr>
      <w:tr>
        <w:trPr>
          <w:trHeight w:val="448" w:hRule="atLeast"/>
        </w:trPr>
        <w:tc>
          <w:tcPr>
            <w:tcW w:w="1668" w:type="dxa"/>
          </w:tcPr>
          <w:p>
            <w:pPr>
              <w:pStyle w:val="TableParagraph"/>
              <w:spacing w:before="1"/>
              <w:ind w:left="167"/>
              <w:rPr>
                <w:sz w:val="26"/>
              </w:rPr>
            </w:pPr>
            <w:r>
              <w:rPr>
                <w:sz w:val="26"/>
              </w:rPr>
              <w:t>VT1</w:t>
            </w:r>
          </w:p>
        </w:tc>
        <w:tc>
          <w:tcPr>
            <w:tcW w:w="1933" w:type="dxa"/>
          </w:tcPr>
          <w:p>
            <w:pPr>
              <w:pStyle w:val="TableParagraph"/>
              <w:spacing w:before="1"/>
              <w:ind w:right="159"/>
              <w:jc w:val="right"/>
              <w:rPr>
                <w:sz w:val="26"/>
              </w:rPr>
            </w:pPr>
            <w:r>
              <w:rPr>
                <w:w w:val="95"/>
                <w:sz w:val="26"/>
              </w:rPr>
              <w:t>27,79</w:t>
            </w:r>
          </w:p>
        </w:tc>
        <w:tc>
          <w:tcPr>
            <w:tcW w:w="1897" w:type="dxa"/>
          </w:tcPr>
          <w:p>
            <w:pPr>
              <w:pStyle w:val="TableParagraph"/>
              <w:spacing w:before="1"/>
              <w:ind w:right="162"/>
              <w:jc w:val="right"/>
              <w:rPr>
                <w:sz w:val="26"/>
              </w:rPr>
            </w:pPr>
            <w:r>
              <w:rPr>
                <w:w w:val="95"/>
                <w:sz w:val="26"/>
              </w:rPr>
              <w:t>44,143</w:t>
            </w:r>
          </w:p>
        </w:tc>
        <w:tc>
          <w:tcPr>
            <w:tcW w:w="1707" w:type="dxa"/>
          </w:tcPr>
          <w:p>
            <w:pPr>
              <w:pStyle w:val="TableParagraph"/>
              <w:spacing w:before="1"/>
              <w:ind w:right="160"/>
              <w:jc w:val="right"/>
              <w:rPr>
                <w:sz w:val="26"/>
              </w:rPr>
            </w:pPr>
            <w:r>
              <w:rPr>
                <w:w w:val="95"/>
                <w:sz w:val="26"/>
              </w:rPr>
              <w:t>0,148</w:t>
            </w:r>
          </w:p>
        </w:tc>
        <w:tc>
          <w:tcPr>
            <w:tcW w:w="1804" w:type="dxa"/>
          </w:tcPr>
          <w:p>
            <w:pPr>
              <w:pStyle w:val="TableParagraph"/>
              <w:spacing w:before="1"/>
              <w:ind w:right="163"/>
              <w:jc w:val="right"/>
              <w:rPr>
                <w:sz w:val="26"/>
              </w:rPr>
            </w:pPr>
            <w:r>
              <w:rPr>
                <w:w w:val="95"/>
                <w:sz w:val="26"/>
              </w:rPr>
              <w:t>0,776</w:t>
            </w:r>
          </w:p>
        </w:tc>
      </w:tr>
      <w:tr>
        <w:trPr>
          <w:trHeight w:val="448" w:hRule="atLeast"/>
        </w:trPr>
        <w:tc>
          <w:tcPr>
            <w:tcW w:w="1668" w:type="dxa"/>
          </w:tcPr>
          <w:p>
            <w:pPr>
              <w:pStyle w:val="TableParagraph"/>
              <w:spacing w:before="2"/>
              <w:ind w:left="167"/>
              <w:rPr>
                <w:sz w:val="26"/>
              </w:rPr>
            </w:pPr>
            <w:r>
              <w:rPr>
                <w:sz w:val="26"/>
              </w:rPr>
              <w:t>VT2</w:t>
            </w:r>
          </w:p>
        </w:tc>
        <w:tc>
          <w:tcPr>
            <w:tcW w:w="1933" w:type="dxa"/>
          </w:tcPr>
          <w:p>
            <w:pPr>
              <w:pStyle w:val="TableParagraph"/>
              <w:spacing w:before="2"/>
              <w:ind w:right="159"/>
              <w:jc w:val="right"/>
              <w:rPr>
                <w:sz w:val="26"/>
              </w:rPr>
            </w:pPr>
            <w:r>
              <w:rPr>
                <w:w w:val="95"/>
                <w:sz w:val="26"/>
              </w:rPr>
              <w:t>27,18</w:t>
            </w:r>
          </w:p>
        </w:tc>
        <w:tc>
          <w:tcPr>
            <w:tcW w:w="1897" w:type="dxa"/>
          </w:tcPr>
          <w:p>
            <w:pPr>
              <w:pStyle w:val="TableParagraph"/>
              <w:spacing w:before="2"/>
              <w:ind w:right="162"/>
              <w:jc w:val="right"/>
              <w:rPr>
                <w:sz w:val="26"/>
              </w:rPr>
            </w:pPr>
            <w:r>
              <w:rPr>
                <w:w w:val="95"/>
                <w:sz w:val="26"/>
              </w:rPr>
              <w:t>39,437</w:t>
            </w:r>
          </w:p>
        </w:tc>
        <w:tc>
          <w:tcPr>
            <w:tcW w:w="1707" w:type="dxa"/>
          </w:tcPr>
          <w:p>
            <w:pPr>
              <w:pStyle w:val="TableParagraph"/>
              <w:spacing w:before="2"/>
              <w:ind w:right="160"/>
              <w:jc w:val="right"/>
              <w:rPr>
                <w:sz w:val="26"/>
              </w:rPr>
            </w:pPr>
            <w:r>
              <w:rPr>
                <w:w w:val="95"/>
                <w:sz w:val="26"/>
              </w:rPr>
              <w:t>0,606</w:t>
            </w:r>
          </w:p>
        </w:tc>
        <w:tc>
          <w:tcPr>
            <w:tcW w:w="1804" w:type="dxa"/>
          </w:tcPr>
          <w:p>
            <w:pPr>
              <w:pStyle w:val="TableParagraph"/>
              <w:spacing w:before="2"/>
              <w:ind w:right="163"/>
              <w:jc w:val="right"/>
              <w:rPr>
                <w:sz w:val="26"/>
              </w:rPr>
            </w:pPr>
            <w:r>
              <w:rPr>
                <w:w w:val="95"/>
                <w:sz w:val="26"/>
              </w:rPr>
              <w:t>0,696</w:t>
            </w:r>
          </w:p>
        </w:tc>
      </w:tr>
    </w:tbl>
    <w:p>
      <w:pPr>
        <w:spacing w:after="0"/>
        <w:jc w:val="right"/>
        <w:rPr>
          <w:sz w:val="26"/>
        </w:rPr>
        <w:sectPr>
          <w:pgSz w:w="11910" w:h="16850"/>
          <w:pgMar w:header="751" w:footer="0" w:top="960" w:bottom="280" w:left="820" w:right="240"/>
        </w:sectPr>
      </w:pPr>
    </w:p>
    <w:p>
      <w:pPr>
        <w:pStyle w:val="BodyText"/>
        <w:rPr>
          <w:b/>
          <w:sz w:val="20"/>
        </w:rPr>
      </w:pPr>
    </w:p>
    <w:p>
      <w:pPr>
        <w:pStyle w:val="BodyText"/>
        <w:rPr>
          <w:b/>
          <w:sz w:val="20"/>
        </w:rPr>
      </w:pPr>
    </w:p>
    <w:p>
      <w:pPr>
        <w:pStyle w:val="BodyText"/>
        <w:spacing w:before="1"/>
        <w:rPr>
          <w:b/>
          <w:sz w:val="11"/>
        </w:rPr>
      </w:pPr>
    </w:p>
    <w:tbl>
      <w:tblPr>
        <w:tblW w:w="0" w:type="auto"/>
        <w:jc w:val="left"/>
        <w:tblInd w:w="77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1668"/>
        <w:gridCol w:w="1933"/>
        <w:gridCol w:w="1897"/>
        <w:gridCol w:w="1707"/>
        <w:gridCol w:w="1804"/>
      </w:tblGrid>
      <w:tr>
        <w:trPr>
          <w:trHeight w:val="1346" w:hRule="atLeast"/>
        </w:trPr>
        <w:tc>
          <w:tcPr>
            <w:tcW w:w="1668" w:type="dxa"/>
          </w:tcPr>
          <w:p>
            <w:pPr>
              <w:pStyle w:val="TableParagraph"/>
              <w:spacing w:line="360" w:lineRule="auto" w:before="2"/>
              <w:ind w:left="674" w:right="237" w:hanging="408"/>
              <w:rPr>
                <w:b/>
                <w:sz w:val="26"/>
              </w:rPr>
            </w:pPr>
            <w:r>
              <w:rPr>
                <w:b/>
                <w:sz w:val="26"/>
              </w:rPr>
              <w:t>Biến quan sát</w:t>
            </w:r>
          </w:p>
        </w:tc>
        <w:tc>
          <w:tcPr>
            <w:tcW w:w="1933" w:type="dxa"/>
          </w:tcPr>
          <w:p>
            <w:pPr>
              <w:pStyle w:val="TableParagraph"/>
              <w:spacing w:line="360" w:lineRule="auto" w:before="2"/>
              <w:ind w:left="244" w:right="233" w:hanging="3"/>
              <w:jc w:val="center"/>
              <w:rPr>
                <w:b/>
                <w:sz w:val="26"/>
              </w:rPr>
            </w:pPr>
            <w:r>
              <w:rPr>
                <w:b/>
                <w:sz w:val="26"/>
              </w:rPr>
              <w:t>Trung bình thang đo nếu</w:t>
            </w:r>
          </w:p>
          <w:p>
            <w:pPr>
              <w:pStyle w:val="TableParagraph"/>
              <w:spacing w:before="1"/>
              <w:ind w:left="470" w:right="466"/>
              <w:jc w:val="center"/>
              <w:rPr>
                <w:b/>
                <w:sz w:val="26"/>
              </w:rPr>
            </w:pPr>
            <w:r>
              <w:rPr>
                <w:b/>
                <w:sz w:val="26"/>
              </w:rPr>
              <w:t>loại biến</w:t>
            </w:r>
          </w:p>
        </w:tc>
        <w:tc>
          <w:tcPr>
            <w:tcW w:w="1897" w:type="dxa"/>
          </w:tcPr>
          <w:p>
            <w:pPr>
              <w:pStyle w:val="TableParagraph"/>
              <w:spacing w:line="360" w:lineRule="auto" w:before="2"/>
              <w:ind w:left="224" w:right="217" w:hanging="3"/>
              <w:jc w:val="center"/>
              <w:rPr>
                <w:b/>
                <w:sz w:val="26"/>
              </w:rPr>
            </w:pPr>
            <w:r>
              <w:rPr>
                <w:b/>
                <w:sz w:val="26"/>
              </w:rPr>
              <w:t>Phương sai thang đo nếu</w:t>
            </w:r>
          </w:p>
          <w:p>
            <w:pPr>
              <w:pStyle w:val="TableParagraph"/>
              <w:spacing w:before="1"/>
              <w:ind w:left="450" w:right="450"/>
              <w:jc w:val="center"/>
              <w:rPr>
                <w:b/>
                <w:sz w:val="26"/>
              </w:rPr>
            </w:pPr>
            <w:r>
              <w:rPr>
                <w:b/>
                <w:sz w:val="26"/>
              </w:rPr>
              <w:t>loại biến</w:t>
            </w:r>
          </w:p>
        </w:tc>
        <w:tc>
          <w:tcPr>
            <w:tcW w:w="1707" w:type="dxa"/>
          </w:tcPr>
          <w:p>
            <w:pPr>
              <w:pStyle w:val="TableParagraph"/>
              <w:spacing w:line="360" w:lineRule="auto" w:before="2"/>
              <w:ind w:left="334" w:right="139" w:hanging="173"/>
              <w:rPr>
                <w:b/>
                <w:sz w:val="26"/>
              </w:rPr>
            </w:pPr>
            <w:r>
              <w:rPr>
                <w:b/>
                <w:sz w:val="26"/>
              </w:rPr>
              <w:t>Tương quan biến tổng</w:t>
            </w:r>
          </w:p>
        </w:tc>
        <w:tc>
          <w:tcPr>
            <w:tcW w:w="1804" w:type="dxa"/>
          </w:tcPr>
          <w:p>
            <w:pPr>
              <w:pStyle w:val="TableParagraph"/>
              <w:spacing w:line="360" w:lineRule="auto" w:before="2"/>
              <w:ind w:left="425" w:right="301" w:hanging="101"/>
              <w:rPr>
                <w:b/>
                <w:sz w:val="26"/>
              </w:rPr>
            </w:pPr>
            <w:r>
              <w:rPr>
                <w:b/>
                <w:sz w:val="26"/>
              </w:rPr>
              <w:t>Alpha nếu loại biến</w:t>
            </w:r>
          </w:p>
        </w:tc>
      </w:tr>
      <w:tr>
        <w:trPr>
          <w:trHeight w:val="448" w:hRule="atLeast"/>
        </w:trPr>
        <w:tc>
          <w:tcPr>
            <w:tcW w:w="1668" w:type="dxa"/>
          </w:tcPr>
          <w:p>
            <w:pPr>
              <w:pStyle w:val="TableParagraph"/>
              <w:spacing w:before="2"/>
              <w:ind w:left="167"/>
              <w:rPr>
                <w:sz w:val="26"/>
              </w:rPr>
            </w:pPr>
            <w:r>
              <w:rPr>
                <w:sz w:val="26"/>
              </w:rPr>
              <w:t>VT3</w:t>
            </w:r>
          </w:p>
        </w:tc>
        <w:tc>
          <w:tcPr>
            <w:tcW w:w="1933" w:type="dxa"/>
          </w:tcPr>
          <w:p>
            <w:pPr>
              <w:pStyle w:val="TableParagraph"/>
              <w:spacing w:before="2"/>
              <w:ind w:right="159"/>
              <w:jc w:val="right"/>
              <w:rPr>
                <w:sz w:val="26"/>
              </w:rPr>
            </w:pPr>
            <w:r>
              <w:rPr>
                <w:w w:val="95"/>
                <w:sz w:val="26"/>
              </w:rPr>
              <w:t>27,24</w:t>
            </w:r>
          </w:p>
        </w:tc>
        <w:tc>
          <w:tcPr>
            <w:tcW w:w="1897" w:type="dxa"/>
          </w:tcPr>
          <w:p>
            <w:pPr>
              <w:pStyle w:val="TableParagraph"/>
              <w:spacing w:before="2"/>
              <w:ind w:right="162"/>
              <w:jc w:val="right"/>
              <w:rPr>
                <w:sz w:val="26"/>
              </w:rPr>
            </w:pPr>
            <w:r>
              <w:rPr>
                <w:w w:val="95"/>
                <w:sz w:val="26"/>
              </w:rPr>
              <w:t>40,895</w:t>
            </w:r>
          </w:p>
        </w:tc>
        <w:tc>
          <w:tcPr>
            <w:tcW w:w="1707" w:type="dxa"/>
          </w:tcPr>
          <w:p>
            <w:pPr>
              <w:pStyle w:val="TableParagraph"/>
              <w:spacing w:before="2"/>
              <w:ind w:right="160"/>
              <w:jc w:val="right"/>
              <w:rPr>
                <w:sz w:val="26"/>
              </w:rPr>
            </w:pPr>
            <w:r>
              <w:rPr>
                <w:w w:val="95"/>
                <w:sz w:val="26"/>
              </w:rPr>
              <w:t>0,502</w:t>
            </w:r>
          </w:p>
        </w:tc>
        <w:tc>
          <w:tcPr>
            <w:tcW w:w="1804" w:type="dxa"/>
          </w:tcPr>
          <w:p>
            <w:pPr>
              <w:pStyle w:val="TableParagraph"/>
              <w:spacing w:before="2"/>
              <w:ind w:right="163"/>
              <w:jc w:val="right"/>
              <w:rPr>
                <w:sz w:val="26"/>
              </w:rPr>
            </w:pPr>
            <w:r>
              <w:rPr>
                <w:w w:val="95"/>
                <w:sz w:val="26"/>
              </w:rPr>
              <w:t>0,712</w:t>
            </w:r>
          </w:p>
        </w:tc>
      </w:tr>
      <w:tr>
        <w:trPr>
          <w:trHeight w:val="448" w:hRule="atLeast"/>
        </w:trPr>
        <w:tc>
          <w:tcPr>
            <w:tcW w:w="1668" w:type="dxa"/>
          </w:tcPr>
          <w:p>
            <w:pPr>
              <w:pStyle w:val="TableParagraph"/>
              <w:spacing w:before="2"/>
              <w:ind w:left="167"/>
              <w:rPr>
                <w:sz w:val="26"/>
              </w:rPr>
            </w:pPr>
            <w:r>
              <w:rPr>
                <w:sz w:val="26"/>
              </w:rPr>
              <w:t>VT4</w:t>
            </w:r>
          </w:p>
        </w:tc>
        <w:tc>
          <w:tcPr>
            <w:tcW w:w="1933" w:type="dxa"/>
          </w:tcPr>
          <w:p>
            <w:pPr>
              <w:pStyle w:val="TableParagraph"/>
              <w:spacing w:before="2"/>
              <w:ind w:right="159"/>
              <w:jc w:val="right"/>
              <w:rPr>
                <w:sz w:val="26"/>
              </w:rPr>
            </w:pPr>
            <w:r>
              <w:rPr>
                <w:w w:val="95"/>
                <w:sz w:val="26"/>
              </w:rPr>
              <w:t>28,04</w:t>
            </w:r>
          </w:p>
        </w:tc>
        <w:tc>
          <w:tcPr>
            <w:tcW w:w="1897" w:type="dxa"/>
          </w:tcPr>
          <w:p>
            <w:pPr>
              <w:pStyle w:val="TableParagraph"/>
              <w:spacing w:before="2"/>
              <w:ind w:right="162"/>
              <w:jc w:val="right"/>
              <w:rPr>
                <w:sz w:val="26"/>
              </w:rPr>
            </w:pPr>
            <w:r>
              <w:rPr>
                <w:w w:val="95"/>
                <w:sz w:val="26"/>
              </w:rPr>
              <w:t>43,519</w:t>
            </w:r>
          </w:p>
        </w:tc>
        <w:tc>
          <w:tcPr>
            <w:tcW w:w="1707" w:type="dxa"/>
          </w:tcPr>
          <w:p>
            <w:pPr>
              <w:pStyle w:val="TableParagraph"/>
              <w:spacing w:before="2"/>
              <w:ind w:right="160"/>
              <w:jc w:val="right"/>
              <w:rPr>
                <w:sz w:val="26"/>
              </w:rPr>
            </w:pPr>
            <w:r>
              <w:rPr>
                <w:w w:val="95"/>
                <w:sz w:val="26"/>
              </w:rPr>
              <w:t>0,208</w:t>
            </w:r>
          </w:p>
        </w:tc>
        <w:tc>
          <w:tcPr>
            <w:tcW w:w="1804" w:type="dxa"/>
          </w:tcPr>
          <w:p>
            <w:pPr>
              <w:pStyle w:val="TableParagraph"/>
              <w:spacing w:before="2"/>
              <w:ind w:right="163"/>
              <w:jc w:val="right"/>
              <w:rPr>
                <w:sz w:val="26"/>
              </w:rPr>
            </w:pPr>
            <w:r>
              <w:rPr>
                <w:w w:val="95"/>
                <w:sz w:val="26"/>
              </w:rPr>
              <w:t>0,762</w:t>
            </w:r>
          </w:p>
        </w:tc>
      </w:tr>
      <w:tr>
        <w:trPr>
          <w:trHeight w:val="448" w:hRule="atLeast"/>
        </w:trPr>
        <w:tc>
          <w:tcPr>
            <w:tcW w:w="1668" w:type="dxa"/>
          </w:tcPr>
          <w:p>
            <w:pPr>
              <w:pStyle w:val="TableParagraph"/>
              <w:spacing w:before="2"/>
              <w:ind w:left="167"/>
              <w:rPr>
                <w:sz w:val="26"/>
              </w:rPr>
            </w:pPr>
            <w:r>
              <w:rPr>
                <w:sz w:val="26"/>
              </w:rPr>
              <w:t>VT5</w:t>
            </w:r>
          </w:p>
        </w:tc>
        <w:tc>
          <w:tcPr>
            <w:tcW w:w="1933" w:type="dxa"/>
          </w:tcPr>
          <w:p>
            <w:pPr>
              <w:pStyle w:val="TableParagraph"/>
              <w:spacing w:before="2"/>
              <w:ind w:right="159"/>
              <w:jc w:val="right"/>
              <w:rPr>
                <w:sz w:val="26"/>
              </w:rPr>
            </w:pPr>
            <w:r>
              <w:rPr>
                <w:w w:val="95"/>
                <w:sz w:val="26"/>
              </w:rPr>
              <w:t>27,37</w:t>
            </w:r>
          </w:p>
        </w:tc>
        <w:tc>
          <w:tcPr>
            <w:tcW w:w="1897" w:type="dxa"/>
          </w:tcPr>
          <w:p>
            <w:pPr>
              <w:pStyle w:val="TableParagraph"/>
              <w:spacing w:before="2"/>
              <w:ind w:right="162"/>
              <w:jc w:val="right"/>
              <w:rPr>
                <w:sz w:val="26"/>
              </w:rPr>
            </w:pPr>
            <w:r>
              <w:rPr>
                <w:w w:val="95"/>
                <w:sz w:val="26"/>
              </w:rPr>
              <w:t>38,770</w:t>
            </w:r>
          </w:p>
        </w:tc>
        <w:tc>
          <w:tcPr>
            <w:tcW w:w="1707" w:type="dxa"/>
          </w:tcPr>
          <w:p>
            <w:pPr>
              <w:pStyle w:val="TableParagraph"/>
              <w:spacing w:before="2"/>
              <w:ind w:right="160"/>
              <w:jc w:val="right"/>
              <w:rPr>
                <w:sz w:val="26"/>
              </w:rPr>
            </w:pPr>
            <w:r>
              <w:rPr>
                <w:w w:val="95"/>
                <w:sz w:val="26"/>
              </w:rPr>
              <w:t>0,612</w:t>
            </w:r>
          </w:p>
        </w:tc>
        <w:tc>
          <w:tcPr>
            <w:tcW w:w="1804" w:type="dxa"/>
          </w:tcPr>
          <w:p>
            <w:pPr>
              <w:pStyle w:val="TableParagraph"/>
              <w:spacing w:before="2"/>
              <w:ind w:right="163"/>
              <w:jc w:val="right"/>
              <w:rPr>
                <w:sz w:val="26"/>
              </w:rPr>
            </w:pPr>
            <w:r>
              <w:rPr>
                <w:w w:val="95"/>
                <w:sz w:val="26"/>
              </w:rPr>
              <w:t>0,693</w:t>
            </w:r>
          </w:p>
        </w:tc>
      </w:tr>
      <w:tr>
        <w:trPr>
          <w:trHeight w:val="448" w:hRule="atLeast"/>
        </w:trPr>
        <w:tc>
          <w:tcPr>
            <w:tcW w:w="1668" w:type="dxa"/>
          </w:tcPr>
          <w:p>
            <w:pPr>
              <w:pStyle w:val="TableParagraph"/>
              <w:spacing w:before="2"/>
              <w:ind w:left="167"/>
              <w:rPr>
                <w:sz w:val="26"/>
              </w:rPr>
            </w:pPr>
            <w:r>
              <w:rPr>
                <w:sz w:val="26"/>
              </w:rPr>
              <w:t>VT6</w:t>
            </w:r>
          </w:p>
        </w:tc>
        <w:tc>
          <w:tcPr>
            <w:tcW w:w="1933" w:type="dxa"/>
          </w:tcPr>
          <w:p>
            <w:pPr>
              <w:pStyle w:val="TableParagraph"/>
              <w:spacing w:before="2"/>
              <w:ind w:right="159"/>
              <w:jc w:val="right"/>
              <w:rPr>
                <w:sz w:val="26"/>
              </w:rPr>
            </w:pPr>
            <w:r>
              <w:rPr>
                <w:w w:val="95"/>
                <w:sz w:val="26"/>
              </w:rPr>
              <w:t>27,25</w:t>
            </w:r>
          </w:p>
        </w:tc>
        <w:tc>
          <w:tcPr>
            <w:tcW w:w="1897" w:type="dxa"/>
          </w:tcPr>
          <w:p>
            <w:pPr>
              <w:pStyle w:val="TableParagraph"/>
              <w:spacing w:before="2"/>
              <w:ind w:right="162"/>
              <w:jc w:val="right"/>
              <w:rPr>
                <w:sz w:val="26"/>
              </w:rPr>
            </w:pPr>
            <w:r>
              <w:rPr>
                <w:w w:val="95"/>
                <w:sz w:val="26"/>
              </w:rPr>
              <w:t>40,107</w:t>
            </w:r>
          </w:p>
        </w:tc>
        <w:tc>
          <w:tcPr>
            <w:tcW w:w="1707" w:type="dxa"/>
          </w:tcPr>
          <w:p>
            <w:pPr>
              <w:pStyle w:val="TableParagraph"/>
              <w:spacing w:before="2"/>
              <w:ind w:right="160"/>
              <w:jc w:val="right"/>
              <w:rPr>
                <w:sz w:val="26"/>
              </w:rPr>
            </w:pPr>
            <w:r>
              <w:rPr>
                <w:w w:val="95"/>
                <w:sz w:val="26"/>
              </w:rPr>
              <w:t>0,550</w:t>
            </w:r>
          </w:p>
        </w:tc>
        <w:tc>
          <w:tcPr>
            <w:tcW w:w="1804" w:type="dxa"/>
          </w:tcPr>
          <w:p>
            <w:pPr>
              <w:pStyle w:val="TableParagraph"/>
              <w:spacing w:before="2"/>
              <w:ind w:right="163"/>
              <w:jc w:val="right"/>
              <w:rPr>
                <w:sz w:val="26"/>
              </w:rPr>
            </w:pPr>
            <w:r>
              <w:rPr>
                <w:w w:val="95"/>
                <w:sz w:val="26"/>
              </w:rPr>
              <w:t>0,705</w:t>
            </w:r>
          </w:p>
        </w:tc>
      </w:tr>
      <w:tr>
        <w:trPr>
          <w:trHeight w:val="448" w:hRule="atLeast"/>
        </w:trPr>
        <w:tc>
          <w:tcPr>
            <w:tcW w:w="1668" w:type="dxa"/>
          </w:tcPr>
          <w:p>
            <w:pPr>
              <w:pStyle w:val="TableParagraph"/>
              <w:spacing w:before="2"/>
              <w:ind w:left="167"/>
              <w:rPr>
                <w:sz w:val="26"/>
              </w:rPr>
            </w:pPr>
            <w:r>
              <w:rPr>
                <w:sz w:val="26"/>
              </w:rPr>
              <w:t>VT7</w:t>
            </w:r>
          </w:p>
        </w:tc>
        <w:tc>
          <w:tcPr>
            <w:tcW w:w="1933" w:type="dxa"/>
          </w:tcPr>
          <w:p>
            <w:pPr>
              <w:pStyle w:val="TableParagraph"/>
              <w:spacing w:before="2"/>
              <w:ind w:right="159"/>
              <w:jc w:val="right"/>
              <w:rPr>
                <w:sz w:val="26"/>
              </w:rPr>
            </w:pPr>
            <w:r>
              <w:rPr>
                <w:w w:val="95"/>
                <w:sz w:val="26"/>
              </w:rPr>
              <w:t>27,19</w:t>
            </w:r>
          </w:p>
        </w:tc>
        <w:tc>
          <w:tcPr>
            <w:tcW w:w="1897" w:type="dxa"/>
          </w:tcPr>
          <w:p>
            <w:pPr>
              <w:pStyle w:val="TableParagraph"/>
              <w:spacing w:before="2"/>
              <w:ind w:right="162"/>
              <w:jc w:val="right"/>
              <w:rPr>
                <w:sz w:val="26"/>
              </w:rPr>
            </w:pPr>
            <w:r>
              <w:rPr>
                <w:w w:val="95"/>
                <w:sz w:val="26"/>
              </w:rPr>
              <w:t>39,227</w:t>
            </w:r>
          </w:p>
        </w:tc>
        <w:tc>
          <w:tcPr>
            <w:tcW w:w="1707" w:type="dxa"/>
          </w:tcPr>
          <w:p>
            <w:pPr>
              <w:pStyle w:val="TableParagraph"/>
              <w:spacing w:before="2"/>
              <w:ind w:right="160"/>
              <w:jc w:val="right"/>
              <w:rPr>
                <w:sz w:val="26"/>
              </w:rPr>
            </w:pPr>
            <w:r>
              <w:rPr>
                <w:w w:val="95"/>
                <w:sz w:val="26"/>
              </w:rPr>
              <w:t>0,653</w:t>
            </w:r>
          </w:p>
        </w:tc>
        <w:tc>
          <w:tcPr>
            <w:tcW w:w="1804" w:type="dxa"/>
          </w:tcPr>
          <w:p>
            <w:pPr>
              <w:pStyle w:val="TableParagraph"/>
              <w:spacing w:before="2"/>
              <w:ind w:right="163"/>
              <w:jc w:val="right"/>
              <w:rPr>
                <w:sz w:val="26"/>
              </w:rPr>
            </w:pPr>
            <w:r>
              <w:rPr>
                <w:w w:val="95"/>
                <w:sz w:val="26"/>
              </w:rPr>
              <w:t>0,691</w:t>
            </w:r>
          </w:p>
        </w:tc>
      </w:tr>
      <w:tr>
        <w:trPr>
          <w:trHeight w:val="448" w:hRule="atLeast"/>
        </w:trPr>
        <w:tc>
          <w:tcPr>
            <w:tcW w:w="1668" w:type="dxa"/>
          </w:tcPr>
          <w:p>
            <w:pPr>
              <w:pStyle w:val="TableParagraph"/>
              <w:spacing w:before="2"/>
              <w:ind w:left="167"/>
              <w:rPr>
                <w:sz w:val="26"/>
              </w:rPr>
            </w:pPr>
            <w:r>
              <w:rPr>
                <w:sz w:val="26"/>
              </w:rPr>
              <w:t>VT8</w:t>
            </w:r>
          </w:p>
        </w:tc>
        <w:tc>
          <w:tcPr>
            <w:tcW w:w="1933" w:type="dxa"/>
          </w:tcPr>
          <w:p>
            <w:pPr>
              <w:pStyle w:val="TableParagraph"/>
              <w:spacing w:before="2"/>
              <w:ind w:right="159"/>
              <w:jc w:val="right"/>
              <w:rPr>
                <w:sz w:val="26"/>
              </w:rPr>
            </w:pPr>
            <w:r>
              <w:rPr>
                <w:w w:val="95"/>
                <w:sz w:val="26"/>
              </w:rPr>
              <w:t>28,13</w:t>
            </w:r>
          </w:p>
        </w:tc>
        <w:tc>
          <w:tcPr>
            <w:tcW w:w="1897" w:type="dxa"/>
          </w:tcPr>
          <w:p>
            <w:pPr>
              <w:pStyle w:val="TableParagraph"/>
              <w:spacing w:before="2"/>
              <w:ind w:right="162"/>
              <w:jc w:val="right"/>
              <w:rPr>
                <w:sz w:val="26"/>
              </w:rPr>
            </w:pPr>
            <w:r>
              <w:rPr>
                <w:w w:val="95"/>
                <w:sz w:val="26"/>
              </w:rPr>
              <w:t>42,704</w:t>
            </w:r>
          </w:p>
        </w:tc>
        <w:tc>
          <w:tcPr>
            <w:tcW w:w="1707" w:type="dxa"/>
          </w:tcPr>
          <w:p>
            <w:pPr>
              <w:pStyle w:val="TableParagraph"/>
              <w:spacing w:before="2"/>
              <w:ind w:right="160"/>
              <w:jc w:val="right"/>
              <w:rPr>
                <w:sz w:val="26"/>
              </w:rPr>
            </w:pPr>
            <w:r>
              <w:rPr>
                <w:w w:val="95"/>
                <w:sz w:val="26"/>
              </w:rPr>
              <w:t>0,227</w:t>
            </w:r>
          </w:p>
        </w:tc>
        <w:tc>
          <w:tcPr>
            <w:tcW w:w="1804" w:type="dxa"/>
          </w:tcPr>
          <w:p>
            <w:pPr>
              <w:pStyle w:val="TableParagraph"/>
              <w:spacing w:before="2"/>
              <w:ind w:right="163"/>
              <w:jc w:val="right"/>
              <w:rPr>
                <w:sz w:val="26"/>
              </w:rPr>
            </w:pPr>
            <w:r>
              <w:rPr>
                <w:w w:val="95"/>
                <w:sz w:val="26"/>
              </w:rPr>
              <w:t>0,761</w:t>
            </w:r>
          </w:p>
        </w:tc>
      </w:tr>
      <w:tr>
        <w:trPr>
          <w:trHeight w:val="448" w:hRule="atLeast"/>
        </w:trPr>
        <w:tc>
          <w:tcPr>
            <w:tcW w:w="1668" w:type="dxa"/>
          </w:tcPr>
          <w:p>
            <w:pPr>
              <w:pStyle w:val="TableParagraph"/>
              <w:spacing w:before="2"/>
              <w:ind w:left="167"/>
              <w:rPr>
                <w:sz w:val="26"/>
              </w:rPr>
            </w:pPr>
            <w:r>
              <w:rPr>
                <w:sz w:val="26"/>
              </w:rPr>
              <w:t>VT9</w:t>
            </w:r>
          </w:p>
        </w:tc>
        <w:tc>
          <w:tcPr>
            <w:tcW w:w="1933" w:type="dxa"/>
          </w:tcPr>
          <w:p>
            <w:pPr>
              <w:pStyle w:val="TableParagraph"/>
              <w:spacing w:before="2"/>
              <w:ind w:right="159"/>
              <w:jc w:val="right"/>
              <w:rPr>
                <w:sz w:val="26"/>
              </w:rPr>
            </w:pPr>
            <w:r>
              <w:rPr>
                <w:w w:val="95"/>
                <w:sz w:val="26"/>
              </w:rPr>
              <w:t>27,19</w:t>
            </w:r>
          </w:p>
        </w:tc>
        <w:tc>
          <w:tcPr>
            <w:tcW w:w="1897" w:type="dxa"/>
          </w:tcPr>
          <w:p>
            <w:pPr>
              <w:pStyle w:val="TableParagraph"/>
              <w:spacing w:before="2"/>
              <w:ind w:right="162"/>
              <w:jc w:val="right"/>
              <w:rPr>
                <w:sz w:val="26"/>
              </w:rPr>
            </w:pPr>
            <w:r>
              <w:rPr>
                <w:w w:val="95"/>
                <w:sz w:val="26"/>
              </w:rPr>
              <w:t>38,711</w:t>
            </w:r>
          </w:p>
        </w:tc>
        <w:tc>
          <w:tcPr>
            <w:tcW w:w="1707" w:type="dxa"/>
          </w:tcPr>
          <w:p>
            <w:pPr>
              <w:pStyle w:val="TableParagraph"/>
              <w:spacing w:before="2"/>
              <w:ind w:right="160"/>
              <w:jc w:val="right"/>
              <w:rPr>
                <w:sz w:val="26"/>
              </w:rPr>
            </w:pPr>
            <w:r>
              <w:rPr>
                <w:w w:val="95"/>
                <w:sz w:val="26"/>
              </w:rPr>
              <w:t>0,568</w:t>
            </w:r>
          </w:p>
        </w:tc>
        <w:tc>
          <w:tcPr>
            <w:tcW w:w="1804" w:type="dxa"/>
          </w:tcPr>
          <w:p>
            <w:pPr>
              <w:pStyle w:val="TableParagraph"/>
              <w:spacing w:before="2"/>
              <w:ind w:right="163"/>
              <w:jc w:val="right"/>
              <w:rPr>
                <w:sz w:val="26"/>
              </w:rPr>
            </w:pPr>
            <w:r>
              <w:rPr>
                <w:w w:val="95"/>
                <w:sz w:val="26"/>
              </w:rPr>
              <w:t>0,699</w:t>
            </w:r>
          </w:p>
        </w:tc>
      </w:tr>
      <w:tr>
        <w:trPr>
          <w:trHeight w:val="448" w:hRule="atLeast"/>
        </w:trPr>
        <w:tc>
          <w:tcPr>
            <w:tcW w:w="9009" w:type="dxa"/>
            <w:gridSpan w:val="5"/>
          </w:tcPr>
          <w:p>
            <w:pPr>
              <w:pStyle w:val="TableParagraph"/>
              <w:spacing w:before="2"/>
              <w:ind w:left="1079" w:right="1073"/>
              <w:jc w:val="center"/>
              <w:rPr>
                <w:b/>
                <w:sz w:val="26"/>
              </w:rPr>
            </w:pPr>
            <w:r>
              <w:rPr>
                <w:b/>
                <w:sz w:val="26"/>
              </w:rPr>
              <w:t>Thang đo kết nối nội địa với Cronbach’s Alpha: 0,819</w:t>
            </w:r>
          </w:p>
        </w:tc>
      </w:tr>
      <w:tr>
        <w:trPr>
          <w:trHeight w:val="448" w:hRule="atLeast"/>
        </w:trPr>
        <w:tc>
          <w:tcPr>
            <w:tcW w:w="1668" w:type="dxa"/>
          </w:tcPr>
          <w:p>
            <w:pPr>
              <w:pStyle w:val="TableParagraph"/>
              <w:spacing w:before="2"/>
              <w:ind w:left="167"/>
              <w:rPr>
                <w:sz w:val="26"/>
              </w:rPr>
            </w:pPr>
            <w:r>
              <w:rPr>
                <w:sz w:val="26"/>
              </w:rPr>
              <w:t>ND1</w:t>
            </w:r>
          </w:p>
        </w:tc>
        <w:tc>
          <w:tcPr>
            <w:tcW w:w="1933" w:type="dxa"/>
          </w:tcPr>
          <w:p>
            <w:pPr>
              <w:pStyle w:val="TableParagraph"/>
              <w:spacing w:before="2"/>
              <w:ind w:right="159"/>
              <w:jc w:val="right"/>
              <w:rPr>
                <w:sz w:val="26"/>
              </w:rPr>
            </w:pPr>
            <w:r>
              <w:rPr>
                <w:w w:val="95"/>
                <w:sz w:val="26"/>
              </w:rPr>
              <w:t>15,60</w:t>
            </w:r>
          </w:p>
        </w:tc>
        <w:tc>
          <w:tcPr>
            <w:tcW w:w="1897" w:type="dxa"/>
          </w:tcPr>
          <w:p>
            <w:pPr>
              <w:pStyle w:val="TableParagraph"/>
              <w:spacing w:before="2"/>
              <w:ind w:right="162"/>
              <w:jc w:val="right"/>
              <w:rPr>
                <w:sz w:val="26"/>
              </w:rPr>
            </w:pPr>
            <w:r>
              <w:rPr>
                <w:w w:val="95"/>
                <w:sz w:val="26"/>
              </w:rPr>
              <w:t>9,849</w:t>
            </w:r>
          </w:p>
        </w:tc>
        <w:tc>
          <w:tcPr>
            <w:tcW w:w="1707" w:type="dxa"/>
          </w:tcPr>
          <w:p>
            <w:pPr>
              <w:pStyle w:val="TableParagraph"/>
              <w:spacing w:before="2"/>
              <w:ind w:right="160"/>
              <w:jc w:val="right"/>
              <w:rPr>
                <w:sz w:val="26"/>
              </w:rPr>
            </w:pPr>
            <w:r>
              <w:rPr>
                <w:w w:val="95"/>
                <w:sz w:val="26"/>
              </w:rPr>
              <w:t>0,596</w:t>
            </w:r>
          </w:p>
        </w:tc>
        <w:tc>
          <w:tcPr>
            <w:tcW w:w="1804" w:type="dxa"/>
          </w:tcPr>
          <w:p>
            <w:pPr>
              <w:pStyle w:val="TableParagraph"/>
              <w:spacing w:before="2"/>
              <w:ind w:right="163"/>
              <w:jc w:val="right"/>
              <w:rPr>
                <w:sz w:val="26"/>
              </w:rPr>
            </w:pPr>
            <w:r>
              <w:rPr>
                <w:w w:val="95"/>
                <w:sz w:val="26"/>
              </w:rPr>
              <w:t>0,788</w:t>
            </w:r>
          </w:p>
        </w:tc>
      </w:tr>
      <w:tr>
        <w:trPr>
          <w:trHeight w:val="448" w:hRule="atLeast"/>
        </w:trPr>
        <w:tc>
          <w:tcPr>
            <w:tcW w:w="1668" w:type="dxa"/>
          </w:tcPr>
          <w:p>
            <w:pPr>
              <w:pStyle w:val="TableParagraph"/>
              <w:spacing w:before="2"/>
              <w:ind w:left="167"/>
              <w:rPr>
                <w:sz w:val="26"/>
              </w:rPr>
            </w:pPr>
            <w:r>
              <w:rPr>
                <w:sz w:val="26"/>
              </w:rPr>
              <w:t>ND2</w:t>
            </w:r>
          </w:p>
        </w:tc>
        <w:tc>
          <w:tcPr>
            <w:tcW w:w="1933" w:type="dxa"/>
          </w:tcPr>
          <w:p>
            <w:pPr>
              <w:pStyle w:val="TableParagraph"/>
              <w:spacing w:before="2"/>
              <w:ind w:right="159"/>
              <w:jc w:val="right"/>
              <w:rPr>
                <w:sz w:val="26"/>
              </w:rPr>
            </w:pPr>
            <w:r>
              <w:rPr>
                <w:w w:val="95"/>
                <w:sz w:val="26"/>
              </w:rPr>
              <w:t>15,67</w:t>
            </w:r>
          </w:p>
        </w:tc>
        <w:tc>
          <w:tcPr>
            <w:tcW w:w="1897" w:type="dxa"/>
          </w:tcPr>
          <w:p>
            <w:pPr>
              <w:pStyle w:val="TableParagraph"/>
              <w:spacing w:before="2"/>
              <w:ind w:right="162"/>
              <w:jc w:val="right"/>
              <w:rPr>
                <w:sz w:val="26"/>
              </w:rPr>
            </w:pPr>
            <w:r>
              <w:rPr>
                <w:w w:val="95"/>
                <w:sz w:val="26"/>
              </w:rPr>
              <w:t>9,997</w:t>
            </w:r>
          </w:p>
        </w:tc>
        <w:tc>
          <w:tcPr>
            <w:tcW w:w="1707" w:type="dxa"/>
          </w:tcPr>
          <w:p>
            <w:pPr>
              <w:pStyle w:val="TableParagraph"/>
              <w:spacing w:before="2"/>
              <w:ind w:right="160"/>
              <w:jc w:val="right"/>
              <w:rPr>
                <w:sz w:val="26"/>
              </w:rPr>
            </w:pPr>
            <w:r>
              <w:rPr>
                <w:w w:val="95"/>
                <w:sz w:val="26"/>
              </w:rPr>
              <w:t>0,583</w:t>
            </w:r>
          </w:p>
        </w:tc>
        <w:tc>
          <w:tcPr>
            <w:tcW w:w="1804" w:type="dxa"/>
          </w:tcPr>
          <w:p>
            <w:pPr>
              <w:pStyle w:val="TableParagraph"/>
              <w:spacing w:before="2"/>
              <w:ind w:right="163"/>
              <w:jc w:val="right"/>
              <w:rPr>
                <w:sz w:val="26"/>
              </w:rPr>
            </w:pPr>
            <w:r>
              <w:rPr>
                <w:w w:val="95"/>
                <w:sz w:val="26"/>
              </w:rPr>
              <w:t>0,792</w:t>
            </w:r>
          </w:p>
        </w:tc>
      </w:tr>
      <w:tr>
        <w:trPr>
          <w:trHeight w:val="448" w:hRule="atLeast"/>
        </w:trPr>
        <w:tc>
          <w:tcPr>
            <w:tcW w:w="1668" w:type="dxa"/>
          </w:tcPr>
          <w:p>
            <w:pPr>
              <w:pStyle w:val="TableParagraph"/>
              <w:spacing w:before="2"/>
              <w:ind w:left="167"/>
              <w:rPr>
                <w:sz w:val="26"/>
              </w:rPr>
            </w:pPr>
            <w:r>
              <w:rPr>
                <w:sz w:val="26"/>
              </w:rPr>
              <w:t>ND3</w:t>
            </w:r>
          </w:p>
        </w:tc>
        <w:tc>
          <w:tcPr>
            <w:tcW w:w="1933" w:type="dxa"/>
          </w:tcPr>
          <w:p>
            <w:pPr>
              <w:pStyle w:val="TableParagraph"/>
              <w:spacing w:before="2"/>
              <w:ind w:right="159"/>
              <w:jc w:val="right"/>
              <w:rPr>
                <w:sz w:val="26"/>
              </w:rPr>
            </w:pPr>
            <w:r>
              <w:rPr>
                <w:w w:val="95"/>
                <w:sz w:val="26"/>
              </w:rPr>
              <w:t>15,33</w:t>
            </w:r>
          </w:p>
        </w:tc>
        <w:tc>
          <w:tcPr>
            <w:tcW w:w="1897" w:type="dxa"/>
          </w:tcPr>
          <w:p>
            <w:pPr>
              <w:pStyle w:val="TableParagraph"/>
              <w:spacing w:before="2"/>
              <w:ind w:right="162"/>
              <w:jc w:val="right"/>
              <w:rPr>
                <w:sz w:val="26"/>
              </w:rPr>
            </w:pPr>
            <w:r>
              <w:rPr>
                <w:w w:val="95"/>
                <w:sz w:val="26"/>
              </w:rPr>
              <w:t>10,409</w:t>
            </w:r>
          </w:p>
        </w:tc>
        <w:tc>
          <w:tcPr>
            <w:tcW w:w="1707" w:type="dxa"/>
          </w:tcPr>
          <w:p>
            <w:pPr>
              <w:pStyle w:val="TableParagraph"/>
              <w:spacing w:before="2"/>
              <w:ind w:right="160"/>
              <w:jc w:val="right"/>
              <w:rPr>
                <w:sz w:val="26"/>
              </w:rPr>
            </w:pPr>
            <w:r>
              <w:rPr>
                <w:w w:val="95"/>
                <w:sz w:val="26"/>
              </w:rPr>
              <w:t>0,560</w:t>
            </w:r>
          </w:p>
        </w:tc>
        <w:tc>
          <w:tcPr>
            <w:tcW w:w="1804" w:type="dxa"/>
          </w:tcPr>
          <w:p>
            <w:pPr>
              <w:pStyle w:val="TableParagraph"/>
              <w:spacing w:before="2"/>
              <w:ind w:right="163"/>
              <w:jc w:val="right"/>
              <w:rPr>
                <w:sz w:val="26"/>
              </w:rPr>
            </w:pPr>
            <w:r>
              <w:rPr>
                <w:w w:val="95"/>
                <w:sz w:val="26"/>
              </w:rPr>
              <w:t>0,798</w:t>
            </w:r>
          </w:p>
        </w:tc>
      </w:tr>
      <w:tr>
        <w:trPr>
          <w:trHeight w:val="448" w:hRule="atLeast"/>
        </w:trPr>
        <w:tc>
          <w:tcPr>
            <w:tcW w:w="1668" w:type="dxa"/>
          </w:tcPr>
          <w:p>
            <w:pPr>
              <w:pStyle w:val="TableParagraph"/>
              <w:spacing w:before="2"/>
              <w:ind w:left="167"/>
              <w:rPr>
                <w:sz w:val="26"/>
              </w:rPr>
            </w:pPr>
            <w:r>
              <w:rPr>
                <w:sz w:val="26"/>
              </w:rPr>
              <w:t>ND4</w:t>
            </w:r>
          </w:p>
        </w:tc>
        <w:tc>
          <w:tcPr>
            <w:tcW w:w="1933" w:type="dxa"/>
          </w:tcPr>
          <w:p>
            <w:pPr>
              <w:pStyle w:val="TableParagraph"/>
              <w:spacing w:before="2"/>
              <w:ind w:right="159"/>
              <w:jc w:val="right"/>
              <w:rPr>
                <w:sz w:val="26"/>
              </w:rPr>
            </w:pPr>
            <w:r>
              <w:rPr>
                <w:w w:val="95"/>
                <w:sz w:val="26"/>
              </w:rPr>
              <w:t>15,32</w:t>
            </w:r>
          </w:p>
        </w:tc>
        <w:tc>
          <w:tcPr>
            <w:tcW w:w="1897" w:type="dxa"/>
          </w:tcPr>
          <w:p>
            <w:pPr>
              <w:pStyle w:val="TableParagraph"/>
              <w:spacing w:before="2"/>
              <w:ind w:right="162"/>
              <w:jc w:val="right"/>
              <w:rPr>
                <w:sz w:val="26"/>
              </w:rPr>
            </w:pPr>
            <w:r>
              <w:rPr>
                <w:w w:val="95"/>
                <w:sz w:val="26"/>
              </w:rPr>
              <w:t>10,486</w:t>
            </w:r>
          </w:p>
        </w:tc>
        <w:tc>
          <w:tcPr>
            <w:tcW w:w="1707" w:type="dxa"/>
          </w:tcPr>
          <w:p>
            <w:pPr>
              <w:pStyle w:val="TableParagraph"/>
              <w:spacing w:before="2"/>
              <w:ind w:right="160"/>
              <w:jc w:val="right"/>
              <w:rPr>
                <w:sz w:val="26"/>
              </w:rPr>
            </w:pPr>
            <w:r>
              <w:rPr>
                <w:w w:val="95"/>
                <w:sz w:val="26"/>
              </w:rPr>
              <w:t>0,572</w:t>
            </w:r>
          </w:p>
        </w:tc>
        <w:tc>
          <w:tcPr>
            <w:tcW w:w="1804" w:type="dxa"/>
          </w:tcPr>
          <w:p>
            <w:pPr>
              <w:pStyle w:val="TableParagraph"/>
              <w:spacing w:before="2"/>
              <w:ind w:right="163"/>
              <w:jc w:val="right"/>
              <w:rPr>
                <w:sz w:val="26"/>
              </w:rPr>
            </w:pPr>
            <w:r>
              <w:rPr>
                <w:w w:val="95"/>
                <w:sz w:val="26"/>
              </w:rPr>
              <w:t>0,795</w:t>
            </w:r>
          </w:p>
        </w:tc>
      </w:tr>
      <w:tr>
        <w:trPr>
          <w:trHeight w:val="448" w:hRule="atLeast"/>
        </w:trPr>
        <w:tc>
          <w:tcPr>
            <w:tcW w:w="1668" w:type="dxa"/>
          </w:tcPr>
          <w:p>
            <w:pPr>
              <w:pStyle w:val="TableParagraph"/>
              <w:spacing w:before="2"/>
              <w:ind w:left="167"/>
              <w:rPr>
                <w:sz w:val="26"/>
              </w:rPr>
            </w:pPr>
            <w:r>
              <w:rPr>
                <w:sz w:val="26"/>
              </w:rPr>
              <w:t>ND5</w:t>
            </w:r>
          </w:p>
        </w:tc>
        <w:tc>
          <w:tcPr>
            <w:tcW w:w="1933" w:type="dxa"/>
          </w:tcPr>
          <w:p>
            <w:pPr>
              <w:pStyle w:val="TableParagraph"/>
              <w:spacing w:before="2"/>
              <w:ind w:right="159"/>
              <w:jc w:val="right"/>
              <w:rPr>
                <w:sz w:val="26"/>
              </w:rPr>
            </w:pPr>
            <w:r>
              <w:rPr>
                <w:w w:val="95"/>
                <w:sz w:val="26"/>
              </w:rPr>
              <w:t>15,48</w:t>
            </w:r>
          </w:p>
        </w:tc>
        <w:tc>
          <w:tcPr>
            <w:tcW w:w="1897" w:type="dxa"/>
          </w:tcPr>
          <w:p>
            <w:pPr>
              <w:pStyle w:val="TableParagraph"/>
              <w:spacing w:before="2"/>
              <w:ind w:right="162"/>
              <w:jc w:val="right"/>
              <w:rPr>
                <w:sz w:val="26"/>
              </w:rPr>
            </w:pPr>
            <w:r>
              <w:rPr>
                <w:w w:val="95"/>
                <w:sz w:val="26"/>
              </w:rPr>
              <w:t>9,261</w:t>
            </w:r>
          </w:p>
        </w:tc>
        <w:tc>
          <w:tcPr>
            <w:tcW w:w="1707" w:type="dxa"/>
          </w:tcPr>
          <w:p>
            <w:pPr>
              <w:pStyle w:val="TableParagraph"/>
              <w:spacing w:before="2"/>
              <w:ind w:right="160"/>
              <w:jc w:val="right"/>
              <w:rPr>
                <w:sz w:val="26"/>
              </w:rPr>
            </w:pPr>
            <w:r>
              <w:rPr>
                <w:w w:val="95"/>
                <w:sz w:val="26"/>
              </w:rPr>
              <w:t>0,749</w:t>
            </w:r>
          </w:p>
        </w:tc>
        <w:tc>
          <w:tcPr>
            <w:tcW w:w="1804" w:type="dxa"/>
          </w:tcPr>
          <w:p>
            <w:pPr>
              <w:pStyle w:val="TableParagraph"/>
              <w:spacing w:before="2"/>
              <w:ind w:right="163"/>
              <w:jc w:val="right"/>
              <w:rPr>
                <w:sz w:val="26"/>
              </w:rPr>
            </w:pPr>
            <w:r>
              <w:rPr>
                <w:w w:val="95"/>
                <w:sz w:val="26"/>
              </w:rPr>
              <w:t>0,741</w:t>
            </w:r>
          </w:p>
        </w:tc>
      </w:tr>
      <w:tr>
        <w:trPr>
          <w:trHeight w:val="448" w:hRule="atLeast"/>
        </w:trPr>
        <w:tc>
          <w:tcPr>
            <w:tcW w:w="9009" w:type="dxa"/>
            <w:gridSpan w:val="5"/>
          </w:tcPr>
          <w:p>
            <w:pPr>
              <w:pStyle w:val="TableParagraph"/>
              <w:spacing w:before="2"/>
              <w:ind w:left="1079" w:right="1076"/>
              <w:jc w:val="center"/>
              <w:rPr>
                <w:b/>
                <w:sz w:val="26"/>
              </w:rPr>
            </w:pPr>
            <w:r>
              <w:rPr>
                <w:b/>
                <w:sz w:val="26"/>
              </w:rPr>
              <w:t>Thang đo độ tin cậy với Cronbach’s Alpha: 0,770</w:t>
            </w:r>
          </w:p>
        </w:tc>
      </w:tr>
      <w:tr>
        <w:trPr>
          <w:trHeight w:val="448" w:hRule="atLeast"/>
        </w:trPr>
        <w:tc>
          <w:tcPr>
            <w:tcW w:w="1668" w:type="dxa"/>
          </w:tcPr>
          <w:p>
            <w:pPr>
              <w:pStyle w:val="TableParagraph"/>
              <w:spacing w:before="2"/>
              <w:ind w:left="167"/>
              <w:rPr>
                <w:sz w:val="26"/>
              </w:rPr>
            </w:pPr>
            <w:r>
              <w:rPr>
                <w:sz w:val="26"/>
              </w:rPr>
              <w:t>TC1</w:t>
            </w:r>
          </w:p>
        </w:tc>
        <w:tc>
          <w:tcPr>
            <w:tcW w:w="1933" w:type="dxa"/>
          </w:tcPr>
          <w:p>
            <w:pPr>
              <w:pStyle w:val="TableParagraph"/>
              <w:spacing w:before="2"/>
              <w:ind w:right="159"/>
              <w:jc w:val="right"/>
              <w:rPr>
                <w:sz w:val="26"/>
              </w:rPr>
            </w:pPr>
            <w:r>
              <w:rPr>
                <w:w w:val="95"/>
                <w:sz w:val="26"/>
              </w:rPr>
              <w:t>13,44</w:t>
            </w:r>
          </w:p>
        </w:tc>
        <w:tc>
          <w:tcPr>
            <w:tcW w:w="1897" w:type="dxa"/>
          </w:tcPr>
          <w:p>
            <w:pPr>
              <w:pStyle w:val="TableParagraph"/>
              <w:spacing w:before="2"/>
              <w:ind w:right="162"/>
              <w:jc w:val="right"/>
              <w:rPr>
                <w:sz w:val="26"/>
              </w:rPr>
            </w:pPr>
            <w:r>
              <w:rPr>
                <w:w w:val="95"/>
                <w:sz w:val="26"/>
              </w:rPr>
              <w:t>14,041</w:t>
            </w:r>
          </w:p>
        </w:tc>
        <w:tc>
          <w:tcPr>
            <w:tcW w:w="1707" w:type="dxa"/>
          </w:tcPr>
          <w:p>
            <w:pPr>
              <w:pStyle w:val="TableParagraph"/>
              <w:spacing w:before="2"/>
              <w:ind w:right="160"/>
              <w:jc w:val="right"/>
              <w:rPr>
                <w:sz w:val="26"/>
              </w:rPr>
            </w:pPr>
            <w:r>
              <w:rPr>
                <w:w w:val="95"/>
                <w:sz w:val="26"/>
              </w:rPr>
              <w:t>0,765</w:t>
            </w:r>
          </w:p>
        </w:tc>
        <w:tc>
          <w:tcPr>
            <w:tcW w:w="1804" w:type="dxa"/>
          </w:tcPr>
          <w:p>
            <w:pPr>
              <w:pStyle w:val="TableParagraph"/>
              <w:spacing w:before="2"/>
              <w:ind w:right="163"/>
              <w:jc w:val="right"/>
              <w:rPr>
                <w:sz w:val="26"/>
              </w:rPr>
            </w:pPr>
            <w:r>
              <w:rPr>
                <w:w w:val="95"/>
                <w:sz w:val="26"/>
              </w:rPr>
              <w:t>0,646</w:t>
            </w:r>
          </w:p>
        </w:tc>
      </w:tr>
      <w:tr>
        <w:trPr>
          <w:trHeight w:val="448" w:hRule="atLeast"/>
        </w:trPr>
        <w:tc>
          <w:tcPr>
            <w:tcW w:w="1668" w:type="dxa"/>
          </w:tcPr>
          <w:p>
            <w:pPr>
              <w:pStyle w:val="TableParagraph"/>
              <w:spacing w:before="2"/>
              <w:ind w:left="167"/>
              <w:rPr>
                <w:sz w:val="26"/>
              </w:rPr>
            </w:pPr>
            <w:r>
              <w:rPr>
                <w:sz w:val="26"/>
              </w:rPr>
              <w:t>TC2</w:t>
            </w:r>
          </w:p>
        </w:tc>
        <w:tc>
          <w:tcPr>
            <w:tcW w:w="1933" w:type="dxa"/>
          </w:tcPr>
          <w:p>
            <w:pPr>
              <w:pStyle w:val="TableParagraph"/>
              <w:spacing w:before="2"/>
              <w:ind w:right="159"/>
              <w:jc w:val="right"/>
              <w:rPr>
                <w:sz w:val="26"/>
              </w:rPr>
            </w:pPr>
            <w:r>
              <w:rPr>
                <w:w w:val="95"/>
                <w:sz w:val="26"/>
              </w:rPr>
              <w:t>13,67</w:t>
            </w:r>
          </w:p>
        </w:tc>
        <w:tc>
          <w:tcPr>
            <w:tcW w:w="1897" w:type="dxa"/>
          </w:tcPr>
          <w:p>
            <w:pPr>
              <w:pStyle w:val="TableParagraph"/>
              <w:spacing w:before="2"/>
              <w:ind w:right="162"/>
              <w:jc w:val="right"/>
              <w:rPr>
                <w:sz w:val="26"/>
              </w:rPr>
            </w:pPr>
            <w:r>
              <w:rPr>
                <w:w w:val="95"/>
                <w:sz w:val="26"/>
              </w:rPr>
              <w:t>15,191</w:t>
            </w:r>
          </w:p>
        </w:tc>
        <w:tc>
          <w:tcPr>
            <w:tcW w:w="1707" w:type="dxa"/>
          </w:tcPr>
          <w:p>
            <w:pPr>
              <w:pStyle w:val="TableParagraph"/>
              <w:spacing w:before="2"/>
              <w:ind w:right="160"/>
              <w:jc w:val="right"/>
              <w:rPr>
                <w:sz w:val="26"/>
              </w:rPr>
            </w:pPr>
            <w:r>
              <w:rPr>
                <w:w w:val="95"/>
                <w:sz w:val="26"/>
              </w:rPr>
              <w:t>0,633</w:t>
            </w:r>
          </w:p>
        </w:tc>
        <w:tc>
          <w:tcPr>
            <w:tcW w:w="1804" w:type="dxa"/>
          </w:tcPr>
          <w:p>
            <w:pPr>
              <w:pStyle w:val="TableParagraph"/>
              <w:spacing w:before="2"/>
              <w:ind w:right="163"/>
              <w:jc w:val="right"/>
              <w:rPr>
                <w:sz w:val="26"/>
              </w:rPr>
            </w:pPr>
            <w:r>
              <w:rPr>
                <w:w w:val="95"/>
                <w:sz w:val="26"/>
              </w:rPr>
              <w:t>0,695</w:t>
            </w:r>
          </w:p>
        </w:tc>
      </w:tr>
      <w:tr>
        <w:trPr>
          <w:trHeight w:val="448" w:hRule="atLeast"/>
        </w:trPr>
        <w:tc>
          <w:tcPr>
            <w:tcW w:w="1668" w:type="dxa"/>
          </w:tcPr>
          <w:p>
            <w:pPr>
              <w:pStyle w:val="TableParagraph"/>
              <w:spacing w:before="2"/>
              <w:ind w:left="167"/>
              <w:rPr>
                <w:sz w:val="26"/>
              </w:rPr>
            </w:pPr>
            <w:r>
              <w:rPr>
                <w:sz w:val="26"/>
              </w:rPr>
              <w:t>TC3</w:t>
            </w:r>
          </w:p>
        </w:tc>
        <w:tc>
          <w:tcPr>
            <w:tcW w:w="1933" w:type="dxa"/>
          </w:tcPr>
          <w:p>
            <w:pPr>
              <w:pStyle w:val="TableParagraph"/>
              <w:spacing w:before="2"/>
              <w:ind w:right="159"/>
              <w:jc w:val="right"/>
              <w:rPr>
                <w:sz w:val="26"/>
              </w:rPr>
            </w:pPr>
            <w:r>
              <w:rPr>
                <w:w w:val="95"/>
                <w:sz w:val="26"/>
              </w:rPr>
              <w:t>13,62</w:t>
            </w:r>
          </w:p>
        </w:tc>
        <w:tc>
          <w:tcPr>
            <w:tcW w:w="1897" w:type="dxa"/>
          </w:tcPr>
          <w:p>
            <w:pPr>
              <w:pStyle w:val="TableParagraph"/>
              <w:spacing w:before="2"/>
              <w:ind w:right="162"/>
              <w:jc w:val="right"/>
              <w:rPr>
                <w:sz w:val="26"/>
              </w:rPr>
            </w:pPr>
            <w:r>
              <w:rPr>
                <w:w w:val="95"/>
                <w:sz w:val="26"/>
              </w:rPr>
              <w:t>15,145</w:t>
            </w:r>
          </w:p>
        </w:tc>
        <w:tc>
          <w:tcPr>
            <w:tcW w:w="1707" w:type="dxa"/>
          </w:tcPr>
          <w:p>
            <w:pPr>
              <w:pStyle w:val="TableParagraph"/>
              <w:spacing w:before="2"/>
              <w:ind w:right="160"/>
              <w:jc w:val="right"/>
              <w:rPr>
                <w:sz w:val="26"/>
              </w:rPr>
            </w:pPr>
            <w:r>
              <w:rPr>
                <w:w w:val="95"/>
                <w:sz w:val="26"/>
              </w:rPr>
              <w:t>0,678</w:t>
            </w:r>
          </w:p>
        </w:tc>
        <w:tc>
          <w:tcPr>
            <w:tcW w:w="1804" w:type="dxa"/>
          </w:tcPr>
          <w:p>
            <w:pPr>
              <w:pStyle w:val="TableParagraph"/>
              <w:spacing w:before="2"/>
              <w:ind w:right="163"/>
              <w:jc w:val="right"/>
              <w:rPr>
                <w:sz w:val="26"/>
              </w:rPr>
            </w:pPr>
            <w:r>
              <w:rPr>
                <w:w w:val="95"/>
                <w:sz w:val="26"/>
              </w:rPr>
              <w:t>0,682</w:t>
            </w:r>
          </w:p>
        </w:tc>
      </w:tr>
      <w:tr>
        <w:trPr>
          <w:trHeight w:val="448" w:hRule="atLeast"/>
        </w:trPr>
        <w:tc>
          <w:tcPr>
            <w:tcW w:w="1668" w:type="dxa"/>
          </w:tcPr>
          <w:p>
            <w:pPr>
              <w:pStyle w:val="TableParagraph"/>
              <w:spacing w:before="2"/>
              <w:ind w:left="167"/>
              <w:rPr>
                <w:sz w:val="26"/>
              </w:rPr>
            </w:pPr>
            <w:r>
              <w:rPr>
                <w:sz w:val="26"/>
              </w:rPr>
              <w:t>TC4</w:t>
            </w:r>
          </w:p>
        </w:tc>
        <w:tc>
          <w:tcPr>
            <w:tcW w:w="1933" w:type="dxa"/>
          </w:tcPr>
          <w:p>
            <w:pPr>
              <w:pStyle w:val="TableParagraph"/>
              <w:spacing w:before="2"/>
              <w:ind w:right="159"/>
              <w:jc w:val="right"/>
              <w:rPr>
                <w:sz w:val="26"/>
              </w:rPr>
            </w:pPr>
            <w:r>
              <w:rPr>
                <w:w w:val="95"/>
                <w:sz w:val="26"/>
              </w:rPr>
              <w:t>13,49</w:t>
            </w:r>
          </w:p>
        </w:tc>
        <w:tc>
          <w:tcPr>
            <w:tcW w:w="1897" w:type="dxa"/>
          </w:tcPr>
          <w:p>
            <w:pPr>
              <w:pStyle w:val="TableParagraph"/>
              <w:spacing w:before="2"/>
              <w:ind w:right="162"/>
              <w:jc w:val="right"/>
              <w:rPr>
                <w:sz w:val="26"/>
              </w:rPr>
            </w:pPr>
            <w:r>
              <w:rPr>
                <w:w w:val="95"/>
                <w:sz w:val="26"/>
              </w:rPr>
              <w:t>14,746</w:t>
            </w:r>
          </w:p>
        </w:tc>
        <w:tc>
          <w:tcPr>
            <w:tcW w:w="1707" w:type="dxa"/>
          </w:tcPr>
          <w:p>
            <w:pPr>
              <w:pStyle w:val="TableParagraph"/>
              <w:spacing w:before="2"/>
              <w:ind w:right="160"/>
              <w:jc w:val="right"/>
              <w:rPr>
                <w:sz w:val="26"/>
              </w:rPr>
            </w:pPr>
            <w:r>
              <w:rPr>
                <w:w w:val="95"/>
                <w:sz w:val="26"/>
              </w:rPr>
              <w:t>0,690</w:t>
            </w:r>
          </w:p>
        </w:tc>
        <w:tc>
          <w:tcPr>
            <w:tcW w:w="1804" w:type="dxa"/>
          </w:tcPr>
          <w:p>
            <w:pPr>
              <w:pStyle w:val="TableParagraph"/>
              <w:spacing w:before="2"/>
              <w:ind w:right="163"/>
              <w:jc w:val="right"/>
              <w:rPr>
                <w:sz w:val="26"/>
              </w:rPr>
            </w:pPr>
            <w:r>
              <w:rPr>
                <w:w w:val="95"/>
                <w:sz w:val="26"/>
              </w:rPr>
              <w:t>0,675</w:t>
            </w:r>
          </w:p>
        </w:tc>
      </w:tr>
      <w:tr>
        <w:trPr>
          <w:trHeight w:val="448" w:hRule="atLeast"/>
        </w:trPr>
        <w:tc>
          <w:tcPr>
            <w:tcW w:w="1668" w:type="dxa"/>
          </w:tcPr>
          <w:p>
            <w:pPr>
              <w:pStyle w:val="TableParagraph"/>
              <w:spacing w:before="2"/>
              <w:ind w:left="167"/>
              <w:rPr>
                <w:sz w:val="26"/>
              </w:rPr>
            </w:pPr>
            <w:r>
              <w:rPr>
                <w:sz w:val="26"/>
              </w:rPr>
              <w:t>TC5</w:t>
            </w:r>
          </w:p>
        </w:tc>
        <w:tc>
          <w:tcPr>
            <w:tcW w:w="1933" w:type="dxa"/>
          </w:tcPr>
          <w:p>
            <w:pPr>
              <w:pStyle w:val="TableParagraph"/>
              <w:spacing w:before="2"/>
              <w:ind w:right="159"/>
              <w:jc w:val="right"/>
              <w:rPr>
                <w:sz w:val="26"/>
              </w:rPr>
            </w:pPr>
            <w:r>
              <w:rPr>
                <w:w w:val="95"/>
                <w:sz w:val="26"/>
              </w:rPr>
              <w:t>13,91</w:t>
            </w:r>
          </w:p>
        </w:tc>
        <w:tc>
          <w:tcPr>
            <w:tcW w:w="1897" w:type="dxa"/>
          </w:tcPr>
          <w:p>
            <w:pPr>
              <w:pStyle w:val="TableParagraph"/>
              <w:spacing w:before="2"/>
              <w:ind w:right="162"/>
              <w:jc w:val="right"/>
              <w:rPr>
                <w:sz w:val="26"/>
              </w:rPr>
            </w:pPr>
            <w:r>
              <w:rPr>
                <w:w w:val="95"/>
                <w:sz w:val="26"/>
              </w:rPr>
              <w:t>19,971</w:t>
            </w:r>
          </w:p>
        </w:tc>
        <w:tc>
          <w:tcPr>
            <w:tcW w:w="1707" w:type="dxa"/>
          </w:tcPr>
          <w:p>
            <w:pPr>
              <w:pStyle w:val="TableParagraph"/>
              <w:spacing w:before="2"/>
              <w:ind w:right="160"/>
              <w:jc w:val="right"/>
              <w:rPr>
                <w:sz w:val="26"/>
              </w:rPr>
            </w:pPr>
            <w:r>
              <w:rPr>
                <w:w w:val="95"/>
                <w:sz w:val="26"/>
              </w:rPr>
              <w:t>0,087</w:t>
            </w:r>
          </w:p>
        </w:tc>
        <w:tc>
          <w:tcPr>
            <w:tcW w:w="1804" w:type="dxa"/>
          </w:tcPr>
          <w:p>
            <w:pPr>
              <w:pStyle w:val="TableParagraph"/>
              <w:spacing w:before="2"/>
              <w:ind w:right="163"/>
              <w:jc w:val="right"/>
              <w:rPr>
                <w:sz w:val="26"/>
              </w:rPr>
            </w:pPr>
            <w:r>
              <w:rPr>
                <w:w w:val="95"/>
                <w:sz w:val="26"/>
              </w:rPr>
              <w:t>0,883</w:t>
            </w:r>
          </w:p>
        </w:tc>
      </w:tr>
      <w:tr>
        <w:trPr>
          <w:trHeight w:val="448" w:hRule="atLeast"/>
        </w:trPr>
        <w:tc>
          <w:tcPr>
            <w:tcW w:w="9009" w:type="dxa"/>
            <w:gridSpan w:val="5"/>
          </w:tcPr>
          <w:p>
            <w:pPr>
              <w:pStyle w:val="TableParagraph"/>
              <w:spacing w:before="2"/>
              <w:ind w:left="1079" w:right="1076"/>
              <w:jc w:val="center"/>
              <w:rPr>
                <w:b/>
                <w:sz w:val="26"/>
              </w:rPr>
            </w:pPr>
            <w:r>
              <w:rPr>
                <w:b/>
                <w:sz w:val="26"/>
              </w:rPr>
              <w:t>Thang đo chi phí Logistics với Cronbach’s Alpha: 0,887</w:t>
            </w:r>
          </w:p>
        </w:tc>
      </w:tr>
      <w:tr>
        <w:trPr>
          <w:trHeight w:val="448" w:hRule="atLeast"/>
        </w:trPr>
        <w:tc>
          <w:tcPr>
            <w:tcW w:w="1668" w:type="dxa"/>
          </w:tcPr>
          <w:p>
            <w:pPr>
              <w:pStyle w:val="TableParagraph"/>
              <w:spacing w:before="2"/>
              <w:ind w:left="167"/>
              <w:rPr>
                <w:sz w:val="26"/>
              </w:rPr>
            </w:pPr>
            <w:r>
              <w:rPr>
                <w:sz w:val="26"/>
              </w:rPr>
              <w:t>CP1</w:t>
            </w:r>
          </w:p>
        </w:tc>
        <w:tc>
          <w:tcPr>
            <w:tcW w:w="1933" w:type="dxa"/>
          </w:tcPr>
          <w:p>
            <w:pPr>
              <w:pStyle w:val="TableParagraph"/>
              <w:spacing w:before="2"/>
              <w:ind w:right="159"/>
              <w:jc w:val="right"/>
              <w:rPr>
                <w:sz w:val="26"/>
              </w:rPr>
            </w:pPr>
            <w:r>
              <w:rPr>
                <w:w w:val="95"/>
                <w:sz w:val="26"/>
              </w:rPr>
              <w:t>18,38</w:t>
            </w:r>
          </w:p>
        </w:tc>
        <w:tc>
          <w:tcPr>
            <w:tcW w:w="1897" w:type="dxa"/>
          </w:tcPr>
          <w:p>
            <w:pPr>
              <w:pStyle w:val="TableParagraph"/>
              <w:spacing w:before="2"/>
              <w:ind w:right="162"/>
              <w:jc w:val="right"/>
              <w:rPr>
                <w:sz w:val="26"/>
              </w:rPr>
            </w:pPr>
            <w:r>
              <w:rPr>
                <w:w w:val="95"/>
                <w:sz w:val="26"/>
              </w:rPr>
              <w:t>18,176</w:t>
            </w:r>
          </w:p>
        </w:tc>
        <w:tc>
          <w:tcPr>
            <w:tcW w:w="1707" w:type="dxa"/>
          </w:tcPr>
          <w:p>
            <w:pPr>
              <w:pStyle w:val="TableParagraph"/>
              <w:spacing w:before="2"/>
              <w:ind w:right="160"/>
              <w:jc w:val="right"/>
              <w:rPr>
                <w:sz w:val="26"/>
              </w:rPr>
            </w:pPr>
            <w:r>
              <w:rPr>
                <w:w w:val="95"/>
                <w:sz w:val="26"/>
              </w:rPr>
              <w:t>0,708</w:t>
            </w:r>
          </w:p>
        </w:tc>
        <w:tc>
          <w:tcPr>
            <w:tcW w:w="1804" w:type="dxa"/>
          </w:tcPr>
          <w:p>
            <w:pPr>
              <w:pStyle w:val="TableParagraph"/>
              <w:spacing w:before="2"/>
              <w:ind w:right="163"/>
              <w:jc w:val="right"/>
              <w:rPr>
                <w:sz w:val="26"/>
              </w:rPr>
            </w:pPr>
            <w:r>
              <w:rPr>
                <w:w w:val="95"/>
                <w:sz w:val="26"/>
              </w:rPr>
              <w:t>0,866</w:t>
            </w:r>
          </w:p>
        </w:tc>
      </w:tr>
      <w:tr>
        <w:trPr>
          <w:trHeight w:val="448" w:hRule="atLeast"/>
        </w:trPr>
        <w:tc>
          <w:tcPr>
            <w:tcW w:w="1668" w:type="dxa"/>
          </w:tcPr>
          <w:p>
            <w:pPr>
              <w:pStyle w:val="TableParagraph"/>
              <w:spacing w:before="2"/>
              <w:ind w:left="167"/>
              <w:rPr>
                <w:sz w:val="26"/>
              </w:rPr>
            </w:pPr>
            <w:r>
              <w:rPr>
                <w:sz w:val="26"/>
              </w:rPr>
              <w:t>CP2</w:t>
            </w:r>
          </w:p>
        </w:tc>
        <w:tc>
          <w:tcPr>
            <w:tcW w:w="1933" w:type="dxa"/>
          </w:tcPr>
          <w:p>
            <w:pPr>
              <w:pStyle w:val="TableParagraph"/>
              <w:spacing w:before="2"/>
              <w:ind w:right="159"/>
              <w:jc w:val="right"/>
              <w:rPr>
                <w:sz w:val="26"/>
              </w:rPr>
            </w:pPr>
            <w:r>
              <w:rPr>
                <w:w w:val="95"/>
                <w:sz w:val="26"/>
              </w:rPr>
              <w:t>18,41</w:t>
            </w:r>
          </w:p>
        </w:tc>
        <w:tc>
          <w:tcPr>
            <w:tcW w:w="1897" w:type="dxa"/>
          </w:tcPr>
          <w:p>
            <w:pPr>
              <w:pStyle w:val="TableParagraph"/>
              <w:spacing w:before="2"/>
              <w:ind w:right="162"/>
              <w:jc w:val="right"/>
              <w:rPr>
                <w:sz w:val="26"/>
              </w:rPr>
            </w:pPr>
            <w:r>
              <w:rPr>
                <w:w w:val="95"/>
                <w:sz w:val="26"/>
              </w:rPr>
              <w:t>18,243</w:t>
            </w:r>
          </w:p>
        </w:tc>
        <w:tc>
          <w:tcPr>
            <w:tcW w:w="1707" w:type="dxa"/>
          </w:tcPr>
          <w:p>
            <w:pPr>
              <w:pStyle w:val="TableParagraph"/>
              <w:spacing w:before="2"/>
              <w:ind w:right="160"/>
              <w:jc w:val="right"/>
              <w:rPr>
                <w:sz w:val="26"/>
              </w:rPr>
            </w:pPr>
            <w:r>
              <w:rPr>
                <w:w w:val="95"/>
                <w:sz w:val="26"/>
              </w:rPr>
              <w:t>0,689</w:t>
            </w:r>
          </w:p>
        </w:tc>
        <w:tc>
          <w:tcPr>
            <w:tcW w:w="1804" w:type="dxa"/>
          </w:tcPr>
          <w:p>
            <w:pPr>
              <w:pStyle w:val="TableParagraph"/>
              <w:spacing w:before="2"/>
              <w:ind w:right="163"/>
              <w:jc w:val="right"/>
              <w:rPr>
                <w:sz w:val="26"/>
              </w:rPr>
            </w:pPr>
            <w:r>
              <w:rPr>
                <w:w w:val="95"/>
                <w:sz w:val="26"/>
              </w:rPr>
              <w:t>0,869</w:t>
            </w:r>
          </w:p>
        </w:tc>
      </w:tr>
      <w:tr>
        <w:trPr>
          <w:trHeight w:val="448" w:hRule="atLeast"/>
        </w:trPr>
        <w:tc>
          <w:tcPr>
            <w:tcW w:w="1668" w:type="dxa"/>
          </w:tcPr>
          <w:p>
            <w:pPr>
              <w:pStyle w:val="TableParagraph"/>
              <w:spacing w:before="2"/>
              <w:ind w:left="167"/>
              <w:rPr>
                <w:sz w:val="26"/>
              </w:rPr>
            </w:pPr>
            <w:r>
              <w:rPr>
                <w:sz w:val="26"/>
              </w:rPr>
              <w:t>CP3</w:t>
            </w:r>
          </w:p>
        </w:tc>
        <w:tc>
          <w:tcPr>
            <w:tcW w:w="1933" w:type="dxa"/>
          </w:tcPr>
          <w:p>
            <w:pPr>
              <w:pStyle w:val="TableParagraph"/>
              <w:spacing w:before="2"/>
              <w:ind w:right="159"/>
              <w:jc w:val="right"/>
              <w:rPr>
                <w:sz w:val="26"/>
              </w:rPr>
            </w:pPr>
            <w:r>
              <w:rPr>
                <w:w w:val="95"/>
                <w:sz w:val="26"/>
              </w:rPr>
              <w:t>18,39</w:t>
            </w:r>
          </w:p>
        </w:tc>
        <w:tc>
          <w:tcPr>
            <w:tcW w:w="1897" w:type="dxa"/>
          </w:tcPr>
          <w:p>
            <w:pPr>
              <w:pStyle w:val="TableParagraph"/>
              <w:spacing w:before="2"/>
              <w:ind w:right="162"/>
              <w:jc w:val="right"/>
              <w:rPr>
                <w:sz w:val="26"/>
              </w:rPr>
            </w:pPr>
            <w:r>
              <w:rPr>
                <w:w w:val="95"/>
                <w:sz w:val="26"/>
              </w:rPr>
              <w:t>17,745</w:t>
            </w:r>
          </w:p>
        </w:tc>
        <w:tc>
          <w:tcPr>
            <w:tcW w:w="1707" w:type="dxa"/>
          </w:tcPr>
          <w:p>
            <w:pPr>
              <w:pStyle w:val="TableParagraph"/>
              <w:spacing w:before="2"/>
              <w:ind w:right="160"/>
              <w:jc w:val="right"/>
              <w:rPr>
                <w:sz w:val="26"/>
              </w:rPr>
            </w:pPr>
            <w:r>
              <w:rPr>
                <w:w w:val="95"/>
                <w:sz w:val="26"/>
              </w:rPr>
              <w:t>0,740</w:t>
            </w:r>
          </w:p>
        </w:tc>
        <w:tc>
          <w:tcPr>
            <w:tcW w:w="1804" w:type="dxa"/>
          </w:tcPr>
          <w:p>
            <w:pPr>
              <w:pStyle w:val="TableParagraph"/>
              <w:spacing w:before="2"/>
              <w:ind w:right="163"/>
              <w:jc w:val="right"/>
              <w:rPr>
                <w:sz w:val="26"/>
              </w:rPr>
            </w:pPr>
            <w:r>
              <w:rPr>
                <w:w w:val="95"/>
                <w:sz w:val="26"/>
              </w:rPr>
              <w:t>0,860</w:t>
            </w:r>
          </w:p>
        </w:tc>
      </w:tr>
      <w:tr>
        <w:trPr>
          <w:trHeight w:val="448" w:hRule="atLeast"/>
        </w:trPr>
        <w:tc>
          <w:tcPr>
            <w:tcW w:w="1668" w:type="dxa"/>
          </w:tcPr>
          <w:p>
            <w:pPr>
              <w:pStyle w:val="TableParagraph"/>
              <w:spacing w:before="2"/>
              <w:ind w:left="167"/>
              <w:rPr>
                <w:sz w:val="26"/>
              </w:rPr>
            </w:pPr>
            <w:r>
              <w:rPr>
                <w:sz w:val="26"/>
              </w:rPr>
              <w:t>CP4</w:t>
            </w:r>
          </w:p>
        </w:tc>
        <w:tc>
          <w:tcPr>
            <w:tcW w:w="1933" w:type="dxa"/>
          </w:tcPr>
          <w:p>
            <w:pPr>
              <w:pStyle w:val="TableParagraph"/>
              <w:spacing w:before="2"/>
              <w:ind w:right="159"/>
              <w:jc w:val="right"/>
              <w:rPr>
                <w:sz w:val="26"/>
              </w:rPr>
            </w:pPr>
            <w:r>
              <w:rPr>
                <w:w w:val="95"/>
                <w:sz w:val="26"/>
              </w:rPr>
              <w:t>18,38</w:t>
            </w:r>
          </w:p>
        </w:tc>
        <w:tc>
          <w:tcPr>
            <w:tcW w:w="1897" w:type="dxa"/>
          </w:tcPr>
          <w:p>
            <w:pPr>
              <w:pStyle w:val="TableParagraph"/>
              <w:spacing w:before="2"/>
              <w:ind w:right="162"/>
              <w:jc w:val="right"/>
              <w:rPr>
                <w:sz w:val="26"/>
              </w:rPr>
            </w:pPr>
            <w:r>
              <w:rPr>
                <w:w w:val="95"/>
                <w:sz w:val="26"/>
              </w:rPr>
              <w:t>18,650</w:t>
            </w:r>
          </w:p>
        </w:tc>
        <w:tc>
          <w:tcPr>
            <w:tcW w:w="1707" w:type="dxa"/>
          </w:tcPr>
          <w:p>
            <w:pPr>
              <w:pStyle w:val="TableParagraph"/>
              <w:spacing w:before="2"/>
              <w:ind w:right="160"/>
              <w:jc w:val="right"/>
              <w:rPr>
                <w:sz w:val="26"/>
              </w:rPr>
            </w:pPr>
            <w:r>
              <w:rPr>
                <w:w w:val="95"/>
                <w:sz w:val="26"/>
              </w:rPr>
              <w:t>0,729</w:t>
            </w:r>
          </w:p>
        </w:tc>
        <w:tc>
          <w:tcPr>
            <w:tcW w:w="1804" w:type="dxa"/>
          </w:tcPr>
          <w:p>
            <w:pPr>
              <w:pStyle w:val="TableParagraph"/>
              <w:spacing w:before="2"/>
              <w:ind w:right="163"/>
              <w:jc w:val="right"/>
              <w:rPr>
                <w:sz w:val="26"/>
              </w:rPr>
            </w:pPr>
            <w:r>
              <w:rPr>
                <w:w w:val="95"/>
                <w:sz w:val="26"/>
              </w:rPr>
              <w:t>0,862</w:t>
            </w:r>
          </w:p>
        </w:tc>
      </w:tr>
      <w:tr>
        <w:trPr>
          <w:trHeight w:val="448" w:hRule="atLeast"/>
        </w:trPr>
        <w:tc>
          <w:tcPr>
            <w:tcW w:w="1668" w:type="dxa"/>
          </w:tcPr>
          <w:p>
            <w:pPr>
              <w:pStyle w:val="TableParagraph"/>
              <w:spacing w:before="2"/>
              <w:ind w:left="167"/>
              <w:rPr>
                <w:sz w:val="26"/>
              </w:rPr>
            </w:pPr>
            <w:r>
              <w:rPr>
                <w:sz w:val="26"/>
              </w:rPr>
              <w:t>CP5</w:t>
            </w:r>
          </w:p>
        </w:tc>
        <w:tc>
          <w:tcPr>
            <w:tcW w:w="1933" w:type="dxa"/>
          </w:tcPr>
          <w:p>
            <w:pPr>
              <w:pStyle w:val="TableParagraph"/>
              <w:spacing w:before="2"/>
              <w:ind w:right="159"/>
              <w:jc w:val="right"/>
              <w:rPr>
                <w:sz w:val="26"/>
              </w:rPr>
            </w:pPr>
            <w:r>
              <w:rPr>
                <w:w w:val="95"/>
                <w:sz w:val="26"/>
              </w:rPr>
              <w:t>18,41</w:t>
            </w:r>
          </w:p>
        </w:tc>
        <w:tc>
          <w:tcPr>
            <w:tcW w:w="1897" w:type="dxa"/>
          </w:tcPr>
          <w:p>
            <w:pPr>
              <w:pStyle w:val="TableParagraph"/>
              <w:spacing w:before="2"/>
              <w:ind w:right="162"/>
              <w:jc w:val="right"/>
              <w:rPr>
                <w:sz w:val="26"/>
              </w:rPr>
            </w:pPr>
            <w:r>
              <w:rPr>
                <w:w w:val="95"/>
                <w:sz w:val="26"/>
              </w:rPr>
              <w:t>19,366</w:t>
            </w:r>
          </w:p>
        </w:tc>
        <w:tc>
          <w:tcPr>
            <w:tcW w:w="1707" w:type="dxa"/>
          </w:tcPr>
          <w:p>
            <w:pPr>
              <w:pStyle w:val="TableParagraph"/>
              <w:spacing w:before="2"/>
              <w:ind w:right="160"/>
              <w:jc w:val="right"/>
              <w:rPr>
                <w:sz w:val="26"/>
              </w:rPr>
            </w:pPr>
            <w:r>
              <w:rPr>
                <w:w w:val="95"/>
                <w:sz w:val="26"/>
              </w:rPr>
              <w:t>0,678</w:t>
            </w:r>
          </w:p>
        </w:tc>
        <w:tc>
          <w:tcPr>
            <w:tcW w:w="1804" w:type="dxa"/>
          </w:tcPr>
          <w:p>
            <w:pPr>
              <w:pStyle w:val="TableParagraph"/>
              <w:spacing w:before="2"/>
              <w:ind w:right="163"/>
              <w:jc w:val="right"/>
              <w:rPr>
                <w:sz w:val="26"/>
              </w:rPr>
            </w:pPr>
            <w:r>
              <w:rPr>
                <w:w w:val="95"/>
                <w:sz w:val="26"/>
              </w:rPr>
              <w:t>0,871</w:t>
            </w:r>
          </w:p>
        </w:tc>
      </w:tr>
      <w:tr>
        <w:trPr>
          <w:trHeight w:val="448" w:hRule="atLeast"/>
        </w:trPr>
        <w:tc>
          <w:tcPr>
            <w:tcW w:w="1668" w:type="dxa"/>
          </w:tcPr>
          <w:p>
            <w:pPr>
              <w:pStyle w:val="TableParagraph"/>
              <w:spacing w:before="2"/>
              <w:ind w:left="167"/>
              <w:rPr>
                <w:sz w:val="26"/>
              </w:rPr>
            </w:pPr>
            <w:r>
              <w:rPr>
                <w:sz w:val="26"/>
              </w:rPr>
              <w:t>CP6</w:t>
            </w:r>
          </w:p>
        </w:tc>
        <w:tc>
          <w:tcPr>
            <w:tcW w:w="1933" w:type="dxa"/>
          </w:tcPr>
          <w:p>
            <w:pPr>
              <w:pStyle w:val="TableParagraph"/>
              <w:spacing w:before="2"/>
              <w:ind w:right="159"/>
              <w:jc w:val="right"/>
              <w:rPr>
                <w:sz w:val="26"/>
              </w:rPr>
            </w:pPr>
            <w:r>
              <w:rPr>
                <w:w w:val="95"/>
                <w:sz w:val="26"/>
              </w:rPr>
              <w:t>18,30</w:t>
            </w:r>
          </w:p>
        </w:tc>
        <w:tc>
          <w:tcPr>
            <w:tcW w:w="1897" w:type="dxa"/>
          </w:tcPr>
          <w:p>
            <w:pPr>
              <w:pStyle w:val="TableParagraph"/>
              <w:spacing w:before="2"/>
              <w:ind w:right="162"/>
              <w:jc w:val="right"/>
              <w:rPr>
                <w:sz w:val="26"/>
              </w:rPr>
            </w:pPr>
            <w:r>
              <w:rPr>
                <w:w w:val="95"/>
                <w:sz w:val="26"/>
              </w:rPr>
              <w:t>19,717</w:t>
            </w:r>
          </w:p>
        </w:tc>
        <w:tc>
          <w:tcPr>
            <w:tcW w:w="1707" w:type="dxa"/>
          </w:tcPr>
          <w:p>
            <w:pPr>
              <w:pStyle w:val="TableParagraph"/>
              <w:spacing w:before="2"/>
              <w:ind w:right="160"/>
              <w:jc w:val="right"/>
              <w:rPr>
                <w:sz w:val="26"/>
              </w:rPr>
            </w:pPr>
            <w:r>
              <w:rPr>
                <w:w w:val="95"/>
                <w:sz w:val="26"/>
              </w:rPr>
              <w:t>0,671</w:t>
            </w:r>
          </w:p>
        </w:tc>
        <w:tc>
          <w:tcPr>
            <w:tcW w:w="1804" w:type="dxa"/>
          </w:tcPr>
          <w:p>
            <w:pPr>
              <w:pStyle w:val="TableParagraph"/>
              <w:spacing w:before="2"/>
              <w:ind w:right="163"/>
              <w:jc w:val="right"/>
              <w:rPr>
                <w:sz w:val="26"/>
              </w:rPr>
            </w:pPr>
            <w:r>
              <w:rPr>
                <w:w w:val="95"/>
                <w:sz w:val="26"/>
              </w:rPr>
              <w:t>0,872</w:t>
            </w:r>
          </w:p>
        </w:tc>
      </w:tr>
      <w:tr>
        <w:trPr>
          <w:trHeight w:val="450" w:hRule="atLeast"/>
        </w:trPr>
        <w:tc>
          <w:tcPr>
            <w:tcW w:w="9009" w:type="dxa"/>
            <w:gridSpan w:val="5"/>
          </w:tcPr>
          <w:p>
            <w:pPr>
              <w:pStyle w:val="TableParagraph"/>
              <w:spacing w:before="2"/>
              <w:ind w:left="750"/>
              <w:rPr>
                <w:b/>
                <w:sz w:val="26"/>
              </w:rPr>
            </w:pPr>
            <w:r>
              <w:rPr>
                <w:b/>
                <w:sz w:val="26"/>
              </w:rPr>
              <w:t>Thang đo chất lượng dịch vụ Logistics với Cronbach’s Alpha: 0,809</w:t>
            </w:r>
          </w:p>
        </w:tc>
      </w:tr>
    </w:tbl>
    <w:p>
      <w:pPr>
        <w:spacing w:after="0"/>
        <w:rPr>
          <w:sz w:val="26"/>
        </w:rPr>
        <w:sectPr>
          <w:pgSz w:w="11910" w:h="16850"/>
          <w:pgMar w:header="751" w:footer="0" w:top="960" w:bottom="280" w:left="820" w:right="240"/>
        </w:sectPr>
      </w:pPr>
    </w:p>
    <w:p>
      <w:pPr>
        <w:pStyle w:val="BodyText"/>
        <w:rPr>
          <w:b/>
          <w:sz w:val="20"/>
        </w:rPr>
      </w:pPr>
    </w:p>
    <w:p>
      <w:pPr>
        <w:pStyle w:val="BodyText"/>
        <w:rPr>
          <w:b/>
          <w:sz w:val="20"/>
        </w:rPr>
      </w:pPr>
    </w:p>
    <w:p>
      <w:pPr>
        <w:pStyle w:val="BodyText"/>
        <w:spacing w:before="1"/>
        <w:rPr>
          <w:b/>
          <w:sz w:val="11"/>
        </w:rPr>
      </w:pPr>
    </w:p>
    <w:tbl>
      <w:tblPr>
        <w:tblW w:w="0" w:type="auto"/>
        <w:jc w:val="left"/>
        <w:tblInd w:w="77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1668"/>
        <w:gridCol w:w="1933"/>
        <w:gridCol w:w="1897"/>
        <w:gridCol w:w="1707"/>
        <w:gridCol w:w="1804"/>
      </w:tblGrid>
      <w:tr>
        <w:trPr>
          <w:trHeight w:val="1346" w:hRule="atLeast"/>
        </w:trPr>
        <w:tc>
          <w:tcPr>
            <w:tcW w:w="1668" w:type="dxa"/>
          </w:tcPr>
          <w:p>
            <w:pPr>
              <w:pStyle w:val="TableParagraph"/>
              <w:spacing w:line="360" w:lineRule="auto" w:before="2"/>
              <w:ind w:left="674" w:right="237" w:hanging="408"/>
              <w:rPr>
                <w:b/>
                <w:sz w:val="26"/>
              </w:rPr>
            </w:pPr>
            <w:r>
              <w:rPr>
                <w:b/>
                <w:sz w:val="26"/>
              </w:rPr>
              <w:t>Biến quan sát</w:t>
            </w:r>
          </w:p>
        </w:tc>
        <w:tc>
          <w:tcPr>
            <w:tcW w:w="1933" w:type="dxa"/>
          </w:tcPr>
          <w:p>
            <w:pPr>
              <w:pStyle w:val="TableParagraph"/>
              <w:spacing w:line="360" w:lineRule="auto" w:before="2"/>
              <w:ind w:left="244" w:right="233" w:hanging="3"/>
              <w:jc w:val="center"/>
              <w:rPr>
                <w:b/>
                <w:sz w:val="26"/>
              </w:rPr>
            </w:pPr>
            <w:r>
              <w:rPr>
                <w:b/>
                <w:sz w:val="26"/>
              </w:rPr>
              <w:t>Trung bình thang đo nếu</w:t>
            </w:r>
          </w:p>
          <w:p>
            <w:pPr>
              <w:pStyle w:val="TableParagraph"/>
              <w:spacing w:before="1"/>
              <w:ind w:left="470" w:right="466"/>
              <w:jc w:val="center"/>
              <w:rPr>
                <w:b/>
                <w:sz w:val="26"/>
              </w:rPr>
            </w:pPr>
            <w:r>
              <w:rPr>
                <w:b/>
                <w:sz w:val="26"/>
              </w:rPr>
              <w:t>loại biến</w:t>
            </w:r>
          </w:p>
        </w:tc>
        <w:tc>
          <w:tcPr>
            <w:tcW w:w="1897" w:type="dxa"/>
          </w:tcPr>
          <w:p>
            <w:pPr>
              <w:pStyle w:val="TableParagraph"/>
              <w:spacing w:line="360" w:lineRule="auto" w:before="2"/>
              <w:ind w:left="224" w:right="217" w:hanging="3"/>
              <w:jc w:val="center"/>
              <w:rPr>
                <w:b/>
                <w:sz w:val="26"/>
              </w:rPr>
            </w:pPr>
            <w:r>
              <w:rPr>
                <w:b/>
                <w:sz w:val="26"/>
              </w:rPr>
              <w:t>Phương sai thang đo nếu</w:t>
            </w:r>
          </w:p>
          <w:p>
            <w:pPr>
              <w:pStyle w:val="TableParagraph"/>
              <w:spacing w:before="1"/>
              <w:ind w:left="450" w:right="450"/>
              <w:jc w:val="center"/>
              <w:rPr>
                <w:b/>
                <w:sz w:val="26"/>
              </w:rPr>
            </w:pPr>
            <w:r>
              <w:rPr>
                <w:b/>
                <w:sz w:val="26"/>
              </w:rPr>
              <w:t>loại biến</w:t>
            </w:r>
          </w:p>
        </w:tc>
        <w:tc>
          <w:tcPr>
            <w:tcW w:w="1707" w:type="dxa"/>
          </w:tcPr>
          <w:p>
            <w:pPr>
              <w:pStyle w:val="TableParagraph"/>
              <w:spacing w:line="360" w:lineRule="auto" w:before="2"/>
              <w:ind w:left="334" w:right="139" w:hanging="173"/>
              <w:rPr>
                <w:b/>
                <w:sz w:val="26"/>
              </w:rPr>
            </w:pPr>
            <w:r>
              <w:rPr>
                <w:b/>
                <w:sz w:val="26"/>
              </w:rPr>
              <w:t>Tương quan biến tổng</w:t>
            </w:r>
          </w:p>
        </w:tc>
        <w:tc>
          <w:tcPr>
            <w:tcW w:w="1804" w:type="dxa"/>
          </w:tcPr>
          <w:p>
            <w:pPr>
              <w:pStyle w:val="TableParagraph"/>
              <w:spacing w:line="360" w:lineRule="auto" w:before="2"/>
              <w:ind w:left="425" w:right="301" w:hanging="101"/>
              <w:rPr>
                <w:b/>
                <w:sz w:val="26"/>
              </w:rPr>
            </w:pPr>
            <w:r>
              <w:rPr>
                <w:b/>
                <w:sz w:val="26"/>
              </w:rPr>
              <w:t>Alpha nếu loại biến</w:t>
            </w:r>
          </w:p>
        </w:tc>
      </w:tr>
      <w:tr>
        <w:trPr>
          <w:trHeight w:val="448" w:hRule="atLeast"/>
        </w:trPr>
        <w:tc>
          <w:tcPr>
            <w:tcW w:w="1668" w:type="dxa"/>
          </w:tcPr>
          <w:p>
            <w:pPr>
              <w:pStyle w:val="TableParagraph"/>
              <w:spacing w:before="2"/>
              <w:ind w:left="167"/>
              <w:rPr>
                <w:sz w:val="26"/>
              </w:rPr>
            </w:pPr>
            <w:r>
              <w:rPr>
                <w:sz w:val="26"/>
              </w:rPr>
              <w:t>CLDV1</w:t>
            </w:r>
          </w:p>
        </w:tc>
        <w:tc>
          <w:tcPr>
            <w:tcW w:w="1933" w:type="dxa"/>
          </w:tcPr>
          <w:p>
            <w:pPr>
              <w:pStyle w:val="TableParagraph"/>
              <w:spacing w:before="2"/>
              <w:ind w:right="159"/>
              <w:jc w:val="right"/>
              <w:rPr>
                <w:sz w:val="26"/>
              </w:rPr>
            </w:pPr>
            <w:r>
              <w:rPr>
                <w:w w:val="95"/>
                <w:sz w:val="26"/>
              </w:rPr>
              <w:t>29,11</w:t>
            </w:r>
          </w:p>
        </w:tc>
        <w:tc>
          <w:tcPr>
            <w:tcW w:w="1897" w:type="dxa"/>
          </w:tcPr>
          <w:p>
            <w:pPr>
              <w:pStyle w:val="TableParagraph"/>
              <w:spacing w:before="2"/>
              <w:ind w:right="162"/>
              <w:jc w:val="right"/>
              <w:rPr>
                <w:sz w:val="26"/>
              </w:rPr>
            </w:pPr>
            <w:r>
              <w:rPr>
                <w:w w:val="95"/>
                <w:sz w:val="26"/>
              </w:rPr>
              <w:t>46,849</w:t>
            </w:r>
          </w:p>
        </w:tc>
        <w:tc>
          <w:tcPr>
            <w:tcW w:w="1707" w:type="dxa"/>
          </w:tcPr>
          <w:p>
            <w:pPr>
              <w:pStyle w:val="TableParagraph"/>
              <w:spacing w:before="2"/>
              <w:ind w:right="160"/>
              <w:jc w:val="right"/>
              <w:rPr>
                <w:sz w:val="26"/>
              </w:rPr>
            </w:pPr>
            <w:r>
              <w:rPr>
                <w:w w:val="95"/>
                <w:sz w:val="26"/>
              </w:rPr>
              <w:t>0,738</w:t>
            </w:r>
          </w:p>
        </w:tc>
        <w:tc>
          <w:tcPr>
            <w:tcW w:w="1804" w:type="dxa"/>
          </w:tcPr>
          <w:p>
            <w:pPr>
              <w:pStyle w:val="TableParagraph"/>
              <w:spacing w:before="2"/>
              <w:ind w:right="163"/>
              <w:jc w:val="right"/>
              <w:rPr>
                <w:sz w:val="26"/>
              </w:rPr>
            </w:pPr>
            <w:r>
              <w:rPr>
                <w:w w:val="95"/>
                <w:sz w:val="26"/>
              </w:rPr>
              <w:t>0,766</w:t>
            </w:r>
          </w:p>
        </w:tc>
      </w:tr>
      <w:tr>
        <w:trPr>
          <w:trHeight w:val="448" w:hRule="atLeast"/>
        </w:trPr>
        <w:tc>
          <w:tcPr>
            <w:tcW w:w="1668" w:type="dxa"/>
          </w:tcPr>
          <w:p>
            <w:pPr>
              <w:pStyle w:val="TableParagraph"/>
              <w:spacing w:before="2"/>
              <w:ind w:left="167"/>
              <w:rPr>
                <w:sz w:val="26"/>
              </w:rPr>
            </w:pPr>
            <w:r>
              <w:rPr>
                <w:sz w:val="26"/>
              </w:rPr>
              <w:t>CLDV 2</w:t>
            </w:r>
          </w:p>
        </w:tc>
        <w:tc>
          <w:tcPr>
            <w:tcW w:w="1933" w:type="dxa"/>
          </w:tcPr>
          <w:p>
            <w:pPr>
              <w:pStyle w:val="TableParagraph"/>
              <w:spacing w:before="2"/>
              <w:ind w:right="159"/>
              <w:jc w:val="right"/>
              <w:rPr>
                <w:sz w:val="26"/>
              </w:rPr>
            </w:pPr>
            <w:r>
              <w:rPr>
                <w:w w:val="95"/>
                <w:sz w:val="26"/>
              </w:rPr>
              <w:t>30,64</w:t>
            </w:r>
          </w:p>
        </w:tc>
        <w:tc>
          <w:tcPr>
            <w:tcW w:w="1897" w:type="dxa"/>
          </w:tcPr>
          <w:p>
            <w:pPr>
              <w:pStyle w:val="TableParagraph"/>
              <w:spacing w:before="2"/>
              <w:ind w:right="162"/>
              <w:jc w:val="right"/>
              <w:rPr>
                <w:sz w:val="26"/>
              </w:rPr>
            </w:pPr>
            <w:r>
              <w:rPr>
                <w:w w:val="95"/>
                <w:sz w:val="26"/>
              </w:rPr>
              <w:t>55,016</w:t>
            </w:r>
          </w:p>
        </w:tc>
        <w:tc>
          <w:tcPr>
            <w:tcW w:w="1707" w:type="dxa"/>
          </w:tcPr>
          <w:p>
            <w:pPr>
              <w:pStyle w:val="TableParagraph"/>
              <w:spacing w:before="2"/>
              <w:ind w:right="160"/>
              <w:jc w:val="right"/>
              <w:rPr>
                <w:sz w:val="26"/>
              </w:rPr>
            </w:pPr>
            <w:r>
              <w:rPr>
                <w:w w:val="95"/>
                <w:sz w:val="26"/>
              </w:rPr>
              <w:t>0,113</w:t>
            </w:r>
          </w:p>
        </w:tc>
        <w:tc>
          <w:tcPr>
            <w:tcW w:w="1804" w:type="dxa"/>
          </w:tcPr>
          <w:p>
            <w:pPr>
              <w:pStyle w:val="TableParagraph"/>
              <w:spacing w:before="2"/>
              <w:ind w:right="163"/>
              <w:jc w:val="right"/>
              <w:rPr>
                <w:sz w:val="26"/>
              </w:rPr>
            </w:pPr>
            <w:r>
              <w:rPr>
                <w:w w:val="95"/>
                <w:sz w:val="26"/>
              </w:rPr>
              <w:t>0,840</w:t>
            </w:r>
          </w:p>
        </w:tc>
      </w:tr>
      <w:tr>
        <w:trPr>
          <w:trHeight w:val="448" w:hRule="atLeast"/>
        </w:trPr>
        <w:tc>
          <w:tcPr>
            <w:tcW w:w="1668" w:type="dxa"/>
          </w:tcPr>
          <w:p>
            <w:pPr>
              <w:pStyle w:val="TableParagraph"/>
              <w:spacing w:before="2"/>
              <w:ind w:left="167"/>
              <w:rPr>
                <w:sz w:val="26"/>
              </w:rPr>
            </w:pPr>
            <w:r>
              <w:rPr>
                <w:sz w:val="26"/>
              </w:rPr>
              <w:t>CLDV 3</w:t>
            </w:r>
          </w:p>
        </w:tc>
        <w:tc>
          <w:tcPr>
            <w:tcW w:w="1933" w:type="dxa"/>
          </w:tcPr>
          <w:p>
            <w:pPr>
              <w:pStyle w:val="TableParagraph"/>
              <w:spacing w:before="2"/>
              <w:ind w:right="159"/>
              <w:jc w:val="right"/>
              <w:rPr>
                <w:sz w:val="26"/>
              </w:rPr>
            </w:pPr>
            <w:r>
              <w:rPr>
                <w:w w:val="95"/>
                <w:sz w:val="26"/>
              </w:rPr>
              <w:t>29,06</w:t>
            </w:r>
          </w:p>
        </w:tc>
        <w:tc>
          <w:tcPr>
            <w:tcW w:w="1897" w:type="dxa"/>
          </w:tcPr>
          <w:p>
            <w:pPr>
              <w:pStyle w:val="TableParagraph"/>
              <w:spacing w:before="2"/>
              <w:ind w:right="162"/>
              <w:jc w:val="right"/>
              <w:rPr>
                <w:sz w:val="26"/>
              </w:rPr>
            </w:pPr>
            <w:r>
              <w:rPr>
                <w:w w:val="95"/>
                <w:sz w:val="26"/>
              </w:rPr>
              <w:t>47,229</w:t>
            </w:r>
          </w:p>
        </w:tc>
        <w:tc>
          <w:tcPr>
            <w:tcW w:w="1707" w:type="dxa"/>
          </w:tcPr>
          <w:p>
            <w:pPr>
              <w:pStyle w:val="TableParagraph"/>
              <w:spacing w:before="2"/>
              <w:ind w:right="160"/>
              <w:jc w:val="right"/>
              <w:rPr>
                <w:sz w:val="26"/>
              </w:rPr>
            </w:pPr>
            <w:r>
              <w:rPr>
                <w:w w:val="95"/>
                <w:sz w:val="26"/>
              </w:rPr>
              <w:t>0,688</w:t>
            </w:r>
          </w:p>
        </w:tc>
        <w:tc>
          <w:tcPr>
            <w:tcW w:w="1804" w:type="dxa"/>
          </w:tcPr>
          <w:p>
            <w:pPr>
              <w:pStyle w:val="TableParagraph"/>
              <w:spacing w:before="2"/>
              <w:ind w:right="163"/>
              <w:jc w:val="right"/>
              <w:rPr>
                <w:sz w:val="26"/>
              </w:rPr>
            </w:pPr>
            <w:r>
              <w:rPr>
                <w:w w:val="95"/>
                <w:sz w:val="26"/>
              </w:rPr>
              <w:t>0,770</w:t>
            </w:r>
          </w:p>
        </w:tc>
      </w:tr>
      <w:tr>
        <w:trPr>
          <w:trHeight w:val="448" w:hRule="atLeast"/>
        </w:trPr>
        <w:tc>
          <w:tcPr>
            <w:tcW w:w="1668" w:type="dxa"/>
          </w:tcPr>
          <w:p>
            <w:pPr>
              <w:pStyle w:val="TableParagraph"/>
              <w:spacing w:before="2"/>
              <w:ind w:left="167"/>
              <w:rPr>
                <w:sz w:val="26"/>
              </w:rPr>
            </w:pPr>
            <w:r>
              <w:rPr>
                <w:sz w:val="26"/>
              </w:rPr>
              <w:t>CLDV 4</w:t>
            </w:r>
          </w:p>
        </w:tc>
        <w:tc>
          <w:tcPr>
            <w:tcW w:w="1933" w:type="dxa"/>
          </w:tcPr>
          <w:p>
            <w:pPr>
              <w:pStyle w:val="TableParagraph"/>
              <w:spacing w:before="2"/>
              <w:ind w:right="159"/>
              <w:jc w:val="right"/>
              <w:rPr>
                <w:sz w:val="26"/>
              </w:rPr>
            </w:pPr>
            <w:r>
              <w:rPr>
                <w:w w:val="95"/>
                <w:sz w:val="26"/>
              </w:rPr>
              <w:t>29,10</w:t>
            </w:r>
          </w:p>
        </w:tc>
        <w:tc>
          <w:tcPr>
            <w:tcW w:w="1897" w:type="dxa"/>
          </w:tcPr>
          <w:p>
            <w:pPr>
              <w:pStyle w:val="TableParagraph"/>
              <w:spacing w:before="2"/>
              <w:ind w:right="162"/>
              <w:jc w:val="right"/>
              <w:rPr>
                <w:sz w:val="26"/>
              </w:rPr>
            </w:pPr>
            <w:r>
              <w:rPr>
                <w:w w:val="95"/>
                <w:sz w:val="26"/>
              </w:rPr>
              <w:t>47,381</w:t>
            </w:r>
          </w:p>
        </w:tc>
        <w:tc>
          <w:tcPr>
            <w:tcW w:w="1707" w:type="dxa"/>
          </w:tcPr>
          <w:p>
            <w:pPr>
              <w:pStyle w:val="TableParagraph"/>
              <w:spacing w:before="2"/>
              <w:ind w:right="160"/>
              <w:jc w:val="right"/>
              <w:rPr>
                <w:sz w:val="26"/>
              </w:rPr>
            </w:pPr>
            <w:r>
              <w:rPr>
                <w:w w:val="95"/>
                <w:sz w:val="26"/>
              </w:rPr>
              <w:t>0,664</w:t>
            </w:r>
          </w:p>
        </w:tc>
        <w:tc>
          <w:tcPr>
            <w:tcW w:w="1804" w:type="dxa"/>
          </w:tcPr>
          <w:p>
            <w:pPr>
              <w:pStyle w:val="TableParagraph"/>
              <w:spacing w:before="2"/>
              <w:ind w:right="163"/>
              <w:jc w:val="right"/>
              <w:rPr>
                <w:sz w:val="26"/>
              </w:rPr>
            </w:pPr>
            <w:r>
              <w:rPr>
                <w:w w:val="95"/>
                <w:sz w:val="26"/>
              </w:rPr>
              <w:t>0,773</w:t>
            </w:r>
          </w:p>
        </w:tc>
      </w:tr>
      <w:tr>
        <w:trPr>
          <w:trHeight w:val="448" w:hRule="atLeast"/>
        </w:trPr>
        <w:tc>
          <w:tcPr>
            <w:tcW w:w="1668" w:type="dxa"/>
          </w:tcPr>
          <w:p>
            <w:pPr>
              <w:pStyle w:val="TableParagraph"/>
              <w:spacing w:before="2"/>
              <w:ind w:left="167"/>
              <w:rPr>
                <w:sz w:val="26"/>
              </w:rPr>
            </w:pPr>
            <w:r>
              <w:rPr>
                <w:sz w:val="26"/>
              </w:rPr>
              <w:t>CLDV 5</w:t>
            </w:r>
          </w:p>
        </w:tc>
        <w:tc>
          <w:tcPr>
            <w:tcW w:w="1933" w:type="dxa"/>
          </w:tcPr>
          <w:p>
            <w:pPr>
              <w:pStyle w:val="TableParagraph"/>
              <w:spacing w:before="2"/>
              <w:ind w:right="159"/>
              <w:jc w:val="right"/>
              <w:rPr>
                <w:sz w:val="26"/>
              </w:rPr>
            </w:pPr>
            <w:r>
              <w:rPr>
                <w:w w:val="95"/>
                <w:sz w:val="26"/>
              </w:rPr>
              <w:t>30,76</w:t>
            </w:r>
          </w:p>
        </w:tc>
        <w:tc>
          <w:tcPr>
            <w:tcW w:w="1897" w:type="dxa"/>
          </w:tcPr>
          <w:p>
            <w:pPr>
              <w:pStyle w:val="TableParagraph"/>
              <w:spacing w:before="2"/>
              <w:ind w:right="162"/>
              <w:jc w:val="right"/>
              <w:rPr>
                <w:sz w:val="26"/>
              </w:rPr>
            </w:pPr>
            <w:r>
              <w:rPr>
                <w:w w:val="95"/>
                <w:sz w:val="26"/>
              </w:rPr>
              <w:t>54,305</w:t>
            </w:r>
          </w:p>
        </w:tc>
        <w:tc>
          <w:tcPr>
            <w:tcW w:w="1707" w:type="dxa"/>
          </w:tcPr>
          <w:p>
            <w:pPr>
              <w:pStyle w:val="TableParagraph"/>
              <w:spacing w:before="2"/>
              <w:ind w:right="160"/>
              <w:jc w:val="right"/>
              <w:rPr>
                <w:sz w:val="26"/>
              </w:rPr>
            </w:pPr>
            <w:r>
              <w:rPr>
                <w:w w:val="95"/>
                <w:sz w:val="26"/>
              </w:rPr>
              <w:t>0,153</w:t>
            </w:r>
          </w:p>
        </w:tc>
        <w:tc>
          <w:tcPr>
            <w:tcW w:w="1804" w:type="dxa"/>
          </w:tcPr>
          <w:p>
            <w:pPr>
              <w:pStyle w:val="TableParagraph"/>
              <w:spacing w:before="2"/>
              <w:ind w:right="163"/>
              <w:jc w:val="right"/>
              <w:rPr>
                <w:sz w:val="26"/>
              </w:rPr>
            </w:pPr>
            <w:r>
              <w:rPr>
                <w:w w:val="95"/>
                <w:sz w:val="26"/>
              </w:rPr>
              <w:t>0,834</w:t>
            </w:r>
          </w:p>
        </w:tc>
      </w:tr>
      <w:tr>
        <w:trPr>
          <w:trHeight w:val="448" w:hRule="atLeast"/>
        </w:trPr>
        <w:tc>
          <w:tcPr>
            <w:tcW w:w="1668" w:type="dxa"/>
          </w:tcPr>
          <w:p>
            <w:pPr>
              <w:pStyle w:val="TableParagraph"/>
              <w:spacing w:before="2"/>
              <w:ind w:left="167"/>
              <w:rPr>
                <w:sz w:val="26"/>
              </w:rPr>
            </w:pPr>
            <w:r>
              <w:rPr>
                <w:sz w:val="26"/>
              </w:rPr>
              <w:t>CLDV 6</w:t>
            </w:r>
          </w:p>
        </w:tc>
        <w:tc>
          <w:tcPr>
            <w:tcW w:w="1933" w:type="dxa"/>
          </w:tcPr>
          <w:p>
            <w:pPr>
              <w:pStyle w:val="TableParagraph"/>
              <w:spacing w:before="2"/>
              <w:ind w:right="159"/>
              <w:jc w:val="right"/>
              <w:rPr>
                <w:sz w:val="26"/>
              </w:rPr>
            </w:pPr>
            <w:r>
              <w:rPr>
                <w:w w:val="95"/>
                <w:sz w:val="26"/>
              </w:rPr>
              <w:t>29,27</w:t>
            </w:r>
          </w:p>
        </w:tc>
        <w:tc>
          <w:tcPr>
            <w:tcW w:w="1897" w:type="dxa"/>
          </w:tcPr>
          <w:p>
            <w:pPr>
              <w:pStyle w:val="TableParagraph"/>
              <w:spacing w:before="2"/>
              <w:ind w:right="162"/>
              <w:jc w:val="right"/>
              <w:rPr>
                <w:sz w:val="26"/>
              </w:rPr>
            </w:pPr>
            <w:r>
              <w:rPr>
                <w:w w:val="95"/>
                <w:sz w:val="26"/>
              </w:rPr>
              <w:t>47,281</w:t>
            </w:r>
          </w:p>
        </w:tc>
        <w:tc>
          <w:tcPr>
            <w:tcW w:w="1707" w:type="dxa"/>
          </w:tcPr>
          <w:p>
            <w:pPr>
              <w:pStyle w:val="TableParagraph"/>
              <w:spacing w:before="2"/>
              <w:ind w:right="160"/>
              <w:jc w:val="right"/>
              <w:rPr>
                <w:sz w:val="26"/>
              </w:rPr>
            </w:pPr>
            <w:r>
              <w:rPr>
                <w:w w:val="95"/>
                <w:sz w:val="26"/>
              </w:rPr>
              <w:t>0,678</w:t>
            </w:r>
          </w:p>
        </w:tc>
        <w:tc>
          <w:tcPr>
            <w:tcW w:w="1804" w:type="dxa"/>
          </w:tcPr>
          <w:p>
            <w:pPr>
              <w:pStyle w:val="TableParagraph"/>
              <w:spacing w:before="2"/>
              <w:ind w:right="163"/>
              <w:jc w:val="right"/>
              <w:rPr>
                <w:sz w:val="26"/>
              </w:rPr>
            </w:pPr>
            <w:r>
              <w:rPr>
                <w:w w:val="95"/>
                <w:sz w:val="26"/>
              </w:rPr>
              <w:t>0,771</w:t>
            </w:r>
          </w:p>
        </w:tc>
      </w:tr>
      <w:tr>
        <w:trPr>
          <w:trHeight w:val="448" w:hRule="atLeast"/>
        </w:trPr>
        <w:tc>
          <w:tcPr>
            <w:tcW w:w="1668" w:type="dxa"/>
          </w:tcPr>
          <w:p>
            <w:pPr>
              <w:pStyle w:val="TableParagraph"/>
              <w:spacing w:before="2"/>
              <w:ind w:left="167"/>
              <w:rPr>
                <w:sz w:val="26"/>
              </w:rPr>
            </w:pPr>
            <w:r>
              <w:rPr>
                <w:sz w:val="26"/>
              </w:rPr>
              <w:t>CLDV 7</w:t>
            </w:r>
          </w:p>
        </w:tc>
        <w:tc>
          <w:tcPr>
            <w:tcW w:w="1933" w:type="dxa"/>
          </w:tcPr>
          <w:p>
            <w:pPr>
              <w:pStyle w:val="TableParagraph"/>
              <w:spacing w:before="2"/>
              <w:ind w:right="159"/>
              <w:jc w:val="right"/>
              <w:rPr>
                <w:sz w:val="26"/>
              </w:rPr>
            </w:pPr>
            <w:r>
              <w:rPr>
                <w:w w:val="95"/>
                <w:sz w:val="26"/>
              </w:rPr>
              <w:t>29,15</w:t>
            </w:r>
          </w:p>
        </w:tc>
        <w:tc>
          <w:tcPr>
            <w:tcW w:w="1897" w:type="dxa"/>
          </w:tcPr>
          <w:p>
            <w:pPr>
              <w:pStyle w:val="TableParagraph"/>
              <w:spacing w:before="2"/>
              <w:ind w:right="162"/>
              <w:jc w:val="right"/>
              <w:rPr>
                <w:sz w:val="26"/>
              </w:rPr>
            </w:pPr>
            <w:r>
              <w:rPr>
                <w:w w:val="95"/>
                <w:sz w:val="26"/>
              </w:rPr>
              <w:t>46,389</w:t>
            </w:r>
          </w:p>
        </w:tc>
        <w:tc>
          <w:tcPr>
            <w:tcW w:w="1707" w:type="dxa"/>
          </w:tcPr>
          <w:p>
            <w:pPr>
              <w:pStyle w:val="TableParagraph"/>
              <w:spacing w:before="2"/>
              <w:ind w:right="160"/>
              <w:jc w:val="right"/>
              <w:rPr>
                <w:sz w:val="26"/>
              </w:rPr>
            </w:pPr>
            <w:r>
              <w:rPr>
                <w:w w:val="95"/>
                <w:sz w:val="26"/>
              </w:rPr>
              <w:t>0,842</w:t>
            </w:r>
          </w:p>
        </w:tc>
        <w:tc>
          <w:tcPr>
            <w:tcW w:w="1804" w:type="dxa"/>
          </w:tcPr>
          <w:p>
            <w:pPr>
              <w:pStyle w:val="TableParagraph"/>
              <w:spacing w:before="2"/>
              <w:ind w:right="163"/>
              <w:jc w:val="right"/>
              <w:rPr>
                <w:sz w:val="26"/>
              </w:rPr>
            </w:pPr>
            <w:r>
              <w:rPr>
                <w:w w:val="95"/>
                <w:sz w:val="26"/>
              </w:rPr>
              <w:t>0,758</w:t>
            </w:r>
          </w:p>
        </w:tc>
      </w:tr>
      <w:tr>
        <w:trPr>
          <w:trHeight w:val="448" w:hRule="atLeast"/>
        </w:trPr>
        <w:tc>
          <w:tcPr>
            <w:tcW w:w="1668" w:type="dxa"/>
          </w:tcPr>
          <w:p>
            <w:pPr>
              <w:pStyle w:val="TableParagraph"/>
              <w:spacing w:before="2"/>
              <w:ind w:left="167"/>
              <w:rPr>
                <w:sz w:val="26"/>
              </w:rPr>
            </w:pPr>
            <w:r>
              <w:rPr>
                <w:sz w:val="26"/>
              </w:rPr>
              <w:t>CLDV 8</w:t>
            </w:r>
          </w:p>
        </w:tc>
        <w:tc>
          <w:tcPr>
            <w:tcW w:w="1933" w:type="dxa"/>
          </w:tcPr>
          <w:p>
            <w:pPr>
              <w:pStyle w:val="TableParagraph"/>
              <w:spacing w:before="2"/>
              <w:ind w:right="159"/>
              <w:jc w:val="right"/>
              <w:rPr>
                <w:sz w:val="26"/>
              </w:rPr>
            </w:pPr>
            <w:r>
              <w:rPr>
                <w:w w:val="95"/>
                <w:sz w:val="26"/>
              </w:rPr>
              <w:t>29,13</w:t>
            </w:r>
          </w:p>
        </w:tc>
        <w:tc>
          <w:tcPr>
            <w:tcW w:w="1897" w:type="dxa"/>
          </w:tcPr>
          <w:p>
            <w:pPr>
              <w:pStyle w:val="TableParagraph"/>
              <w:spacing w:before="2"/>
              <w:ind w:right="162"/>
              <w:jc w:val="right"/>
              <w:rPr>
                <w:sz w:val="26"/>
              </w:rPr>
            </w:pPr>
            <w:r>
              <w:rPr>
                <w:w w:val="95"/>
                <w:sz w:val="26"/>
              </w:rPr>
              <w:t>47,333</w:t>
            </w:r>
          </w:p>
        </w:tc>
        <w:tc>
          <w:tcPr>
            <w:tcW w:w="1707" w:type="dxa"/>
          </w:tcPr>
          <w:p>
            <w:pPr>
              <w:pStyle w:val="TableParagraph"/>
              <w:spacing w:before="2"/>
              <w:ind w:right="160"/>
              <w:jc w:val="right"/>
              <w:rPr>
                <w:sz w:val="26"/>
              </w:rPr>
            </w:pPr>
            <w:r>
              <w:rPr>
                <w:w w:val="95"/>
                <w:sz w:val="26"/>
              </w:rPr>
              <w:t>0,721</w:t>
            </w:r>
          </w:p>
        </w:tc>
        <w:tc>
          <w:tcPr>
            <w:tcW w:w="1804" w:type="dxa"/>
          </w:tcPr>
          <w:p>
            <w:pPr>
              <w:pStyle w:val="TableParagraph"/>
              <w:spacing w:before="2"/>
              <w:ind w:right="163"/>
              <w:jc w:val="right"/>
              <w:rPr>
                <w:sz w:val="26"/>
              </w:rPr>
            </w:pPr>
            <w:r>
              <w:rPr>
                <w:w w:val="95"/>
                <w:sz w:val="26"/>
              </w:rPr>
              <w:t>0,768</w:t>
            </w:r>
          </w:p>
        </w:tc>
      </w:tr>
      <w:tr>
        <w:trPr>
          <w:trHeight w:val="448" w:hRule="atLeast"/>
        </w:trPr>
        <w:tc>
          <w:tcPr>
            <w:tcW w:w="1668" w:type="dxa"/>
          </w:tcPr>
          <w:p>
            <w:pPr>
              <w:pStyle w:val="TableParagraph"/>
              <w:spacing w:before="2"/>
              <w:ind w:left="167"/>
              <w:rPr>
                <w:sz w:val="26"/>
              </w:rPr>
            </w:pPr>
            <w:r>
              <w:rPr>
                <w:sz w:val="26"/>
              </w:rPr>
              <w:t>CLDV 9</w:t>
            </w:r>
          </w:p>
        </w:tc>
        <w:tc>
          <w:tcPr>
            <w:tcW w:w="1933" w:type="dxa"/>
          </w:tcPr>
          <w:p>
            <w:pPr>
              <w:pStyle w:val="TableParagraph"/>
              <w:spacing w:before="2"/>
              <w:ind w:right="159"/>
              <w:jc w:val="right"/>
              <w:rPr>
                <w:sz w:val="26"/>
              </w:rPr>
            </w:pPr>
            <w:r>
              <w:rPr>
                <w:w w:val="95"/>
                <w:sz w:val="26"/>
              </w:rPr>
              <w:t>30,04</w:t>
            </w:r>
          </w:p>
        </w:tc>
        <w:tc>
          <w:tcPr>
            <w:tcW w:w="1897" w:type="dxa"/>
          </w:tcPr>
          <w:p>
            <w:pPr>
              <w:pStyle w:val="TableParagraph"/>
              <w:spacing w:before="2"/>
              <w:ind w:right="162"/>
              <w:jc w:val="right"/>
              <w:rPr>
                <w:sz w:val="26"/>
              </w:rPr>
            </w:pPr>
            <w:r>
              <w:rPr>
                <w:w w:val="95"/>
                <w:sz w:val="26"/>
              </w:rPr>
              <w:t>53,040</w:t>
            </w:r>
          </w:p>
        </w:tc>
        <w:tc>
          <w:tcPr>
            <w:tcW w:w="1707" w:type="dxa"/>
          </w:tcPr>
          <w:p>
            <w:pPr>
              <w:pStyle w:val="TableParagraph"/>
              <w:spacing w:before="2"/>
              <w:ind w:right="160"/>
              <w:jc w:val="right"/>
              <w:rPr>
                <w:sz w:val="26"/>
              </w:rPr>
            </w:pPr>
            <w:r>
              <w:rPr>
                <w:w w:val="95"/>
                <w:sz w:val="26"/>
              </w:rPr>
              <w:t>0,218</w:t>
            </w:r>
          </w:p>
        </w:tc>
        <w:tc>
          <w:tcPr>
            <w:tcW w:w="1804" w:type="dxa"/>
          </w:tcPr>
          <w:p>
            <w:pPr>
              <w:pStyle w:val="TableParagraph"/>
              <w:spacing w:before="2"/>
              <w:ind w:right="163"/>
              <w:jc w:val="right"/>
              <w:rPr>
                <w:sz w:val="26"/>
              </w:rPr>
            </w:pPr>
            <w:r>
              <w:rPr>
                <w:w w:val="95"/>
                <w:sz w:val="26"/>
              </w:rPr>
              <w:t>0,826</w:t>
            </w:r>
          </w:p>
        </w:tc>
      </w:tr>
      <w:tr>
        <w:trPr>
          <w:trHeight w:val="448" w:hRule="atLeast"/>
        </w:trPr>
        <w:tc>
          <w:tcPr>
            <w:tcW w:w="1668" w:type="dxa"/>
          </w:tcPr>
          <w:p>
            <w:pPr>
              <w:pStyle w:val="TableParagraph"/>
              <w:spacing w:before="2"/>
              <w:ind w:left="167"/>
              <w:rPr>
                <w:sz w:val="26"/>
              </w:rPr>
            </w:pPr>
            <w:r>
              <w:rPr>
                <w:sz w:val="26"/>
              </w:rPr>
              <w:t>CLDV 10</w:t>
            </w:r>
          </w:p>
        </w:tc>
        <w:tc>
          <w:tcPr>
            <w:tcW w:w="1933" w:type="dxa"/>
          </w:tcPr>
          <w:p>
            <w:pPr>
              <w:pStyle w:val="TableParagraph"/>
              <w:spacing w:before="2"/>
              <w:ind w:right="159"/>
              <w:jc w:val="right"/>
              <w:rPr>
                <w:sz w:val="26"/>
              </w:rPr>
            </w:pPr>
            <w:r>
              <w:rPr>
                <w:w w:val="95"/>
                <w:sz w:val="26"/>
              </w:rPr>
              <w:t>29,39</w:t>
            </w:r>
          </w:p>
        </w:tc>
        <w:tc>
          <w:tcPr>
            <w:tcW w:w="1897" w:type="dxa"/>
          </w:tcPr>
          <w:p>
            <w:pPr>
              <w:pStyle w:val="TableParagraph"/>
              <w:spacing w:before="2"/>
              <w:ind w:right="162"/>
              <w:jc w:val="right"/>
              <w:rPr>
                <w:sz w:val="26"/>
              </w:rPr>
            </w:pPr>
            <w:r>
              <w:rPr>
                <w:w w:val="95"/>
                <w:sz w:val="26"/>
              </w:rPr>
              <w:t>51,281</w:t>
            </w:r>
          </w:p>
        </w:tc>
        <w:tc>
          <w:tcPr>
            <w:tcW w:w="1707" w:type="dxa"/>
          </w:tcPr>
          <w:p>
            <w:pPr>
              <w:pStyle w:val="TableParagraph"/>
              <w:spacing w:before="2"/>
              <w:ind w:right="160"/>
              <w:jc w:val="right"/>
              <w:rPr>
                <w:sz w:val="26"/>
              </w:rPr>
            </w:pPr>
            <w:r>
              <w:rPr>
                <w:w w:val="95"/>
                <w:sz w:val="26"/>
              </w:rPr>
              <w:t>0,457</w:t>
            </w:r>
          </w:p>
        </w:tc>
        <w:tc>
          <w:tcPr>
            <w:tcW w:w="1804" w:type="dxa"/>
          </w:tcPr>
          <w:p>
            <w:pPr>
              <w:pStyle w:val="TableParagraph"/>
              <w:spacing w:before="2"/>
              <w:ind w:right="163"/>
              <w:jc w:val="right"/>
              <w:rPr>
                <w:sz w:val="26"/>
              </w:rPr>
            </w:pPr>
            <w:r>
              <w:rPr>
                <w:w w:val="95"/>
                <w:sz w:val="26"/>
              </w:rPr>
              <w:t>0,795</w:t>
            </w:r>
          </w:p>
        </w:tc>
      </w:tr>
      <w:tr>
        <w:trPr>
          <w:trHeight w:val="448" w:hRule="atLeast"/>
        </w:trPr>
        <w:tc>
          <w:tcPr>
            <w:tcW w:w="9009" w:type="dxa"/>
            <w:gridSpan w:val="5"/>
          </w:tcPr>
          <w:p>
            <w:pPr>
              <w:pStyle w:val="TableParagraph"/>
              <w:spacing w:before="2"/>
              <w:ind w:left="731"/>
              <w:rPr>
                <w:b/>
                <w:sz w:val="26"/>
              </w:rPr>
            </w:pPr>
            <w:r>
              <w:rPr>
                <w:b/>
                <w:sz w:val="26"/>
              </w:rPr>
              <w:t>Thang đo sự hài lòng khách hàng cảng với Cronbach’s Alpha: 0,888</w:t>
            </w:r>
          </w:p>
        </w:tc>
      </w:tr>
      <w:tr>
        <w:trPr>
          <w:trHeight w:val="448" w:hRule="atLeast"/>
        </w:trPr>
        <w:tc>
          <w:tcPr>
            <w:tcW w:w="1668" w:type="dxa"/>
          </w:tcPr>
          <w:p>
            <w:pPr>
              <w:pStyle w:val="TableParagraph"/>
              <w:spacing w:before="2"/>
              <w:ind w:left="167"/>
              <w:rPr>
                <w:sz w:val="26"/>
              </w:rPr>
            </w:pPr>
            <w:r>
              <w:rPr>
                <w:sz w:val="26"/>
              </w:rPr>
              <w:t>HL1</w:t>
            </w:r>
          </w:p>
        </w:tc>
        <w:tc>
          <w:tcPr>
            <w:tcW w:w="1933" w:type="dxa"/>
          </w:tcPr>
          <w:p>
            <w:pPr>
              <w:pStyle w:val="TableParagraph"/>
              <w:spacing w:before="2"/>
              <w:ind w:right="159"/>
              <w:jc w:val="right"/>
              <w:rPr>
                <w:sz w:val="26"/>
              </w:rPr>
            </w:pPr>
            <w:r>
              <w:rPr>
                <w:w w:val="95"/>
                <w:sz w:val="26"/>
              </w:rPr>
              <w:t>7,03</w:t>
            </w:r>
          </w:p>
        </w:tc>
        <w:tc>
          <w:tcPr>
            <w:tcW w:w="1897" w:type="dxa"/>
          </w:tcPr>
          <w:p>
            <w:pPr>
              <w:pStyle w:val="TableParagraph"/>
              <w:spacing w:before="2"/>
              <w:ind w:right="162"/>
              <w:jc w:val="right"/>
              <w:rPr>
                <w:sz w:val="26"/>
              </w:rPr>
            </w:pPr>
            <w:r>
              <w:rPr>
                <w:w w:val="95"/>
                <w:sz w:val="26"/>
              </w:rPr>
              <w:t>6,288</w:t>
            </w:r>
          </w:p>
        </w:tc>
        <w:tc>
          <w:tcPr>
            <w:tcW w:w="1707" w:type="dxa"/>
          </w:tcPr>
          <w:p>
            <w:pPr>
              <w:pStyle w:val="TableParagraph"/>
              <w:spacing w:before="2"/>
              <w:ind w:right="160"/>
              <w:jc w:val="right"/>
              <w:rPr>
                <w:sz w:val="26"/>
              </w:rPr>
            </w:pPr>
            <w:r>
              <w:rPr>
                <w:w w:val="95"/>
                <w:sz w:val="26"/>
              </w:rPr>
              <w:t>0,816</w:t>
            </w:r>
          </w:p>
        </w:tc>
        <w:tc>
          <w:tcPr>
            <w:tcW w:w="1804" w:type="dxa"/>
          </w:tcPr>
          <w:p>
            <w:pPr>
              <w:pStyle w:val="TableParagraph"/>
              <w:spacing w:before="2"/>
              <w:ind w:right="163"/>
              <w:jc w:val="right"/>
              <w:rPr>
                <w:sz w:val="26"/>
              </w:rPr>
            </w:pPr>
            <w:r>
              <w:rPr>
                <w:w w:val="95"/>
                <w:sz w:val="26"/>
              </w:rPr>
              <w:t>0,811</w:t>
            </w:r>
          </w:p>
        </w:tc>
      </w:tr>
      <w:tr>
        <w:trPr>
          <w:trHeight w:val="448" w:hRule="atLeast"/>
        </w:trPr>
        <w:tc>
          <w:tcPr>
            <w:tcW w:w="1668" w:type="dxa"/>
          </w:tcPr>
          <w:p>
            <w:pPr>
              <w:pStyle w:val="TableParagraph"/>
              <w:spacing w:before="2"/>
              <w:ind w:left="167"/>
              <w:rPr>
                <w:sz w:val="26"/>
              </w:rPr>
            </w:pPr>
            <w:r>
              <w:rPr>
                <w:sz w:val="26"/>
              </w:rPr>
              <w:t>HL2</w:t>
            </w:r>
          </w:p>
        </w:tc>
        <w:tc>
          <w:tcPr>
            <w:tcW w:w="1933" w:type="dxa"/>
          </w:tcPr>
          <w:p>
            <w:pPr>
              <w:pStyle w:val="TableParagraph"/>
              <w:spacing w:before="2"/>
              <w:ind w:right="159"/>
              <w:jc w:val="right"/>
              <w:rPr>
                <w:sz w:val="26"/>
              </w:rPr>
            </w:pPr>
            <w:r>
              <w:rPr>
                <w:w w:val="95"/>
                <w:sz w:val="26"/>
              </w:rPr>
              <w:t>7,12</w:t>
            </w:r>
          </w:p>
        </w:tc>
        <w:tc>
          <w:tcPr>
            <w:tcW w:w="1897" w:type="dxa"/>
          </w:tcPr>
          <w:p>
            <w:pPr>
              <w:pStyle w:val="TableParagraph"/>
              <w:spacing w:before="2"/>
              <w:ind w:right="162"/>
              <w:jc w:val="right"/>
              <w:rPr>
                <w:sz w:val="26"/>
              </w:rPr>
            </w:pPr>
            <w:r>
              <w:rPr>
                <w:w w:val="95"/>
                <w:sz w:val="26"/>
              </w:rPr>
              <w:t>6,490</w:t>
            </w:r>
          </w:p>
        </w:tc>
        <w:tc>
          <w:tcPr>
            <w:tcW w:w="1707" w:type="dxa"/>
          </w:tcPr>
          <w:p>
            <w:pPr>
              <w:pStyle w:val="TableParagraph"/>
              <w:spacing w:before="2"/>
              <w:ind w:right="160"/>
              <w:jc w:val="right"/>
              <w:rPr>
                <w:sz w:val="26"/>
              </w:rPr>
            </w:pPr>
            <w:r>
              <w:rPr>
                <w:w w:val="95"/>
                <w:sz w:val="26"/>
              </w:rPr>
              <w:t>0,750</w:t>
            </w:r>
          </w:p>
        </w:tc>
        <w:tc>
          <w:tcPr>
            <w:tcW w:w="1804" w:type="dxa"/>
          </w:tcPr>
          <w:p>
            <w:pPr>
              <w:pStyle w:val="TableParagraph"/>
              <w:spacing w:before="2"/>
              <w:ind w:right="163"/>
              <w:jc w:val="right"/>
              <w:rPr>
                <w:sz w:val="26"/>
              </w:rPr>
            </w:pPr>
            <w:r>
              <w:rPr>
                <w:w w:val="95"/>
                <w:sz w:val="26"/>
              </w:rPr>
              <w:t>0,869</w:t>
            </w:r>
          </w:p>
        </w:tc>
      </w:tr>
      <w:tr>
        <w:trPr>
          <w:trHeight w:val="448" w:hRule="atLeast"/>
        </w:trPr>
        <w:tc>
          <w:tcPr>
            <w:tcW w:w="1668" w:type="dxa"/>
          </w:tcPr>
          <w:p>
            <w:pPr>
              <w:pStyle w:val="TableParagraph"/>
              <w:spacing w:before="2"/>
              <w:ind w:left="167"/>
              <w:rPr>
                <w:sz w:val="26"/>
              </w:rPr>
            </w:pPr>
            <w:r>
              <w:rPr>
                <w:sz w:val="26"/>
              </w:rPr>
              <w:t>HL3</w:t>
            </w:r>
          </w:p>
        </w:tc>
        <w:tc>
          <w:tcPr>
            <w:tcW w:w="1933" w:type="dxa"/>
          </w:tcPr>
          <w:p>
            <w:pPr>
              <w:pStyle w:val="TableParagraph"/>
              <w:spacing w:before="2"/>
              <w:ind w:right="159"/>
              <w:jc w:val="right"/>
              <w:rPr>
                <w:sz w:val="26"/>
              </w:rPr>
            </w:pPr>
            <w:r>
              <w:rPr>
                <w:w w:val="95"/>
                <w:sz w:val="26"/>
              </w:rPr>
              <w:t>7,09</w:t>
            </w:r>
          </w:p>
        </w:tc>
        <w:tc>
          <w:tcPr>
            <w:tcW w:w="1897" w:type="dxa"/>
          </w:tcPr>
          <w:p>
            <w:pPr>
              <w:pStyle w:val="TableParagraph"/>
              <w:spacing w:before="2"/>
              <w:ind w:right="162"/>
              <w:jc w:val="right"/>
              <w:rPr>
                <w:sz w:val="26"/>
              </w:rPr>
            </w:pPr>
            <w:r>
              <w:rPr>
                <w:w w:val="95"/>
                <w:sz w:val="26"/>
              </w:rPr>
              <w:t>6,554</w:t>
            </w:r>
          </w:p>
        </w:tc>
        <w:tc>
          <w:tcPr>
            <w:tcW w:w="1707" w:type="dxa"/>
          </w:tcPr>
          <w:p>
            <w:pPr>
              <w:pStyle w:val="TableParagraph"/>
              <w:spacing w:before="2"/>
              <w:ind w:right="160"/>
              <w:jc w:val="right"/>
              <w:rPr>
                <w:sz w:val="26"/>
              </w:rPr>
            </w:pPr>
            <w:r>
              <w:rPr>
                <w:w w:val="95"/>
                <w:sz w:val="26"/>
              </w:rPr>
              <w:t>0,780</w:t>
            </w:r>
          </w:p>
        </w:tc>
        <w:tc>
          <w:tcPr>
            <w:tcW w:w="1804" w:type="dxa"/>
          </w:tcPr>
          <w:p>
            <w:pPr>
              <w:pStyle w:val="TableParagraph"/>
              <w:spacing w:before="2"/>
              <w:ind w:right="163"/>
              <w:jc w:val="right"/>
              <w:rPr>
                <w:sz w:val="26"/>
              </w:rPr>
            </w:pPr>
            <w:r>
              <w:rPr>
                <w:w w:val="95"/>
                <w:sz w:val="26"/>
              </w:rPr>
              <w:t>0,842</w:t>
            </w:r>
          </w:p>
        </w:tc>
      </w:tr>
      <w:tr>
        <w:trPr>
          <w:trHeight w:val="448" w:hRule="atLeast"/>
        </w:trPr>
        <w:tc>
          <w:tcPr>
            <w:tcW w:w="9009" w:type="dxa"/>
            <w:gridSpan w:val="5"/>
          </w:tcPr>
          <w:p>
            <w:pPr>
              <w:pStyle w:val="TableParagraph"/>
              <w:spacing w:before="2"/>
              <w:ind w:left="1079" w:right="1076"/>
              <w:jc w:val="center"/>
              <w:rPr>
                <w:b/>
                <w:sz w:val="26"/>
              </w:rPr>
            </w:pPr>
            <w:r>
              <w:rPr>
                <w:b/>
                <w:sz w:val="26"/>
              </w:rPr>
              <w:t>Thang đo lợi ích khách hàng với Cronbach’s Alpha: 0,806</w:t>
            </w:r>
          </w:p>
        </w:tc>
      </w:tr>
      <w:tr>
        <w:trPr>
          <w:trHeight w:val="448" w:hRule="atLeast"/>
        </w:trPr>
        <w:tc>
          <w:tcPr>
            <w:tcW w:w="1668" w:type="dxa"/>
          </w:tcPr>
          <w:p>
            <w:pPr>
              <w:pStyle w:val="TableParagraph"/>
              <w:spacing w:before="2"/>
              <w:ind w:left="167"/>
              <w:rPr>
                <w:sz w:val="26"/>
              </w:rPr>
            </w:pPr>
            <w:r>
              <w:rPr>
                <w:sz w:val="26"/>
              </w:rPr>
              <w:t>LI1</w:t>
            </w:r>
          </w:p>
        </w:tc>
        <w:tc>
          <w:tcPr>
            <w:tcW w:w="1933" w:type="dxa"/>
          </w:tcPr>
          <w:p>
            <w:pPr>
              <w:pStyle w:val="TableParagraph"/>
              <w:spacing w:before="2"/>
              <w:ind w:right="159"/>
              <w:jc w:val="right"/>
              <w:rPr>
                <w:sz w:val="26"/>
              </w:rPr>
            </w:pPr>
            <w:r>
              <w:rPr>
                <w:w w:val="95"/>
                <w:sz w:val="26"/>
              </w:rPr>
              <w:t>7,59</w:t>
            </w:r>
          </w:p>
        </w:tc>
        <w:tc>
          <w:tcPr>
            <w:tcW w:w="1897" w:type="dxa"/>
          </w:tcPr>
          <w:p>
            <w:pPr>
              <w:pStyle w:val="TableParagraph"/>
              <w:spacing w:before="2"/>
              <w:ind w:right="162"/>
              <w:jc w:val="right"/>
              <w:rPr>
                <w:sz w:val="26"/>
              </w:rPr>
            </w:pPr>
            <w:r>
              <w:rPr>
                <w:w w:val="95"/>
                <w:sz w:val="26"/>
              </w:rPr>
              <w:t>4,078</w:t>
            </w:r>
          </w:p>
        </w:tc>
        <w:tc>
          <w:tcPr>
            <w:tcW w:w="1707" w:type="dxa"/>
          </w:tcPr>
          <w:p>
            <w:pPr>
              <w:pStyle w:val="TableParagraph"/>
              <w:spacing w:before="2"/>
              <w:ind w:right="160"/>
              <w:jc w:val="right"/>
              <w:rPr>
                <w:sz w:val="26"/>
              </w:rPr>
            </w:pPr>
            <w:r>
              <w:rPr>
                <w:w w:val="95"/>
                <w:sz w:val="26"/>
              </w:rPr>
              <w:t>0,651</w:t>
            </w:r>
          </w:p>
        </w:tc>
        <w:tc>
          <w:tcPr>
            <w:tcW w:w="1804" w:type="dxa"/>
          </w:tcPr>
          <w:p>
            <w:pPr>
              <w:pStyle w:val="TableParagraph"/>
              <w:spacing w:before="2"/>
              <w:ind w:right="163"/>
              <w:jc w:val="right"/>
              <w:rPr>
                <w:sz w:val="26"/>
              </w:rPr>
            </w:pPr>
            <w:r>
              <w:rPr>
                <w:w w:val="95"/>
                <w:sz w:val="26"/>
              </w:rPr>
              <w:t>0,766</w:t>
            </w:r>
          </w:p>
        </w:tc>
      </w:tr>
      <w:tr>
        <w:trPr>
          <w:trHeight w:val="448" w:hRule="atLeast"/>
        </w:trPr>
        <w:tc>
          <w:tcPr>
            <w:tcW w:w="1668" w:type="dxa"/>
          </w:tcPr>
          <w:p>
            <w:pPr>
              <w:pStyle w:val="TableParagraph"/>
              <w:spacing w:before="2"/>
              <w:ind w:left="167"/>
              <w:rPr>
                <w:sz w:val="26"/>
              </w:rPr>
            </w:pPr>
            <w:r>
              <w:rPr>
                <w:sz w:val="26"/>
              </w:rPr>
              <w:t>LI2</w:t>
            </w:r>
          </w:p>
        </w:tc>
        <w:tc>
          <w:tcPr>
            <w:tcW w:w="1933" w:type="dxa"/>
          </w:tcPr>
          <w:p>
            <w:pPr>
              <w:pStyle w:val="TableParagraph"/>
              <w:spacing w:before="2"/>
              <w:ind w:right="159"/>
              <w:jc w:val="right"/>
              <w:rPr>
                <w:sz w:val="26"/>
              </w:rPr>
            </w:pPr>
            <w:r>
              <w:rPr>
                <w:w w:val="95"/>
                <w:sz w:val="26"/>
              </w:rPr>
              <w:t>7,77</w:t>
            </w:r>
          </w:p>
        </w:tc>
        <w:tc>
          <w:tcPr>
            <w:tcW w:w="1897" w:type="dxa"/>
          </w:tcPr>
          <w:p>
            <w:pPr>
              <w:pStyle w:val="TableParagraph"/>
              <w:spacing w:before="2"/>
              <w:ind w:right="162"/>
              <w:jc w:val="right"/>
              <w:rPr>
                <w:sz w:val="26"/>
              </w:rPr>
            </w:pPr>
            <w:r>
              <w:rPr>
                <w:w w:val="95"/>
                <w:sz w:val="26"/>
              </w:rPr>
              <w:t>3,972</w:t>
            </w:r>
          </w:p>
        </w:tc>
        <w:tc>
          <w:tcPr>
            <w:tcW w:w="1707" w:type="dxa"/>
          </w:tcPr>
          <w:p>
            <w:pPr>
              <w:pStyle w:val="TableParagraph"/>
              <w:spacing w:before="2"/>
              <w:ind w:right="160"/>
              <w:jc w:val="right"/>
              <w:rPr>
                <w:sz w:val="26"/>
              </w:rPr>
            </w:pPr>
            <w:r>
              <w:rPr>
                <w:w w:val="95"/>
                <w:sz w:val="26"/>
              </w:rPr>
              <w:t>0,586</w:t>
            </w:r>
          </w:p>
        </w:tc>
        <w:tc>
          <w:tcPr>
            <w:tcW w:w="1804" w:type="dxa"/>
          </w:tcPr>
          <w:p>
            <w:pPr>
              <w:pStyle w:val="TableParagraph"/>
              <w:spacing w:before="2"/>
              <w:ind w:right="163"/>
              <w:jc w:val="right"/>
              <w:rPr>
                <w:sz w:val="26"/>
              </w:rPr>
            </w:pPr>
            <w:r>
              <w:rPr>
                <w:w w:val="95"/>
                <w:sz w:val="26"/>
              </w:rPr>
              <w:t>0,837</w:t>
            </w:r>
          </w:p>
        </w:tc>
      </w:tr>
      <w:tr>
        <w:trPr>
          <w:trHeight w:val="448" w:hRule="atLeast"/>
        </w:trPr>
        <w:tc>
          <w:tcPr>
            <w:tcW w:w="1668" w:type="dxa"/>
          </w:tcPr>
          <w:p>
            <w:pPr>
              <w:pStyle w:val="TableParagraph"/>
              <w:spacing w:before="2"/>
              <w:ind w:left="167"/>
              <w:rPr>
                <w:sz w:val="26"/>
              </w:rPr>
            </w:pPr>
            <w:r>
              <w:rPr>
                <w:sz w:val="26"/>
              </w:rPr>
              <w:t>LI3</w:t>
            </w:r>
          </w:p>
        </w:tc>
        <w:tc>
          <w:tcPr>
            <w:tcW w:w="1933" w:type="dxa"/>
          </w:tcPr>
          <w:p>
            <w:pPr>
              <w:pStyle w:val="TableParagraph"/>
              <w:spacing w:before="2"/>
              <w:ind w:right="159"/>
              <w:jc w:val="right"/>
              <w:rPr>
                <w:sz w:val="26"/>
              </w:rPr>
            </w:pPr>
            <w:r>
              <w:rPr>
                <w:w w:val="95"/>
                <w:sz w:val="26"/>
              </w:rPr>
              <w:t>7,40</w:t>
            </w:r>
          </w:p>
        </w:tc>
        <w:tc>
          <w:tcPr>
            <w:tcW w:w="1897" w:type="dxa"/>
          </w:tcPr>
          <w:p>
            <w:pPr>
              <w:pStyle w:val="TableParagraph"/>
              <w:spacing w:before="2"/>
              <w:ind w:right="162"/>
              <w:jc w:val="right"/>
              <w:rPr>
                <w:sz w:val="26"/>
              </w:rPr>
            </w:pPr>
            <w:r>
              <w:rPr>
                <w:w w:val="95"/>
                <w:sz w:val="26"/>
              </w:rPr>
              <w:t>3,685</w:t>
            </w:r>
          </w:p>
        </w:tc>
        <w:tc>
          <w:tcPr>
            <w:tcW w:w="1707" w:type="dxa"/>
          </w:tcPr>
          <w:p>
            <w:pPr>
              <w:pStyle w:val="TableParagraph"/>
              <w:spacing w:before="2"/>
              <w:ind w:right="160"/>
              <w:jc w:val="right"/>
              <w:rPr>
                <w:sz w:val="26"/>
              </w:rPr>
            </w:pPr>
            <w:r>
              <w:rPr>
                <w:w w:val="95"/>
                <w:sz w:val="26"/>
              </w:rPr>
              <w:t>0,781</w:t>
            </w:r>
          </w:p>
        </w:tc>
        <w:tc>
          <w:tcPr>
            <w:tcW w:w="1804" w:type="dxa"/>
          </w:tcPr>
          <w:p>
            <w:pPr>
              <w:pStyle w:val="TableParagraph"/>
              <w:spacing w:before="2"/>
              <w:ind w:right="163"/>
              <w:jc w:val="right"/>
              <w:rPr>
                <w:sz w:val="26"/>
              </w:rPr>
            </w:pPr>
            <w:r>
              <w:rPr>
                <w:w w:val="95"/>
                <w:sz w:val="26"/>
              </w:rPr>
              <w:t>0,632</w:t>
            </w:r>
          </w:p>
        </w:tc>
      </w:tr>
    </w:tbl>
    <w:p>
      <w:pPr>
        <w:pStyle w:val="BodyText"/>
        <w:spacing w:before="7"/>
        <w:rPr>
          <w:b/>
          <w:sz w:val="28"/>
        </w:rPr>
      </w:pPr>
    </w:p>
    <w:p>
      <w:pPr>
        <w:spacing w:before="88"/>
        <w:ind w:left="6379" w:right="0" w:firstLine="0"/>
        <w:jc w:val="left"/>
        <w:rPr>
          <w:i/>
          <w:sz w:val="26"/>
        </w:rPr>
      </w:pPr>
      <w:r>
        <w:rPr>
          <w:i/>
          <w:sz w:val="26"/>
        </w:rPr>
        <w:t>Nguồn: Từ phân tích dữ liệu SPSS</w:t>
      </w:r>
    </w:p>
    <w:p>
      <w:pPr>
        <w:pStyle w:val="Heading6"/>
        <w:numPr>
          <w:ilvl w:val="2"/>
          <w:numId w:val="24"/>
        </w:numPr>
        <w:tabs>
          <w:tab w:pos="1466" w:val="left" w:leader="none"/>
        </w:tabs>
        <w:spacing w:line="240" w:lineRule="auto" w:before="150" w:after="0"/>
        <w:ind w:left="1465" w:right="0" w:hanging="584"/>
        <w:jc w:val="both"/>
      </w:pPr>
      <w:bookmarkStart w:name="_TOC_250024" w:id="32"/>
      <w:r>
        <w:rPr/>
        <w:t>Kết quả EFA cho từng thành phần giá trị thang</w:t>
      </w:r>
      <w:r>
        <w:rPr>
          <w:spacing w:val="-4"/>
        </w:rPr>
        <w:t> </w:t>
      </w:r>
      <w:bookmarkEnd w:id="32"/>
      <w:r>
        <w:rPr/>
        <w:t>đo</w:t>
      </w:r>
    </w:p>
    <w:p>
      <w:pPr>
        <w:pStyle w:val="BodyText"/>
        <w:spacing w:line="360" w:lineRule="auto" w:before="148"/>
        <w:ind w:left="882" w:right="888" w:firstLine="719"/>
        <w:jc w:val="both"/>
      </w:pPr>
      <w:r>
        <w:rPr/>
        <w:t>Đánh giá giá trị thang đo bằng phương pháp phân tích nhân tố khám phá EFA là bước tiếp theo sau khi đánh giá bằng phương pháp Cronbach’s Alpha. Trong đánh giá bằng EFA các thang đo có giá trị thỏa mãn trong điều kiện hệ số KMO &gt;0,5 và hệ số tải nhân tố phải lớn hơn 0,5 (Nguyễn Đình Thọ, 2011). Bên cạnh đó theo Churchill (1979) thì “Khi thực hiện phân tích nhân tố khám phá để đánh giá giá trị thang đo để làm sạch dữ liệu sẽ không cần điều hướng thang đo mà việc điều hướng có thể thực hiện theo lý thuyết hoặc theo kinh nghiệm”. Chính vì thế khi phân tích giá trị thang đó</w:t>
      </w:r>
    </w:p>
    <w:p>
      <w:pPr>
        <w:spacing w:after="0" w:line="360" w:lineRule="auto"/>
        <w:jc w:val="both"/>
        <w:sectPr>
          <w:pgSz w:w="11910" w:h="16850"/>
          <w:pgMar w:header="751" w:footer="0" w:top="960" w:bottom="280" w:left="820" w:right="240"/>
        </w:sectPr>
      </w:pPr>
    </w:p>
    <w:p>
      <w:pPr>
        <w:pStyle w:val="BodyText"/>
        <w:rPr>
          <w:sz w:val="20"/>
        </w:rPr>
      </w:pPr>
    </w:p>
    <w:p>
      <w:pPr>
        <w:pStyle w:val="BodyText"/>
        <w:spacing w:before="7"/>
        <w:rPr>
          <w:sz w:val="23"/>
        </w:rPr>
      </w:pPr>
    </w:p>
    <w:p>
      <w:pPr>
        <w:pStyle w:val="BodyText"/>
        <w:spacing w:line="360" w:lineRule="auto" w:before="89"/>
        <w:ind w:left="882" w:right="890"/>
        <w:jc w:val="both"/>
      </w:pPr>
      <w:r>
        <w:rPr/>
        <w:t>đề tài chỉ kiểm tra xem thang đo có giá trị hay không chứ không thực hiện điều hướng các thang đo.</w:t>
      </w:r>
    </w:p>
    <w:p>
      <w:pPr>
        <w:pStyle w:val="BodyText"/>
        <w:spacing w:line="360" w:lineRule="auto"/>
        <w:ind w:left="882" w:right="888" w:firstLine="719"/>
        <w:jc w:val="both"/>
      </w:pPr>
      <w:r>
        <w:rPr/>
        <w:t>Kết quả thu được cuối cùng qua 6 lần chạy EFA có điểm dừng Eigenvalue = 1,256 với KMO = 0,818, kiểm định Bartlett Sig. = 0,000 và phương sai trích được = 70,553% với 9 thành phần thu được điều này cho thấy các thang đo đang giải thích tốt cho các khái niệm.</w:t>
      </w:r>
    </w:p>
    <w:p>
      <w:pPr>
        <w:pStyle w:val="Heading6"/>
        <w:spacing w:line="298" w:lineRule="exact"/>
        <w:ind w:left="1345"/>
      </w:pPr>
      <w:r>
        <w:rPr/>
        <w:t>Bảng 3.4 Kết quả Cronbach’s Alpha cho thang đo các khái niệm sau EFA</w:t>
      </w:r>
    </w:p>
    <w:p>
      <w:pPr>
        <w:pStyle w:val="BodyText"/>
        <w:spacing w:before="10"/>
        <w:rPr>
          <w:b/>
          <w:sz w:val="12"/>
        </w:rPr>
      </w:pPr>
    </w:p>
    <w:tbl>
      <w:tblPr>
        <w:tblW w:w="0" w:type="auto"/>
        <w:jc w:val="left"/>
        <w:tblInd w:w="77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4618"/>
        <w:gridCol w:w="4388"/>
      </w:tblGrid>
      <w:tr>
        <w:trPr>
          <w:trHeight w:val="448" w:hRule="atLeast"/>
        </w:trPr>
        <w:tc>
          <w:tcPr>
            <w:tcW w:w="4618" w:type="dxa"/>
          </w:tcPr>
          <w:p>
            <w:pPr>
              <w:pStyle w:val="TableParagraph"/>
              <w:spacing w:before="2"/>
              <w:ind w:left="1418"/>
              <w:rPr>
                <w:b/>
                <w:sz w:val="26"/>
              </w:rPr>
            </w:pPr>
            <w:r>
              <w:rPr>
                <w:b/>
                <w:sz w:val="26"/>
              </w:rPr>
              <w:t>Các thành phần</w:t>
            </w:r>
          </w:p>
        </w:tc>
        <w:tc>
          <w:tcPr>
            <w:tcW w:w="4388" w:type="dxa"/>
          </w:tcPr>
          <w:p>
            <w:pPr>
              <w:pStyle w:val="TableParagraph"/>
              <w:spacing w:before="2"/>
              <w:ind w:left="905" w:right="896"/>
              <w:jc w:val="center"/>
              <w:rPr>
                <w:b/>
                <w:sz w:val="26"/>
              </w:rPr>
            </w:pPr>
            <w:r>
              <w:rPr>
                <w:b/>
                <w:sz w:val="26"/>
              </w:rPr>
              <w:t>Hệ số Cronbach Alpha</w:t>
            </w:r>
          </w:p>
        </w:tc>
      </w:tr>
      <w:tr>
        <w:trPr>
          <w:trHeight w:val="897" w:hRule="atLeast"/>
        </w:trPr>
        <w:tc>
          <w:tcPr>
            <w:tcW w:w="4618" w:type="dxa"/>
          </w:tcPr>
          <w:p>
            <w:pPr>
              <w:pStyle w:val="TableParagraph"/>
              <w:tabs>
                <w:tab w:pos="1271" w:val="left" w:leader="none"/>
                <w:tab w:pos="2441" w:val="left" w:leader="none"/>
                <w:tab w:pos="3605" w:val="left" w:leader="none"/>
              </w:tabs>
              <w:spacing w:before="2"/>
              <w:ind w:left="107"/>
              <w:rPr>
                <w:sz w:val="26"/>
              </w:rPr>
            </w:pPr>
            <w:r>
              <w:rPr>
                <w:sz w:val="26"/>
              </w:rPr>
              <w:t>CLDV7,</w:t>
              <w:tab/>
              <w:t>CLDV1,</w:t>
              <w:tab/>
              <w:t>CLDV8,</w:t>
              <w:tab/>
              <w:t>CLDV3,</w:t>
            </w:r>
          </w:p>
          <w:p>
            <w:pPr>
              <w:pStyle w:val="TableParagraph"/>
              <w:spacing w:before="150"/>
              <w:ind w:left="107"/>
              <w:rPr>
                <w:sz w:val="26"/>
              </w:rPr>
            </w:pPr>
            <w:r>
              <w:rPr>
                <w:sz w:val="26"/>
              </w:rPr>
              <w:t>CLDV4, CLDV6, CLDV10</w:t>
            </w:r>
          </w:p>
        </w:tc>
        <w:tc>
          <w:tcPr>
            <w:tcW w:w="4388" w:type="dxa"/>
          </w:tcPr>
          <w:p>
            <w:pPr>
              <w:pStyle w:val="TableParagraph"/>
              <w:spacing w:before="2"/>
              <w:ind w:left="903" w:right="896"/>
              <w:jc w:val="center"/>
              <w:rPr>
                <w:b/>
                <w:sz w:val="26"/>
              </w:rPr>
            </w:pPr>
            <w:r>
              <w:rPr>
                <w:b/>
                <w:sz w:val="26"/>
              </w:rPr>
              <w:t>0,927</w:t>
            </w:r>
          </w:p>
        </w:tc>
      </w:tr>
      <w:tr>
        <w:trPr>
          <w:trHeight w:val="448" w:hRule="atLeast"/>
        </w:trPr>
        <w:tc>
          <w:tcPr>
            <w:tcW w:w="4618" w:type="dxa"/>
          </w:tcPr>
          <w:p>
            <w:pPr>
              <w:pStyle w:val="TableParagraph"/>
              <w:spacing w:before="2"/>
              <w:ind w:left="107"/>
              <w:rPr>
                <w:sz w:val="26"/>
              </w:rPr>
            </w:pPr>
            <w:r>
              <w:rPr>
                <w:sz w:val="26"/>
              </w:rPr>
              <w:t>HT4, HT5, HT6, HT7, HT2, HT1</w:t>
            </w:r>
          </w:p>
        </w:tc>
        <w:tc>
          <w:tcPr>
            <w:tcW w:w="4388" w:type="dxa"/>
          </w:tcPr>
          <w:p>
            <w:pPr>
              <w:pStyle w:val="TableParagraph"/>
              <w:spacing w:before="2"/>
              <w:ind w:left="903" w:right="896"/>
              <w:jc w:val="center"/>
              <w:rPr>
                <w:b/>
                <w:sz w:val="26"/>
              </w:rPr>
            </w:pPr>
            <w:r>
              <w:rPr>
                <w:b/>
                <w:sz w:val="26"/>
              </w:rPr>
              <w:t>0,918</w:t>
            </w:r>
          </w:p>
        </w:tc>
      </w:tr>
      <w:tr>
        <w:trPr>
          <w:trHeight w:val="448" w:hRule="atLeast"/>
        </w:trPr>
        <w:tc>
          <w:tcPr>
            <w:tcW w:w="4618" w:type="dxa"/>
          </w:tcPr>
          <w:p>
            <w:pPr>
              <w:pStyle w:val="TableParagraph"/>
              <w:spacing w:before="2"/>
              <w:ind w:left="107"/>
              <w:rPr>
                <w:sz w:val="26"/>
              </w:rPr>
            </w:pPr>
            <w:r>
              <w:rPr>
                <w:sz w:val="26"/>
              </w:rPr>
              <w:t>CP3, CP1, CP4, CP2, CP6, CP5</w:t>
            </w:r>
          </w:p>
        </w:tc>
        <w:tc>
          <w:tcPr>
            <w:tcW w:w="4388" w:type="dxa"/>
          </w:tcPr>
          <w:p>
            <w:pPr>
              <w:pStyle w:val="TableParagraph"/>
              <w:spacing w:before="2"/>
              <w:ind w:left="903" w:right="896"/>
              <w:jc w:val="center"/>
              <w:rPr>
                <w:b/>
                <w:sz w:val="26"/>
              </w:rPr>
            </w:pPr>
            <w:r>
              <w:rPr>
                <w:b/>
                <w:sz w:val="26"/>
              </w:rPr>
              <w:t>0,887</w:t>
            </w:r>
          </w:p>
        </w:tc>
      </w:tr>
      <w:tr>
        <w:trPr>
          <w:trHeight w:val="448" w:hRule="atLeast"/>
        </w:trPr>
        <w:tc>
          <w:tcPr>
            <w:tcW w:w="4618" w:type="dxa"/>
          </w:tcPr>
          <w:p>
            <w:pPr>
              <w:pStyle w:val="TableParagraph"/>
              <w:spacing w:before="2"/>
              <w:ind w:left="107"/>
              <w:rPr>
                <w:sz w:val="26"/>
              </w:rPr>
            </w:pPr>
            <w:r>
              <w:rPr>
                <w:sz w:val="26"/>
              </w:rPr>
              <w:t>VT7, VT5, VT2, VT9, VT6, VT3</w:t>
            </w:r>
          </w:p>
        </w:tc>
        <w:tc>
          <w:tcPr>
            <w:tcW w:w="4388" w:type="dxa"/>
          </w:tcPr>
          <w:p>
            <w:pPr>
              <w:pStyle w:val="TableParagraph"/>
              <w:spacing w:before="2"/>
              <w:ind w:left="903" w:right="896"/>
              <w:jc w:val="center"/>
              <w:rPr>
                <w:b/>
                <w:sz w:val="26"/>
              </w:rPr>
            </w:pPr>
            <w:r>
              <w:rPr>
                <w:b/>
                <w:sz w:val="26"/>
              </w:rPr>
              <w:t>0,853</w:t>
            </w:r>
          </w:p>
        </w:tc>
      </w:tr>
      <w:tr>
        <w:trPr>
          <w:trHeight w:val="448" w:hRule="atLeast"/>
        </w:trPr>
        <w:tc>
          <w:tcPr>
            <w:tcW w:w="4618" w:type="dxa"/>
          </w:tcPr>
          <w:p>
            <w:pPr>
              <w:pStyle w:val="TableParagraph"/>
              <w:spacing w:before="2"/>
              <w:ind w:left="107"/>
              <w:rPr>
                <w:sz w:val="26"/>
              </w:rPr>
            </w:pPr>
            <w:r>
              <w:rPr>
                <w:sz w:val="26"/>
              </w:rPr>
              <w:t>TC1, TC4, TC2, TC3</w:t>
            </w:r>
          </w:p>
        </w:tc>
        <w:tc>
          <w:tcPr>
            <w:tcW w:w="4388" w:type="dxa"/>
          </w:tcPr>
          <w:p>
            <w:pPr>
              <w:pStyle w:val="TableParagraph"/>
              <w:spacing w:before="2"/>
              <w:ind w:left="903" w:right="896"/>
              <w:jc w:val="center"/>
              <w:rPr>
                <w:b/>
                <w:sz w:val="26"/>
              </w:rPr>
            </w:pPr>
            <w:r>
              <w:rPr>
                <w:b/>
                <w:sz w:val="26"/>
              </w:rPr>
              <w:t>0,883</w:t>
            </w:r>
          </w:p>
        </w:tc>
      </w:tr>
      <w:tr>
        <w:trPr>
          <w:trHeight w:val="448" w:hRule="atLeast"/>
        </w:trPr>
        <w:tc>
          <w:tcPr>
            <w:tcW w:w="4618" w:type="dxa"/>
          </w:tcPr>
          <w:p>
            <w:pPr>
              <w:pStyle w:val="TableParagraph"/>
              <w:spacing w:before="2"/>
              <w:ind w:left="107"/>
              <w:rPr>
                <w:sz w:val="26"/>
              </w:rPr>
            </w:pPr>
            <w:r>
              <w:rPr>
                <w:sz w:val="26"/>
              </w:rPr>
              <w:t>ND5, ND1, ND2, ND4, ND3</w:t>
            </w:r>
          </w:p>
        </w:tc>
        <w:tc>
          <w:tcPr>
            <w:tcW w:w="4388" w:type="dxa"/>
          </w:tcPr>
          <w:p>
            <w:pPr>
              <w:pStyle w:val="TableParagraph"/>
              <w:spacing w:before="2"/>
              <w:ind w:left="903" w:right="896"/>
              <w:jc w:val="center"/>
              <w:rPr>
                <w:b/>
                <w:sz w:val="26"/>
              </w:rPr>
            </w:pPr>
            <w:r>
              <w:rPr>
                <w:b/>
                <w:sz w:val="26"/>
              </w:rPr>
              <w:t>0,819</w:t>
            </w:r>
          </w:p>
        </w:tc>
      </w:tr>
      <w:tr>
        <w:trPr>
          <w:trHeight w:val="448" w:hRule="atLeast"/>
        </w:trPr>
        <w:tc>
          <w:tcPr>
            <w:tcW w:w="4618" w:type="dxa"/>
          </w:tcPr>
          <w:p>
            <w:pPr>
              <w:pStyle w:val="TableParagraph"/>
              <w:spacing w:before="2"/>
              <w:ind w:left="107"/>
              <w:rPr>
                <w:sz w:val="26"/>
              </w:rPr>
            </w:pPr>
            <w:r>
              <w:rPr>
                <w:sz w:val="26"/>
              </w:rPr>
              <w:t>HL1, HL2, HL3</w:t>
            </w:r>
          </w:p>
        </w:tc>
        <w:tc>
          <w:tcPr>
            <w:tcW w:w="4388" w:type="dxa"/>
          </w:tcPr>
          <w:p>
            <w:pPr>
              <w:pStyle w:val="TableParagraph"/>
              <w:spacing w:before="2"/>
              <w:ind w:left="903" w:right="896"/>
              <w:jc w:val="center"/>
              <w:rPr>
                <w:b/>
                <w:sz w:val="26"/>
              </w:rPr>
            </w:pPr>
            <w:r>
              <w:rPr>
                <w:b/>
                <w:sz w:val="26"/>
              </w:rPr>
              <w:t>0,888</w:t>
            </w:r>
          </w:p>
        </w:tc>
      </w:tr>
      <w:tr>
        <w:trPr>
          <w:trHeight w:val="448" w:hRule="atLeast"/>
        </w:trPr>
        <w:tc>
          <w:tcPr>
            <w:tcW w:w="4618" w:type="dxa"/>
          </w:tcPr>
          <w:p>
            <w:pPr>
              <w:pStyle w:val="TableParagraph"/>
              <w:spacing w:before="2"/>
              <w:ind w:left="107"/>
              <w:rPr>
                <w:sz w:val="26"/>
              </w:rPr>
            </w:pPr>
            <w:r>
              <w:rPr>
                <w:sz w:val="26"/>
              </w:rPr>
              <w:t>LI1, LI2, LI3</w:t>
            </w:r>
          </w:p>
        </w:tc>
        <w:tc>
          <w:tcPr>
            <w:tcW w:w="4388" w:type="dxa"/>
          </w:tcPr>
          <w:p>
            <w:pPr>
              <w:pStyle w:val="TableParagraph"/>
              <w:spacing w:before="2"/>
              <w:ind w:left="903" w:right="896"/>
              <w:jc w:val="center"/>
              <w:rPr>
                <w:b/>
                <w:sz w:val="26"/>
              </w:rPr>
            </w:pPr>
            <w:r>
              <w:rPr>
                <w:b/>
                <w:sz w:val="26"/>
              </w:rPr>
              <w:t>0,816</w:t>
            </w:r>
          </w:p>
        </w:tc>
      </w:tr>
    </w:tbl>
    <w:p>
      <w:pPr>
        <w:pStyle w:val="BodyText"/>
        <w:spacing w:line="360" w:lineRule="auto"/>
        <w:ind w:left="882" w:right="888" w:firstLine="6605"/>
        <w:jc w:val="right"/>
      </w:pPr>
      <w:r>
        <w:rPr>
          <w:i/>
          <w:sz w:val="24"/>
        </w:rPr>
        <w:t>Nguồn: Tác giả phân </w:t>
      </w:r>
      <w:r>
        <w:rPr>
          <w:i/>
          <w:spacing w:val="-4"/>
          <w:sz w:val="24"/>
        </w:rPr>
        <w:t>tích</w:t>
      </w:r>
      <w:r>
        <w:rPr>
          <w:i/>
          <w:sz w:val="24"/>
        </w:rPr>
        <w:t> </w:t>
      </w:r>
      <w:r>
        <w:rPr/>
        <w:t>Tóm lại về mặt lý thuyết có 6 thành phần là yếu tố bao gồm vị trí</w:t>
      </w:r>
      <w:r>
        <w:rPr>
          <w:spacing w:val="58"/>
        </w:rPr>
        <w:t> </w:t>
      </w:r>
      <w:r>
        <w:rPr/>
        <w:t>cảng</w:t>
      </w:r>
      <w:r>
        <w:rPr>
          <w:w w:val="99"/>
        </w:rPr>
        <w:t> </w:t>
      </w:r>
      <w:r>
        <w:rPr/>
        <w:t>container, chất</w:t>
      </w:r>
      <w:r>
        <w:rPr>
          <w:spacing w:val="32"/>
        </w:rPr>
        <w:t> </w:t>
      </w:r>
      <w:r>
        <w:rPr/>
        <w:t>lượng dịch vụ Logistics cảng container, cơ sở vật chất hạ tầng cảng</w:t>
      </w:r>
      <w:r>
        <w:rPr>
          <w:w w:val="99"/>
        </w:rPr>
        <w:t> </w:t>
      </w:r>
      <w:r>
        <w:rPr/>
        <w:t>container, khả</w:t>
      </w:r>
      <w:r>
        <w:rPr>
          <w:spacing w:val="30"/>
        </w:rPr>
        <w:t> </w:t>
      </w:r>
      <w:r>
        <w:rPr/>
        <w:t>năng kết nối nội địa của cảng, độ tin cậy của cảng container, chi phí</w:t>
      </w:r>
      <w:r>
        <w:rPr>
          <w:w w:val="99"/>
        </w:rPr>
        <w:t> </w:t>
      </w:r>
      <w:r>
        <w:rPr/>
        <w:t>Logistics của</w:t>
      </w:r>
      <w:r>
        <w:rPr>
          <w:spacing w:val="6"/>
        </w:rPr>
        <w:t> </w:t>
      </w:r>
      <w:r>
        <w:rPr/>
        <w:t>cảng ảnh hưởng đến lợi thế cạnh tranh của cảng container Việt Nam. Và</w:t>
      </w:r>
      <w:r>
        <w:rPr>
          <w:w w:val="99"/>
        </w:rPr>
        <w:t> </w:t>
      </w:r>
      <w:r>
        <w:rPr/>
        <w:t>lợi thế cạnh</w:t>
      </w:r>
      <w:r>
        <w:rPr>
          <w:spacing w:val="25"/>
        </w:rPr>
        <w:t> </w:t>
      </w:r>
      <w:r>
        <w:rPr/>
        <w:t>tranh của cảng container theo giá trị khách hàng được giải thích bằng 2</w:t>
      </w:r>
    </w:p>
    <w:p>
      <w:pPr>
        <w:pStyle w:val="BodyText"/>
        <w:spacing w:before="3"/>
        <w:ind w:left="882"/>
        <w:jc w:val="both"/>
      </w:pPr>
      <w:r>
        <w:rPr/>
        <w:t>khái niệm là hài lòng khách hàng cảng và lợi ích của khách hàng cảng.</w:t>
      </w:r>
    </w:p>
    <w:p>
      <w:pPr>
        <w:pStyle w:val="BodyText"/>
        <w:spacing w:line="360" w:lineRule="auto" w:before="151"/>
        <w:ind w:left="882" w:right="888" w:firstLine="719"/>
        <w:jc w:val="both"/>
      </w:pPr>
      <w:r>
        <w:rPr/>
        <w:t>Tuy nhiên do đây chỉ là nghiên cứu sơ bộ với số mẫu n = 195 với phép quay Varimax và chủ yếu các đối tượng được khảo sát khu vực TP.HCM, Vũng Tàu, Bình Dương, Đồng Nai. Vì vậy các thang đo này cần được kiểm định chặt chẽ hơn với số mẫu n&gt;500 với phép quay Promax, tác giả sẽ thực hiện trong nghiên cứu chính thức. Kết quả nghiên cứu định lượng sơ bộ giúp xác định độ tin cậy thang đo cũng như giải thích các khái niệm nghiên cứu ban đầu tuy nhiên có một số khái niệm có tính chất rất quan trọng bị loại trong nghiên cứu định lượng sơ bộ nên tác giả quyết định giữ lại để</w:t>
      </w:r>
    </w:p>
    <w:p>
      <w:pPr>
        <w:spacing w:after="0" w:line="360" w:lineRule="auto"/>
        <w:jc w:val="both"/>
        <w:sectPr>
          <w:pgSz w:w="11910" w:h="16850"/>
          <w:pgMar w:header="751" w:footer="0" w:top="960" w:bottom="280" w:left="820" w:right="240"/>
        </w:sectPr>
      </w:pPr>
    </w:p>
    <w:p>
      <w:pPr>
        <w:pStyle w:val="BodyText"/>
        <w:rPr>
          <w:sz w:val="20"/>
        </w:rPr>
      </w:pPr>
    </w:p>
    <w:p>
      <w:pPr>
        <w:pStyle w:val="BodyText"/>
        <w:spacing w:before="7"/>
        <w:rPr>
          <w:sz w:val="23"/>
        </w:rPr>
      </w:pPr>
    </w:p>
    <w:p>
      <w:pPr>
        <w:pStyle w:val="BodyText"/>
        <w:spacing w:line="360" w:lineRule="auto" w:before="89"/>
        <w:ind w:left="882" w:right="891"/>
        <w:jc w:val="both"/>
      </w:pPr>
      <w:r>
        <w:rPr/>
        <w:t>tiếp tục phát triển lại và khảo sát trong nghiên cứu định lượng chính thức, nếu trong định lượng chính thức các khái niệm này vẫn không thỏa mãn độ tin cậy thì sẽ loại bỏ.</w:t>
      </w:r>
    </w:p>
    <w:p>
      <w:pPr>
        <w:pStyle w:val="Heading6"/>
        <w:numPr>
          <w:ilvl w:val="1"/>
          <w:numId w:val="24"/>
        </w:numPr>
        <w:tabs>
          <w:tab w:pos="1271" w:val="left" w:leader="none"/>
        </w:tabs>
        <w:spacing w:line="240" w:lineRule="auto" w:before="0" w:after="0"/>
        <w:ind w:left="1270" w:right="0" w:hanging="389"/>
        <w:jc w:val="both"/>
      </w:pPr>
      <w:bookmarkStart w:name="_TOC_250023" w:id="33"/>
      <w:r>
        <w:rPr/>
        <w:t>Kết quả nghiên cứu định lượng chính</w:t>
      </w:r>
      <w:r>
        <w:rPr>
          <w:spacing w:val="-7"/>
        </w:rPr>
        <w:t> </w:t>
      </w:r>
      <w:bookmarkEnd w:id="33"/>
      <w:r>
        <w:rPr/>
        <w:t>thức</w:t>
      </w:r>
    </w:p>
    <w:p>
      <w:pPr>
        <w:pStyle w:val="BodyText"/>
        <w:spacing w:line="360" w:lineRule="auto" w:before="148"/>
        <w:ind w:left="882" w:right="888" w:firstLine="719"/>
        <w:jc w:val="both"/>
      </w:pPr>
      <w:r>
        <w:rPr/>
        <w:t>Nghiên cứu chính thức được thực hiện từ 08/2020 đến 05/2021 bởi kỹ thuật phỏng vấn trực tiếp kết hợp với gián tiếp thông qua sự hỗ trợ của các công cụ email, google driver...với kích thước mẫu dự kiến n = 600. Bảng câu hỏi được thiết kế dựa trên kết quả đánh giá sơ bộ, với thang đo likert 5 điểm. Dữ liệu thu thập về được làm sạch và xử lý trên phền mềm SPSS 20, sau đó phương pháp phân tích nhân tố khám phá EFA với phương pháp trích PAF (Principal Axis Factoring) xoay Promax để cấu trúc dữ liệu được chính xác (Gerbing &amp; Anderson, 1988). Phân tích hệ số tin cậy Cronbach’s Alpha được áp dụng nhằm kiểm định độ tin cậy của thang đo. Sau đó dữ liệu được phân tích bằng nhân tố khẳng định CFA (Confirmatory Factor Analysis) trên phần mềm AMOS 23 để khẳng định thang đo chặt chẽ hơn. Theo Nguyễn Đình Thọ và Nguyễn Thị Mai Trang (2011) thì “mô hình sẽ phù hợp với dữ liệu của thị trường và đạt tính đơn hướng là khi kiểm định chi bình phương (X</w:t>
      </w:r>
      <w:r>
        <w:rPr>
          <w:vertAlign w:val="superscript"/>
        </w:rPr>
        <w:t>2</w:t>
      </w:r>
      <w:r>
        <w:rPr>
          <w:vertAlign w:val="baseline"/>
        </w:rPr>
        <w:t> hay CMIN) có giá trị P &gt; 0,05 và hệ số chi bình phương điều chỉnh theo bậc tự do (X</w:t>
      </w:r>
      <w:r>
        <w:rPr>
          <w:vertAlign w:val="superscript"/>
        </w:rPr>
        <w:t>2</w:t>
      </w:r>
      <w:r>
        <w:rPr>
          <w:vertAlign w:val="baseline"/>
        </w:rPr>
        <w:t>/df) &lt; 2 (. Bên cạnh đó chỉ số thích hợp so sánh CFI (Comparatrive Fit Index) và chỉ số TLI (Tucker and Levis Index) không nhỏ hơn 0,9 (Bentler và cộng sự, 1980)”. Mặc khác mô hình được xem là tương thích với dữ liệu thị trường khi chỉ số RMSEA (Root Mean Square Error Approximation) không lớn hơn 0,08 và nếu bằng hoặc nhỏ hơn 0,05 là rất tốt (Steiger, 1990). Sau khi phân tích CFA thì mô hình cấu trúc tuyến tính SEM được sử dụng nhằm phản ánh mối quan hệ nhân quả các khái niệm nghiên cứu thông qua sự thể hiện trọng số của các biến quan sát, đặc tính của các mối quan hệ nhân quả được xét dựa vào trọng số hồi quy chưa chuẩn</w:t>
      </w:r>
      <w:r>
        <w:rPr>
          <w:spacing w:val="-5"/>
          <w:vertAlign w:val="baseline"/>
        </w:rPr>
        <w:t> </w:t>
      </w:r>
      <w:r>
        <w:rPr>
          <w:vertAlign w:val="baseline"/>
        </w:rPr>
        <w:t>hóa.</w:t>
      </w:r>
    </w:p>
    <w:p>
      <w:pPr>
        <w:pStyle w:val="BodyText"/>
        <w:spacing w:line="360" w:lineRule="auto" w:before="4"/>
        <w:ind w:left="882" w:right="890" w:firstLine="719"/>
        <w:jc w:val="both"/>
      </w:pPr>
      <w:r>
        <w:rPr/>
        <w:t>Cuối cùng phương pháp Bootstrap được sử dụng để kiểm định tính tin cậy của các ước lượng. Theo Nguyễn Đình Thọ (2011) thì “Phương pháp này lấy mẫu lặp lại có thay thế từ mẫu ban đầu với mẫu ban đầu đóng vai trò là đám đông. Nếu giá trị trung bình từ kết quả Bootstrap gần với ước lượng tổng thể bằng phương pháp ML (Maximum Likelihood) với độ lệch Bias của ước lượng và sai lệch chuẩn của nó có giá trị nhỏ và ổn định thì cho phép kết luận các ước lượng ML được áp dụng có thể tin cậy.”</w:t>
      </w:r>
    </w:p>
    <w:p>
      <w:pPr>
        <w:spacing w:after="0" w:line="360" w:lineRule="auto"/>
        <w:jc w:val="both"/>
        <w:sectPr>
          <w:pgSz w:w="11910" w:h="16850"/>
          <w:pgMar w:header="751" w:footer="0" w:top="960" w:bottom="280" w:left="820" w:right="240"/>
        </w:sectPr>
      </w:pPr>
    </w:p>
    <w:p>
      <w:pPr>
        <w:pStyle w:val="BodyText"/>
        <w:rPr>
          <w:sz w:val="20"/>
        </w:rPr>
      </w:pPr>
    </w:p>
    <w:p>
      <w:pPr>
        <w:pStyle w:val="BodyText"/>
        <w:spacing w:before="7"/>
        <w:rPr>
          <w:sz w:val="23"/>
        </w:rPr>
      </w:pPr>
    </w:p>
    <w:p>
      <w:pPr>
        <w:pStyle w:val="Heading6"/>
        <w:numPr>
          <w:ilvl w:val="2"/>
          <w:numId w:val="24"/>
        </w:numPr>
        <w:tabs>
          <w:tab w:pos="1466" w:val="left" w:leader="none"/>
        </w:tabs>
        <w:spacing w:line="240" w:lineRule="auto" w:before="89" w:after="0"/>
        <w:ind w:left="1465" w:right="0" w:hanging="584"/>
        <w:jc w:val="left"/>
      </w:pPr>
      <w:bookmarkStart w:name="_TOC_250022" w:id="34"/>
      <w:r>
        <w:rPr/>
        <w:t>Mô tả mẫu cho định lượng chính</w:t>
      </w:r>
      <w:r>
        <w:rPr>
          <w:spacing w:val="-3"/>
        </w:rPr>
        <w:t> </w:t>
      </w:r>
      <w:bookmarkEnd w:id="34"/>
      <w:r>
        <w:rPr/>
        <w:t>thức</w:t>
      </w:r>
    </w:p>
    <w:p>
      <w:pPr>
        <w:pStyle w:val="BodyText"/>
        <w:spacing w:line="360" w:lineRule="auto" w:before="150"/>
        <w:ind w:left="882" w:right="924" w:firstLine="719"/>
      </w:pPr>
      <w:r>
        <w:rPr/>
        <w:t>Kết quả khảo sát trong nghiên cứu định lượng chính thức thu về được 516 mẫu hoàn chỉnh với các thông tin cụ thể được thể hiện trong bảng 3.5 bên dưới:</w:t>
      </w:r>
    </w:p>
    <w:p>
      <w:pPr>
        <w:spacing w:line="271" w:lineRule="exact" w:before="0"/>
        <w:ind w:left="3022" w:right="0" w:firstLine="0"/>
        <w:jc w:val="left"/>
        <w:rPr>
          <w:b/>
          <w:sz w:val="24"/>
        </w:rPr>
      </w:pPr>
      <w:r>
        <w:rPr>
          <w:b/>
          <w:sz w:val="24"/>
        </w:rPr>
        <w:t>Bảng 3.5 Thống kê mẫu nghiên cứu chính thức</w:t>
      </w:r>
    </w:p>
    <w:p>
      <w:pPr>
        <w:pStyle w:val="BodyText"/>
        <w:spacing w:before="1" w:after="1"/>
        <w:rPr>
          <w:b/>
          <w:sz w:val="12"/>
        </w:rPr>
      </w:pPr>
    </w:p>
    <w:tbl>
      <w:tblPr>
        <w:tblW w:w="0" w:type="auto"/>
        <w:jc w:val="left"/>
        <w:tblInd w:w="77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1471"/>
        <w:gridCol w:w="1445"/>
        <w:gridCol w:w="1444"/>
        <w:gridCol w:w="1444"/>
        <w:gridCol w:w="1898"/>
        <w:gridCol w:w="1583"/>
      </w:tblGrid>
      <w:tr>
        <w:trPr>
          <w:trHeight w:val="414" w:hRule="atLeast"/>
        </w:trPr>
        <w:tc>
          <w:tcPr>
            <w:tcW w:w="1471" w:type="dxa"/>
          </w:tcPr>
          <w:p>
            <w:pPr>
              <w:pStyle w:val="TableParagraph"/>
              <w:spacing w:line="275" w:lineRule="exact"/>
              <w:ind w:left="263"/>
              <w:rPr>
                <w:b/>
                <w:sz w:val="24"/>
              </w:rPr>
            </w:pPr>
            <w:r>
              <w:rPr>
                <w:b/>
                <w:sz w:val="24"/>
              </w:rPr>
              <w:t>Khu Vực</w:t>
            </w:r>
          </w:p>
        </w:tc>
        <w:tc>
          <w:tcPr>
            <w:tcW w:w="1445" w:type="dxa"/>
          </w:tcPr>
          <w:p>
            <w:pPr>
              <w:pStyle w:val="TableParagraph"/>
              <w:spacing w:line="275" w:lineRule="exact"/>
              <w:ind w:left="225" w:right="216"/>
              <w:jc w:val="center"/>
              <w:rPr>
                <w:b/>
                <w:sz w:val="24"/>
              </w:rPr>
            </w:pPr>
            <w:r>
              <w:rPr>
                <w:b/>
                <w:sz w:val="24"/>
              </w:rPr>
              <w:t>Hãng tàu</w:t>
            </w:r>
          </w:p>
        </w:tc>
        <w:tc>
          <w:tcPr>
            <w:tcW w:w="1444" w:type="dxa"/>
          </w:tcPr>
          <w:p>
            <w:pPr>
              <w:pStyle w:val="TableParagraph"/>
              <w:spacing w:line="275" w:lineRule="exact"/>
              <w:ind w:left="163" w:right="150"/>
              <w:jc w:val="center"/>
              <w:rPr>
                <w:b/>
                <w:sz w:val="24"/>
              </w:rPr>
            </w:pPr>
            <w:r>
              <w:rPr>
                <w:b/>
                <w:sz w:val="24"/>
              </w:rPr>
              <w:t>Chủ hàng</w:t>
            </w:r>
          </w:p>
        </w:tc>
        <w:tc>
          <w:tcPr>
            <w:tcW w:w="1444" w:type="dxa"/>
          </w:tcPr>
          <w:p>
            <w:pPr>
              <w:pStyle w:val="TableParagraph"/>
              <w:spacing w:line="275" w:lineRule="exact"/>
              <w:ind w:left="163" w:right="156"/>
              <w:jc w:val="center"/>
              <w:rPr>
                <w:b/>
                <w:sz w:val="24"/>
              </w:rPr>
            </w:pPr>
            <w:r>
              <w:rPr>
                <w:b/>
                <w:sz w:val="24"/>
              </w:rPr>
              <w:t>Giao nhận</w:t>
            </w:r>
          </w:p>
        </w:tc>
        <w:tc>
          <w:tcPr>
            <w:tcW w:w="1898" w:type="dxa"/>
          </w:tcPr>
          <w:p>
            <w:pPr>
              <w:pStyle w:val="TableParagraph"/>
              <w:spacing w:line="275" w:lineRule="exact"/>
              <w:ind w:left="220" w:right="204"/>
              <w:jc w:val="center"/>
              <w:rPr>
                <w:b/>
                <w:sz w:val="24"/>
              </w:rPr>
            </w:pPr>
            <w:r>
              <w:rPr>
                <w:b/>
                <w:sz w:val="24"/>
              </w:rPr>
              <w:t>Số lượng mẫu</w:t>
            </w:r>
          </w:p>
        </w:tc>
        <w:tc>
          <w:tcPr>
            <w:tcW w:w="1583" w:type="dxa"/>
          </w:tcPr>
          <w:p>
            <w:pPr>
              <w:pStyle w:val="TableParagraph"/>
              <w:spacing w:line="275" w:lineRule="exact"/>
              <w:ind w:left="367" w:right="352"/>
              <w:jc w:val="center"/>
              <w:rPr>
                <w:b/>
                <w:sz w:val="24"/>
              </w:rPr>
            </w:pPr>
            <w:r>
              <w:rPr>
                <w:b/>
                <w:sz w:val="24"/>
              </w:rPr>
              <w:t>Tỷ lệ %</w:t>
            </w:r>
          </w:p>
        </w:tc>
      </w:tr>
      <w:tr>
        <w:trPr>
          <w:trHeight w:val="412" w:hRule="atLeast"/>
        </w:trPr>
        <w:tc>
          <w:tcPr>
            <w:tcW w:w="1471" w:type="dxa"/>
          </w:tcPr>
          <w:p>
            <w:pPr>
              <w:pStyle w:val="TableParagraph"/>
              <w:spacing w:line="275" w:lineRule="exact"/>
              <w:ind w:left="107"/>
              <w:rPr>
                <w:sz w:val="24"/>
              </w:rPr>
            </w:pPr>
            <w:r>
              <w:rPr>
                <w:sz w:val="24"/>
              </w:rPr>
              <w:t>Miền Nam</w:t>
            </w:r>
          </w:p>
        </w:tc>
        <w:tc>
          <w:tcPr>
            <w:tcW w:w="1445" w:type="dxa"/>
          </w:tcPr>
          <w:p>
            <w:pPr>
              <w:pStyle w:val="TableParagraph"/>
              <w:spacing w:line="275" w:lineRule="exact"/>
              <w:ind w:left="220" w:right="216"/>
              <w:jc w:val="center"/>
              <w:rPr>
                <w:sz w:val="24"/>
              </w:rPr>
            </w:pPr>
            <w:r>
              <w:rPr>
                <w:sz w:val="24"/>
              </w:rPr>
              <w:t>32</w:t>
            </w:r>
          </w:p>
        </w:tc>
        <w:tc>
          <w:tcPr>
            <w:tcW w:w="1444" w:type="dxa"/>
          </w:tcPr>
          <w:p>
            <w:pPr>
              <w:pStyle w:val="TableParagraph"/>
              <w:spacing w:line="275" w:lineRule="exact"/>
              <w:ind w:left="163" w:right="152"/>
              <w:jc w:val="center"/>
              <w:rPr>
                <w:sz w:val="24"/>
              </w:rPr>
            </w:pPr>
            <w:r>
              <w:rPr>
                <w:sz w:val="24"/>
              </w:rPr>
              <w:t>151</w:t>
            </w:r>
          </w:p>
        </w:tc>
        <w:tc>
          <w:tcPr>
            <w:tcW w:w="1444" w:type="dxa"/>
          </w:tcPr>
          <w:p>
            <w:pPr>
              <w:pStyle w:val="TableParagraph"/>
              <w:spacing w:line="275" w:lineRule="exact"/>
              <w:ind w:left="163" w:right="155"/>
              <w:jc w:val="center"/>
              <w:rPr>
                <w:sz w:val="24"/>
              </w:rPr>
            </w:pPr>
            <w:r>
              <w:rPr>
                <w:sz w:val="24"/>
              </w:rPr>
              <w:t>250</w:t>
            </w:r>
          </w:p>
        </w:tc>
        <w:tc>
          <w:tcPr>
            <w:tcW w:w="1898" w:type="dxa"/>
          </w:tcPr>
          <w:p>
            <w:pPr>
              <w:pStyle w:val="TableParagraph"/>
              <w:spacing w:line="275" w:lineRule="exact"/>
              <w:ind w:left="216" w:right="204"/>
              <w:jc w:val="center"/>
              <w:rPr>
                <w:sz w:val="24"/>
              </w:rPr>
            </w:pPr>
            <w:r>
              <w:rPr>
                <w:sz w:val="24"/>
              </w:rPr>
              <w:t>433</w:t>
            </w:r>
          </w:p>
        </w:tc>
        <w:tc>
          <w:tcPr>
            <w:tcW w:w="1583" w:type="dxa"/>
          </w:tcPr>
          <w:p>
            <w:pPr>
              <w:pStyle w:val="TableParagraph"/>
              <w:spacing w:line="275" w:lineRule="exact"/>
              <w:ind w:left="367" w:right="352"/>
              <w:jc w:val="center"/>
              <w:rPr>
                <w:sz w:val="24"/>
              </w:rPr>
            </w:pPr>
            <w:r>
              <w:rPr>
                <w:sz w:val="24"/>
              </w:rPr>
              <w:t>83,90</w:t>
            </w:r>
          </w:p>
        </w:tc>
      </w:tr>
      <w:tr>
        <w:trPr>
          <w:trHeight w:val="414" w:hRule="atLeast"/>
        </w:trPr>
        <w:tc>
          <w:tcPr>
            <w:tcW w:w="1471" w:type="dxa"/>
          </w:tcPr>
          <w:p>
            <w:pPr>
              <w:pStyle w:val="TableParagraph"/>
              <w:spacing w:line="275" w:lineRule="exact"/>
              <w:ind w:left="107"/>
              <w:rPr>
                <w:sz w:val="24"/>
              </w:rPr>
            </w:pPr>
            <w:r>
              <w:rPr>
                <w:sz w:val="24"/>
              </w:rPr>
              <w:t>Miền Trung</w:t>
            </w:r>
          </w:p>
        </w:tc>
        <w:tc>
          <w:tcPr>
            <w:tcW w:w="1445" w:type="dxa"/>
          </w:tcPr>
          <w:p>
            <w:pPr>
              <w:pStyle w:val="TableParagraph"/>
              <w:spacing w:line="275" w:lineRule="exact"/>
              <w:ind w:left="4"/>
              <w:jc w:val="center"/>
              <w:rPr>
                <w:sz w:val="24"/>
              </w:rPr>
            </w:pPr>
            <w:r>
              <w:rPr>
                <w:sz w:val="24"/>
              </w:rPr>
              <w:t>0</w:t>
            </w:r>
          </w:p>
        </w:tc>
        <w:tc>
          <w:tcPr>
            <w:tcW w:w="1444" w:type="dxa"/>
          </w:tcPr>
          <w:p>
            <w:pPr>
              <w:pStyle w:val="TableParagraph"/>
              <w:spacing w:line="275" w:lineRule="exact"/>
              <w:ind w:left="163" w:right="152"/>
              <w:jc w:val="center"/>
              <w:rPr>
                <w:sz w:val="24"/>
              </w:rPr>
            </w:pPr>
            <w:r>
              <w:rPr>
                <w:sz w:val="24"/>
              </w:rPr>
              <w:t>19</w:t>
            </w:r>
          </w:p>
        </w:tc>
        <w:tc>
          <w:tcPr>
            <w:tcW w:w="1444" w:type="dxa"/>
          </w:tcPr>
          <w:p>
            <w:pPr>
              <w:pStyle w:val="TableParagraph"/>
              <w:spacing w:line="275" w:lineRule="exact"/>
              <w:ind w:left="8"/>
              <w:jc w:val="center"/>
              <w:rPr>
                <w:sz w:val="24"/>
              </w:rPr>
            </w:pPr>
            <w:r>
              <w:rPr>
                <w:sz w:val="24"/>
              </w:rPr>
              <w:t>6</w:t>
            </w:r>
          </w:p>
        </w:tc>
        <w:tc>
          <w:tcPr>
            <w:tcW w:w="1898" w:type="dxa"/>
          </w:tcPr>
          <w:p>
            <w:pPr>
              <w:pStyle w:val="TableParagraph"/>
              <w:spacing w:line="275" w:lineRule="exact"/>
              <w:ind w:left="216" w:right="204"/>
              <w:jc w:val="center"/>
              <w:rPr>
                <w:sz w:val="24"/>
              </w:rPr>
            </w:pPr>
            <w:r>
              <w:rPr>
                <w:sz w:val="24"/>
              </w:rPr>
              <w:t>25</w:t>
            </w:r>
          </w:p>
        </w:tc>
        <w:tc>
          <w:tcPr>
            <w:tcW w:w="1583" w:type="dxa"/>
          </w:tcPr>
          <w:p>
            <w:pPr>
              <w:pStyle w:val="TableParagraph"/>
              <w:spacing w:line="275" w:lineRule="exact"/>
              <w:ind w:left="367" w:right="352"/>
              <w:jc w:val="center"/>
              <w:rPr>
                <w:sz w:val="24"/>
              </w:rPr>
            </w:pPr>
            <w:r>
              <w:rPr>
                <w:sz w:val="24"/>
              </w:rPr>
              <w:t>4.86</w:t>
            </w:r>
          </w:p>
        </w:tc>
      </w:tr>
      <w:tr>
        <w:trPr>
          <w:trHeight w:val="414" w:hRule="atLeast"/>
        </w:trPr>
        <w:tc>
          <w:tcPr>
            <w:tcW w:w="1471" w:type="dxa"/>
          </w:tcPr>
          <w:p>
            <w:pPr>
              <w:pStyle w:val="TableParagraph"/>
              <w:spacing w:line="275" w:lineRule="exact"/>
              <w:ind w:left="107"/>
              <w:rPr>
                <w:sz w:val="24"/>
              </w:rPr>
            </w:pPr>
            <w:r>
              <w:rPr>
                <w:sz w:val="24"/>
              </w:rPr>
              <w:t>Miền Bắc</w:t>
            </w:r>
          </w:p>
        </w:tc>
        <w:tc>
          <w:tcPr>
            <w:tcW w:w="1445" w:type="dxa"/>
          </w:tcPr>
          <w:p>
            <w:pPr>
              <w:pStyle w:val="TableParagraph"/>
              <w:spacing w:line="275" w:lineRule="exact"/>
              <w:ind w:left="4"/>
              <w:jc w:val="center"/>
              <w:rPr>
                <w:sz w:val="24"/>
              </w:rPr>
            </w:pPr>
            <w:r>
              <w:rPr>
                <w:sz w:val="24"/>
              </w:rPr>
              <w:t>0</w:t>
            </w:r>
          </w:p>
        </w:tc>
        <w:tc>
          <w:tcPr>
            <w:tcW w:w="1444" w:type="dxa"/>
          </w:tcPr>
          <w:p>
            <w:pPr>
              <w:pStyle w:val="TableParagraph"/>
              <w:spacing w:line="275" w:lineRule="exact"/>
              <w:ind w:left="163" w:right="152"/>
              <w:jc w:val="center"/>
              <w:rPr>
                <w:sz w:val="24"/>
              </w:rPr>
            </w:pPr>
            <w:r>
              <w:rPr>
                <w:sz w:val="24"/>
              </w:rPr>
              <w:t>49</w:t>
            </w:r>
          </w:p>
        </w:tc>
        <w:tc>
          <w:tcPr>
            <w:tcW w:w="1444" w:type="dxa"/>
          </w:tcPr>
          <w:p>
            <w:pPr>
              <w:pStyle w:val="TableParagraph"/>
              <w:spacing w:line="275" w:lineRule="exact"/>
              <w:ind w:left="8"/>
              <w:jc w:val="center"/>
              <w:rPr>
                <w:sz w:val="24"/>
              </w:rPr>
            </w:pPr>
            <w:r>
              <w:rPr>
                <w:sz w:val="24"/>
              </w:rPr>
              <w:t>9</w:t>
            </w:r>
          </w:p>
        </w:tc>
        <w:tc>
          <w:tcPr>
            <w:tcW w:w="1898" w:type="dxa"/>
          </w:tcPr>
          <w:p>
            <w:pPr>
              <w:pStyle w:val="TableParagraph"/>
              <w:spacing w:line="275" w:lineRule="exact"/>
              <w:ind w:left="216" w:right="204"/>
              <w:jc w:val="center"/>
              <w:rPr>
                <w:sz w:val="24"/>
              </w:rPr>
            </w:pPr>
            <w:r>
              <w:rPr>
                <w:sz w:val="24"/>
              </w:rPr>
              <w:t>58</w:t>
            </w:r>
          </w:p>
        </w:tc>
        <w:tc>
          <w:tcPr>
            <w:tcW w:w="1583" w:type="dxa"/>
          </w:tcPr>
          <w:p>
            <w:pPr>
              <w:pStyle w:val="TableParagraph"/>
              <w:spacing w:line="275" w:lineRule="exact"/>
              <w:ind w:left="367" w:right="352"/>
              <w:jc w:val="center"/>
              <w:rPr>
                <w:sz w:val="24"/>
              </w:rPr>
            </w:pPr>
            <w:r>
              <w:rPr>
                <w:sz w:val="24"/>
              </w:rPr>
              <w:t>11.24</w:t>
            </w:r>
          </w:p>
        </w:tc>
      </w:tr>
      <w:tr>
        <w:trPr>
          <w:trHeight w:val="413" w:hRule="atLeast"/>
        </w:trPr>
        <w:tc>
          <w:tcPr>
            <w:tcW w:w="1471" w:type="dxa"/>
          </w:tcPr>
          <w:p>
            <w:pPr>
              <w:pStyle w:val="TableParagraph"/>
              <w:spacing w:line="275" w:lineRule="exact"/>
              <w:ind w:left="107"/>
              <w:rPr>
                <w:b/>
                <w:i/>
                <w:sz w:val="24"/>
              </w:rPr>
            </w:pPr>
            <w:r>
              <w:rPr>
                <w:b/>
                <w:i/>
                <w:sz w:val="24"/>
              </w:rPr>
              <w:t>Tổng:</w:t>
            </w:r>
          </w:p>
        </w:tc>
        <w:tc>
          <w:tcPr>
            <w:tcW w:w="1445" w:type="dxa"/>
          </w:tcPr>
          <w:p>
            <w:pPr>
              <w:pStyle w:val="TableParagraph"/>
              <w:spacing w:line="275" w:lineRule="exact"/>
              <w:ind w:left="220" w:right="216"/>
              <w:jc w:val="center"/>
              <w:rPr>
                <w:b/>
                <w:i/>
                <w:sz w:val="24"/>
              </w:rPr>
            </w:pPr>
            <w:r>
              <w:rPr>
                <w:b/>
                <w:i/>
                <w:sz w:val="24"/>
              </w:rPr>
              <w:t>32</w:t>
            </w:r>
          </w:p>
        </w:tc>
        <w:tc>
          <w:tcPr>
            <w:tcW w:w="1444" w:type="dxa"/>
          </w:tcPr>
          <w:p>
            <w:pPr>
              <w:pStyle w:val="TableParagraph"/>
              <w:spacing w:line="275" w:lineRule="exact"/>
              <w:ind w:left="163" w:right="152"/>
              <w:jc w:val="center"/>
              <w:rPr>
                <w:b/>
                <w:i/>
                <w:sz w:val="24"/>
              </w:rPr>
            </w:pPr>
            <w:r>
              <w:rPr>
                <w:b/>
                <w:i/>
                <w:sz w:val="24"/>
              </w:rPr>
              <w:t>219</w:t>
            </w:r>
          </w:p>
        </w:tc>
        <w:tc>
          <w:tcPr>
            <w:tcW w:w="1444" w:type="dxa"/>
          </w:tcPr>
          <w:p>
            <w:pPr>
              <w:pStyle w:val="TableParagraph"/>
              <w:spacing w:line="275" w:lineRule="exact"/>
              <w:ind w:left="163" w:right="155"/>
              <w:jc w:val="center"/>
              <w:rPr>
                <w:b/>
                <w:i/>
                <w:sz w:val="24"/>
              </w:rPr>
            </w:pPr>
            <w:r>
              <w:rPr>
                <w:b/>
                <w:i/>
                <w:sz w:val="24"/>
              </w:rPr>
              <w:t>265</w:t>
            </w:r>
          </w:p>
        </w:tc>
        <w:tc>
          <w:tcPr>
            <w:tcW w:w="1898" w:type="dxa"/>
          </w:tcPr>
          <w:p>
            <w:pPr>
              <w:pStyle w:val="TableParagraph"/>
              <w:spacing w:line="275" w:lineRule="exact"/>
              <w:ind w:left="216" w:right="204"/>
              <w:jc w:val="center"/>
              <w:rPr>
                <w:b/>
                <w:i/>
                <w:sz w:val="24"/>
              </w:rPr>
            </w:pPr>
            <w:r>
              <w:rPr>
                <w:b/>
                <w:i/>
                <w:sz w:val="24"/>
              </w:rPr>
              <w:t>516</w:t>
            </w:r>
          </w:p>
        </w:tc>
        <w:tc>
          <w:tcPr>
            <w:tcW w:w="1583" w:type="dxa"/>
          </w:tcPr>
          <w:p>
            <w:pPr>
              <w:pStyle w:val="TableParagraph"/>
              <w:spacing w:line="275" w:lineRule="exact"/>
              <w:ind w:left="367" w:right="350"/>
              <w:jc w:val="center"/>
              <w:rPr>
                <w:b/>
                <w:i/>
                <w:sz w:val="24"/>
              </w:rPr>
            </w:pPr>
            <w:r>
              <w:rPr>
                <w:b/>
                <w:i/>
                <w:sz w:val="24"/>
              </w:rPr>
              <w:t>100</w:t>
            </w:r>
          </w:p>
        </w:tc>
      </w:tr>
    </w:tbl>
    <w:p>
      <w:pPr>
        <w:spacing w:before="0"/>
        <w:ind w:left="7435" w:right="0" w:firstLine="0"/>
        <w:jc w:val="both"/>
        <w:rPr>
          <w:b/>
          <w:sz w:val="24"/>
        </w:rPr>
      </w:pPr>
      <w:r>
        <w:rPr>
          <w:b/>
          <w:sz w:val="24"/>
        </w:rPr>
        <w:t>Nguồn: Tác giả thống kê</w:t>
      </w:r>
    </w:p>
    <w:p>
      <w:pPr>
        <w:pStyle w:val="BodyText"/>
        <w:spacing w:line="360" w:lineRule="auto" w:before="142"/>
        <w:ind w:left="882" w:right="888" w:firstLine="719"/>
        <w:jc w:val="both"/>
      </w:pPr>
      <w:r>
        <w:rPr/>
        <w:t>Mẫu thu về chủ yếu tập trung khu vực Miền Nam chiếm 83,90%, vì Miền Nam được xem là trung tâm kinh tế. Đối tượng trả lời mẫu là những nhà quản lý, kế đến là Miền Bắc chiếm 11,24%, cuối cùng là khu vực Miền Trung chiếm 4,86%.</w:t>
      </w:r>
    </w:p>
    <w:p>
      <w:pPr>
        <w:pStyle w:val="Heading6"/>
        <w:numPr>
          <w:ilvl w:val="2"/>
          <w:numId w:val="24"/>
        </w:numPr>
        <w:tabs>
          <w:tab w:pos="1466" w:val="left" w:leader="none"/>
        </w:tabs>
        <w:spacing w:line="298" w:lineRule="exact" w:before="0" w:after="0"/>
        <w:ind w:left="1465" w:right="0" w:hanging="584"/>
        <w:jc w:val="both"/>
      </w:pPr>
      <w:bookmarkStart w:name="_TOC_250021" w:id="35"/>
      <w:r>
        <w:rPr/>
        <w:t>Phân tích thống kê mô tả dữ liệu nghiên</w:t>
      </w:r>
      <w:r>
        <w:rPr>
          <w:spacing w:val="-3"/>
        </w:rPr>
        <w:t> </w:t>
      </w:r>
      <w:bookmarkEnd w:id="35"/>
      <w:r>
        <w:rPr/>
        <w:t>cứu</w:t>
      </w:r>
    </w:p>
    <w:p>
      <w:pPr>
        <w:pStyle w:val="BodyText"/>
        <w:spacing w:line="360" w:lineRule="auto" w:before="150"/>
        <w:ind w:left="882" w:right="888" w:firstLine="719"/>
        <w:jc w:val="both"/>
      </w:pPr>
      <w:r>
        <w:rPr/>
        <w:t>Theo kết quả phân tích thống kê mô tả dữ liệu rên phần mềm SPSS 20 thì dữ liệu trung bình của các biến quan sát xoay quanh tham số 3, bên cạnh đó các giá trị Skewness và Kurtosis đều nhỏ hơn chỉ số 0 điều này cho thấy chuỗi dữ liệu nghiên  cứu có đồ thị phân phối lệch trái và mức độ tập trung đều hai bên nên có sự biến động nhẹ giữa các giá trị trung bình, giá trị lớn nhất, giá trị nhỏ nhất và độ lệch chuẩn được thể hiện ở bảng 4.2 như</w:t>
      </w:r>
      <w:r>
        <w:rPr>
          <w:spacing w:val="-2"/>
        </w:rPr>
        <w:t> </w:t>
      </w:r>
      <w:r>
        <w:rPr/>
        <w:t>sau:</w:t>
      </w:r>
    </w:p>
    <w:p>
      <w:pPr>
        <w:pStyle w:val="Heading6"/>
        <w:ind w:left="2002"/>
      </w:pPr>
      <w:r>
        <w:rPr/>
        <w:t>Bảng 3.6 Thống kê mô tả dữ liệu trong nghiên cứu chính thức</w:t>
      </w:r>
    </w:p>
    <w:p>
      <w:pPr>
        <w:pStyle w:val="BodyText"/>
        <w:spacing w:before="9"/>
        <w:rPr>
          <w:b/>
          <w:sz w:val="12"/>
        </w:rPr>
      </w:pPr>
    </w:p>
    <w:tbl>
      <w:tblPr>
        <w:tblW w:w="0" w:type="auto"/>
        <w:jc w:val="left"/>
        <w:tblInd w:w="77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1457"/>
        <w:gridCol w:w="891"/>
        <w:gridCol w:w="894"/>
        <w:gridCol w:w="992"/>
        <w:gridCol w:w="1218"/>
        <w:gridCol w:w="1222"/>
        <w:gridCol w:w="1112"/>
        <w:gridCol w:w="1224"/>
      </w:tblGrid>
      <w:tr>
        <w:trPr>
          <w:trHeight w:val="827" w:hRule="atLeast"/>
        </w:trPr>
        <w:tc>
          <w:tcPr>
            <w:tcW w:w="1457" w:type="dxa"/>
          </w:tcPr>
          <w:p>
            <w:pPr>
              <w:pStyle w:val="TableParagraph"/>
              <w:rPr>
                <w:sz w:val="24"/>
              </w:rPr>
            </w:pPr>
          </w:p>
        </w:tc>
        <w:tc>
          <w:tcPr>
            <w:tcW w:w="891" w:type="dxa"/>
          </w:tcPr>
          <w:p>
            <w:pPr>
              <w:pStyle w:val="TableParagraph"/>
              <w:spacing w:before="1"/>
              <w:ind w:left="229"/>
              <w:rPr>
                <w:b/>
                <w:sz w:val="24"/>
              </w:rPr>
            </w:pPr>
            <w:r>
              <w:rPr>
                <w:b/>
                <w:sz w:val="24"/>
              </w:rPr>
              <w:t>Nhỏ</w:t>
            </w:r>
          </w:p>
          <w:p>
            <w:pPr>
              <w:pStyle w:val="TableParagraph"/>
              <w:spacing w:before="137"/>
              <w:ind w:left="208"/>
              <w:rPr>
                <w:b/>
                <w:sz w:val="24"/>
              </w:rPr>
            </w:pPr>
            <w:r>
              <w:rPr>
                <w:b/>
                <w:sz w:val="24"/>
              </w:rPr>
              <w:t>nhất</w:t>
            </w:r>
          </w:p>
        </w:tc>
        <w:tc>
          <w:tcPr>
            <w:tcW w:w="894" w:type="dxa"/>
          </w:tcPr>
          <w:p>
            <w:pPr>
              <w:pStyle w:val="TableParagraph"/>
              <w:spacing w:before="1"/>
              <w:ind w:left="232"/>
              <w:rPr>
                <w:b/>
                <w:sz w:val="24"/>
              </w:rPr>
            </w:pPr>
            <w:r>
              <w:rPr>
                <w:b/>
                <w:sz w:val="24"/>
              </w:rPr>
              <w:t>Lớn</w:t>
            </w:r>
          </w:p>
          <w:p>
            <w:pPr>
              <w:pStyle w:val="TableParagraph"/>
              <w:spacing w:before="137"/>
              <w:ind w:left="210"/>
              <w:rPr>
                <w:b/>
                <w:sz w:val="24"/>
              </w:rPr>
            </w:pPr>
            <w:r>
              <w:rPr>
                <w:b/>
                <w:sz w:val="24"/>
              </w:rPr>
              <w:t>nhất</w:t>
            </w:r>
          </w:p>
        </w:tc>
        <w:tc>
          <w:tcPr>
            <w:tcW w:w="992" w:type="dxa"/>
          </w:tcPr>
          <w:p>
            <w:pPr>
              <w:pStyle w:val="TableParagraph"/>
              <w:spacing w:before="1"/>
              <w:ind w:left="163"/>
              <w:rPr>
                <w:b/>
                <w:sz w:val="24"/>
              </w:rPr>
            </w:pPr>
            <w:r>
              <w:rPr>
                <w:b/>
                <w:sz w:val="24"/>
              </w:rPr>
              <w:t>Trung</w:t>
            </w:r>
          </w:p>
          <w:p>
            <w:pPr>
              <w:pStyle w:val="TableParagraph"/>
              <w:spacing w:before="137"/>
              <w:ind w:left="257"/>
              <w:rPr>
                <w:b/>
                <w:sz w:val="24"/>
              </w:rPr>
            </w:pPr>
            <w:r>
              <w:rPr>
                <w:b/>
                <w:sz w:val="24"/>
              </w:rPr>
              <w:t>bình</w:t>
            </w:r>
          </w:p>
        </w:tc>
        <w:tc>
          <w:tcPr>
            <w:tcW w:w="1218" w:type="dxa"/>
          </w:tcPr>
          <w:p>
            <w:pPr>
              <w:pStyle w:val="TableParagraph"/>
              <w:spacing w:before="1"/>
              <w:ind w:right="116"/>
              <w:jc w:val="right"/>
              <w:rPr>
                <w:b/>
                <w:sz w:val="24"/>
              </w:rPr>
            </w:pPr>
            <w:r>
              <w:rPr>
                <w:b/>
                <w:sz w:val="24"/>
              </w:rPr>
              <w:t>Skewness</w:t>
            </w:r>
          </w:p>
        </w:tc>
        <w:tc>
          <w:tcPr>
            <w:tcW w:w="1222" w:type="dxa"/>
          </w:tcPr>
          <w:p>
            <w:pPr>
              <w:pStyle w:val="TableParagraph"/>
              <w:spacing w:before="1"/>
              <w:ind w:right="101"/>
              <w:jc w:val="right"/>
              <w:rPr>
                <w:b/>
                <w:sz w:val="24"/>
              </w:rPr>
            </w:pPr>
            <w:r>
              <w:rPr>
                <w:b/>
                <w:sz w:val="24"/>
              </w:rPr>
              <w:t>Std.Error</w:t>
            </w:r>
          </w:p>
        </w:tc>
        <w:tc>
          <w:tcPr>
            <w:tcW w:w="1112" w:type="dxa"/>
          </w:tcPr>
          <w:p>
            <w:pPr>
              <w:pStyle w:val="TableParagraph"/>
              <w:spacing w:before="1"/>
              <w:ind w:right="107"/>
              <w:jc w:val="right"/>
              <w:rPr>
                <w:b/>
                <w:sz w:val="24"/>
              </w:rPr>
            </w:pPr>
            <w:r>
              <w:rPr>
                <w:b/>
                <w:sz w:val="24"/>
              </w:rPr>
              <w:t>Kurtosis</w:t>
            </w:r>
          </w:p>
        </w:tc>
        <w:tc>
          <w:tcPr>
            <w:tcW w:w="1224" w:type="dxa"/>
          </w:tcPr>
          <w:p>
            <w:pPr>
              <w:pStyle w:val="TableParagraph"/>
              <w:spacing w:before="1"/>
              <w:ind w:right="101"/>
              <w:jc w:val="right"/>
              <w:rPr>
                <w:b/>
                <w:sz w:val="24"/>
              </w:rPr>
            </w:pPr>
            <w:r>
              <w:rPr>
                <w:b/>
                <w:sz w:val="24"/>
              </w:rPr>
              <w:t>Std.Error</w:t>
            </w:r>
          </w:p>
        </w:tc>
      </w:tr>
      <w:tr>
        <w:trPr>
          <w:trHeight w:val="414" w:hRule="atLeast"/>
        </w:trPr>
        <w:tc>
          <w:tcPr>
            <w:tcW w:w="1457" w:type="dxa"/>
          </w:tcPr>
          <w:p>
            <w:pPr>
              <w:pStyle w:val="TableParagraph"/>
              <w:spacing w:before="1"/>
              <w:ind w:left="167"/>
              <w:rPr>
                <w:sz w:val="24"/>
              </w:rPr>
            </w:pPr>
            <w:r>
              <w:rPr>
                <w:sz w:val="24"/>
              </w:rPr>
              <w:t>HT1</w:t>
            </w:r>
          </w:p>
        </w:tc>
        <w:tc>
          <w:tcPr>
            <w:tcW w:w="891" w:type="dxa"/>
          </w:tcPr>
          <w:p>
            <w:pPr>
              <w:pStyle w:val="TableParagraph"/>
              <w:spacing w:before="1"/>
              <w:ind w:right="157"/>
              <w:jc w:val="right"/>
              <w:rPr>
                <w:sz w:val="24"/>
              </w:rPr>
            </w:pPr>
            <w:r>
              <w:rPr>
                <w:sz w:val="24"/>
              </w:rPr>
              <w:t>1</w:t>
            </w:r>
          </w:p>
        </w:tc>
        <w:tc>
          <w:tcPr>
            <w:tcW w:w="894" w:type="dxa"/>
          </w:tcPr>
          <w:p>
            <w:pPr>
              <w:pStyle w:val="TableParagraph"/>
              <w:spacing w:before="1"/>
              <w:ind w:right="157"/>
              <w:jc w:val="right"/>
              <w:rPr>
                <w:sz w:val="24"/>
              </w:rPr>
            </w:pPr>
            <w:r>
              <w:rPr>
                <w:sz w:val="24"/>
              </w:rPr>
              <w:t>5</w:t>
            </w:r>
          </w:p>
        </w:tc>
        <w:tc>
          <w:tcPr>
            <w:tcW w:w="992" w:type="dxa"/>
          </w:tcPr>
          <w:p>
            <w:pPr>
              <w:pStyle w:val="TableParagraph"/>
              <w:spacing w:before="1"/>
              <w:ind w:right="160"/>
              <w:jc w:val="right"/>
              <w:rPr>
                <w:sz w:val="24"/>
              </w:rPr>
            </w:pPr>
            <w:r>
              <w:rPr>
                <w:sz w:val="24"/>
              </w:rPr>
              <w:t>3,85</w:t>
            </w:r>
          </w:p>
        </w:tc>
        <w:tc>
          <w:tcPr>
            <w:tcW w:w="1218" w:type="dxa"/>
          </w:tcPr>
          <w:p>
            <w:pPr>
              <w:pStyle w:val="TableParagraph"/>
              <w:spacing w:before="1"/>
              <w:ind w:right="161"/>
              <w:jc w:val="right"/>
              <w:rPr>
                <w:sz w:val="24"/>
              </w:rPr>
            </w:pPr>
            <w:r>
              <w:rPr>
                <w:sz w:val="24"/>
              </w:rPr>
              <w:t>-,946</w:t>
            </w:r>
          </w:p>
        </w:tc>
        <w:tc>
          <w:tcPr>
            <w:tcW w:w="1222" w:type="dxa"/>
          </w:tcPr>
          <w:p>
            <w:pPr>
              <w:pStyle w:val="TableParagraph"/>
              <w:spacing w:before="1"/>
              <w:ind w:right="159"/>
              <w:jc w:val="right"/>
              <w:rPr>
                <w:sz w:val="24"/>
              </w:rPr>
            </w:pPr>
            <w:r>
              <w:rPr>
                <w:sz w:val="24"/>
              </w:rPr>
              <w:t>,108</w:t>
            </w:r>
          </w:p>
        </w:tc>
        <w:tc>
          <w:tcPr>
            <w:tcW w:w="1112" w:type="dxa"/>
          </w:tcPr>
          <w:p>
            <w:pPr>
              <w:pStyle w:val="TableParagraph"/>
              <w:spacing w:before="1"/>
              <w:ind w:right="160"/>
              <w:jc w:val="right"/>
              <w:rPr>
                <w:sz w:val="24"/>
              </w:rPr>
            </w:pPr>
            <w:r>
              <w:rPr>
                <w:sz w:val="24"/>
              </w:rPr>
              <w:t>-,059</w:t>
            </w:r>
          </w:p>
        </w:tc>
        <w:tc>
          <w:tcPr>
            <w:tcW w:w="1224" w:type="dxa"/>
          </w:tcPr>
          <w:p>
            <w:pPr>
              <w:pStyle w:val="TableParagraph"/>
              <w:spacing w:before="1"/>
              <w:ind w:right="159"/>
              <w:jc w:val="right"/>
              <w:rPr>
                <w:sz w:val="24"/>
              </w:rPr>
            </w:pPr>
            <w:r>
              <w:rPr>
                <w:sz w:val="24"/>
              </w:rPr>
              <w:t>,215</w:t>
            </w:r>
          </w:p>
        </w:tc>
      </w:tr>
      <w:tr>
        <w:trPr>
          <w:trHeight w:val="415" w:hRule="atLeast"/>
        </w:trPr>
        <w:tc>
          <w:tcPr>
            <w:tcW w:w="1457" w:type="dxa"/>
          </w:tcPr>
          <w:p>
            <w:pPr>
              <w:pStyle w:val="TableParagraph"/>
              <w:spacing w:line="275" w:lineRule="exact"/>
              <w:ind w:left="167"/>
              <w:rPr>
                <w:sz w:val="24"/>
              </w:rPr>
            </w:pPr>
            <w:r>
              <w:rPr>
                <w:sz w:val="24"/>
              </w:rPr>
              <w:t>HT2</w:t>
            </w:r>
          </w:p>
        </w:tc>
        <w:tc>
          <w:tcPr>
            <w:tcW w:w="891" w:type="dxa"/>
          </w:tcPr>
          <w:p>
            <w:pPr>
              <w:pStyle w:val="TableParagraph"/>
              <w:spacing w:line="275" w:lineRule="exact"/>
              <w:ind w:right="157"/>
              <w:jc w:val="right"/>
              <w:rPr>
                <w:sz w:val="24"/>
              </w:rPr>
            </w:pPr>
            <w:r>
              <w:rPr>
                <w:sz w:val="24"/>
              </w:rPr>
              <w:t>1</w:t>
            </w:r>
          </w:p>
        </w:tc>
        <w:tc>
          <w:tcPr>
            <w:tcW w:w="894" w:type="dxa"/>
          </w:tcPr>
          <w:p>
            <w:pPr>
              <w:pStyle w:val="TableParagraph"/>
              <w:spacing w:line="275" w:lineRule="exact"/>
              <w:ind w:right="157"/>
              <w:jc w:val="right"/>
              <w:rPr>
                <w:sz w:val="24"/>
              </w:rPr>
            </w:pPr>
            <w:r>
              <w:rPr>
                <w:sz w:val="24"/>
              </w:rPr>
              <w:t>5</w:t>
            </w:r>
          </w:p>
        </w:tc>
        <w:tc>
          <w:tcPr>
            <w:tcW w:w="992" w:type="dxa"/>
          </w:tcPr>
          <w:p>
            <w:pPr>
              <w:pStyle w:val="TableParagraph"/>
              <w:spacing w:line="275" w:lineRule="exact"/>
              <w:ind w:right="160"/>
              <w:jc w:val="right"/>
              <w:rPr>
                <w:sz w:val="24"/>
              </w:rPr>
            </w:pPr>
            <w:r>
              <w:rPr>
                <w:sz w:val="24"/>
              </w:rPr>
              <w:t>3,80</w:t>
            </w:r>
          </w:p>
        </w:tc>
        <w:tc>
          <w:tcPr>
            <w:tcW w:w="1218" w:type="dxa"/>
          </w:tcPr>
          <w:p>
            <w:pPr>
              <w:pStyle w:val="TableParagraph"/>
              <w:spacing w:line="275" w:lineRule="exact"/>
              <w:ind w:right="162"/>
              <w:jc w:val="right"/>
              <w:rPr>
                <w:sz w:val="24"/>
              </w:rPr>
            </w:pPr>
            <w:r>
              <w:rPr>
                <w:sz w:val="24"/>
              </w:rPr>
              <w:t>-,859</w:t>
            </w:r>
          </w:p>
        </w:tc>
        <w:tc>
          <w:tcPr>
            <w:tcW w:w="1222" w:type="dxa"/>
          </w:tcPr>
          <w:p>
            <w:pPr>
              <w:pStyle w:val="TableParagraph"/>
              <w:spacing w:line="275" w:lineRule="exact"/>
              <w:ind w:right="159"/>
              <w:jc w:val="right"/>
              <w:rPr>
                <w:sz w:val="24"/>
              </w:rPr>
            </w:pPr>
            <w:r>
              <w:rPr>
                <w:sz w:val="24"/>
              </w:rPr>
              <w:t>,108</w:t>
            </w:r>
          </w:p>
        </w:tc>
        <w:tc>
          <w:tcPr>
            <w:tcW w:w="1112" w:type="dxa"/>
          </w:tcPr>
          <w:p>
            <w:pPr>
              <w:pStyle w:val="TableParagraph"/>
              <w:spacing w:line="275" w:lineRule="exact"/>
              <w:ind w:right="160"/>
              <w:jc w:val="right"/>
              <w:rPr>
                <w:sz w:val="24"/>
              </w:rPr>
            </w:pPr>
            <w:r>
              <w:rPr>
                <w:sz w:val="24"/>
              </w:rPr>
              <w:t>-,406</w:t>
            </w:r>
          </w:p>
        </w:tc>
        <w:tc>
          <w:tcPr>
            <w:tcW w:w="1224" w:type="dxa"/>
          </w:tcPr>
          <w:p>
            <w:pPr>
              <w:pStyle w:val="TableParagraph"/>
              <w:spacing w:line="275" w:lineRule="exact"/>
              <w:ind w:right="159"/>
              <w:jc w:val="right"/>
              <w:rPr>
                <w:sz w:val="24"/>
              </w:rPr>
            </w:pPr>
            <w:r>
              <w:rPr>
                <w:sz w:val="24"/>
              </w:rPr>
              <w:t>,215</w:t>
            </w:r>
          </w:p>
        </w:tc>
      </w:tr>
      <w:tr>
        <w:trPr>
          <w:trHeight w:val="412" w:hRule="atLeast"/>
        </w:trPr>
        <w:tc>
          <w:tcPr>
            <w:tcW w:w="1457" w:type="dxa"/>
          </w:tcPr>
          <w:p>
            <w:pPr>
              <w:pStyle w:val="TableParagraph"/>
              <w:spacing w:line="275" w:lineRule="exact"/>
              <w:ind w:left="167"/>
              <w:rPr>
                <w:sz w:val="24"/>
              </w:rPr>
            </w:pPr>
            <w:r>
              <w:rPr>
                <w:sz w:val="24"/>
              </w:rPr>
              <w:t>HT3</w:t>
            </w:r>
          </w:p>
        </w:tc>
        <w:tc>
          <w:tcPr>
            <w:tcW w:w="891" w:type="dxa"/>
          </w:tcPr>
          <w:p>
            <w:pPr>
              <w:pStyle w:val="TableParagraph"/>
              <w:spacing w:line="275" w:lineRule="exact"/>
              <w:ind w:right="157"/>
              <w:jc w:val="right"/>
              <w:rPr>
                <w:sz w:val="24"/>
              </w:rPr>
            </w:pPr>
            <w:r>
              <w:rPr>
                <w:sz w:val="24"/>
              </w:rPr>
              <w:t>1</w:t>
            </w:r>
          </w:p>
        </w:tc>
        <w:tc>
          <w:tcPr>
            <w:tcW w:w="894" w:type="dxa"/>
          </w:tcPr>
          <w:p>
            <w:pPr>
              <w:pStyle w:val="TableParagraph"/>
              <w:spacing w:line="275" w:lineRule="exact"/>
              <w:ind w:right="157"/>
              <w:jc w:val="right"/>
              <w:rPr>
                <w:sz w:val="24"/>
              </w:rPr>
            </w:pPr>
            <w:r>
              <w:rPr>
                <w:sz w:val="24"/>
              </w:rPr>
              <w:t>5</w:t>
            </w:r>
          </w:p>
        </w:tc>
        <w:tc>
          <w:tcPr>
            <w:tcW w:w="992" w:type="dxa"/>
          </w:tcPr>
          <w:p>
            <w:pPr>
              <w:pStyle w:val="TableParagraph"/>
              <w:spacing w:line="275" w:lineRule="exact"/>
              <w:ind w:right="160"/>
              <w:jc w:val="right"/>
              <w:rPr>
                <w:sz w:val="24"/>
              </w:rPr>
            </w:pPr>
            <w:r>
              <w:rPr>
                <w:sz w:val="24"/>
              </w:rPr>
              <w:t>2,32</w:t>
            </w:r>
          </w:p>
        </w:tc>
        <w:tc>
          <w:tcPr>
            <w:tcW w:w="1218" w:type="dxa"/>
          </w:tcPr>
          <w:p>
            <w:pPr>
              <w:pStyle w:val="TableParagraph"/>
              <w:spacing w:line="275" w:lineRule="exact"/>
              <w:ind w:right="162"/>
              <w:jc w:val="right"/>
              <w:rPr>
                <w:sz w:val="24"/>
              </w:rPr>
            </w:pPr>
            <w:r>
              <w:rPr>
                <w:sz w:val="24"/>
              </w:rPr>
              <w:t>-,469</w:t>
            </w:r>
          </w:p>
        </w:tc>
        <w:tc>
          <w:tcPr>
            <w:tcW w:w="1222" w:type="dxa"/>
          </w:tcPr>
          <w:p>
            <w:pPr>
              <w:pStyle w:val="TableParagraph"/>
              <w:spacing w:line="275" w:lineRule="exact"/>
              <w:ind w:right="159"/>
              <w:jc w:val="right"/>
              <w:rPr>
                <w:sz w:val="24"/>
              </w:rPr>
            </w:pPr>
            <w:r>
              <w:rPr>
                <w:sz w:val="24"/>
              </w:rPr>
              <w:t>,108</w:t>
            </w:r>
          </w:p>
        </w:tc>
        <w:tc>
          <w:tcPr>
            <w:tcW w:w="1112" w:type="dxa"/>
          </w:tcPr>
          <w:p>
            <w:pPr>
              <w:pStyle w:val="TableParagraph"/>
              <w:spacing w:line="275" w:lineRule="exact"/>
              <w:ind w:right="160"/>
              <w:jc w:val="right"/>
              <w:rPr>
                <w:sz w:val="24"/>
              </w:rPr>
            </w:pPr>
            <w:r>
              <w:rPr>
                <w:sz w:val="24"/>
              </w:rPr>
              <w:t>-,769</w:t>
            </w:r>
          </w:p>
        </w:tc>
        <w:tc>
          <w:tcPr>
            <w:tcW w:w="1224" w:type="dxa"/>
          </w:tcPr>
          <w:p>
            <w:pPr>
              <w:pStyle w:val="TableParagraph"/>
              <w:spacing w:line="275" w:lineRule="exact"/>
              <w:ind w:right="159"/>
              <w:jc w:val="right"/>
              <w:rPr>
                <w:sz w:val="24"/>
              </w:rPr>
            </w:pPr>
            <w:r>
              <w:rPr>
                <w:sz w:val="24"/>
              </w:rPr>
              <w:t>,215</w:t>
            </w:r>
          </w:p>
        </w:tc>
      </w:tr>
      <w:tr>
        <w:trPr>
          <w:trHeight w:val="414" w:hRule="atLeast"/>
        </w:trPr>
        <w:tc>
          <w:tcPr>
            <w:tcW w:w="1457" w:type="dxa"/>
          </w:tcPr>
          <w:p>
            <w:pPr>
              <w:pStyle w:val="TableParagraph"/>
              <w:spacing w:before="1"/>
              <w:ind w:left="167"/>
              <w:rPr>
                <w:sz w:val="24"/>
              </w:rPr>
            </w:pPr>
            <w:r>
              <w:rPr>
                <w:sz w:val="24"/>
              </w:rPr>
              <w:t>HT4</w:t>
            </w:r>
          </w:p>
        </w:tc>
        <w:tc>
          <w:tcPr>
            <w:tcW w:w="891" w:type="dxa"/>
          </w:tcPr>
          <w:p>
            <w:pPr>
              <w:pStyle w:val="TableParagraph"/>
              <w:spacing w:before="1"/>
              <w:ind w:right="157"/>
              <w:jc w:val="right"/>
              <w:rPr>
                <w:sz w:val="24"/>
              </w:rPr>
            </w:pPr>
            <w:r>
              <w:rPr>
                <w:sz w:val="24"/>
              </w:rPr>
              <w:t>1</w:t>
            </w:r>
          </w:p>
        </w:tc>
        <w:tc>
          <w:tcPr>
            <w:tcW w:w="894" w:type="dxa"/>
          </w:tcPr>
          <w:p>
            <w:pPr>
              <w:pStyle w:val="TableParagraph"/>
              <w:spacing w:before="1"/>
              <w:ind w:right="157"/>
              <w:jc w:val="right"/>
              <w:rPr>
                <w:sz w:val="24"/>
              </w:rPr>
            </w:pPr>
            <w:r>
              <w:rPr>
                <w:sz w:val="24"/>
              </w:rPr>
              <w:t>5</w:t>
            </w:r>
          </w:p>
        </w:tc>
        <w:tc>
          <w:tcPr>
            <w:tcW w:w="992" w:type="dxa"/>
          </w:tcPr>
          <w:p>
            <w:pPr>
              <w:pStyle w:val="TableParagraph"/>
              <w:spacing w:before="1"/>
              <w:ind w:right="160"/>
              <w:jc w:val="right"/>
              <w:rPr>
                <w:sz w:val="24"/>
              </w:rPr>
            </w:pPr>
            <w:r>
              <w:rPr>
                <w:sz w:val="24"/>
              </w:rPr>
              <w:t>3,10</w:t>
            </w:r>
          </w:p>
        </w:tc>
        <w:tc>
          <w:tcPr>
            <w:tcW w:w="1218" w:type="dxa"/>
          </w:tcPr>
          <w:p>
            <w:pPr>
              <w:pStyle w:val="TableParagraph"/>
              <w:spacing w:before="1"/>
              <w:ind w:right="162"/>
              <w:jc w:val="right"/>
              <w:rPr>
                <w:sz w:val="24"/>
              </w:rPr>
            </w:pPr>
            <w:r>
              <w:rPr>
                <w:sz w:val="24"/>
              </w:rPr>
              <w:t>-,308</w:t>
            </w:r>
          </w:p>
        </w:tc>
        <w:tc>
          <w:tcPr>
            <w:tcW w:w="1222" w:type="dxa"/>
          </w:tcPr>
          <w:p>
            <w:pPr>
              <w:pStyle w:val="TableParagraph"/>
              <w:spacing w:before="1"/>
              <w:ind w:right="159"/>
              <w:jc w:val="right"/>
              <w:rPr>
                <w:sz w:val="24"/>
              </w:rPr>
            </w:pPr>
            <w:r>
              <w:rPr>
                <w:sz w:val="24"/>
              </w:rPr>
              <w:t>,108</w:t>
            </w:r>
          </w:p>
        </w:tc>
        <w:tc>
          <w:tcPr>
            <w:tcW w:w="1112" w:type="dxa"/>
          </w:tcPr>
          <w:p>
            <w:pPr>
              <w:pStyle w:val="TableParagraph"/>
              <w:spacing w:before="1"/>
              <w:ind w:right="160"/>
              <w:jc w:val="right"/>
              <w:rPr>
                <w:sz w:val="24"/>
              </w:rPr>
            </w:pPr>
            <w:r>
              <w:rPr>
                <w:sz w:val="24"/>
              </w:rPr>
              <w:t>-,917</w:t>
            </w:r>
          </w:p>
        </w:tc>
        <w:tc>
          <w:tcPr>
            <w:tcW w:w="1224" w:type="dxa"/>
          </w:tcPr>
          <w:p>
            <w:pPr>
              <w:pStyle w:val="TableParagraph"/>
              <w:spacing w:before="1"/>
              <w:ind w:right="159"/>
              <w:jc w:val="right"/>
              <w:rPr>
                <w:sz w:val="24"/>
              </w:rPr>
            </w:pPr>
            <w:r>
              <w:rPr>
                <w:sz w:val="24"/>
              </w:rPr>
              <w:t>,215</w:t>
            </w:r>
          </w:p>
        </w:tc>
      </w:tr>
      <w:tr>
        <w:trPr>
          <w:trHeight w:val="414" w:hRule="atLeast"/>
        </w:trPr>
        <w:tc>
          <w:tcPr>
            <w:tcW w:w="1457" w:type="dxa"/>
          </w:tcPr>
          <w:p>
            <w:pPr>
              <w:pStyle w:val="TableParagraph"/>
              <w:spacing w:line="275" w:lineRule="exact"/>
              <w:ind w:left="167"/>
              <w:rPr>
                <w:sz w:val="24"/>
              </w:rPr>
            </w:pPr>
            <w:r>
              <w:rPr>
                <w:sz w:val="24"/>
              </w:rPr>
              <w:t>HT5</w:t>
            </w:r>
          </w:p>
        </w:tc>
        <w:tc>
          <w:tcPr>
            <w:tcW w:w="891" w:type="dxa"/>
          </w:tcPr>
          <w:p>
            <w:pPr>
              <w:pStyle w:val="TableParagraph"/>
              <w:spacing w:line="275" w:lineRule="exact"/>
              <w:ind w:right="157"/>
              <w:jc w:val="right"/>
              <w:rPr>
                <w:sz w:val="24"/>
              </w:rPr>
            </w:pPr>
            <w:r>
              <w:rPr>
                <w:sz w:val="24"/>
              </w:rPr>
              <w:t>1</w:t>
            </w:r>
          </w:p>
        </w:tc>
        <w:tc>
          <w:tcPr>
            <w:tcW w:w="894" w:type="dxa"/>
          </w:tcPr>
          <w:p>
            <w:pPr>
              <w:pStyle w:val="TableParagraph"/>
              <w:spacing w:line="275" w:lineRule="exact"/>
              <w:ind w:right="157"/>
              <w:jc w:val="right"/>
              <w:rPr>
                <w:sz w:val="24"/>
              </w:rPr>
            </w:pPr>
            <w:r>
              <w:rPr>
                <w:sz w:val="24"/>
              </w:rPr>
              <w:t>5</w:t>
            </w:r>
          </w:p>
        </w:tc>
        <w:tc>
          <w:tcPr>
            <w:tcW w:w="992" w:type="dxa"/>
          </w:tcPr>
          <w:p>
            <w:pPr>
              <w:pStyle w:val="TableParagraph"/>
              <w:spacing w:line="275" w:lineRule="exact"/>
              <w:ind w:right="160"/>
              <w:jc w:val="right"/>
              <w:rPr>
                <w:sz w:val="24"/>
              </w:rPr>
            </w:pPr>
            <w:r>
              <w:rPr>
                <w:sz w:val="24"/>
              </w:rPr>
              <w:t>3,15</w:t>
            </w:r>
          </w:p>
        </w:tc>
        <w:tc>
          <w:tcPr>
            <w:tcW w:w="1218" w:type="dxa"/>
          </w:tcPr>
          <w:p>
            <w:pPr>
              <w:pStyle w:val="TableParagraph"/>
              <w:spacing w:line="275" w:lineRule="exact"/>
              <w:ind w:right="161"/>
              <w:jc w:val="right"/>
              <w:rPr>
                <w:sz w:val="24"/>
              </w:rPr>
            </w:pPr>
            <w:r>
              <w:rPr>
                <w:sz w:val="24"/>
              </w:rPr>
              <w:t>-,332</w:t>
            </w:r>
          </w:p>
        </w:tc>
        <w:tc>
          <w:tcPr>
            <w:tcW w:w="1222" w:type="dxa"/>
          </w:tcPr>
          <w:p>
            <w:pPr>
              <w:pStyle w:val="TableParagraph"/>
              <w:spacing w:line="275" w:lineRule="exact"/>
              <w:ind w:right="159"/>
              <w:jc w:val="right"/>
              <w:rPr>
                <w:sz w:val="24"/>
              </w:rPr>
            </w:pPr>
            <w:r>
              <w:rPr>
                <w:sz w:val="24"/>
              </w:rPr>
              <w:t>,108</w:t>
            </w:r>
          </w:p>
        </w:tc>
        <w:tc>
          <w:tcPr>
            <w:tcW w:w="1112" w:type="dxa"/>
          </w:tcPr>
          <w:p>
            <w:pPr>
              <w:pStyle w:val="TableParagraph"/>
              <w:spacing w:line="275" w:lineRule="exact"/>
              <w:ind w:right="160"/>
              <w:jc w:val="right"/>
              <w:rPr>
                <w:sz w:val="24"/>
              </w:rPr>
            </w:pPr>
            <w:r>
              <w:rPr>
                <w:sz w:val="24"/>
              </w:rPr>
              <w:t>-,895</w:t>
            </w:r>
          </w:p>
        </w:tc>
        <w:tc>
          <w:tcPr>
            <w:tcW w:w="1224" w:type="dxa"/>
          </w:tcPr>
          <w:p>
            <w:pPr>
              <w:pStyle w:val="TableParagraph"/>
              <w:spacing w:line="275" w:lineRule="exact"/>
              <w:ind w:right="159"/>
              <w:jc w:val="right"/>
              <w:rPr>
                <w:sz w:val="24"/>
              </w:rPr>
            </w:pPr>
            <w:r>
              <w:rPr>
                <w:sz w:val="24"/>
              </w:rPr>
              <w:t>,215</w:t>
            </w:r>
          </w:p>
        </w:tc>
      </w:tr>
      <w:tr>
        <w:trPr>
          <w:trHeight w:val="412" w:hRule="atLeast"/>
        </w:trPr>
        <w:tc>
          <w:tcPr>
            <w:tcW w:w="1457" w:type="dxa"/>
          </w:tcPr>
          <w:p>
            <w:pPr>
              <w:pStyle w:val="TableParagraph"/>
              <w:spacing w:line="275" w:lineRule="exact"/>
              <w:ind w:left="167"/>
              <w:rPr>
                <w:sz w:val="24"/>
              </w:rPr>
            </w:pPr>
            <w:r>
              <w:rPr>
                <w:sz w:val="24"/>
              </w:rPr>
              <w:t>HT6</w:t>
            </w:r>
          </w:p>
        </w:tc>
        <w:tc>
          <w:tcPr>
            <w:tcW w:w="891" w:type="dxa"/>
          </w:tcPr>
          <w:p>
            <w:pPr>
              <w:pStyle w:val="TableParagraph"/>
              <w:spacing w:line="275" w:lineRule="exact"/>
              <w:ind w:right="157"/>
              <w:jc w:val="right"/>
              <w:rPr>
                <w:sz w:val="24"/>
              </w:rPr>
            </w:pPr>
            <w:r>
              <w:rPr>
                <w:sz w:val="24"/>
              </w:rPr>
              <w:t>1</w:t>
            </w:r>
          </w:p>
        </w:tc>
        <w:tc>
          <w:tcPr>
            <w:tcW w:w="894" w:type="dxa"/>
          </w:tcPr>
          <w:p>
            <w:pPr>
              <w:pStyle w:val="TableParagraph"/>
              <w:spacing w:line="275" w:lineRule="exact"/>
              <w:ind w:right="157"/>
              <w:jc w:val="right"/>
              <w:rPr>
                <w:sz w:val="24"/>
              </w:rPr>
            </w:pPr>
            <w:r>
              <w:rPr>
                <w:sz w:val="24"/>
              </w:rPr>
              <w:t>5</w:t>
            </w:r>
          </w:p>
        </w:tc>
        <w:tc>
          <w:tcPr>
            <w:tcW w:w="992" w:type="dxa"/>
          </w:tcPr>
          <w:p>
            <w:pPr>
              <w:pStyle w:val="TableParagraph"/>
              <w:spacing w:line="275" w:lineRule="exact"/>
              <w:ind w:right="160"/>
              <w:jc w:val="right"/>
              <w:rPr>
                <w:sz w:val="24"/>
              </w:rPr>
            </w:pPr>
            <w:r>
              <w:rPr>
                <w:sz w:val="24"/>
              </w:rPr>
              <w:t>2,97</w:t>
            </w:r>
          </w:p>
        </w:tc>
        <w:tc>
          <w:tcPr>
            <w:tcW w:w="1218" w:type="dxa"/>
          </w:tcPr>
          <w:p>
            <w:pPr>
              <w:pStyle w:val="TableParagraph"/>
              <w:spacing w:line="275" w:lineRule="exact"/>
              <w:ind w:right="162"/>
              <w:jc w:val="right"/>
              <w:rPr>
                <w:sz w:val="24"/>
              </w:rPr>
            </w:pPr>
            <w:r>
              <w:rPr>
                <w:sz w:val="24"/>
              </w:rPr>
              <w:t>-,146</w:t>
            </w:r>
          </w:p>
        </w:tc>
        <w:tc>
          <w:tcPr>
            <w:tcW w:w="1222" w:type="dxa"/>
          </w:tcPr>
          <w:p>
            <w:pPr>
              <w:pStyle w:val="TableParagraph"/>
              <w:spacing w:line="275" w:lineRule="exact"/>
              <w:ind w:right="159"/>
              <w:jc w:val="right"/>
              <w:rPr>
                <w:sz w:val="24"/>
              </w:rPr>
            </w:pPr>
            <w:r>
              <w:rPr>
                <w:sz w:val="24"/>
              </w:rPr>
              <w:t>,108</w:t>
            </w:r>
          </w:p>
        </w:tc>
        <w:tc>
          <w:tcPr>
            <w:tcW w:w="1112" w:type="dxa"/>
          </w:tcPr>
          <w:p>
            <w:pPr>
              <w:pStyle w:val="TableParagraph"/>
              <w:spacing w:line="275" w:lineRule="exact"/>
              <w:ind w:right="160"/>
              <w:jc w:val="right"/>
              <w:rPr>
                <w:sz w:val="24"/>
              </w:rPr>
            </w:pPr>
            <w:r>
              <w:rPr>
                <w:sz w:val="24"/>
              </w:rPr>
              <w:t>-,725</w:t>
            </w:r>
          </w:p>
        </w:tc>
        <w:tc>
          <w:tcPr>
            <w:tcW w:w="1224" w:type="dxa"/>
          </w:tcPr>
          <w:p>
            <w:pPr>
              <w:pStyle w:val="TableParagraph"/>
              <w:spacing w:line="275" w:lineRule="exact"/>
              <w:ind w:right="159"/>
              <w:jc w:val="right"/>
              <w:rPr>
                <w:sz w:val="24"/>
              </w:rPr>
            </w:pPr>
            <w:r>
              <w:rPr>
                <w:sz w:val="24"/>
              </w:rPr>
              <w:t>,215</w:t>
            </w:r>
          </w:p>
        </w:tc>
      </w:tr>
      <w:tr>
        <w:trPr>
          <w:trHeight w:val="414" w:hRule="atLeast"/>
        </w:trPr>
        <w:tc>
          <w:tcPr>
            <w:tcW w:w="1457" w:type="dxa"/>
          </w:tcPr>
          <w:p>
            <w:pPr>
              <w:pStyle w:val="TableParagraph"/>
              <w:spacing w:before="1"/>
              <w:ind w:left="167"/>
              <w:rPr>
                <w:sz w:val="24"/>
              </w:rPr>
            </w:pPr>
            <w:r>
              <w:rPr>
                <w:sz w:val="24"/>
              </w:rPr>
              <w:t>HT7</w:t>
            </w:r>
          </w:p>
        </w:tc>
        <w:tc>
          <w:tcPr>
            <w:tcW w:w="891" w:type="dxa"/>
          </w:tcPr>
          <w:p>
            <w:pPr>
              <w:pStyle w:val="TableParagraph"/>
              <w:spacing w:before="1"/>
              <w:ind w:right="157"/>
              <w:jc w:val="right"/>
              <w:rPr>
                <w:sz w:val="24"/>
              </w:rPr>
            </w:pPr>
            <w:r>
              <w:rPr>
                <w:sz w:val="24"/>
              </w:rPr>
              <w:t>1</w:t>
            </w:r>
          </w:p>
        </w:tc>
        <w:tc>
          <w:tcPr>
            <w:tcW w:w="894" w:type="dxa"/>
          </w:tcPr>
          <w:p>
            <w:pPr>
              <w:pStyle w:val="TableParagraph"/>
              <w:spacing w:before="1"/>
              <w:ind w:right="157"/>
              <w:jc w:val="right"/>
              <w:rPr>
                <w:sz w:val="24"/>
              </w:rPr>
            </w:pPr>
            <w:r>
              <w:rPr>
                <w:sz w:val="24"/>
              </w:rPr>
              <w:t>5</w:t>
            </w:r>
          </w:p>
        </w:tc>
        <w:tc>
          <w:tcPr>
            <w:tcW w:w="992" w:type="dxa"/>
          </w:tcPr>
          <w:p>
            <w:pPr>
              <w:pStyle w:val="TableParagraph"/>
              <w:spacing w:before="1"/>
              <w:ind w:right="160"/>
              <w:jc w:val="right"/>
              <w:rPr>
                <w:sz w:val="24"/>
              </w:rPr>
            </w:pPr>
            <w:r>
              <w:rPr>
                <w:sz w:val="24"/>
              </w:rPr>
              <w:t>3,88</w:t>
            </w:r>
          </w:p>
        </w:tc>
        <w:tc>
          <w:tcPr>
            <w:tcW w:w="1218" w:type="dxa"/>
          </w:tcPr>
          <w:p>
            <w:pPr>
              <w:pStyle w:val="TableParagraph"/>
              <w:spacing w:before="1"/>
              <w:ind w:right="162"/>
              <w:jc w:val="right"/>
              <w:rPr>
                <w:sz w:val="24"/>
              </w:rPr>
            </w:pPr>
            <w:r>
              <w:rPr>
                <w:sz w:val="24"/>
              </w:rPr>
              <w:t>-,867</w:t>
            </w:r>
          </w:p>
        </w:tc>
        <w:tc>
          <w:tcPr>
            <w:tcW w:w="1222" w:type="dxa"/>
          </w:tcPr>
          <w:p>
            <w:pPr>
              <w:pStyle w:val="TableParagraph"/>
              <w:spacing w:before="1"/>
              <w:ind w:right="159"/>
              <w:jc w:val="right"/>
              <w:rPr>
                <w:sz w:val="24"/>
              </w:rPr>
            </w:pPr>
            <w:r>
              <w:rPr>
                <w:sz w:val="24"/>
              </w:rPr>
              <w:t>,108</w:t>
            </w:r>
          </w:p>
        </w:tc>
        <w:tc>
          <w:tcPr>
            <w:tcW w:w="1112" w:type="dxa"/>
          </w:tcPr>
          <w:p>
            <w:pPr>
              <w:pStyle w:val="TableParagraph"/>
              <w:spacing w:before="1"/>
              <w:ind w:right="160"/>
              <w:jc w:val="right"/>
              <w:rPr>
                <w:sz w:val="24"/>
              </w:rPr>
            </w:pPr>
            <w:r>
              <w:rPr>
                <w:sz w:val="24"/>
              </w:rPr>
              <w:t>-,407</w:t>
            </w:r>
          </w:p>
        </w:tc>
        <w:tc>
          <w:tcPr>
            <w:tcW w:w="1224" w:type="dxa"/>
          </w:tcPr>
          <w:p>
            <w:pPr>
              <w:pStyle w:val="TableParagraph"/>
              <w:spacing w:before="1"/>
              <w:ind w:right="159"/>
              <w:jc w:val="right"/>
              <w:rPr>
                <w:sz w:val="24"/>
              </w:rPr>
            </w:pPr>
            <w:r>
              <w:rPr>
                <w:sz w:val="24"/>
              </w:rPr>
              <w:t>,215</w:t>
            </w:r>
          </w:p>
        </w:tc>
      </w:tr>
      <w:tr>
        <w:trPr>
          <w:trHeight w:val="414" w:hRule="atLeast"/>
        </w:trPr>
        <w:tc>
          <w:tcPr>
            <w:tcW w:w="1457" w:type="dxa"/>
          </w:tcPr>
          <w:p>
            <w:pPr>
              <w:pStyle w:val="TableParagraph"/>
              <w:spacing w:line="275" w:lineRule="exact"/>
              <w:ind w:left="167"/>
              <w:rPr>
                <w:sz w:val="24"/>
              </w:rPr>
            </w:pPr>
            <w:r>
              <w:rPr>
                <w:sz w:val="24"/>
              </w:rPr>
              <w:t>VT1</w:t>
            </w:r>
          </w:p>
        </w:tc>
        <w:tc>
          <w:tcPr>
            <w:tcW w:w="891" w:type="dxa"/>
          </w:tcPr>
          <w:p>
            <w:pPr>
              <w:pStyle w:val="TableParagraph"/>
              <w:spacing w:line="275" w:lineRule="exact"/>
              <w:ind w:right="157"/>
              <w:jc w:val="right"/>
              <w:rPr>
                <w:sz w:val="24"/>
              </w:rPr>
            </w:pPr>
            <w:r>
              <w:rPr>
                <w:sz w:val="24"/>
              </w:rPr>
              <w:t>1</w:t>
            </w:r>
          </w:p>
        </w:tc>
        <w:tc>
          <w:tcPr>
            <w:tcW w:w="894" w:type="dxa"/>
          </w:tcPr>
          <w:p>
            <w:pPr>
              <w:pStyle w:val="TableParagraph"/>
              <w:spacing w:line="275" w:lineRule="exact"/>
              <w:ind w:right="157"/>
              <w:jc w:val="right"/>
              <w:rPr>
                <w:sz w:val="24"/>
              </w:rPr>
            </w:pPr>
            <w:r>
              <w:rPr>
                <w:sz w:val="24"/>
              </w:rPr>
              <w:t>5</w:t>
            </w:r>
          </w:p>
        </w:tc>
        <w:tc>
          <w:tcPr>
            <w:tcW w:w="992" w:type="dxa"/>
          </w:tcPr>
          <w:p>
            <w:pPr>
              <w:pStyle w:val="TableParagraph"/>
              <w:spacing w:line="275" w:lineRule="exact"/>
              <w:ind w:right="160"/>
              <w:jc w:val="right"/>
              <w:rPr>
                <w:sz w:val="24"/>
              </w:rPr>
            </w:pPr>
            <w:r>
              <w:rPr>
                <w:sz w:val="24"/>
              </w:rPr>
              <w:t>3,19</w:t>
            </w:r>
          </w:p>
        </w:tc>
        <w:tc>
          <w:tcPr>
            <w:tcW w:w="1218" w:type="dxa"/>
          </w:tcPr>
          <w:p>
            <w:pPr>
              <w:pStyle w:val="TableParagraph"/>
              <w:spacing w:line="275" w:lineRule="exact"/>
              <w:ind w:right="162"/>
              <w:jc w:val="right"/>
              <w:rPr>
                <w:sz w:val="24"/>
              </w:rPr>
            </w:pPr>
            <w:r>
              <w:rPr>
                <w:sz w:val="24"/>
              </w:rPr>
              <w:t>-,325</w:t>
            </w:r>
          </w:p>
        </w:tc>
        <w:tc>
          <w:tcPr>
            <w:tcW w:w="1222" w:type="dxa"/>
          </w:tcPr>
          <w:p>
            <w:pPr>
              <w:pStyle w:val="TableParagraph"/>
              <w:spacing w:line="275" w:lineRule="exact"/>
              <w:ind w:right="159"/>
              <w:jc w:val="right"/>
              <w:rPr>
                <w:sz w:val="24"/>
              </w:rPr>
            </w:pPr>
            <w:r>
              <w:rPr>
                <w:sz w:val="24"/>
              </w:rPr>
              <w:t>,108</w:t>
            </w:r>
          </w:p>
        </w:tc>
        <w:tc>
          <w:tcPr>
            <w:tcW w:w="1112" w:type="dxa"/>
          </w:tcPr>
          <w:p>
            <w:pPr>
              <w:pStyle w:val="TableParagraph"/>
              <w:spacing w:line="275" w:lineRule="exact"/>
              <w:ind w:right="160"/>
              <w:jc w:val="right"/>
              <w:rPr>
                <w:sz w:val="24"/>
              </w:rPr>
            </w:pPr>
            <w:r>
              <w:rPr>
                <w:sz w:val="24"/>
              </w:rPr>
              <w:t>-1,554</w:t>
            </w:r>
          </w:p>
        </w:tc>
        <w:tc>
          <w:tcPr>
            <w:tcW w:w="1224" w:type="dxa"/>
          </w:tcPr>
          <w:p>
            <w:pPr>
              <w:pStyle w:val="TableParagraph"/>
              <w:spacing w:line="275" w:lineRule="exact"/>
              <w:ind w:right="159"/>
              <w:jc w:val="right"/>
              <w:rPr>
                <w:sz w:val="24"/>
              </w:rPr>
            </w:pPr>
            <w:r>
              <w:rPr>
                <w:sz w:val="24"/>
              </w:rPr>
              <w:t>,215</w:t>
            </w:r>
          </w:p>
        </w:tc>
      </w:tr>
      <w:tr>
        <w:trPr>
          <w:trHeight w:val="414" w:hRule="atLeast"/>
        </w:trPr>
        <w:tc>
          <w:tcPr>
            <w:tcW w:w="1457" w:type="dxa"/>
          </w:tcPr>
          <w:p>
            <w:pPr>
              <w:pStyle w:val="TableParagraph"/>
              <w:spacing w:line="275" w:lineRule="exact"/>
              <w:ind w:left="167"/>
              <w:rPr>
                <w:sz w:val="24"/>
              </w:rPr>
            </w:pPr>
            <w:r>
              <w:rPr>
                <w:sz w:val="24"/>
              </w:rPr>
              <w:t>VT2</w:t>
            </w:r>
          </w:p>
        </w:tc>
        <w:tc>
          <w:tcPr>
            <w:tcW w:w="891" w:type="dxa"/>
          </w:tcPr>
          <w:p>
            <w:pPr>
              <w:pStyle w:val="TableParagraph"/>
              <w:spacing w:line="275" w:lineRule="exact"/>
              <w:ind w:right="157"/>
              <w:jc w:val="right"/>
              <w:rPr>
                <w:sz w:val="24"/>
              </w:rPr>
            </w:pPr>
            <w:r>
              <w:rPr>
                <w:sz w:val="24"/>
              </w:rPr>
              <w:t>1</w:t>
            </w:r>
          </w:p>
        </w:tc>
        <w:tc>
          <w:tcPr>
            <w:tcW w:w="894" w:type="dxa"/>
          </w:tcPr>
          <w:p>
            <w:pPr>
              <w:pStyle w:val="TableParagraph"/>
              <w:spacing w:line="275" w:lineRule="exact"/>
              <w:ind w:right="157"/>
              <w:jc w:val="right"/>
              <w:rPr>
                <w:sz w:val="24"/>
              </w:rPr>
            </w:pPr>
            <w:r>
              <w:rPr>
                <w:sz w:val="24"/>
              </w:rPr>
              <w:t>5</w:t>
            </w:r>
          </w:p>
        </w:tc>
        <w:tc>
          <w:tcPr>
            <w:tcW w:w="992" w:type="dxa"/>
          </w:tcPr>
          <w:p>
            <w:pPr>
              <w:pStyle w:val="TableParagraph"/>
              <w:spacing w:line="275" w:lineRule="exact"/>
              <w:ind w:right="160"/>
              <w:jc w:val="right"/>
              <w:rPr>
                <w:sz w:val="24"/>
              </w:rPr>
            </w:pPr>
            <w:r>
              <w:rPr>
                <w:sz w:val="24"/>
              </w:rPr>
              <w:t>3,65</w:t>
            </w:r>
          </w:p>
        </w:tc>
        <w:tc>
          <w:tcPr>
            <w:tcW w:w="1218" w:type="dxa"/>
          </w:tcPr>
          <w:p>
            <w:pPr>
              <w:pStyle w:val="TableParagraph"/>
              <w:spacing w:line="275" w:lineRule="exact"/>
              <w:ind w:right="161"/>
              <w:jc w:val="right"/>
              <w:rPr>
                <w:sz w:val="24"/>
              </w:rPr>
            </w:pPr>
            <w:r>
              <w:rPr>
                <w:sz w:val="24"/>
              </w:rPr>
              <w:t>-,827</w:t>
            </w:r>
          </w:p>
        </w:tc>
        <w:tc>
          <w:tcPr>
            <w:tcW w:w="1222" w:type="dxa"/>
          </w:tcPr>
          <w:p>
            <w:pPr>
              <w:pStyle w:val="TableParagraph"/>
              <w:spacing w:line="275" w:lineRule="exact"/>
              <w:ind w:right="159"/>
              <w:jc w:val="right"/>
              <w:rPr>
                <w:sz w:val="24"/>
              </w:rPr>
            </w:pPr>
            <w:r>
              <w:rPr>
                <w:sz w:val="24"/>
              </w:rPr>
              <w:t>,108</w:t>
            </w:r>
          </w:p>
        </w:tc>
        <w:tc>
          <w:tcPr>
            <w:tcW w:w="1112" w:type="dxa"/>
          </w:tcPr>
          <w:p>
            <w:pPr>
              <w:pStyle w:val="TableParagraph"/>
              <w:spacing w:line="275" w:lineRule="exact"/>
              <w:ind w:right="160"/>
              <w:jc w:val="right"/>
              <w:rPr>
                <w:sz w:val="24"/>
              </w:rPr>
            </w:pPr>
            <w:r>
              <w:rPr>
                <w:sz w:val="24"/>
              </w:rPr>
              <w:t>-,550</w:t>
            </w:r>
          </w:p>
        </w:tc>
        <w:tc>
          <w:tcPr>
            <w:tcW w:w="1224" w:type="dxa"/>
          </w:tcPr>
          <w:p>
            <w:pPr>
              <w:pStyle w:val="TableParagraph"/>
              <w:spacing w:line="275" w:lineRule="exact"/>
              <w:ind w:right="159"/>
              <w:jc w:val="right"/>
              <w:rPr>
                <w:sz w:val="24"/>
              </w:rPr>
            </w:pPr>
            <w:r>
              <w:rPr>
                <w:sz w:val="24"/>
              </w:rPr>
              <w:t>,215</w:t>
            </w:r>
          </w:p>
        </w:tc>
      </w:tr>
    </w:tbl>
    <w:p>
      <w:pPr>
        <w:spacing w:after="0" w:line="275" w:lineRule="exact"/>
        <w:jc w:val="right"/>
        <w:rPr>
          <w:sz w:val="24"/>
        </w:rPr>
        <w:sectPr>
          <w:pgSz w:w="11910" w:h="16850"/>
          <w:pgMar w:header="751" w:footer="0" w:top="960" w:bottom="280" w:left="820" w:right="240"/>
        </w:sectPr>
      </w:pPr>
    </w:p>
    <w:p>
      <w:pPr>
        <w:pStyle w:val="BodyText"/>
        <w:rPr>
          <w:b/>
          <w:sz w:val="20"/>
        </w:rPr>
      </w:pPr>
    </w:p>
    <w:p>
      <w:pPr>
        <w:pStyle w:val="BodyText"/>
        <w:rPr>
          <w:b/>
          <w:sz w:val="20"/>
        </w:rPr>
      </w:pPr>
    </w:p>
    <w:p>
      <w:pPr>
        <w:pStyle w:val="BodyText"/>
        <w:spacing w:before="1"/>
        <w:rPr>
          <w:b/>
          <w:sz w:val="11"/>
        </w:rPr>
      </w:pPr>
    </w:p>
    <w:tbl>
      <w:tblPr>
        <w:tblW w:w="0" w:type="auto"/>
        <w:jc w:val="left"/>
        <w:tblInd w:w="77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1457"/>
        <w:gridCol w:w="891"/>
        <w:gridCol w:w="894"/>
        <w:gridCol w:w="992"/>
        <w:gridCol w:w="1218"/>
        <w:gridCol w:w="1222"/>
        <w:gridCol w:w="1112"/>
        <w:gridCol w:w="1224"/>
      </w:tblGrid>
      <w:tr>
        <w:trPr>
          <w:trHeight w:val="415" w:hRule="atLeast"/>
        </w:trPr>
        <w:tc>
          <w:tcPr>
            <w:tcW w:w="1457" w:type="dxa"/>
          </w:tcPr>
          <w:p>
            <w:pPr>
              <w:pStyle w:val="TableParagraph"/>
              <w:spacing w:line="275" w:lineRule="exact"/>
              <w:ind w:left="167"/>
              <w:rPr>
                <w:sz w:val="24"/>
              </w:rPr>
            </w:pPr>
            <w:r>
              <w:rPr>
                <w:sz w:val="24"/>
              </w:rPr>
              <w:t>VT3</w:t>
            </w:r>
          </w:p>
        </w:tc>
        <w:tc>
          <w:tcPr>
            <w:tcW w:w="891" w:type="dxa"/>
          </w:tcPr>
          <w:p>
            <w:pPr>
              <w:pStyle w:val="TableParagraph"/>
              <w:spacing w:line="275" w:lineRule="exact"/>
              <w:ind w:right="157"/>
              <w:jc w:val="right"/>
              <w:rPr>
                <w:sz w:val="24"/>
              </w:rPr>
            </w:pPr>
            <w:r>
              <w:rPr>
                <w:sz w:val="24"/>
              </w:rPr>
              <w:t>1</w:t>
            </w:r>
          </w:p>
        </w:tc>
        <w:tc>
          <w:tcPr>
            <w:tcW w:w="894" w:type="dxa"/>
          </w:tcPr>
          <w:p>
            <w:pPr>
              <w:pStyle w:val="TableParagraph"/>
              <w:spacing w:line="275" w:lineRule="exact"/>
              <w:ind w:right="157"/>
              <w:jc w:val="right"/>
              <w:rPr>
                <w:sz w:val="24"/>
              </w:rPr>
            </w:pPr>
            <w:r>
              <w:rPr>
                <w:sz w:val="24"/>
              </w:rPr>
              <w:t>5</w:t>
            </w:r>
          </w:p>
        </w:tc>
        <w:tc>
          <w:tcPr>
            <w:tcW w:w="992" w:type="dxa"/>
          </w:tcPr>
          <w:p>
            <w:pPr>
              <w:pStyle w:val="TableParagraph"/>
              <w:spacing w:line="275" w:lineRule="exact"/>
              <w:ind w:right="160"/>
              <w:jc w:val="right"/>
              <w:rPr>
                <w:sz w:val="24"/>
              </w:rPr>
            </w:pPr>
            <w:r>
              <w:rPr>
                <w:sz w:val="24"/>
              </w:rPr>
              <w:t>3,59</w:t>
            </w:r>
          </w:p>
        </w:tc>
        <w:tc>
          <w:tcPr>
            <w:tcW w:w="1218" w:type="dxa"/>
          </w:tcPr>
          <w:p>
            <w:pPr>
              <w:pStyle w:val="TableParagraph"/>
              <w:spacing w:line="275" w:lineRule="exact"/>
              <w:ind w:right="162"/>
              <w:jc w:val="right"/>
              <w:rPr>
                <w:sz w:val="24"/>
              </w:rPr>
            </w:pPr>
            <w:r>
              <w:rPr>
                <w:sz w:val="24"/>
              </w:rPr>
              <w:t>-,790</w:t>
            </w:r>
          </w:p>
        </w:tc>
        <w:tc>
          <w:tcPr>
            <w:tcW w:w="1222" w:type="dxa"/>
          </w:tcPr>
          <w:p>
            <w:pPr>
              <w:pStyle w:val="TableParagraph"/>
              <w:spacing w:line="275" w:lineRule="exact"/>
              <w:ind w:right="159"/>
              <w:jc w:val="right"/>
              <w:rPr>
                <w:sz w:val="24"/>
              </w:rPr>
            </w:pPr>
            <w:r>
              <w:rPr>
                <w:sz w:val="24"/>
              </w:rPr>
              <w:t>,108</w:t>
            </w:r>
          </w:p>
        </w:tc>
        <w:tc>
          <w:tcPr>
            <w:tcW w:w="1112" w:type="dxa"/>
          </w:tcPr>
          <w:p>
            <w:pPr>
              <w:pStyle w:val="TableParagraph"/>
              <w:spacing w:line="275" w:lineRule="exact"/>
              <w:ind w:right="160"/>
              <w:jc w:val="right"/>
              <w:rPr>
                <w:sz w:val="24"/>
              </w:rPr>
            </w:pPr>
            <w:r>
              <w:rPr>
                <w:sz w:val="24"/>
              </w:rPr>
              <w:t>-,649</w:t>
            </w:r>
          </w:p>
        </w:tc>
        <w:tc>
          <w:tcPr>
            <w:tcW w:w="1224" w:type="dxa"/>
          </w:tcPr>
          <w:p>
            <w:pPr>
              <w:pStyle w:val="TableParagraph"/>
              <w:spacing w:line="275" w:lineRule="exact"/>
              <w:ind w:right="159"/>
              <w:jc w:val="right"/>
              <w:rPr>
                <w:sz w:val="24"/>
              </w:rPr>
            </w:pPr>
            <w:r>
              <w:rPr>
                <w:sz w:val="24"/>
              </w:rPr>
              <w:t>,215</w:t>
            </w:r>
          </w:p>
        </w:tc>
      </w:tr>
      <w:tr>
        <w:trPr>
          <w:trHeight w:val="412" w:hRule="atLeast"/>
        </w:trPr>
        <w:tc>
          <w:tcPr>
            <w:tcW w:w="1457" w:type="dxa"/>
          </w:tcPr>
          <w:p>
            <w:pPr>
              <w:pStyle w:val="TableParagraph"/>
              <w:spacing w:line="275" w:lineRule="exact"/>
              <w:ind w:left="167"/>
              <w:rPr>
                <w:sz w:val="24"/>
              </w:rPr>
            </w:pPr>
            <w:r>
              <w:rPr>
                <w:sz w:val="24"/>
              </w:rPr>
              <w:t>VT4</w:t>
            </w:r>
          </w:p>
        </w:tc>
        <w:tc>
          <w:tcPr>
            <w:tcW w:w="891" w:type="dxa"/>
          </w:tcPr>
          <w:p>
            <w:pPr>
              <w:pStyle w:val="TableParagraph"/>
              <w:spacing w:line="275" w:lineRule="exact"/>
              <w:ind w:right="157"/>
              <w:jc w:val="right"/>
              <w:rPr>
                <w:sz w:val="24"/>
              </w:rPr>
            </w:pPr>
            <w:r>
              <w:rPr>
                <w:sz w:val="24"/>
              </w:rPr>
              <w:t>1</w:t>
            </w:r>
          </w:p>
        </w:tc>
        <w:tc>
          <w:tcPr>
            <w:tcW w:w="894" w:type="dxa"/>
          </w:tcPr>
          <w:p>
            <w:pPr>
              <w:pStyle w:val="TableParagraph"/>
              <w:spacing w:line="275" w:lineRule="exact"/>
              <w:ind w:right="157"/>
              <w:jc w:val="right"/>
              <w:rPr>
                <w:sz w:val="24"/>
              </w:rPr>
            </w:pPr>
            <w:r>
              <w:rPr>
                <w:sz w:val="24"/>
              </w:rPr>
              <w:t>5</w:t>
            </w:r>
          </w:p>
        </w:tc>
        <w:tc>
          <w:tcPr>
            <w:tcW w:w="992" w:type="dxa"/>
          </w:tcPr>
          <w:p>
            <w:pPr>
              <w:pStyle w:val="TableParagraph"/>
              <w:spacing w:line="275" w:lineRule="exact"/>
              <w:ind w:right="160"/>
              <w:jc w:val="right"/>
              <w:rPr>
                <w:sz w:val="24"/>
              </w:rPr>
            </w:pPr>
            <w:r>
              <w:rPr>
                <w:sz w:val="24"/>
              </w:rPr>
              <w:t>2,91</w:t>
            </w:r>
          </w:p>
        </w:tc>
        <w:tc>
          <w:tcPr>
            <w:tcW w:w="1218" w:type="dxa"/>
          </w:tcPr>
          <w:p>
            <w:pPr>
              <w:pStyle w:val="TableParagraph"/>
              <w:spacing w:line="275" w:lineRule="exact"/>
              <w:ind w:right="162"/>
              <w:jc w:val="right"/>
              <w:rPr>
                <w:sz w:val="24"/>
              </w:rPr>
            </w:pPr>
            <w:r>
              <w:rPr>
                <w:sz w:val="24"/>
              </w:rPr>
              <w:t>-,022</w:t>
            </w:r>
          </w:p>
        </w:tc>
        <w:tc>
          <w:tcPr>
            <w:tcW w:w="1222" w:type="dxa"/>
          </w:tcPr>
          <w:p>
            <w:pPr>
              <w:pStyle w:val="TableParagraph"/>
              <w:spacing w:line="275" w:lineRule="exact"/>
              <w:ind w:right="159"/>
              <w:jc w:val="right"/>
              <w:rPr>
                <w:sz w:val="24"/>
              </w:rPr>
            </w:pPr>
            <w:r>
              <w:rPr>
                <w:sz w:val="24"/>
              </w:rPr>
              <w:t>,108</w:t>
            </w:r>
          </w:p>
        </w:tc>
        <w:tc>
          <w:tcPr>
            <w:tcW w:w="1112" w:type="dxa"/>
          </w:tcPr>
          <w:p>
            <w:pPr>
              <w:pStyle w:val="TableParagraph"/>
              <w:spacing w:line="275" w:lineRule="exact"/>
              <w:ind w:right="160"/>
              <w:jc w:val="right"/>
              <w:rPr>
                <w:sz w:val="24"/>
              </w:rPr>
            </w:pPr>
            <w:r>
              <w:rPr>
                <w:sz w:val="24"/>
              </w:rPr>
              <w:t>-1,627</w:t>
            </w:r>
          </w:p>
        </w:tc>
        <w:tc>
          <w:tcPr>
            <w:tcW w:w="1224" w:type="dxa"/>
          </w:tcPr>
          <w:p>
            <w:pPr>
              <w:pStyle w:val="TableParagraph"/>
              <w:spacing w:line="275" w:lineRule="exact"/>
              <w:ind w:right="159"/>
              <w:jc w:val="right"/>
              <w:rPr>
                <w:sz w:val="24"/>
              </w:rPr>
            </w:pPr>
            <w:r>
              <w:rPr>
                <w:sz w:val="24"/>
              </w:rPr>
              <w:t>,215</w:t>
            </w:r>
          </w:p>
        </w:tc>
      </w:tr>
      <w:tr>
        <w:trPr>
          <w:trHeight w:val="414" w:hRule="atLeast"/>
        </w:trPr>
        <w:tc>
          <w:tcPr>
            <w:tcW w:w="1457" w:type="dxa"/>
          </w:tcPr>
          <w:p>
            <w:pPr>
              <w:pStyle w:val="TableParagraph"/>
              <w:spacing w:line="275" w:lineRule="exact"/>
              <w:ind w:left="167"/>
              <w:rPr>
                <w:sz w:val="24"/>
              </w:rPr>
            </w:pPr>
            <w:r>
              <w:rPr>
                <w:sz w:val="24"/>
              </w:rPr>
              <w:t>VT5</w:t>
            </w:r>
          </w:p>
        </w:tc>
        <w:tc>
          <w:tcPr>
            <w:tcW w:w="891" w:type="dxa"/>
          </w:tcPr>
          <w:p>
            <w:pPr>
              <w:pStyle w:val="TableParagraph"/>
              <w:spacing w:line="275" w:lineRule="exact"/>
              <w:ind w:right="157"/>
              <w:jc w:val="right"/>
              <w:rPr>
                <w:sz w:val="24"/>
              </w:rPr>
            </w:pPr>
            <w:r>
              <w:rPr>
                <w:sz w:val="24"/>
              </w:rPr>
              <w:t>1</w:t>
            </w:r>
          </w:p>
        </w:tc>
        <w:tc>
          <w:tcPr>
            <w:tcW w:w="894" w:type="dxa"/>
          </w:tcPr>
          <w:p>
            <w:pPr>
              <w:pStyle w:val="TableParagraph"/>
              <w:spacing w:line="275" w:lineRule="exact"/>
              <w:ind w:right="157"/>
              <w:jc w:val="right"/>
              <w:rPr>
                <w:sz w:val="24"/>
              </w:rPr>
            </w:pPr>
            <w:r>
              <w:rPr>
                <w:sz w:val="24"/>
              </w:rPr>
              <w:t>5</w:t>
            </w:r>
          </w:p>
        </w:tc>
        <w:tc>
          <w:tcPr>
            <w:tcW w:w="992" w:type="dxa"/>
          </w:tcPr>
          <w:p>
            <w:pPr>
              <w:pStyle w:val="TableParagraph"/>
              <w:spacing w:line="275" w:lineRule="exact"/>
              <w:ind w:right="160"/>
              <w:jc w:val="right"/>
              <w:rPr>
                <w:sz w:val="24"/>
              </w:rPr>
            </w:pPr>
            <w:r>
              <w:rPr>
                <w:sz w:val="24"/>
              </w:rPr>
              <w:t>3,53</w:t>
            </w:r>
          </w:p>
        </w:tc>
        <w:tc>
          <w:tcPr>
            <w:tcW w:w="1218" w:type="dxa"/>
          </w:tcPr>
          <w:p>
            <w:pPr>
              <w:pStyle w:val="TableParagraph"/>
              <w:spacing w:line="275" w:lineRule="exact"/>
              <w:ind w:right="161"/>
              <w:jc w:val="right"/>
              <w:rPr>
                <w:sz w:val="24"/>
              </w:rPr>
            </w:pPr>
            <w:r>
              <w:rPr>
                <w:sz w:val="24"/>
              </w:rPr>
              <w:t>-,670</w:t>
            </w:r>
          </w:p>
        </w:tc>
        <w:tc>
          <w:tcPr>
            <w:tcW w:w="1222" w:type="dxa"/>
          </w:tcPr>
          <w:p>
            <w:pPr>
              <w:pStyle w:val="TableParagraph"/>
              <w:spacing w:line="275" w:lineRule="exact"/>
              <w:ind w:right="159"/>
              <w:jc w:val="right"/>
              <w:rPr>
                <w:sz w:val="24"/>
              </w:rPr>
            </w:pPr>
            <w:r>
              <w:rPr>
                <w:sz w:val="24"/>
              </w:rPr>
              <w:t>,108</w:t>
            </w:r>
          </w:p>
        </w:tc>
        <w:tc>
          <w:tcPr>
            <w:tcW w:w="1112" w:type="dxa"/>
          </w:tcPr>
          <w:p>
            <w:pPr>
              <w:pStyle w:val="TableParagraph"/>
              <w:spacing w:line="275" w:lineRule="exact"/>
              <w:ind w:right="160"/>
              <w:jc w:val="right"/>
              <w:rPr>
                <w:sz w:val="24"/>
              </w:rPr>
            </w:pPr>
            <w:r>
              <w:rPr>
                <w:sz w:val="24"/>
              </w:rPr>
              <w:t>-,828</w:t>
            </w:r>
          </w:p>
        </w:tc>
        <w:tc>
          <w:tcPr>
            <w:tcW w:w="1224" w:type="dxa"/>
          </w:tcPr>
          <w:p>
            <w:pPr>
              <w:pStyle w:val="TableParagraph"/>
              <w:spacing w:line="275" w:lineRule="exact"/>
              <w:ind w:right="159"/>
              <w:jc w:val="right"/>
              <w:rPr>
                <w:sz w:val="24"/>
              </w:rPr>
            </w:pPr>
            <w:r>
              <w:rPr>
                <w:sz w:val="24"/>
              </w:rPr>
              <w:t>,215</w:t>
            </w:r>
          </w:p>
        </w:tc>
      </w:tr>
      <w:tr>
        <w:trPr>
          <w:trHeight w:val="414" w:hRule="atLeast"/>
        </w:trPr>
        <w:tc>
          <w:tcPr>
            <w:tcW w:w="1457" w:type="dxa"/>
          </w:tcPr>
          <w:p>
            <w:pPr>
              <w:pStyle w:val="TableParagraph"/>
              <w:spacing w:line="275" w:lineRule="exact"/>
              <w:ind w:left="167"/>
              <w:rPr>
                <w:sz w:val="24"/>
              </w:rPr>
            </w:pPr>
            <w:r>
              <w:rPr>
                <w:sz w:val="24"/>
              </w:rPr>
              <w:t>VT6</w:t>
            </w:r>
          </w:p>
        </w:tc>
        <w:tc>
          <w:tcPr>
            <w:tcW w:w="891" w:type="dxa"/>
          </w:tcPr>
          <w:p>
            <w:pPr>
              <w:pStyle w:val="TableParagraph"/>
              <w:spacing w:line="275" w:lineRule="exact"/>
              <w:ind w:right="157"/>
              <w:jc w:val="right"/>
              <w:rPr>
                <w:sz w:val="24"/>
              </w:rPr>
            </w:pPr>
            <w:r>
              <w:rPr>
                <w:sz w:val="24"/>
              </w:rPr>
              <w:t>1</w:t>
            </w:r>
          </w:p>
        </w:tc>
        <w:tc>
          <w:tcPr>
            <w:tcW w:w="894" w:type="dxa"/>
          </w:tcPr>
          <w:p>
            <w:pPr>
              <w:pStyle w:val="TableParagraph"/>
              <w:spacing w:line="275" w:lineRule="exact"/>
              <w:ind w:right="157"/>
              <w:jc w:val="right"/>
              <w:rPr>
                <w:sz w:val="24"/>
              </w:rPr>
            </w:pPr>
            <w:r>
              <w:rPr>
                <w:sz w:val="24"/>
              </w:rPr>
              <w:t>5</w:t>
            </w:r>
          </w:p>
        </w:tc>
        <w:tc>
          <w:tcPr>
            <w:tcW w:w="992" w:type="dxa"/>
          </w:tcPr>
          <w:p>
            <w:pPr>
              <w:pStyle w:val="TableParagraph"/>
              <w:spacing w:line="275" w:lineRule="exact"/>
              <w:ind w:right="160"/>
              <w:jc w:val="right"/>
              <w:rPr>
                <w:sz w:val="24"/>
              </w:rPr>
            </w:pPr>
            <w:r>
              <w:rPr>
                <w:sz w:val="24"/>
              </w:rPr>
              <w:t>3,70</w:t>
            </w:r>
          </w:p>
        </w:tc>
        <w:tc>
          <w:tcPr>
            <w:tcW w:w="1218" w:type="dxa"/>
          </w:tcPr>
          <w:p>
            <w:pPr>
              <w:pStyle w:val="TableParagraph"/>
              <w:spacing w:line="275" w:lineRule="exact"/>
              <w:ind w:right="162"/>
              <w:jc w:val="right"/>
              <w:rPr>
                <w:sz w:val="24"/>
              </w:rPr>
            </w:pPr>
            <w:r>
              <w:rPr>
                <w:sz w:val="24"/>
              </w:rPr>
              <w:t>-,920</w:t>
            </w:r>
          </w:p>
        </w:tc>
        <w:tc>
          <w:tcPr>
            <w:tcW w:w="1222" w:type="dxa"/>
          </w:tcPr>
          <w:p>
            <w:pPr>
              <w:pStyle w:val="TableParagraph"/>
              <w:spacing w:line="275" w:lineRule="exact"/>
              <w:ind w:right="159"/>
              <w:jc w:val="right"/>
              <w:rPr>
                <w:sz w:val="24"/>
              </w:rPr>
            </w:pPr>
            <w:r>
              <w:rPr>
                <w:sz w:val="24"/>
              </w:rPr>
              <w:t>,108</w:t>
            </w:r>
          </w:p>
        </w:tc>
        <w:tc>
          <w:tcPr>
            <w:tcW w:w="1112" w:type="dxa"/>
          </w:tcPr>
          <w:p>
            <w:pPr>
              <w:pStyle w:val="TableParagraph"/>
              <w:spacing w:line="275" w:lineRule="exact"/>
              <w:ind w:right="160"/>
              <w:jc w:val="right"/>
              <w:rPr>
                <w:sz w:val="24"/>
              </w:rPr>
            </w:pPr>
            <w:r>
              <w:rPr>
                <w:sz w:val="24"/>
              </w:rPr>
              <w:t>-,283</w:t>
            </w:r>
          </w:p>
        </w:tc>
        <w:tc>
          <w:tcPr>
            <w:tcW w:w="1224" w:type="dxa"/>
          </w:tcPr>
          <w:p>
            <w:pPr>
              <w:pStyle w:val="TableParagraph"/>
              <w:spacing w:line="275" w:lineRule="exact"/>
              <w:ind w:right="159"/>
              <w:jc w:val="right"/>
              <w:rPr>
                <w:sz w:val="24"/>
              </w:rPr>
            </w:pPr>
            <w:r>
              <w:rPr>
                <w:sz w:val="24"/>
              </w:rPr>
              <w:t>,215</w:t>
            </w:r>
          </w:p>
        </w:tc>
      </w:tr>
      <w:tr>
        <w:trPr>
          <w:trHeight w:val="412" w:hRule="atLeast"/>
        </w:trPr>
        <w:tc>
          <w:tcPr>
            <w:tcW w:w="1457" w:type="dxa"/>
          </w:tcPr>
          <w:p>
            <w:pPr>
              <w:pStyle w:val="TableParagraph"/>
              <w:spacing w:line="275" w:lineRule="exact"/>
              <w:ind w:left="167"/>
              <w:rPr>
                <w:sz w:val="24"/>
              </w:rPr>
            </w:pPr>
            <w:r>
              <w:rPr>
                <w:sz w:val="24"/>
              </w:rPr>
              <w:t>VT7</w:t>
            </w:r>
          </w:p>
        </w:tc>
        <w:tc>
          <w:tcPr>
            <w:tcW w:w="891" w:type="dxa"/>
          </w:tcPr>
          <w:p>
            <w:pPr>
              <w:pStyle w:val="TableParagraph"/>
              <w:spacing w:line="275" w:lineRule="exact"/>
              <w:ind w:right="157"/>
              <w:jc w:val="right"/>
              <w:rPr>
                <w:sz w:val="24"/>
              </w:rPr>
            </w:pPr>
            <w:r>
              <w:rPr>
                <w:sz w:val="24"/>
              </w:rPr>
              <w:t>1</w:t>
            </w:r>
          </w:p>
        </w:tc>
        <w:tc>
          <w:tcPr>
            <w:tcW w:w="894" w:type="dxa"/>
          </w:tcPr>
          <w:p>
            <w:pPr>
              <w:pStyle w:val="TableParagraph"/>
              <w:spacing w:line="275" w:lineRule="exact"/>
              <w:ind w:right="157"/>
              <w:jc w:val="right"/>
              <w:rPr>
                <w:sz w:val="24"/>
              </w:rPr>
            </w:pPr>
            <w:r>
              <w:rPr>
                <w:sz w:val="24"/>
              </w:rPr>
              <w:t>5</w:t>
            </w:r>
          </w:p>
        </w:tc>
        <w:tc>
          <w:tcPr>
            <w:tcW w:w="992" w:type="dxa"/>
          </w:tcPr>
          <w:p>
            <w:pPr>
              <w:pStyle w:val="TableParagraph"/>
              <w:spacing w:line="275" w:lineRule="exact"/>
              <w:ind w:right="160"/>
              <w:jc w:val="right"/>
              <w:rPr>
                <w:sz w:val="24"/>
              </w:rPr>
            </w:pPr>
            <w:r>
              <w:rPr>
                <w:sz w:val="24"/>
              </w:rPr>
              <w:t>3,74</w:t>
            </w:r>
          </w:p>
        </w:tc>
        <w:tc>
          <w:tcPr>
            <w:tcW w:w="1218" w:type="dxa"/>
          </w:tcPr>
          <w:p>
            <w:pPr>
              <w:pStyle w:val="TableParagraph"/>
              <w:spacing w:line="275" w:lineRule="exact"/>
              <w:ind w:right="162"/>
              <w:jc w:val="right"/>
              <w:rPr>
                <w:sz w:val="24"/>
              </w:rPr>
            </w:pPr>
            <w:r>
              <w:rPr>
                <w:sz w:val="24"/>
              </w:rPr>
              <w:t>-,818</w:t>
            </w:r>
          </w:p>
        </w:tc>
        <w:tc>
          <w:tcPr>
            <w:tcW w:w="1222" w:type="dxa"/>
          </w:tcPr>
          <w:p>
            <w:pPr>
              <w:pStyle w:val="TableParagraph"/>
              <w:spacing w:line="275" w:lineRule="exact"/>
              <w:ind w:right="159"/>
              <w:jc w:val="right"/>
              <w:rPr>
                <w:sz w:val="24"/>
              </w:rPr>
            </w:pPr>
            <w:r>
              <w:rPr>
                <w:sz w:val="24"/>
              </w:rPr>
              <w:t>,108</w:t>
            </w:r>
          </w:p>
        </w:tc>
        <w:tc>
          <w:tcPr>
            <w:tcW w:w="1112" w:type="dxa"/>
          </w:tcPr>
          <w:p>
            <w:pPr>
              <w:pStyle w:val="TableParagraph"/>
              <w:spacing w:line="275" w:lineRule="exact"/>
              <w:ind w:right="160"/>
              <w:jc w:val="right"/>
              <w:rPr>
                <w:sz w:val="24"/>
              </w:rPr>
            </w:pPr>
            <w:r>
              <w:rPr>
                <w:sz w:val="24"/>
              </w:rPr>
              <w:t>-,428</w:t>
            </w:r>
          </w:p>
        </w:tc>
        <w:tc>
          <w:tcPr>
            <w:tcW w:w="1224" w:type="dxa"/>
          </w:tcPr>
          <w:p>
            <w:pPr>
              <w:pStyle w:val="TableParagraph"/>
              <w:spacing w:line="275" w:lineRule="exact"/>
              <w:ind w:right="159"/>
              <w:jc w:val="right"/>
              <w:rPr>
                <w:sz w:val="24"/>
              </w:rPr>
            </w:pPr>
            <w:r>
              <w:rPr>
                <w:sz w:val="24"/>
              </w:rPr>
              <w:t>,215</w:t>
            </w:r>
          </w:p>
        </w:tc>
      </w:tr>
      <w:tr>
        <w:trPr>
          <w:trHeight w:val="414" w:hRule="atLeast"/>
        </w:trPr>
        <w:tc>
          <w:tcPr>
            <w:tcW w:w="1457" w:type="dxa"/>
          </w:tcPr>
          <w:p>
            <w:pPr>
              <w:pStyle w:val="TableParagraph"/>
              <w:spacing w:line="275" w:lineRule="exact"/>
              <w:ind w:left="167"/>
              <w:rPr>
                <w:sz w:val="24"/>
              </w:rPr>
            </w:pPr>
            <w:r>
              <w:rPr>
                <w:sz w:val="24"/>
              </w:rPr>
              <w:t>VT8</w:t>
            </w:r>
          </w:p>
        </w:tc>
        <w:tc>
          <w:tcPr>
            <w:tcW w:w="891" w:type="dxa"/>
          </w:tcPr>
          <w:p>
            <w:pPr>
              <w:pStyle w:val="TableParagraph"/>
              <w:spacing w:line="275" w:lineRule="exact"/>
              <w:ind w:right="157"/>
              <w:jc w:val="right"/>
              <w:rPr>
                <w:sz w:val="24"/>
              </w:rPr>
            </w:pPr>
            <w:r>
              <w:rPr>
                <w:sz w:val="24"/>
              </w:rPr>
              <w:t>1</w:t>
            </w:r>
          </w:p>
        </w:tc>
        <w:tc>
          <w:tcPr>
            <w:tcW w:w="894" w:type="dxa"/>
          </w:tcPr>
          <w:p>
            <w:pPr>
              <w:pStyle w:val="TableParagraph"/>
              <w:spacing w:line="275" w:lineRule="exact"/>
              <w:ind w:right="157"/>
              <w:jc w:val="right"/>
              <w:rPr>
                <w:sz w:val="24"/>
              </w:rPr>
            </w:pPr>
            <w:r>
              <w:rPr>
                <w:sz w:val="24"/>
              </w:rPr>
              <w:t>5</w:t>
            </w:r>
          </w:p>
        </w:tc>
        <w:tc>
          <w:tcPr>
            <w:tcW w:w="992" w:type="dxa"/>
          </w:tcPr>
          <w:p>
            <w:pPr>
              <w:pStyle w:val="TableParagraph"/>
              <w:spacing w:line="275" w:lineRule="exact"/>
              <w:ind w:right="160"/>
              <w:jc w:val="right"/>
              <w:rPr>
                <w:sz w:val="24"/>
              </w:rPr>
            </w:pPr>
            <w:r>
              <w:rPr>
                <w:sz w:val="24"/>
              </w:rPr>
              <w:t>2,78</w:t>
            </w:r>
          </w:p>
        </w:tc>
        <w:tc>
          <w:tcPr>
            <w:tcW w:w="1218" w:type="dxa"/>
          </w:tcPr>
          <w:p>
            <w:pPr>
              <w:pStyle w:val="TableParagraph"/>
              <w:spacing w:line="275" w:lineRule="exact"/>
              <w:ind w:right="162"/>
              <w:jc w:val="right"/>
              <w:rPr>
                <w:sz w:val="24"/>
              </w:rPr>
            </w:pPr>
            <w:r>
              <w:rPr>
                <w:sz w:val="24"/>
              </w:rPr>
              <w:t>-,114</w:t>
            </w:r>
          </w:p>
        </w:tc>
        <w:tc>
          <w:tcPr>
            <w:tcW w:w="1222" w:type="dxa"/>
          </w:tcPr>
          <w:p>
            <w:pPr>
              <w:pStyle w:val="TableParagraph"/>
              <w:spacing w:line="275" w:lineRule="exact"/>
              <w:ind w:right="159"/>
              <w:jc w:val="right"/>
              <w:rPr>
                <w:sz w:val="24"/>
              </w:rPr>
            </w:pPr>
            <w:r>
              <w:rPr>
                <w:sz w:val="24"/>
              </w:rPr>
              <w:t>,108</w:t>
            </w:r>
          </w:p>
        </w:tc>
        <w:tc>
          <w:tcPr>
            <w:tcW w:w="1112" w:type="dxa"/>
          </w:tcPr>
          <w:p>
            <w:pPr>
              <w:pStyle w:val="TableParagraph"/>
              <w:spacing w:line="275" w:lineRule="exact"/>
              <w:ind w:right="160"/>
              <w:jc w:val="right"/>
              <w:rPr>
                <w:sz w:val="24"/>
              </w:rPr>
            </w:pPr>
            <w:r>
              <w:rPr>
                <w:sz w:val="24"/>
              </w:rPr>
              <w:t>-1,666</w:t>
            </w:r>
          </w:p>
        </w:tc>
        <w:tc>
          <w:tcPr>
            <w:tcW w:w="1224" w:type="dxa"/>
          </w:tcPr>
          <w:p>
            <w:pPr>
              <w:pStyle w:val="TableParagraph"/>
              <w:spacing w:line="275" w:lineRule="exact"/>
              <w:ind w:right="159"/>
              <w:jc w:val="right"/>
              <w:rPr>
                <w:sz w:val="24"/>
              </w:rPr>
            </w:pPr>
            <w:r>
              <w:rPr>
                <w:sz w:val="24"/>
              </w:rPr>
              <w:t>,215</w:t>
            </w:r>
          </w:p>
        </w:tc>
      </w:tr>
      <w:tr>
        <w:trPr>
          <w:trHeight w:val="412" w:hRule="atLeast"/>
        </w:trPr>
        <w:tc>
          <w:tcPr>
            <w:tcW w:w="1457" w:type="dxa"/>
          </w:tcPr>
          <w:p>
            <w:pPr>
              <w:pStyle w:val="TableParagraph"/>
              <w:spacing w:line="275" w:lineRule="exact"/>
              <w:ind w:left="167"/>
              <w:rPr>
                <w:sz w:val="24"/>
              </w:rPr>
            </w:pPr>
            <w:r>
              <w:rPr>
                <w:sz w:val="24"/>
              </w:rPr>
              <w:t>VT9</w:t>
            </w:r>
          </w:p>
        </w:tc>
        <w:tc>
          <w:tcPr>
            <w:tcW w:w="891" w:type="dxa"/>
          </w:tcPr>
          <w:p>
            <w:pPr>
              <w:pStyle w:val="TableParagraph"/>
              <w:spacing w:line="275" w:lineRule="exact"/>
              <w:ind w:right="157"/>
              <w:jc w:val="right"/>
              <w:rPr>
                <w:sz w:val="24"/>
              </w:rPr>
            </w:pPr>
            <w:r>
              <w:rPr>
                <w:sz w:val="24"/>
              </w:rPr>
              <w:t>1</w:t>
            </w:r>
          </w:p>
        </w:tc>
        <w:tc>
          <w:tcPr>
            <w:tcW w:w="894" w:type="dxa"/>
          </w:tcPr>
          <w:p>
            <w:pPr>
              <w:pStyle w:val="TableParagraph"/>
              <w:spacing w:line="275" w:lineRule="exact"/>
              <w:ind w:right="157"/>
              <w:jc w:val="right"/>
              <w:rPr>
                <w:sz w:val="24"/>
              </w:rPr>
            </w:pPr>
            <w:r>
              <w:rPr>
                <w:sz w:val="24"/>
              </w:rPr>
              <w:t>5</w:t>
            </w:r>
          </w:p>
        </w:tc>
        <w:tc>
          <w:tcPr>
            <w:tcW w:w="992" w:type="dxa"/>
          </w:tcPr>
          <w:p>
            <w:pPr>
              <w:pStyle w:val="TableParagraph"/>
              <w:spacing w:line="275" w:lineRule="exact"/>
              <w:ind w:right="160"/>
              <w:jc w:val="right"/>
              <w:rPr>
                <w:sz w:val="24"/>
              </w:rPr>
            </w:pPr>
            <w:r>
              <w:rPr>
                <w:sz w:val="24"/>
              </w:rPr>
              <w:t>3,68</w:t>
            </w:r>
          </w:p>
        </w:tc>
        <w:tc>
          <w:tcPr>
            <w:tcW w:w="1218" w:type="dxa"/>
          </w:tcPr>
          <w:p>
            <w:pPr>
              <w:pStyle w:val="TableParagraph"/>
              <w:spacing w:line="275" w:lineRule="exact"/>
              <w:ind w:right="162"/>
              <w:jc w:val="right"/>
              <w:rPr>
                <w:sz w:val="24"/>
              </w:rPr>
            </w:pPr>
            <w:r>
              <w:rPr>
                <w:sz w:val="24"/>
              </w:rPr>
              <w:t>-,795</w:t>
            </w:r>
          </w:p>
        </w:tc>
        <w:tc>
          <w:tcPr>
            <w:tcW w:w="1222" w:type="dxa"/>
          </w:tcPr>
          <w:p>
            <w:pPr>
              <w:pStyle w:val="TableParagraph"/>
              <w:spacing w:line="275" w:lineRule="exact"/>
              <w:ind w:right="159"/>
              <w:jc w:val="right"/>
              <w:rPr>
                <w:sz w:val="24"/>
              </w:rPr>
            </w:pPr>
            <w:r>
              <w:rPr>
                <w:sz w:val="24"/>
              </w:rPr>
              <w:t>,108</w:t>
            </w:r>
          </w:p>
        </w:tc>
        <w:tc>
          <w:tcPr>
            <w:tcW w:w="1112" w:type="dxa"/>
          </w:tcPr>
          <w:p>
            <w:pPr>
              <w:pStyle w:val="TableParagraph"/>
              <w:spacing w:line="275" w:lineRule="exact"/>
              <w:ind w:right="160"/>
              <w:jc w:val="right"/>
              <w:rPr>
                <w:sz w:val="24"/>
              </w:rPr>
            </w:pPr>
            <w:r>
              <w:rPr>
                <w:sz w:val="24"/>
              </w:rPr>
              <w:t>-,695</w:t>
            </w:r>
          </w:p>
        </w:tc>
        <w:tc>
          <w:tcPr>
            <w:tcW w:w="1224" w:type="dxa"/>
          </w:tcPr>
          <w:p>
            <w:pPr>
              <w:pStyle w:val="TableParagraph"/>
              <w:spacing w:line="275" w:lineRule="exact"/>
              <w:ind w:right="159"/>
              <w:jc w:val="right"/>
              <w:rPr>
                <w:sz w:val="24"/>
              </w:rPr>
            </w:pPr>
            <w:r>
              <w:rPr>
                <w:sz w:val="24"/>
              </w:rPr>
              <w:t>,215</w:t>
            </w:r>
          </w:p>
        </w:tc>
      </w:tr>
      <w:tr>
        <w:trPr>
          <w:trHeight w:val="414" w:hRule="atLeast"/>
        </w:trPr>
        <w:tc>
          <w:tcPr>
            <w:tcW w:w="1457" w:type="dxa"/>
          </w:tcPr>
          <w:p>
            <w:pPr>
              <w:pStyle w:val="TableParagraph"/>
              <w:spacing w:before="1"/>
              <w:ind w:left="167"/>
              <w:rPr>
                <w:sz w:val="24"/>
              </w:rPr>
            </w:pPr>
            <w:r>
              <w:rPr>
                <w:sz w:val="24"/>
              </w:rPr>
              <w:t>ND1</w:t>
            </w:r>
          </w:p>
        </w:tc>
        <w:tc>
          <w:tcPr>
            <w:tcW w:w="891" w:type="dxa"/>
          </w:tcPr>
          <w:p>
            <w:pPr>
              <w:pStyle w:val="TableParagraph"/>
              <w:spacing w:before="1"/>
              <w:ind w:right="157"/>
              <w:jc w:val="right"/>
              <w:rPr>
                <w:sz w:val="24"/>
              </w:rPr>
            </w:pPr>
            <w:r>
              <w:rPr>
                <w:sz w:val="24"/>
              </w:rPr>
              <w:t>1</w:t>
            </w:r>
          </w:p>
        </w:tc>
        <w:tc>
          <w:tcPr>
            <w:tcW w:w="894" w:type="dxa"/>
          </w:tcPr>
          <w:p>
            <w:pPr>
              <w:pStyle w:val="TableParagraph"/>
              <w:spacing w:before="1"/>
              <w:ind w:right="157"/>
              <w:jc w:val="right"/>
              <w:rPr>
                <w:sz w:val="24"/>
              </w:rPr>
            </w:pPr>
            <w:r>
              <w:rPr>
                <w:sz w:val="24"/>
              </w:rPr>
              <w:t>5</w:t>
            </w:r>
          </w:p>
        </w:tc>
        <w:tc>
          <w:tcPr>
            <w:tcW w:w="992" w:type="dxa"/>
          </w:tcPr>
          <w:p>
            <w:pPr>
              <w:pStyle w:val="TableParagraph"/>
              <w:spacing w:before="1"/>
              <w:ind w:right="160"/>
              <w:jc w:val="right"/>
              <w:rPr>
                <w:sz w:val="24"/>
              </w:rPr>
            </w:pPr>
            <w:r>
              <w:rPr>
                <w:sz w:val="24"/>
              </w:rPr>
              <w:t>3,66</w:t>
            </w:r>
          </w:p>
        </w:tc>
        <w:tc>
          <w:tcPr>
            <w:tcW w:w="1218" w:type="dxa"/>
          </w:tcPr>
          <w:p>
            <w:pPr>
              <w:pStyle w:val="TableParagraph"/>
              <w:spacing w:before="1"/>
              <w:ind w:right="162"/>
              <w:jc w:val="right"/>
              <w:rPr>
                <w:sz w:val="24"/>
              </w:rPr>
            </w:pPr>
            <w:r>
              <w:rPr>
                <w:sz w:val="24"/>
              </w:rPr>
              <w:t>-,654</w:t>
            </w:r>
          </w:p>
        </w:tc>
        <w:tc>
          <w:tcPr>
            <w:tcW w:w="1222" w:type="dxa"/>
          </w:tcPr>
          <w:p>
            <w:pPr>
              <w:pStyle w:val="TableParagraph"/>
              <w:spacing w:before="1"/>
              <w:ind w:right="159"/>
              <w:jc w:val="right"/>
              <w:rPr>
                <w:sz w:val="24"/>
              </w:rPr>
            </w:pPr>
            <w:r>
              <w:rPr>
                <w:sz w:val="24"/>
              </w:rPr>
              <w:t>,108</w:t>
            </w:r>
          </w:p>
        </w:tc>
        <w:tc>
          <w:tcPr>
            <w:tcW w:w="1112" w:type="dxa"/>
          </w:tcPr>
          <w:p>
            <w:pPr>
              <w:pStyle w:val="TableParagraph"/>
              <w:spacing w:before="1"/>
              <w:ind w:right="160"/>
              <w:jc w:val="right"/>
              <w:rPr>
                <w:sz w:val="24"/>
              </w:rPr>
            </w:pPr>
            <w:r>
              <w:rPr>
                <w:sz w:val="24"/>
              </w:rPr>
              <w:t>-,597</w:t>
            </w:r>
          </w:p>
        </w:tc>
        <w:tc>
          <w:tcPr>
            <w:tcW w:w="1224" w:type="dxa"/>
          </w:tcPr>
          <w:p>
            <w:pPr>
              <w:pStyle w:val="TableParagraph"/>
              <w:spacing w:before="1"/>
              <w:ind w:right="159"/>
              <w:jc w:val="right"/>
              <w:rPr>
                <w:sz w:val="24"/>
              </w:rPr>
            </w:pPr>
            <w:r>
              <w:rPr>
                <w:sz w:val="24"/>
              </w:rPr>
              <w:t>,215</w:t>
            </w:r>
          </w:p>
        </w:tc>
      </w:tr>
      <w:tr>
        <w:trPr>
          <w:trHeight w:val="415" w:hRule="atLeast"/>
        </w:trPr>
        <w:tc>
          <w:tcPr>
            <w:tcW w:w="1457" w:type="dxa"/>
          </w:tcPr>
          <w:p>
            <w:pPr>
              <w:pStyle w:val="TableParagraph"/>
              <w:spacing w:line="275" w:lineRule="exact"/>
              <w:ind w:left="167"/>
              <w:rPr>
                <w:sz w:val="24"/>
              </w:rPr>
            </w:pPr>
            <w:r>
              <w:rPr>
                <w:sz w:val="24"/>
              </w:rPr>
              <w:t>ND2</w:t>
            </w:r>
          </w:p>
        </w:tc>
        <w:tc>
          <w:tcPr>
            <w:tcW w:w="891" w:type="dxa"/>
          </w:tcPr>
          <w:p>
            <w:pPr>
              <w:pStyle w:val="TableParagraph"/>
              <w:spacing w:line="275" w:lineRule="exact"/>
              <w:ind w:right="157"/>
              <w:jc w:val="right"/>
              <w:rPr>
                <w:sz w:val="24"/>
              </w:rPr>
            </w:pPr>
            <w:r>
              <w:rPr>
                <w:sz w:val="24"/>
              </w:rPr>
              <w:t>1</w:t>
            </w:r>
          </w:p>
        </w:tc>
        <w:tc>
          <w:tcPr>
            <w:tcW w:w="894" w:type="dxa"/>
          </w:tcPr>
          <w:p>
            <w:pPr>
              <w:pStyle w:val="TableParagraph"/>
              <w:spacing w:line="275" w:lineRule="exact"/>
              <w:ind w:right="157"/>
              <w:jc w:val="right"/>
              <w:rPr>
                <w:sz w:val="24"/>
              </w:rPr>
            </w:pPr>
            <w:r>
              <w:rPr>
                <w:sz w:val="24"/>
              </w:rPr>
              <w:t>5</w:t>
            </w:r>
          </w:p>
        </w:tc>
        <w:tc>
          <w:tcPr>
            <w:tcW w:w="992" w:type="dxa"/>
          </w:tcPr>
          <w:p>
            <w:pPr>
              <w:pStyle w:val="TableParagraph"/>
              <w:spacing w:line="275" w:lineRule="exact"/>
              <w:ind w:right="160"/>
              <w:jc w:val="right"/>
              <w:rPr>
                <w:sz w:val="24"/>
              </w:rPr>
            </w:pPr>
            <w:r>
              <w:rPr>
                <w:sz w:val="24"/>
              </w:rPr>
              <w:t>3,61</w:t>
            </w:r>
          </w:p>
        </w:tc>
        <w:tc>
          <w:tcPr>
            <w:tcW w:w="1218" w:type="dxa"/>
          </w:tcPr>
          <w:p>
            <w:pPr>
              <w:pStyle w:val="TableParagraph"/>
              <w:spacing w:line="275" w:lineRule="exact"/>
              <w:ind w:right="162"/>
              <w:jc w:val="right"/>
              <w:rPr>
                <w:sz w:val="24"/>
              </w:rPr>
            </w:pPr>
            <w:r>
              <w:rPr>
                <w:sz w:val="24"/>
              </w:rPr>
              <w:t>-,530</w:t>
            </w:r>
          </w:p>
        </w:tc>
        <w:tc>
          <w:tcPr>
            <w:tcW w:w="1222" w:type="dxa"/>
          </w:tcPr>
          <w:p>
            <w:pPr>
              <w:pStyle w:val="TableParagraph"/>
              <w:spacing w:line="275" w:lineRule="exact"/>
              <w:ind w:right="159"/>
              <w:jc w:val="right"/>
              <w:rPr>
                <w:sz w:val="24"/>
              </w:rPr>
            </w:pPr>
            <w:r>
              <w:rPr>
                <w:sz w:val="24"/>
              </w:rPr>
              <w:t>,108</w:t>
            </w:r>
          </w:p>
        </w:tc>
        <w:tc>
          <w:tcPr>
            <w:tcW w:w="1112" w:type="dxa"/>
          </w:tcPr>
          <w:p>
            <w:pPr>
              <w:pStyle w:val="TableParagraph"/>
              <w:spacing w:line="275" w:lineRule="exact"/>
              <w:ind w:right="160"/>
              <w:jc w:val="right"/>
              <w:rPr>
                <w:sz w:val="24"/>
              </w:rPr>
            </w:pPr>
            <w:r>
              <w:rPr>
                <w:sz w:val="24"/>
              </w:rPr>
              <w:t>-,699</w:t>
            </w:r>
          </w:p>
        </w:tc>
        <w:tc>
          <w:tcPr>
            <w:tcW w:w="1224" w:type="dxa"/>
          </w:tcPr>
          <w:p>
            <w:pPr>
              <w:pStyle w:val="TableParagraph"/>
              <w:spacing w:line="275" w:lineRule="exact"/>
              <w:ind w:right="159"/>
              <w:jc w:val="right"/>
              <w:rPr>
                <w:sz w:val="24"/>
              </w:rPr>
            </w:pPr>
            <w:r>
              <w:rPr>
                <w:sz w:val="24"/>
              </w:rPr>
              <w:t>,215</w:t>
            </w:r>
          </w:p>
        </w:tc>
      </w:tr>
      <w:tr>
        <w:trPr>
          <w:trHeight w:val="412" w:hRule="atLeast"/>
        </w:trPr>
        <w:tc>
          <w:tcPr>
            <w:tcW w:w="1457" w:type="dxa"/>
          </w:tcPr>
          <w:p>
            <w:pPr>
              <w:pStyle w:val="TableParagraph"/>
              <w:spacing w:line="275" w:lineRule="exact"/>
              <w:ind w:left="167"/>
              <w:rPr>
                <w:sz w:val="24"/>
              </w:rPr>
            </w:pPr>
            <w:r>
              <w:rPr>
                <w:sz w:val="24"/>
              </w:rPr>
              <w:t>ND3</w:t>
            </w:r>
          </w:p>
        </w:tc>
        <w:tc>
          <w:tcPr>
            <w:tcW w:w="891" w:type="dxa"/>
          </w:tcPr>
          <w:p>
            <w:pPr>
              <w:pStyle w:val="TableParagraph"/>
              <w:spacing w:line="275" w:lineRule="exact"/>
              <w:ind w:right="157"/>
              <w:jc w:val="right"/>
              <w:rPr>
                <w:sz w:val="24"/>
              </w:rPr>
            </w:pPr>
            <w:r>
              <w:rPr>
                <w:sz w:val="24"/>
              </w:rPr>
              <w:t>1</w:t>
            </w:r>
          </w:p>
        </w:tc>
        <w:tc>
          <w:tcPr>
            <w:tcW w:w="894" w:type="dxa"/>
          </w:tcPr>
          <w:p>
            <w:pPr>
              <w:pStyle w:val="TableParagraph"/>
              <w:spacing w:line="275" w:lineRule="exact"/>
              <w:ind w:right="157"/>
              <w:jc w:val="right"/>
              <w:rPr>
                <w:sz w:val="24"/>
              </w:rPr>
            </w:pPr>
            <w:r>
              <w:rPr>
                <w:sz w:val="24"/>
              </w:rPr>
              <w:t>5</w:t>
            </w:r>
          </w:p>
        </w:tc>
        <w:tc>
          <w:tcPr>
            <w:tcW w:w="992" w:type="dxa"/>
          </w:tcPr>
          <w:p>
            <w:pPr>
              <w:pStyle w:val="TableParagraph"/>
              <w:spacing w:line="275" w:lineRule="exact"/>
              <w:ind w:right="160"/>
              <w:jc w:val="right"/>
              <w:rPr>
                <w:sz w:val="24"/>
              </w:rPr>
            </w:pPr>
            <w:r>
              <w:rPr>
                <w:sz w:val="24"/>
              </w:rPr>
              <w:t>3,86</w:t>
            </w:r>
          </w:p>
        </w:tc>
        <w:tc>
          <w:tcPr>
            <w:tcW w:w="1218" w:type="dxa"/>
          </w:tcPr>
          <w:p>
            <w:pPr>
              <w:pStyle w:val="TableParagraph"/>
              <w:spacing w:line="275" w:lineRule="exact"/>
              <w:ind w:right="161"/>
              <w:jc w:val="right"/>
              <w:rPr>
                <w:sz w:val="24"/>
              </w:rPr>
            </w:pPr>
            <w:r>
              <w:rPr>
                <w:sz w:val="24"/>
              </w:rPr>
              <w:t>-,949</w:t>
            </w:r>
          </w:p>
        </w:tc>
        <w:tc>
          <w:tcPr>
            <w:tcW w:w="1222" w:type="dxa"/>
          </w:tcPr>
          <w:p>
            <w:pPr>
              <w:pStyle w:val="TableParagraph"/>
              <w:spacing w:line="275" w:lineRule="exact"/>
              <w:ind w:right="159"/>
              <w:jc w:val="right"/>
              <w:rPr>
                <w:sz w:val="24"/>
              </w:rPr>
            </w:pPr>
            <w:r>
              <w:rPr>
                <w:sz w:val="24"/>
              </w:rPr>
              <w:t>,108</w:t>
            </w:r>
          </w:p>
        </w:tc>
        <w:tc>
          <w:tcPr>
            <w:tcW w:w="1112" w:type="dxa"/>
          </w:tcPr>
          <w:p>
            <w:pPr>
              <w:pStyle w:val="TableParagraph"/>
              <w:spacing w:line="275" w:lineRule="exact"/>
              <w:ind w:right="160"/>
              <w:jc w:val="right"/>
              <w:rPr>
                <w:sz w:val="24"/>
              </w:rPr>
            </w:pPr>
            <w:r>
              <w:rPr>
                <w:sz w:val="24"/>
              </w:rPr>
              <w:t>-,093</w:t>
            </w:r>
          </w:p>
        </w:tc>
        <w:tc>
          <w:tcPr>
            <w:tcW w:w="1224" w:type="dxa"/>
          </w:tcPr>
          <w:p>
            <w:pPr>
              <w:pStyle w:val="TableParagraph"/>
              <w:spacing w:line="275" w:lineRule="exact"/>
              <w:ind w:right="159"/>
              <w:jc w:val="right"/>
              <w:rPr>
                <w:sz w:val="24"/>
              </w:rPr>
            </w:pPr>
            <w:r>
              <w:rPr>
                <w:sz w:val="24"/>
              </w:rPr>
              <w:t>,215</w:t>
            </w:r>
          </w:p>
        </w:tc>
      </w:tr>
      <w:tr>
        <w:trPr>
          <w:trHeight w:val="414" w:hRule="atLeast"/>
        </w:trPr>
        <w:tc>
          <w:tcPr>
            <w:tcW w:w="1457" w:type="dxa"/>
          </w:tcPr>
          <w:p>
            <w:pPr>
              <w:pStyle w:val="TableParagraph"/>
              <w:spacing w:before="1"/>
              <w:ind w:left="167"/>
              <w:rPr>
                <w:sz w:val="24"/>
              </w:rPr>
            </w:pPr>
            <w:r>
              <w:rPr>
                <w:sz w:val="24"/>
              </w:rPr>
              <w:t>ND4</w:t>
            </w:r>
          </w:p>
        </w:tc>
        <w:tc>
          <w:tcPr>
            <w:tcW w:w="891" w:type="dxa"/>
          </w:tcPr>
          <w:p>
            <w:pPr>
              <w:pStyle w:val="TableParagraph"/>
              <w:spacing w:before="1"/>
              <w:ind w:right="157"/>
              <w:jc w:val="right"/>
              <w:rPr>
                <w:sz w:val="24"/>
              </w:rPr>
            </w:pPr>
            <w:r>
              <w:rPr>
                <w:sz w:val="24"/>
              </w:rPr>
              <w:t>1</w:t>
            </w:r>
          </w:p>
        </w:tc>
        <w:tc>
          <w:tcPr>
            <w:tcW w:w="894" w:type="dxa"/>
          </w:tcPr>
          <w:p>
            <w:pPr>
              <w:pStyle w:val="TableParagraph"/>
              <w:spacing w:before="1"/>
              <w:ind w:right="157"/>
              <w:jc w:val="right"/>
              <w:rPr>
                <w:sz w:val="24"/>
              </w:rPr>
            </w:pPr>
            <w:r>
              <w:rPr>
                <w:sz w:val="24"/>
              </w:rPr>
              <w:t>5</w:t>
            </w:r>
          </w:p>
        </w:tc>
        <w:tc>
          <w:tcPr>
            <w:tcW w:w="992" w:type="dxa"/>
          </w:tcPr>
          <w:p>
            <w:pPr>
              <w:pStyle w:val="TableParagraph"/>
              <w:spacing w:before="1"/>
              <w:ind w:right="160"/>
              <w:jc w:val="right"/>
              <w:rPr>
                <w:sz w:val="24"/>
              </w:rPr>
            </w:pPr>
            <w:r>
              <w:rPr>
                <w:sz w:val="24"/>
              </w:rPr>
              <w:t>3,82</w:t>
            </w:r>
          </w:p>
        </w:tc>
        <w:tc>
          <w:tcPr>
            <w:tcW w:w="1218" w:type="dxa"/>
          </w:tcPr>
          <w:p>
            <w:pPr>
              <w:pStyle w:val="TableParagraph"/>
              <w:spacing w:before="1"/>
              <w:ind w:right="162"/>
              <w:jc w:val="right"/>
              <w:rPr>
                <w:sz w:val="24"/>
              </w:rPr>
            </w:pPr>
            <w:r>
              <w:rPr>
                <w:sz w:val="24"/>
              </w:rPr>
              <w:t>-,938</w:t>
            </w:r>
          </w:p>
        </w:tc>
        <w:tc>
          <w:tcPr>
            <w:tcW w:w="1222" w:type="dxa"/>
          </w:tcPr>
          <w:p>
            <w:pPr>
              <w:pStyle w:val="TableParagraph"/>
              <w:spacing w:before="1"/>
              <w:ind w:right="159"/>
              <w:jc w:val="right"/>
              <w:rPr>
                <w:sz w:val="24"/>
              </w:rPr>
            </w:pPr>
            <w:r>
              <w:rPr>
                <w:sz w:val="24"/>
              </w:rPr>
              <w:t>,108</w:t>
            </w:r>
          </w:p>
        </w:tc>
        <w:tc>
          <w:tcPr>
            <w:tcW w:w="1112" w:type="dxa"/>
          </w:tcPr>
          <w:p>
            <w:pPr>
              <w:pStyle w:val="TableParagraph"/>
              <w:spacing w:before="1"/>
              <w:ind w:right="160"/>
              <w:jc w:val="right"/>
              <w:rPr>
                <w:sz w:val="24"/>
              </w:rPr>
            </w:pPr>
            <w:r>
              <w:rPr>
                <w:sz w:val="24"/>
              </w:rPr>
              <w:t>-,060</w:t>
            </w:r>
          </w:p>
        </w:tc>
        <w:tc>
          <w:tcPr>
            <w:tcW w:w="1224" w:type="dxa"/>
          </w:tcPr>
          <w:p>
            <w:pPr>
              <w:pStyle w:val="TableParagraph"/>
              <w:spacing w:before="1"/>
              <w:ind w:right="159"/>
              <w:jc w:val="right"/>
              <w:rPr>
                <w:sz w:val="24"/>
              </w:rPr>
            </w:pPr>
            <w:r>
              <w:rPr>
                <w:sz w:val="24"/>
              </w:rPr>
              <w:t>,215</w:t>
            </w:r>
          </w:p>
        </w:tc>
      </w:tr>
      <w:tr>
        <w:trPr>
          <w:trHeight w:val="414" w:hRule="atLeast"/>
        </w:trPr>
        <w:tc>
          <w:tcPr>
            <w:tcW w:w="1457" w:type="dxa"/>
          </w:tcPr>
          <w:p>
            <w:pPr>
              <w:pStyle w:val="TableParagraph"/>
              <w:spacing w:line="275" w:lineRule="exact"/>
              <w:ind w:left="167"/>
              <w:rPr>
                <w:sz w:val="24"/>
              </w:rPr>
            </w:pPr>
            <w:r>
              <w:rPr>
                <w:sz w:val="24"/>
              </w:rPr>
              <w:t>ND5</w:t>
            </w:r>
          </w:p>
        </w:tc>
        <w:tc>
          <w:tcPr>
            <w:tcW w:w="891" w:type="dxa"/>
          </w:tcPr>
          <w:p>
            <w:pPr>
              <w:pStyle w:val="TableParagraph"/>
              <w:spacing w:line="275" w:lineRule="exact"/>
              <w:ind w:right="157"/>
              <w:jc w:val="right"/>
              <w:rPr>
                <w:sz w:val="24"/>
              </w:rPr>
            </w:pPr>
            <w:r>
              <w:rPr>
                <w:sz w:val="24"/>
              </w:rPr>
              <w:t>1</w:t>
            </w:r>
          </w:p>
        </w:tc>
        <w:tc>
          <w:tcPr>
            <w:tcW w:w="894" w:type="dxa"/>
          </w:tcPr>
          <w:p>
            <w:pPr>
              <w:pStyle w:val="TableParagraph"/>
              <w:spacing w:line="275" w:lineRule="exact"/>
              <w:ind w:right="157"/>
              <w:jc w:val="right"/>
              <w:rPr>
                <w:sz w:val="24"/>
              </w:rPr>
            </w:pPr>
            <w:r>
              <w:rPr>
                <w:sz w:val="24"/>
              </w:rPr>
              <w:t>5</w:t>
            </w:r>
          </w:p>
        </w:tc>
        <w:tc>
          <w:tcPr>
            <w:tcW w:w="992" w:type="dxa"/>
          </w:tcPr>
          <w:p>
            <w:pPr>
              <w:pStyle w:val="TableParagraph"/>
              <w:spacing w:line="275" w:lineRule="exact"/>
              <w:ind w:right="160"/>
              <w:jc w:val="right"/>
              <w:rPr>
                <w:sz w:val="24"/>
              </w:rPr>
            </w:pPr>
            <w:r>
              <w:rPr>
                <w:sz w:val="24"/>
              </w:rPr>
              <w:t>3,60</w:t>
            </w:r>
          </w:p>
        </w:tc>
        <w:tc>
          <w:tcPr>
            <w:tcW w:w="1218" w:type="dxa"/>
          </w:tcPr>
          <w:p>
            <w:pPr>
              <w:pStyle w:val="TableParagraph"/>
              <w:spacing w:line="275" w:lineRule="exact"/>
              <w:ind w:right="162"/>
              <w:jc w:val="right"/>
              <w:rPr>
                <w:sz w:val="24"/>
              </w:rPr>
            </w:pPr>
            <w:r>
              <w:rPr>
                <w:sz w:val="24"/>
              </w:rPr>
              <w:t>-,694</w:t>
            </w:r>
          </w:p>
        </w:tc>
        <w:tc>
          <w:tcPr>
            <w:tcW w:w="1222" w:type="dxa"/>
          </w:tcPr>
          <w:p>
            <w:pPr>
              <w:pStyle w:val="TableParagraph"/>
              <w:spacing w:line="275" w:lineRule="exact"/>
              <w:ind w:right="159"/>
              <w:jc w:val="right"/>
              <w:rPr>
                <w:sz w:val="24"/>
              </w:rPr>
            </w:pPr>
            <w:r>
              <w:rPr>
                <w:sz w:val="24"/>
              </w:rPr>
              <w:t>,108</w:t>
            </w:r>
          </w:p>
        </w:tc>
        <w:tc>
          <w:tcPr>
            <w:tcW w:w="1112" w:type="dxa"/>
          </w:tcPr>
          <w:p>
            <w:pPr>
              <w:pStyle w:val="TableParagraph"/>
              <w:spacing w:line="275" w:lineRule="exact"/>
              <w:ind w:right="160"/>
              <w:jc w:val="right"/>
              <w:rPr>
                <w:sz w:val="24"/>
              </w:rPr>
            </w:pPr>
            <w:r>
              <w:rPr>
                <w:sz w:val="24"/>
              </w:rPr>
              <w:t>-,665</w:t>
            </w:r>
          </w:p>
        </w:tc>
        <w:tc>
          <w:tcPr>
            <w:tcW w:w="1224" w:type="dxa"/>
          </w:tcPr>
          <w:p>
            <w:pPr>
              <w:pStyle w:val="TableParagraph"/>
              <w:spacing w:line="275" w:lineRule="exact"/>
              <w:ind w:right="159"/>
              <w:jc w:val="right"/>
              <w:rPr>
                <w:sz w:val="24"/>
              </w:rPr>
            </w:pPr>
            <w:r>
              <w:rPr>
                <w:sz w:val="24"/>
              </w:rPr>
              <w:t>,215</w:t>
            </w:r>
          </w:p>
        </w:tc>
      </w:tr>
      <w:tr>
        <w:trPr>
          <w:trHeight w:val="412" w:hRule="atLeast"/>
        </w:trPr>
        <w:tc>
          <w:tcPr>
            <w:tcW w:w="1457" w:type="dxa"/>
          </w:tcPr>
          <w:p>
            <w:pPr>
              <w:pStyle w:val="TableParagraph"/>
              <w:spacing w:line="275" w:lineRule="exact"/>
              <w:ind w:left="167"/>
              <w:rPr>
                <w:sz w:val="24"/>
              </w:rPr>
            </w:pPr>
            <w:r>
              <w:rPr>
                <w:sz w:val="24"/>
              </w:rPr>
              <w:t>TC1</w:t>
            </w:r>
          </w:p>
        </w:tc>
        <w:tc>
          <w:tcPr>
            <w:tcW w:w="891" w:type="dxa"/>
          </w:tcPr>
          <w:p>
            <w:pPr>
              <w:pStyle w:val="TableParagraph"/>
              <w:spacing w:line="275" w:lineRule="exact"/>
              <w:ind w:right="157"/>
              <w:jc w:val="right"/>
              <w:rPr>
                <w:sz w:val="24"/>
              </w:rPr>
            </w:pPr>
            <w:r>
              <w:rPr>
                <w:sz w:val="24"/>
              </w:rPr>
              <w:t>1</w:t>
            </w:r>
          </w:p>
        </w:tc>
        <w:tc>
          <w:tcPr>
            <w:tcW w:w="894" w:type="dxa"/>
          </w:tcPr>
          <w:p>
            <w:pPr>
              <w:pStyle w:val="TableParagraph"/>
              <w:spacing w:line="275" w:lineRule="exact"/>
              <w:ind w:right="157"/>
              <w:jc w:val="right"/>
              <w:rPr>
                <w:sz w:val="24"/>
              </w:rPr>
            </w:pPr>
            <w:r>
              <w:rPr>
                <w:sz w:val="24"/>
              </w:rPr>
              <w:t>5</w:t>
            </w:r>
          </w:p>
        </w:tc>
        <w:tc>
          <w:tcPr>
            <w:tcW w:w="992" w:type="dxa"/>
          </w:tcPr>
          <w:p>
            <w:pPr>
              <w:pStyle w:val="TableParagraph"/>
              <w:spacing w:line="275" w:lineRule="exact"/>
              <w:ind w:right="160"/>
              <w:jc w:val="right"/>
              <w:rPr>
                <w:sz w:val="24"/>
              </w:rPr>
            </w:pPr>
            <w:r>
              <w:rPr>
                <w:sz w:val="24"/>
              </w:rPr>
              <w:t>3,78</w:t>
            </w:r>
          </w:p>
        </w:tc>
        <w:tc>
          <w:tcPr>
            <w:tcW w:w="1218" w:type="dxa"/>
          </w:tcPr>
          <w:p>
            <w:pPr>
              <w:pStyle w:val="TableParagraph"/>
              <w:spacing w:line="275" w:lineRule="exact"/>
              <w:ind w:right="162"/>
              <w:jc w:val="right"/>
              <w:rPr>
                <w:sz w:val="24"/>
              </w:rPr>
            </w:pPr>
            <w:r>
              <w:rPr>
                <w:sz w:val="24"/>
              </w:rPr>
              <w:t>-,932</w:t>
            </w:r>
          </w:p>
        </w:tc>
        <w:tc>
          <w:tcPr>
            <w:tcW w:w="1222" w:type="dxa"/>
          </w:tcPr>
          <w:p>
            <w:pPr>
              <w:pStyle w:val="TableParagraph"/>
              <w:spacing w:line="275" w:lineRule="exact"/>
              <w:ind w:right="159"/>
              <w:jc w:val="right"/>
              <w:rPr>
                <w:sz w:val="24"/>
              </w:rPr>
            </w:pPr>
            <w:r>
              <w:rPr>
                <w:sz w:val="24"/>
              </w:rPr>
              <w:t>,108</w:t>
            </w:r>
          </w:p>
        </w:tc>
        <w:tc>
          <w:tcPr>
            <w:tcW w:w="1112" w:type="dxa"/>
          </w:tcPr>
          <w:p>
            <w:pPr>
              <w:pStyle w:val="TableParagraph"/>
              <w:spacing w:line="275" w:lineRule="exact"/>
              <w:ind w:right="160"/>
              <w:jc w:val="right"/>
              <w:rPr>
                <w:sz w:val="24"/>
              </w:rPr>
            </w:pPr>
            <w:r>
              <w:rPr>
                <w:sz w:val="24"/>
              </w:rPr>
              <w:t>-,146</w:t>
            </w:r>
          </w:p>
        </w:tc>
        <w:tc>
          <w:tcPr>
            <w:tcW w:w="1224" w:type="dxa"/>
          </w:tcPr>
          <w:p>
            <w:pPr>
              <w:pStyle w:val="TableParagraph"/>
              <w:spacing w:line="275" w:lineRule="exact"/>
              <w:ind w:right="159"/>
              <w:jc w:val="right"/>
              <w:rPr>
                <w:sz w:val="24"/>
              </w:rPr>
            </w:pPr>
            <w:r>
              <w:rPr>
                <w:sz w:val="24"/>
              </w:rPr>
              <w:t>,215</w:t>
            </w:r>
          </w:p>
        </w:tc>
      </w:tr>
      <w:tr>
        <w:trPr>
          <w:trHeight w:val="414" w:hRule="atLeast"/>
        </w:trPr>
        <w:tc>
          <w:tcPr>
            <w:tcW w:w="1457" w:type="dxa"/>
          </w:tcPr>
          <w:p>
            <w:pPr>
              <w:pStyle w:val="TableParagraph"/>
              <w:spacing w:before="1"/>
              <w:ind w:left="167"/>
              <w:rPr>
                <w:sz w:val="24"/>
              </w:rPr>
            </w:pPr>
            <w:r>
              <w:rPr>
                <w:sz w:val="24"/>
              </w:rPr>
              <w:t>TC2</w:t>
            </w:r>
          </w:p>
        </w:tc>
        <w:tc>
          <w:tcPr>
            <w:tcW w:w="891" w:type="dxa"/>
          </w:tcPr>
          <w:p>
            <w:pPr>
              <w:pStyle w:val="TableParagraph"/>
              <w:spacing w:before="1"/>
              <w:ind w:right="157"/>
              <w:jc w:val="right"/>
              <w:rPr>
                <w:sz w:val="24"/>
              </w:rPr>
            </w:pPr>
            <w:r>
              <w:rPr>
                <w:sz w:val="24"/>
              </w:rPr>
              <w:t>1</w:t>
            </w:r>
          </w:p>
        </w:tc>
        <w:tc>
          <w:tcPr>
            <w:tcW w:w="894" w:type="dxa"/>
          </w:tcPr>
          <w:p>
            <w:pPr>
              <w:pStyle w:val="TableParagraph"/>
              <w:spacing w:before="1"/>
              <w:ind w:right="157"/>
              <w:jc w:val="right"/>
              <w:rPr>
                <w:sz w:val="24"/>
              </w:rPr>
            </w:pPr>
            <w:r>
              <w:rPr>
                <w:sz w:val="24"/>
              </w:rPr>
              <w:t>5</w:t>
            </w:r>
          </w:p>
        </w:tc>
        <w:tc>
          <w:tcPr>
            <w:tcW w:w="992" w:type="dxa"/>
          </w:tcPr>
          <w:p>
            <w:pPr>
              <w:pStyle w:val="TableParagraph"/>
              <w:spacing w:before="1"/>
              <w:ind w:right="160"/>
              <w:jc w:val="right"/>
              <w:rPr>
                <w:sz w:val="24"/>
              </w:rPr>
            </w:pPr>
            <w:r>
              <w:rPr>
                <w:sz w:val="24"/>
              </w:rPr>
              <w:t>3,59</w:t>
            </w:r>
          </w:p>
        </w:tc>
        <w:tc>
          <w:tcPr>
            <w:tcW w:w="1218" w:type="dxa"/>
          </w:tcPr>
          <w:p>
            <w:pPr>
              <w:pStyle w:val="TableParagraph"/>
              <w:spacing w:before="1"/>
              <w:ind w:right="162"/>
              <w:jc w:val="right"/>
              <w:rPr>
                <w:sz w:val="24"/>
              </w:rPr>
            </w:pPr>
            <w:r>
              <w:rPr>
                <w:sz w:val="24"/>
              </w:rPr>
              <w:t>-,766</w:t>
            </w:r>
          </w:p>
        </w:tc>
        <w:tc>
          <w:tcPr>
            <w:tcW w:w="1222" w:type="dxa"/>
          </w:tcPr>
          <w:p>
            <w:pPr>
              <w:pStyle w:val="TableParagraph"/>
              <w:spacing w:before="1"/>
              <w:ind w:right="159"/>
              <w:jc w:val="right"/>
              <w:rPr>
                <w:sz w:val="24"/>
              </w:rPr>
            </w:pPr>
            <w:r>
              <w:rPr>
                <w:sz w:val="24"/>
              </w:rPr>
              <w:t>,108</w:t>
            </w:r>
          </w:p>
        </w:tc>
        <w:tc>
          <w:tcPr>
            <w:tcW w:w="1112" w:type="dxa"/>
          </w:tcPr>
          <w:p>
            <w:pPr>
              <w:pStyle w:val="TableParagraph"/>
              <w:spacing w:before="1"/>
              <w:ind w:right="160"/>
              <w:jc w:val="right"/>
              <w:rPr>
                <w:sz w:val="24"/>
              </w:rPr>
            </w:pPr>
            <w:r>
              <w:rPr>
                <w:sz w:val="24"/>
              </w:rPr>
              <w:t>-,629</w:t>
            </w:r>
          </w:p>
        </w:tc>
        <w:tc>
          <w:tcPr>
            <w:tcW w:w="1224" w:type="dxa"/>
          </w:tcPr>
          <w:p>
            <w:pPr>
              <w:pStyle w:val="TableParagraph"/>
              <w:spacing w:before="1"/>
              <w:ind w:right="159"/>
              <w:jc w:val="right"/>
              <w:rPr>
                <w:sz w:val="24"/>
              </w:rPr>
            </w:pPr>
            <w:r>
              <w:rPr>
                <w:sz w:val="24"/>
              </w:rPr>
              <w:t>,215</w:t>
            </w:r>
          </w:p>
        </w:tc>
      </w:tr>
      <w:tr>
        <w:trPr>
          <w:trHeight w:val="414" w:hRule="atLeast"/>
        </w:trPr>
        <w:tc>
          <w:tcPr>
            <w:tcW w:w="1457" w:type="dxa"/>
          </w:tcPr>
          <w:p>
            <w:pPr>
              <w:pStyle w:val="TableParagraph"/>
              <w:spacing w:line="275" w:lineRule="exact"/>
              <w:ind w:left="167"/>
              <w:rPr>
                <w:sz w:val="24"/>
              </w:rPr>
            </w:pPr>
            <w:r>
              <w:rPr>
                <w:sz w:val="24"/>
              </w:rPr>
              <w:t>TC3</w:t>
            </w:r>
          </w:p>
        </w:tc>
        <w:tc>
          <w:tcPr>
            <w:tcW w:w="891" w:type="dxa"/>
          </w:tcPr>
          <w:p>
            <w:pPr>
              <w:pStyle w:val="TableParagraph"/>
              <w:spacing w:line="275" w:lineRule="exact"/>
              <w:ind w:right="157"/>
              <w:jc w:val="right"/>
              <w:rPr>
                <w:sz w:val="24"/>
              </w:rPr>
            </w:pPr>
            <w:r>
              <w:rPr>
                <w:sz w:val="24"/>
              </w:rPr>
              <w:t>1</w:t>
            </w:r>
          </w:p>
        </w:tc>
        <w:tc>
          <w:tcPr>
            <w:tcW w:w="894" w:type="dxa"/>
          </w:tcPr>
          <w:p>
            <w:pPr>
              <w:pStyle w:val="TableParagraph"/>
              <w:spacing w:line="275" w:lineRule="exact"/>
              <w:ind w:right="157"/>
              <w:jc w:val="right"/>
              <w:rPr>
                <w:sz w:val="24"/>
              </w:rPr>
            </w:pPr>
            <w:r>
              <w:rPr>
                <w:sz w:val="24"/>
              </w:rPr>
              <w:t>5</w:t>
            </w:r>
          </w:p>
        </w:tc>
        <w:tc>
          <w:tcPr>
            <w:tcW w:w="992" w:type="dxa"/>
          </w:tcPr>
          <w:p>
            <w:pPr>
              <w:pStyle w:val="TableParagraph"/>
              <w:spacing w:line="275" w:lineRule="exact"/>
              <w:ind w:right="160"/>
              <w:jc w:val="right"/>
              <w:rPr>
                <w:sz w:val="24"/>
              </w:rPr>
            </w:pPr>
            <w:r>
              <w:rPr>
                <w:sz w:val="24"/>
              </w:rPr>
              <w:t>3,63</w:t>
            </w:r>
          </w:p>
        </w:tc>
        <w:tc>
          <w:tcPr>
            <w:tcW w:w="1218" w:type="dxa"/>
          </w:tcPr>
          <w:p>
            <w:pPr>
              <w:pStyle w:val="TableParagraph"/>
              <w:spacing w:line="275" w:lineRule="exact"/>
              <w:ind w:right="162"/>
              <w:jc w:val="right"/>
              <w:rPr>
                <w:sz w:val="24"/>
              </w:rPr>
            </w:pPr>
            <w:r>
              <w:rPr>
                <w:sz w:val="24"/>
              </w:rPr>
              <w:t>-,832</w:t>
            </w:r>
          </w:p>
        </w:tc>
        <w:tc>
          <w:tcPr>
            <w:tcW w:w="1222" w:type="dxa"/>
          </w:tcPr>
          <w:p>
            <w:pPr>
              <w:pStyle w:val="TableParagraph"/>
              <w:spacing w:line="275" w:lineRule="exact"/>
              <w:ind w:right="159"/>
              <w:jc w:val="right"/>
              <w:rPr>
                <w:sz w:val="24"/>
              </w:rPr>
            </w:pPr>
            <w:r>
              <w:rPr>
                <w:sz w:val="24"/>
              </w:rPr>
              <w:t>,108</w:t>
            </w:r>
          </w:p>
        </w:tc>
        <w:tc>
          <w:tcPr>
            <w:tcW w:w="1112" w:type="dxa"/>
          </w:tcPr>
          <w:p>
            <w:pPr>
              <w:pStyle w:val="TableParagraph"/>
              <w:spacing w:line="275" w:lineRule="exact"/>
              <w:ind w:right="160"/>
              <w:jc w:val="right"/>
              <w:rPr>
                <w:sz w:val="24"/>
              </w:rPr>
            </w:pPr>
            <w:r>
              <w:rPr>
                <w:sz w:val="24"/>
              </w:rPr>
              <w:t>-,476</w:t>
            </w:r>
          </w:p>
        </w:tc>
        <w:tc>
          <w:tcPr>
            <w:tcW w:w="1224" w:type="dxa"/>
          </w:tcPr>
          <w:p>
            <w:pPr>
              <w:pStyle w:val="TableParagraph"/>
              <w:spacing w:line="275" w:lineRule="exact"/>
              <w:ind w:right="159"/>
              <w:jc w:val="right"/>
              <w:rPr>
                <w:sz w:val="24"/>
              </w:rPr>
            </w:pPr>
            <w:r>
              <w:rPr>
                <w:sz w:val="24"/>
              </w:rPr>
              <w:t>,215</w:t>
            </w:r>
          </w:p>
        </w:tc>
      </w:tr>
      <w:tr>
        <w:trPr>
          <w:trHeight w:val="412" w:hRule="atLeast"/>
        </w:trPr>
        <w:tc>
          <w:tcPr>
            <w:tcW w:w="1457" w:type="dxa"/>
          </w:tcPr>
          <w:p>
            <w:pPr>
              <w:pStyle w:val="TableParagraph"/>
              <w:spacing w:line="275" w:lineRule="exact"/>
              <w:ind w:left="167"/>
              <w:rPr>
                <w:sz w:val="24"/>
              </w:rPr>
            </w:pPr>
            <w:r>
              <w:rPr>
                <w:sz w:val="24"/>
              </w:rPr>
              <w:t>TC4</w:t>
            </w:r>
          </w:p>
        </w:tc>
        <w:tc>
          <w:tcPr>
            <w:tcW w:w="891" w:type="dxa"/>
          </w:tcPr>
          <w:p>
            <w:pPr>
              <w:pStyle w:val="TableParagraph"/>
              <w:spacing w:line="275" w:lineRule="exact"/>
              <w:ind w:right="157"/>
              <w:jc w:val="right"/>
              <w:rPr>
                <w:sz w:val="24"/>
              </w:rPr>
            </w:pPr>
            <w:r>
              <w:rPr>
                <w:sz w:val="24"/>
              </w:rPr>
              <w:t>1</w:t>
            </w:r>
          </w:p>
        </w:tc>
        <w:tc>
          <w:tcPr>
            <w:tcW w:w="894" w:type="dxa"/>
          </w:tcPr>
          <w:p>
            <w:pPr>
              <w:pStyle w:val="TableParagraph"/>
              <w:spacing w:line="275" w:lineRule="exact"/>
              <w:ind w:right="157"/>
              <w:jc w:val="right"/>
              <w:rPr>
                <w:sz w:val="24"/>
              </w:rPr>
            </w:pPr>
            <w:r>
              <w:rPr>
                <w:sz w:val="24"/>
              </w:rPr>
              <w:t>5</w:t>
            </w:r>
          </w:p>
        </w:tc>
        <w:tc>
          <w:tcPr>
            <w:tcW w:w="992" w:type="dxa"/>
          </w:tcPr>
          <w:p>
            <w:pPr>
              <w:pStyle w:val="TableParagraph"/>
              <w:spacing w:line="275" w:lineRule="exact"/>
              <w:ind w:right="160"/>
              <w:jc w:val="right"/>
              <w:rPr>
                <w:sz w:val="24"/>
              </w:rPr>
            </w:pPr>
            <w:r>
              <w:rPr>
                <w:sz w:val="24"/>
              </w:rPr>
              <w:t>3,75</w:t>
            </w:r>
          </w:p>
        </w:tc>
        <w:tc>
          <w:tcPr>
            <w:tcW w:w="1218" w:type="dxa"/>
          </w:tcPr>
          <w:p>
            <w:pPr>
              <w:pStyle w:val="TableParagraph"/>
              <w:spacing w:line="275" w:lineRule="exact"/>
              <w:ind w:right="162"/>
              <w:jc w:val="right"/>
              <w:rPr>
                <w:sz w:val="24"/>
              </w:rPr>
            </w:pPr>
            <w:r>
              <w:rPr>
                <w:sz w:val="24"/>
              </w:rPr>
              <w:t>-,824</w:t>
            </w:r>
          </w:p>
        </w:tc>
        <w:tc>
          <w:tcPr>
            <w:tcW w:w="1222" w:type="dxa"/>
          </w:tcPr>
          <w:p>
            <w:pPr>
              <w:pStyle w:val="TableParagraph"/>
              <w:spacing w:line="275" w:lineRule="exact"/>
              <w:ind w:right="159"/>
              <w:jc w:val="right"/>
              <w:rPr>
                <w:sz w:val="24"/>
              </w:rPr>
            </w:pPr>
            <w:r>
              <w:rPr>
                <w:sz w:val="24"/>
              </w:rPr>
              <w:t>,108</w:t>
            </w:r>
          </w:p>
        </w:tc>
        <w:tc>
          <w:tcPr>
            <w:tcW w:w="1112" w:type="dxa"/>
          </w:tcPr>
          <w:p>
            <w:pPr>
              <w:pStyle w:val="TableParagraph"/>
              <w:spacing w:line="275" w:lineRule="exact"/>
              <w:ind w:right="160"/>
              <w:jc w:val="right"/>
              <w:rPr>
                <w:sz w:val="24"/>
              </w:rPr>
            </w:pPr>
            <w:r>
              <w:rPr>
                <w:sz w:val="24"/>
              </w:rPr>
              <w:t>-,385</w:t>
            </w:r>
          </w:p>
        </w:tc>
        <w:tc>
          <w:tcPr>
            <w:tcW w:w="1224" w:type="dxa"/>
          </w:tcPr>
          <w:p>
            <w:pPr>
              <w:pStyle w:val="TableParagraph"/>
              <w:spacing w:line="275" w:lineRule="exact"/>
              <w:ind w:right="159"/>
              <w:jc w:val="right"/>
              <w:rPr>
                <w:sz w:val="24"/>
              </w:rPr>
            </w:pPr>
            <w:r>
              <w:rPr>
                <w:sz w:val="24"/>
              </w:rPr>
              <w:t>,215</w:t>
            </w:r>
          </w:p>
        </w:tc>
      </w:tr>
      <w:tr>
        <w:trPr>
          <w:trHeight w:val="414" w:hRule="atLeast"/>
        </w:trPr>
        <w:tc>
          <w:tcPr>
            <w:tcW w:w="1457" w:type="dxa"/>
          </w:tcPr>
          <w:p>
            <w:pPr>
              <w:pStyle w:val="TableParagraph"/>
              <w:spacing w:before="1"/>
              <w:ind w:left="167"/>
              <w:rPr>
                <w:sz w:val="24"/>
              </w:rPr>
            </w:pPr>
            <w:r>
              <w:rPr>
                <w:sz w:val="24"/>
              </w:rPr>
              <w:t>TC5</w:t>
            </w:r>
          </w:p>
        </w:tc>
        <w:tc>
          <w:tcPr>
            <w:tcW w:w="891" w:type="dxa"/>
          </w:tcPr>
          <w:p>
            <w:pPr>
              <w:pStyle w:val="TableParagraph"/>
              <w:spacing w:before="1"/>
              <w:ind w:right="157"/>
              <w:jc w:val="right"/>
              <w:rPr>
                <w:sz w:val="24"/>
              </w:rPr>
            </w:pPr>
            <w:r>
              <w:rPr>
                <w:sz w:val="24"/>
              </w:rPr>
              <w:t>1</w:t>
            </w:r>
          </w:p>
        </w:tc>
        <w:tc>
          <w:tcPr>
            <w:tcW w:w="894" w:type="dxa"/>
          </w:tcPr>
          <w:p>
            <w:pPr>
              <w:pStyle w:val="TableParagraph"/>
              <w:spacing w:before="1"/>
              <w:ind w:right="157"/>
              <w:jc w:val="right"/>
              <w:rPr>
                <w:sz w:val="24"/>
              </w:rPr>
            </w:pPr>
            <w:r>
              <w:rPr>
                <w:sz w:val="24"/>
              </w:rPr>
              <w:t>5</w:t>
            </w:r>
          </w:p>
        </w:tc>
        <w:tc>
          <w:tcPr>
            <w:tcW w:w="992" w:type="dxa"/>
          </w:tcPr>
          <w:p>
            <w:pPr>
              <w:pStyle w:val="TableParagraph"/>
              <w:spacing w:before="1"/>
              <w:ind w:right="160"/>
              <w:jc w:val="right"/>
              <w:rPr>
                <w:sz w:val="24"/>
              </w:rPr>
            </w:pPr>
            <w:r>
              <w:rPr>
                <w:sz w:val="24"/>
              </w:rPr>
              <w:t>2,92</w:t>
            </w:r>
          </w:p>
        </w:tc>
        <w:tc>
          <w:tcPr>
            <w:tcW w:w="1218" w:type="dxa"/>
          </w:tcPr>
          <w:p>
            <w:pPr>
              <w:pStyle w:val="TableParagraph"/>
              <w:spacing w:before="1"/>
              <w:ind w:right="161"/>
              <w:jc w:val="right"/>
              <w:rPr>
                <w:sz w:val="24"/>
              </w:rPr>
            </w:pPr>
            <w:r>
              <w:rPr>
                <w:sz w:val="24"/>
              </w:rPr>
              <w:t>-,093</w:t>
            </w:r>
          </w:p>
        </w:tc>
        <w:tc>
          <w:tcPr>
            <w:tcW w:w="1222" w:type="dxa"/>
          </w:tcPr>
          <w:p>
            <w:pPr>
              <w:pStyle w:val="TableParagraph"/>
              <w:spacing w:before="1"/>
              <w:ind w:right="159"/>
              <w:jc w:val="right"/>
              <w:rPr>
                <w:sz w:val="24"/>
              </w:rPr>
            </w:pPr>
            <w:r>
              <w:rPr>
                <w:sz w:val="24"/>
              </w:rPr>
              <w:t>,108</w:t>
            </w:r>
          </w:p>
        </w:tc>
        <w:tc>
          <w:tcPr>
            <w:tcW w:w="1112" w:type="dxa"/>
          </w:tcPr>
          <w:p>
            <w:pPr>
              <w:pStyle w:val="TableParagraph"/>
              <w:spacing w:before="1"/>
              <w:ind w:right="160"/>
              <w:jc w:val="right"/>
              <w:rPr>
                <w:sz w:val="24"/>
              </w:rPr>
            </w:pPr>
            <w:r>
              <w:rPr>
                <w:sz w:val="24"/>
              </w:rPr>
              <w:t>-1,635</w:t>
            </w:r>
          </w:p>
        </w:tc>
        <w:tc>
          <w:tcPr>
            <w:tcW w:w="1224" w:type="dxa"/>
          </w:tcPr>
          <w:p>
            <w:pPr>
              <w:pStyle w:val="TableParagraph"/>
              <w:spacing w:before="1"/>
              <w:ind w:right="159"/>
              <w:jc w:val="right"/>
              <w:rPr>
                <w:sz w:val="24"/>
              </w:rPr>
            </w:pPr>
            <w:r>
              <w:rPr>
                <w:sz w:val="24"/>
              </w:rPr>
              <w:t>,215</w:t>
            </w:r>
          </w:p>
        </w:tc>
      </w:tr>
      <w:tr>
        <w:trPr>
          <w:trHeight w:val="415" w:hRule="atLeast"/>
        </w:trPr>
        <w:tc>
          <w:tcPr>
            <w:tcW w:w="1457" w:type="dxa"/>
          </w:tcPr>
          <w:p>
            <w:pPr>
              <w:pStyle w:val="TableParagraph"/>
              <w:spacing w:line="275" w:lineRule="exact"/>
              <w:ind w:left="167"/>
              <w:rPr>
                <w:sz w:val="24"/>
              </w:rPr>
            </w:pPr>
            <w:r>
              <w:rPr>
                <w:sz w:val="24"/>
              </w:rPr>
              <w:t>CP1</w:t>
            </w:r>
          </w:p>
        </w:tc>
        <w:tc>
          <w:tcPr>
            <w:tcW w:w="891" w:type="dxa"/>
          </w:tcPr>
          <w:p>
            <w:pPr>
              <w:pStyle w:val="TableParagraph"/>
              <w:spacing w:line="275" w:lineRule="exact"/>
              <w:ind w:right="157"/>
              <w:jc w:val="right"/>
              <w:rPr>
                <w:sz w:val="24"/>
              </w:rPr>
            </w:pPr>
            <w:r>
              <w:rPr>
                <w:sz w:val="24"/>
              </w:rPr>
              <w:t>1</w:t>
            </w:r>
          </w:p>
        </w:tc>
        <w:tc>
          <w:tcPr>
            <w:tcW w:w="894" w:type="dxa"/>
          </w:tcPr>
          <w:p>
            <w:pPr>
              <w:pStyle w:val="TableParagraph"/>
              <w:spacing w:line="275" w:lineRule="exact"/>
              <w:ind w:right="157"/>
              <w:jc w:val="right"/>
              <w:rPr>
                <w:sz w:val="24"/>
              </w:rPr>
            </w:pPr>
            <w:r>
              <w:rPr>
                <w:sz w:val="24"/>
              </w:rPr>
              <w:t>5</w:t>
            </w:r>
          </w:p>
        </w:tc>
        <w:tc>
          <w:tcPr>
            <w:tcW w:w="992" w:type="dxa"/>
          </w:tcPr>
          <w:p>
            <w:pPr>
              <w:pStyle w:val="TableParagraph"/>
              <w:spacing w:line="275" w:lineRule="exact"/>
              <w:ind w:right="160"/>
              <w:jc w:val="right"/>
              <w:rPr>
                <w:sz w:val="24"/>
              </w:rPr>
            </w:pPr>
            <w:r>
              <w:rPr>
                <w:sz w:val="24"/>
              </w:rPr>
              <w:t>3,56</w:t>
            </w:r>
          </w:p>
        </w:tc>
        <w:tc>
          <w:tcPr>
            <w:tcW w:w="1218" w:type="dxa"/>
          </w:tcPr>
          <w:p>
            <w:pPr>
              <w:pStyle w:val="TableParagraph"/>
              <w:spacing w:line="275" w:lineRule="exact"/>
              <w:ind w:right="162"/>
              <w:jc w:val="right"/>
              <w:rPr>
                <w:sz w:val="24"/>
              </w:rPr>
            </w:pPr>
            <w:r>
              <w:rPr>
                <w:sz w:val="24"/>
              </w:rPr>
              <w:t>-,484</w:t>
            </w:r>
          </w:p>
        </w:tc>
        <w:tc>
          <w:tcPr>
            <w:tcW w:w="1222" w:type="dxa"/>
          </w:tcPr>
          <w:p>
            <w:pPr>
              <w:pStyle w:val="TableParagraph"/>
              <w:spacing w:line="275" w:lineRule="exact"/>
              <w:ind w:right="159"/>
              <w:jc w:val="right"/>
              <w:rPr>
                <w:sz w:val="24"/>
              </w:rPr>
            </w:pPr>
            <w:r>
              <w:rPr>
                <w:sz w:val="24"/>
              </w:rPr>
              <w:t>,108</w:t>
            </w:r>
          </w:p>
        </w:tc>
        <w:tc>
          <w:tcPr>
            <w:tcW w:w="1112" w:type="dxa"/>
          </w:tcPr>
          <w:p>
            <w:pPr>
              <w:pStyle w:val="TableParagraph"/>
              <w:spacing w:line="275" w:lineRule="exact"/>
              <w:ind w:right="160"/>
              <w:jc w:val="right"/>
              <w:rPr>
                <w:sz w:val="24"/>
              </w:rPr>
            </w:pPr>
            <w:r>
              <w:rPr>
                <w:sz w:val="24"/>
              </w:rPr>
              <w:t>-,714</w:t>
            </w:r>
          </w:p>
        </w:tc>
        <w:tc>
          <w:tcPr>
            <w:tcW w:w="1224" w:type="dxa"/>
          </w:tcPr>
          <w:p>
            <w:pPr>
              <w:pStyle w:val="TableParagraph"/>
              <w:spacing w:line="275" w:lineRule="exact"/>
              <w:ind w:right="159"/>
              <w:jc w:val="right"/>
              <w:rPr>
                <w:sz w:val="24"/>
              </w:rPr>
            </w:pPr>
            <w:r>
              <w:rPr>
                <w:sz w:val="24"/>
              </w:rPr>
              <w:t>,215</w:t>
            </w:r>
          </w:p>
        </w:tc>
      </w:tr>
      <w:tr>
        <w:trPr>
          <w:trHeight w:val="412" w:hRule="atLeast"/>
        </w:trPr>
        <w:tc>
          <w:tcPr>
            <w:tcW w:w="1457" w:type="dxa"/>
          </w:tcPr>
          <w:p>
            <w:pPr>
              <w:pStyle w:val="TableParagraph"/>
              <w:spacing w:line="275" w:lineRule="exact"/>
              <w:ind w:left="167"/>
              <w:rPr>
                <w:sz w:val="24"/>
              </w:rPr>
            </w:pPr>
            <w:r>
              <w:rPr>
                <w:sz w:val="24"/>
              </w:rPr>
              <w:t>CP2</w:t>
            </w:r>
          </w:p>
        </w:tc>
        <w:tc>
          <w:tcPr>
            <w:tcW w:w="891" w:type="dxa"/>
          </w:tcPr>
          <w:p>
            <w:pPr>
              <w:pStyle w:val="TableParagraph"/>
              <w:spacing w:line="275" w:lineRule="exact"/>
              <w:ind w:right="157"/>
              <w:jc w:val="right"/>
              <w:rPr>
                <w:sz w:val="24"/>
              </w:rPr>
            </w:pPr>
            <w:r>
              <w:rPr>
                <w:sz w:val="24"/>
              </w:rPr>
              <w:t>1</w:t>
            </w:r>
          </w:p>
        </w:tc>
        <w:tc>
          <w:tcPr>
            <w:tcW w:w="894" w:type="dxa"/>
          </w:tcPr>
          <w:p>
            <w:pPr>
              <w:pStyle w:val="TableParagraph"/>
              <w:spacing w:line="275" w:lineRule="exact"/>
              <w:ind w:right="157"/>
              <w:jc w:val="right"/>
              <w:rPr>
                <w:sz w:val="24"/>
              </w:rPr>
            </w:pPr>
            <w:r>
              <w:rPr>
                <w:sz w:val="24"/>
              </w:rPr>
              <w:t>5</w:t>
            </w:r>
          </w:p>
        </w:tc>
        <w:tc>
          <w:tcPr>
            <w:tcW w:w="992" w:type="dxa"/>
          </w:tcPr>
          <w:p>
            <w:pPr>
              <w:pStyle w:val="TableParagraph"/>
              <w:spacing w:line="275" w:lineRule="exact"/>
              <w:ind w:right="160"/>
              <w:jc w:val="right"/>
              <w:rPr>
                <w:sz w:val="24"/>
              </w:rPr>
            </w:pPr>
            <w:r>
              <w:rPr>
                <w:sz w:val="24"/>
              </w:rPr>
              <w:t>3,64</w:t>
            </w:r>
          </w:p>
        </w:tc>
        <w:tc>
          <w:tcPr>
            <w:tcW w:w="1218" w:type="dxa"/>
          </w:tcPr>
          <w:p>
            <w:pPr>
              <w:pStyle w:val="TableParagraph"/>
              <w:spacing w:line="275" w:lineRule="exact"/>
              <w:ind w:right="162"/>
              <w:jc w:val="right"/>
              <w:rPr>
                <w:sz w:val="24"/>
              </w:rPr>
            </w:pPr>
            <w:r>
              <w:rPr>
                <w:sz w:val="24"/>
              </w:rPr>
              <w:t>-,532</w:t>
            </w:r>
          </w:p>
        </w:tc>
        <w:tc>
          <w:tcPr>
            <w:tcW w:w="1222" w:type="dxa"/>
          </w:tcPr>
          <w:p>
            <w:pPr>
              <w:pStyle w:val="TableParagraph"/>
              <w:spacing w:line="275" w:lineRule="exact"/>
              <w:ind w:right="159"/>
              <w:jc w:val="right"/>
              <w:rPr>
                <w:sz w:val="24"/>
              </w:rPr>
            </w:pPr>
            <w:r>
              <w:rPr>
                <w:sz w:val="24"/>
              </w:rPr>
              <w:t>,108</w:t>
            </w:r>
          </w:p>
        </w:tc>
        <w:tc>
          <w:tcPr>
            <w:tcW w:w="1112" w:type="dxa"/>
          </w:tcPr>
          <w:p>
            <w:pPr>
              <w:pStyle w:val="TableParagraph"/>
              <w:spacing w:line="275" w:lineRule="exact"/>
              <w:ind w:right="160"/>
              <w:jc w:val="right"/>
              <w:rPr>
                <w:sz w:val="24"/>
              </w:rPr>
            </w:pPr>
            <w:r>
              <w:rPr>
                <w:sz w:val="24"/>
              </w:rPr>
              <w:t>-,586</w:t>
            </w:r>
          </w:p>
        </w:tc>
        <w:tc>
          <w:tcPr>
            <w:tcW w:w="1224" w:type="dxa"/>
          </w:tcPr>
          <w:p>
            <w:pPr>
              <w:pStyle w:val="TableParagraph"/>
              <w:spacing w:line="275" w:lineRule="exact"/>
              <w:ind w:right="159"/>
              <w:jc w:val="right"/>
              <w:rPr>
                <w:sz w:val="24"/>
              </w:rPr>
            </w:pPr>
            <w:r>
              <w:rPr>
                <w:sz w:val="24"/>
              </w:rPr>
              <w:t>,215</w:t>
            </w:r>
          </w:p>
        </w:tc>
      </w:tr>
      <w:tr>
        <w:trPr>
          <w:trHeight w:val="414" w:hRule="atLeast"/>
        </w:trPr>
        <w:tc>
          <w:tcPr>
            <w:tcW w:w="1457" w:type="dxa"/>
          </w:tcPr>
          <w:p>
            <w:pPr>
              <w:pStyle w:val="TableParagraph"/>
              <w:spacing w:line="275" w:lineRule="exact"/>
              <w:ind w:left="167"/>
              <w:rPr>
                <w:sz w:val="24"/>
              </w:rPr>
            </w:pPr>
            <w:r>
              <w:rPr>
                <w:sz w:val="24"/>
              </w:rPr>
              <w:t>CP3</w:t>
            </w:r>
          </w:p>
        </w:tc>
        <w:tc>
          <w:tcPr>
            <w:tcW w:w="891" w:type="dxa"/>
          </w:tcPr>
          <w:p>
            <w:pPr>
              <w:pStyle w:val="TableParagraph"/>
              <w:spacing w:line="275" w:lineRule="exact"/>
              <w:ind w:right="157"/>
              <w:jc w:val="right"/>
              <w:rPr>
                <w:sz w:val="24"/>
              </w:rPr>
            </w:pPr>
            <w:r>
              <w:rPr>
                <w:sz w:val="24"/>
              </w:rPr>
              <w:t>1</w:t>
            </w:r>
          </w:p>
        </w:tc>
        <w:tc>
          <w:tcPr>
            <w:tcW w:w="894" w:type="dxa"/>
          </w:tcPr>
          <w:p>
            <w:pPr>
              <w:pStyle w:val="TableParagraph"/>
              <w:spacing w:line="275" w:lineRule="exact"/>
              <w:ind w:right="157"/>
              <w:jc w:val="right"/>
              <w:rPr>
                <w:sz w:val="24"/>
              </w:rPr>
            </w:pPr>
            <w:r>
              <w:rPr>
                <w:sz w:val="24"/>
              </w:rPr>
              <w:t>5</w:t>
            </w:r>
          </w:p>
        </w:tc>
        <w:tc>
          <w:tcPr>
            <w:tcW w:w="992" w:type="dxa"/>
          </w:tcPr>
          <w:p>
            <w:pPr>
              <w:pStyle w:val="TableParagraph"/>
              <w:spacing w:line="275" w:lineRule="exact"/>
              <w:ind w:right="160"/>
              <w:jc w:val="right"/>
              <w:rPr>
                <w:sz w:val="24"/>
              </w:rPr>
            </w:pPr>
            <w:r>
              <w:rPr>
                <w:sz w:val="24"/>
              </w:rPr>
              <w:t>3,71</w:t>
            </w:r>
          </w:p>
        </w:tc>
        <w:tc>
          <w:tcPr>
            <w:tcW w:w="1218" w:type="dxa"/>
          </w:tcPr>
          <w:p>
            <w:pPr>
              <w:pStyle w:val="TableParagraph"/>
              <w:spacing w:line="275" w:lineRule="exact"/>
              <w:ind w:right="162"/>
              <w:jc w:val="right"/>
              <w:rPr>
                <w:sz w:val="24"/>
              </w:rPr>
            </w:pPr>
            <w:r>
              <w:rPr>
                <w:sz w:val="24"/>
              </w:rPr>
              <w:t>-,558</w:t>
            </w:r>
          </w:p>
        </w:tc>
        <w:tc>
          <w:tcPr>
            <w:tcW w:w="1222" w:type="dxa"/>
          </w:tcPr>
          <w:p>
            <w:pPr>
              <w:pStyle w:val="TableParagraph"/>
              <w:spacing w:line="275" w:lineRule="exact"/>
              <w:ind w:right="159"/>
              <w:jc w:val="right"/>
              <w:rPr>
                <w:sz w:val="24"/>
              </w:rPr>
            </w:pPr>
            <w:r>
              <w:rPr>
                <w:sz w:val="24"/>
              </w:rPr>
              <w:t>,108</w:t>
            </w:r>
          </w:p>
        </w:tc>
        <w:tc>
          <w:tcPr>
            <w:tcW w:w="1112" w:type="dxa"/>
          </w:tcPr>
          <w:p>
            <w:pPr>
              <w:pStyle w:val="TableParagraph"/>
              <w:spacing w:line="275" w:lineRule="exact"/>
              <w:ind w:right="160"/>
              <w:jc w:val="right"/>
              <w:rPr>
                <w:sz w:val="24"/>
              </w:rPr>
            </w:pPr>
            <w:r>
              <w:rPr>
                <w:sz w:val="24"/>
              </w:rPr>
              <w:t>-,630</w:t>
            </w:r>
          </w:p>
        </w:tc>
        <w:tc>
          <w:tcPr>
            <w:tcW w:w="1224" w:type="dxa"/>
          </w:tcPr>
          <w:p>
            <w:pPr>
              <w:pStyle w:val="TableParagraph"/>
              <w:spacing w:line="275" w:lineRule="exact"/>
              <w:ind w:right="159"/>
              <w:jc w:val="right"/>
              <w:rPr>
                <w:sz w:val="24"/>
              </w:rPr>
            </w:pPr>
            <w:r>
              <w:rPr>
                <w:sz w:val="24"/>
              </w:rPr>
              <w:t>,215</w:t>
            </w:r>
          </w:p>
        </w:tc>
      </w:tr>
      <w:tr>
        <w:trPr>
          <w:trHeight w:val="414" w:hRule="atLeast"/>
        </w:trPr>
        <w:tc>
          <w:tcPr>
            <w:tcW w:w="1457" w:type="dxa"/>
          </w:tcPr>
          <w:p>
            <w:pPr>
              <w:pStyle w:val="TableParagraph"/>
              <w:spacing w:line="275" w:lineRule="exact"/>
              <w:ind w:left="167"/>
              <w:rPr>
                <w:sz w:val="24"/>
              </w:rPr>
            </w:pPr>
            <w:r>
              <w:rPr>
                <w:sz w:val="24"/>
              </w:rPr>
              <w:t>CP4</w:t>
            </w:r>
          </w:p>
        </w:tc>
        <w:tc>
          <w:tcPr>
            <w:tcW w:w="891" w:type="dxa"/>
          </w:tcPr>
          <w:p>
            <w:pPr>
              <w:pStyle w:val="TableParagraph"/>
              <w:spacing w:line="275" w:lineRule="exact"/>
              <w:ind w:right="157"/>
              <w:jc w:val="right"/>
              <w:rPr>
                <w:sz w:val="24"/>
              </w:rPr>
            </w:pPr>
            <w:r>
              <w:rPr>
                <w:sz w:val="24"/>
              </w:rPr>
              <w:t>1</w:t>
            </w:r>
          </w:p>
        </w:tc>
        <w:tc>
          <w:tcPr>
            <w:tcW w:w="894" w:type="dxa"/>
          </w:tcPr>
          <w:p>
            <w:pPr>
              <w:pStyle w:val="TableParagraph"/>
              <w:spacing w:line="275" w:lineRule="exact"/>
              <w:ind w:right="157"/>
              <w:jc w:val="right"/>
              <w:rPr>
                <w:sz w:val="24"/>
              </w:rPr>
            </w:pPr>
            <w:r>
              <w:rPr>
                <w:sz w:val="24"/>
              </w:rPr>
              <w:t>5</w:t>
            </w:r>
          </w:p>
        </w:tc>
        <w:tc>
          <w:tcPr>
            <w:tcW w:w="992" w:type="dxa"/>
          </w:tcPr>
          <w:p>
            <w:pPr>
              <w:pStyle w:val="TableParagraph"/>
              <w:spacing w:line="275" w:lineRule="exact"/>
              <w:ind w:right="160"/>
              <w:jc w:val="right"/>
              <w:rPr>
                <w:sz w:val="24"/>
              </w:rPr>
            </w:pPr>
            <w:r>
              <w:rPr>
                <w:sz w:val="24"/>
              </w:rPr>
              <w:t>3,71</w:t>
            </w:r>
          </w:p>
        </w:tc>
        <w:tc>
          <w:tcPr>
            <w:tcW w:w="1218" w:type="dxa"/>
          </w:tcPr>
          <w:p>
            <w:pPr>
              <w:pStyle w:val="TableParagraph"/>
              <w:spacing w:line="275" w:lineRule="exact"/>
              <w:ind w:right="161"/>
              <w:jc w:val="right"/>
              <w:rPr>
                <w:sz w:val="24"/>
              </w:rPr>
            </w:pPr>
            <w:r>
              <w:rPr>
                <w:sz w:val="24"/>
              </w:rPr>
              <w:t>-,661</w:t>
            </w:r>
          </w:p>
        </w:tc>
        <w:tc>
          <w:tcPr>
            <w:tcW w:w="1222" w:type="dxa"/>
          </w:tcPr>
          <w:p>
            <w:pPr>
              <w:pStyle w:val="TableParagraph"/>
              <w:spacing w:line="275" w:lineRule="exact"/>
              <w:ind w:right="159"/>
              <w:jc w:val="right"/>
              <w:rPr>
                <w:sz w:val="24"/>
              </w:rPr>
            </w:pPr>
            <w:r>
              <w:rPr>
                <w:sz w:val="24"/>
              </w:rPr>
              <w:t>,108</w:t>
            </w:r>
          </w:p>
        </w:tc>
        <w:tc>
          <w:tcPr>
            <w:tcW w:w="1112" w:type="dxa"/>
          </w:tcPr>
          <w:p>
            <w:pPr>
              <w:pStyle w:val="TableParagraph"/>
              <w:spacing w:line="275" w:lineRule="exact"/>
              <w:ind w:right="160"/>
              <w:jc w:val="right"/>
              <w:rPr>
                <w:sz w:val="24"/>
              </w:rPr>
            </w:pPr>
            <w:r>
              <w:rPr>
                <w:sz w:val="24"/>
              </w:rPr>
              <w:t>-,206</w:t>
            </w:r>
          </w:p>
        </w:tc>
        <w:tc>
          <w:tcPr>
            <w:tcW w:w="1224" w:type="dxa"/>
          </w:tcPr>
          <w:p>
            <w:pPr>
              <w:pStyle w:val="TableParagraph"/>
              <w:spacing w:line="275" w:lineRule="exact"/>
              <w:ind w:right="159"/>
              <w:jc w:val="right"/>
              <w:rPr>
                <w:sz w:val="24"/>
              </w:rPr>
            </w:pPr>
            <w:r>
              <w:rPr>
                <w:sz w:val="24"/>
              </w:rPr>
              <w:t>,215</w:t>
            </w:r>
          </w:p>
        </w:tc>
      </w:tr>
      <w:tr>
        <w:trPr>
          <w:trHeight w:val="412" w:hRule="atLeast"/>
        </w:trPr>
        <w:tc>
          <w:tcPr>
            <w:tcW w:w="1457" w:type="dxa"/>
          </w:tcPr>
          <w:p>
            <w:pPr>
              <w:pStyle w:val="TableParagraph"/>
              <w:spacing w:line="275" w:lineRule="exact"/>
              <w:ind w:left="167"/>
              <w:rPr>
                <w:sz w:val="24"/>
              </w:rPr>
            </w:pPr>
            <w:r>
              <w:rPr>
                <w:sz w:val="24"/>
              </w:rPr>
              <w:t>CP5</w:t>
            </w:r>
          </w:p>
        </w:tc>
        <w:tc>
          <w:tcPr>
            <w:tcW w:w="891" w:type="dxa"/>
          </w:tcPr>
          <w:p>
            <w:pPr>
              <w:pStyle w:val="TableParagraph"/>
              <w:spacing w:line="275" w:lineRule="exact"/>
              <w:ind w:right="157"/>
              <w:jc w:val="right"/>
              <w:rPr>
                <w:sz w:val="24"/>
              </w:rPr>
            </w:pPr>
            <w:r>
              <w:rPr>
                <w:sz w:val="24"/>
              </w:rPr>
              <w:t>1</w:t>
            </w:r>
          </w:p>
        </w:tc>
        <w:tc>
          <w:tcPr>
            <w:tcW w:w="894" w:type="dxa"/>
          </w:tcPr>
          <w:p>
            <w:pPr>
              <w:pStyle w:val="TableParagraph"/>
              <w:spacing w:line="275" w:lineRule="exact"/>
              <w:ind w:right="157"/>
              <w:jc w:val="right"/>
              <w:rPr>
                <w:sz w:val="24"/>
              </w:rPr>
            </w:pPr>
            <w:r>
              <w:rPr>
                <w:sz w:val="24"/>
              </w:rPr>
              <w:t>5</w:t>
            </w:r>
          </w:p>
        </w:tc>
        <w:tc>
          <w:tcPr>
            <w:tcW w:w="992" w:type="dxa"/>
          </w:tcPr>
          <w:p>
            <w:pPr>
              <w:pStyle w:val="TableParagraph"/>
              <w:spacing w:line="275" w:lineRule="exact"/>
              <w:ind w:right="160"/>
              <w:jc w:val="right"/>
              <w:rPr>
                <w:sz w:val="24"/>
              </w:rPr>
            </w:pPr>
            <w:r>
              <w:rPr>
                <w:sz w:val="24"/>
              </w:rPr>
              <w:t>3,69</w:t>
            </w:r>
          </w:p>
        </w:tc>
        <w:tc>
          <w:tcPr>
            <w:tcW w:w="1218" w:type="dxa"/>
          </w:tcPr>
          <w:p>
            <w:pPr>
              <w:pStyle w:val="TableParagraph"/>
              <w:spacing w:line="275" w:lineRule="exact"/>
              <w:ind w:right="161"/>
              <w:jc w:val="right"/>
              <w:rPr>
                <w:sz w:val="24"/>
              </w:rPr>
            </w:pPr>
            <w:r>
              <w:rPr>
                <w:sz w:val="24"/>
              </w:rPr>
              <w:t>-,707</w:t>
            </w:r>
          </w:p>
        </w:tc>
        <w:tc>
          <w:tcPr>
            <w:tcW w:w="1222" w:type="dxa"/>
          </w:tcPr>
          <w:p>
            <w:pPr>
              <w:pStyle w:val="TableParagraph"/>
              <w:spacing w:line="275" w:lineRule="exact"/>
              <w:ind w:right="159"/>
              <w:jc w:val="right"/>
              <w:rPr>
                <w:sz w:val="24"/>
              </w:rPr>
            </w:pPr>
            <w:r>
              <w:rPr>
                <w:sz w:val="24"/>
              </w:rPr>
              <w:t>,108</w:t>
            </w:r>
          </w:p>
        </w:tc>
        <w:tc>
          <w:tcPr>
            <w:tcW w:w="1112" w:type="dxa"/>
          </w:tcPr>
          <w:p>
            <w:pPr>
              <w:pStyle w:val="TableParagraph"/>
              <w:spacing w:line="275" w:lineRule="exact"/>
              <w:ind w:right="160"/>
              <w:jc w:val="right"/>
              <w:rPr>
                <w:sz w:val="24"/>
              </w:rPr>
            </w:pPr>
            <w:r>
              <w:rPr>
                <w:sz w:val="24"/>
              </w:rPr>
              <w:t>-,175</w:t>
            </w:r>
          </w:p>
        </w:tc>
        <w:tc>
          <w:tcPr>
            <w:tcW w:w="1224" w:type="dxa"/>
          </w:tcPr>
          <w:p>
            <w:pPr>
              <w:pStyle w:val="TableParagraph"/>
              <w:spacing w:line="275" w:lineRule="exact"/>
              <w:ind w:right="159"/>
              <w:jc w:val="right"/>
              <w:rPr>
                <w:sz w:val="24"/>
              </w:rPr>
            </w:pPr>
            <w:r>
              <w:rPr>
                <w:sz w:val="24"/>
              </w:rPr>
              <w:t>,215</w:t>
            </w:r>
          </w:p>
        </w:tc>
      </w:tr>
      <w:tr>
        <w:trPr>
          <w:trHeight w:val="414" w:hRule="atLeast"/>
        </w:trPr>
        <w:tc>
          <w:tcPr>
            <w:tcW w:w="1457" w:type="dxa"/>
          </w:tcPr>
          <w:p>
            <w:pPr>
              <w:pStyle w:val="TableParagraph"/>
              <w:spacing w:line="275" w:lineRule="exact"/>
              <w:ind w:left="167"/>
              <w:rPr>
                <w:sz w:val="24"/>
              </w:rPr>
            </w:pPr>
            <w:r>
              <w:rPr>
                <w:sz w:val="24"/>
              </w:rPr>
              <w:t>CP6</w:t>
            </w:r>
          </w:p>
        </w:tc>
        <w:tc>
          <w:tcPr>
            <w:tcW w:w="891" w:type="dxa"/>
          </w:tcPr>
          <w:p>
            <w:pPr>
              <w:pStyle w:val="TableParagraph"/>
              <w:spacing w:line="275" w:lineRule="exact"/>
              <w:ind w:right="157"/>
              <w:jc w:val="right"/>
              <w:rPr>
                <w:sz w:val="24"/>
              </w:rPr>
            </w:pPr>
            <w:r>
              <w:rPr>
                <w:sz w:val="24"/>
              </w:rPr>
              <w:t>1</w:t>
            </w:r>
          </w:p>
        </w:tc>
        <w:tc>
          <w:tcPr>
            <w:tcW w:w="894" w:type="dxa"/>
          </w:tcPr>
          <w:p>
            <w:pPr>
              <w:pStyle w:val="TableParagraph"/>
              <w:spacing w:line="275" w:lineRule="exact"/>
              <w:ind w:right="157"/>
              <w:jc w:val="right"/>
              <w:rPr>
                <w:sz w:val="24"/>
              </w:rPr>
            </w:pPr>
            <w:r>
              <w:rPr>
                <w:sz w:val="24"/>
              </w:rPr>
              <w:t>5</w:t>
            </w:r>
          </w:p>
        </w:tc>
        <w:tc>
          <w:tcPr>
            <w:tcW w:w="992" w:type="dxa"/>
          </w:tcPr>
          <w:p>
            <w:pPr>
              <w:pStyle w:val="TableParagraph"/>
              <w:spacing w:line="275" w:lineRule="exact"/>
              <w:ind w:right="160"/>
              <w:jc w:val="right"/>
              <w:rPr>
                <w:sz w:val="24"/>
              </w:rPr>
            </w:pPr>
            <w:r>
              <w:rPr>
                <w:sz w:val="24"/>
              </w:rPr>
              <w:t>3,80</w:t>
            </w:r>
          </w:p>
        </w:tc>
        <w:tc>
          <w:tcPr>
            <w:tcW w:w="1218" w:type="dxa"/>
          </w:tcPr>
          <w:p>
            <w:pPr>
              <w:pStyle w:val="TableParagraph"/>
              <w:spacing w:line="275" w:lineRule="exact"/>
              <w:ind w:right="162"/>
              <w:jc w:val="right"/>
              <w:rPr>
                <w:sz w:val="24"/>
              </w:rPr>
            </w:pPr>
            <w:r>
              <w:rPr>
                <w:sz w:val="24"/>
              </w:rPr>
              <w:t>-,756</w:t>
            </w:r>
          </w:p>
        </w:tc>
        <w:tc>
          <w:tcPr>
            <w:tcW w:w="1222" w:type="dxa"/>
          </w:tcPr>
          <w:p>
            <w:pPr>
              <w:pStyle w:val="TableParagraph"/>
              <w:spacing w:line="275" w:lineRule="exact"/>
              <w:ind w:right="159"/>
              <w:jc w:val="right"/>
              <w:rPr>
                <w:sz w:val="24"/>
              </w:rPr>
            </w:pPr>
            <w:r>
              <w:rPr>
                <w:sz w:val="24"/>
              </w:rPr>
              <w:t>,108</w:t>
            </w:r>
          </w:p>
        </w:tc>
        <w:tc>
          <w:tcPr>
            <w:tcW w:w="1112" w:type="dxa"/>
          </w:tcPr>
          <w:p>
            <w:pPr>
              <w:pStyle w:val="TableParagraph"/>
              <w:spacing w:line="275" w:lineRule="exact"/>
              <w:ind w:right="160"/>
              <w:jc w:val="right"/>
              <w:rPr>
                <w:sz w:val="24"/>
              </w:rPr>
            </w:pPr>
            <w:r>
              <w:rPr>
                <w:sz w:val="24"/>
              </w:rPr>
              <w:t>-,025</w:t>
            </w:r>
          </w:p>
        </w:tc>
        <w:tc>
          <w:tcPr>
            <w:tcW w:w="1224" w:type="dxa"/>
          </w:tcPr>
          <w:p>
            <w:pPr>
              <w:pStyle w:val="TableParagraph"/>
              <w:spacing w:line="275" w:lineRule="exact"/>
              <w:ind w:right="159"/>
              <w:jc w:val="right"/>
              <w:rPr>
                <w:sz w:val="24"/>
              </w:rPr>
            </w:pPr>
            <w:r>
              <w:rPr>
                <w:sz w:val="24"/>
              </w:rPr>
              <w:t>,215</w:t>
            </w:r>
          </w:p>
        </w:tc>
      </w:tr>
      <w:tr>
        <w:trPr>
          <w:trHeight w:val="414" w:hRule="atLeast"/>
        </w:trPr>
        <w:tc>
          <w:tcPr>
            <w:tcW w:w="1457" w:type="dxa"/>
          </w:tcPr>
          <w:p>
            <w:pPr>
              <w:pStyle w:val="TableParagraph"/>
              <w:spacing w:line="275" w:lineRule="exact"/>
              <w:ind w:left="167"/>
              <w:rPr>
                <w:sz w:val="24"/>
              </w:rPr>
            </w:pPr>
            <w:r>
              <w:rPr>
                <w:sz w:val="24"/>
              </w:rPr>
              <w:t>CVDV1</w:t>
            </w:r>
          </w:p>
        </w:tc>
        <w:tc>
          <w:tcPr>
            <w:tcW w:w="891" w:type="dxa"/>
          </w:tcPr>
          <w:p>
            <w:pPr>
              <w:pStyle w:val="TableParagraph"/>
              <w:spacing w:line="275" w:lineRule="exact"/>
              <w:ind w:right="157"/>
              <w:jc w:val="right"/>
              <w:rPr>
                <w:sz w:val="24"/>
              </w:rPr>
            </w:pPr>
            <w:r>
              <w:rPr>
                <w:sz w:val="24"/>
              </w:rPr>
              <w:t>1</w:t>
            </w:r>
          </w:p>
        </w:tc>
        <w:tc>
          <w:tcPr>
            <w:tcW w:w="894" w:type="dxa"/>
          </w:tcPr>
          <w:p>
            <w:pPr>
              <w:pStyle w:val="TableParagraph"/>
              <w:spacing w:line="275" w:lineRule="exact"/>
              <w:ind w:right="157"/>
              <w:jc w:val="right"/>
              <w:rPr>
                <w:sz w:val="24"/>
              </w:rPr>
            </w:pPr>
            <w:r>
              <w:rPr>
                <w:sz w:val="24"/>
              </w:rPr>
              <w:t>5</w:t>
            </w:r>
          </w:p>
        </w:tc>
        <w:tc>
          <w:tcPr>
            <w:tcW w:w="992" w:type="dxa"/>
          </w:tcPr>
          <w:p>
            <w:pPr>
              <w:pStyle w:val="TableParagraph"/>
              <w:spacing w:line="275" w:lineRule="exact"/>
              <w:ind w:right="160"/>
              <w:jc w:val="right"/>
              <w:rPr>
                <w:sz w:val="24"/>
              </w:rPr>
            </w:pPr>
            <w:r>
              <w:rPr>
                <w:sz w:val="24"/>
              </w:rPr>
              <w:t>4,03</w:t>
            </w:r>
          </w:p>
        </w:tc>
        <w:tc>
          <w:tcPr>
            <w:tcW w:w="1218" w:type="dxa"/>
          </w:tcPr>
          <w:p>
            <w:pPr>
              <w:pStyle w:val="TableParagraph"/>
              <w:spacing w:line="275" w:lineRule="exact"/>
              <w:ind w:right="161"/>
              <w:jc w:val="right"/>
              <w:rPr>
                <w:sz w:val="24"/>
              </w:rPr>
            </w:pPr>
            <w:r>
              <w:rPr>
                <w:sz w:val="24"/>
              </w:rPr>
              <w:t>-1,106</w:t>
            </w:r>
          </w:p>
        </w:tc>
        <w:tc>
          <w:tcPr>
            <w:tcW w:w="1222" w:type="dxa"/>
          </w:tcPr>
          <w:p>
            <w:pPr>
              <w:pStyle w:val="TableParagraph"/>
              <w:spacing w:line="275" w:lineRule="exact"/>
              <w:ind w:right="159"/>
              <w:jc w:val="right"/>
              <w:rPr>
                <w:sz w:val="24"/>
              </w:rPr>
            </w:pPr>
            <w:r>
              <w:rPr>
                <w:sz w:val="24"/>
              </w:rPr>
              <w:t>,108</w:t>
            </w:r>
          </w:p>
        </w:tc>
        <w:tc>
          <w:tcPr>
            <w:tcW w:w="1112" w:type="dxa"/>
          </w:tcPr>
          <w:p>
            <w:pPr>
              <w:pStyle w:val="TableParagraph"/>
              <w:spacing w:line="275" w:lineRule="exact"/>
              <w:ind w:right="160"/>
              <w:jc w:val="right"/>
              <w:rPr>
                <w:sz w:val="24"/>
              </w:rPr>
            </w:pPr>
            <w:r>
              <w:rPr>
                <w:sz w:val="24"/>
              </w:rPr>
              <w:t>-,505</w:t>
            </w:r>
          </w:p>
        </w:tc>
        <w:tc>
          <w:tcPr>
            <w:tcW w:w="1224" w:type="dxa"/>
          </w:tcPr>
          <w:p>
            <w:pPr>
              <w:pStyle w:val="TableParagraph"/>
              <w:spacing w:line="275" w:lineRule="exact"/>
              <w:ind w:right="159"/>
              <w:jc w:val="right"/>
              <w:rPr>
                <w:sz w:val="24"/>
              </w:rPr>
            </w:pPr>
            <w:r>
              <w:rPr>
                <w:sz w:val="24"/>
              </w:rPr>
              <w:t>,215</w:t>
            </w:r>
          </w:p>
        </w:tc>
      </w:tr>
      <w:tr>
        <w:trPr>
          <w:trHeight w:val="412" w:hRule="atLeast"/>
        </w:trPr>
        <w:tc>
          <w:tcPr>
            <w:tcW w:w="1457" w:type="dxa"/>
          </w:tcPr>
          <w:p>
            <w:pPr>
              <w:pStyle w:val="TableParagraph"/>
              <w:spacing w:line="275" w:lineRule="exact"/>
              <w:ind w:left="167"/>
              <w:rPr>
                <w:sz w:val="24"/>
              </w:rPr>
            </w:pPr>
            <w:r>
              <w:rPr>
                <w:sz w:val="24"/>
              </w:rPr>
              <w:t>CVDV2</w:t>
            </w:r>
          </w:p>
        </w:tc>
        <w:tc>
          <w:tcPr>
            <w:tcW w:w="891" w:type="dxa"/>
          </w:tcPr>
          <w:p>
            <w:pPr>
              <w:pStyle w:val="TableParagraph"/>
              <w:spacing w:line="275" w:lineRule="exact"/>
              <w:ind w:right="157"/>
              <w:jc w:val="right"/>
              <w:rPr>
                <w:sz w:val="24"/>
              </w:rPr>
            </w:pPr>
            <w:r>
              <w:rPr>
                <w:sz w:val="24"/>
              </w:rPr>
              <w:t>1</w:t>
            </w:r>
          </w:p>
        </w:tc>
        <w:tc>
          <w:tcPr>
            <w:tcW w:w="894" w:type="dxa"/>
          </w:tcPr>
          <w:p>
            <w:pPr>
              <w:pStyle w:val="TableParagraph"/>
              <w:spacing w:line="275" w:lineRule="exact"/>
              <w:ind w:right="157"/>
              <w:jc w:val="right"/>
              <w:rPr>
                <w:sz w:val="24"/>
              </w:rPr>
            </w:pPr>
            <w:r>
              <w:rPr>
                <w:sz w:val="24"/>
              </w:rPr>
              <w:t>5</w:t>
            </w:r>
          </w:p>
        </w:tc>
        <w:tc>
          <w:tcPr>
            <w:tcW w:w="992" w:type="dxa"/>
          </w:tcPr>
          <w:p>
            <w:pPr>
              <w:pStyle w:val="TableParagraph"/>
              <w:spacing w:line="275" w:lineRule="exact"/>
              <w:ind w:right="160"/>
              <w:jc w:val="right"/>
              <w:rPr>
                <w:sz w:val="24"/>
              </w:rPr>
            </w:pPr>
            <w:r>
              <w:rPr>
                <w:sz w:val="24"/>
              </w:rPr>
              <w:t>2,29</w:t>
            </w:r>
          </w:p>
        </w:tc>
        <w:tc>
          <w:tcPr>
            <w:tcW w:w="1218" w:type="dxa"/>
          </w:tcPr>
          <w:p>
            <w:pPr>
              <w:pStyle w:val="TableParagraph"/>
              <w:spacing w:line="275" w:lineRule="exact"/>
              <w:ind w:right="162"/>
              <w:jc w:val="right"/>
              <w:rPr>
                <w:sz w:val="24"/>
              </w:rPr>
            </w:pPr>
            <w:r>
              <w:rPr>
                <w:sz w:val="24"/>
              </w:rPr>
              <w:t>-,727</w:t>
            </w:r>
          </w:p>
        </w:tc>
        <w:tc>
          <w:tcPr>
            <w:tcW w:w="1222" w:type="dxa"/>
          </w:tcPr>
          <w:p>
            <w:pPr>
              <w:pStyle w:val="TableParagraph"/>
              <w:spacing w:line="275" w:lineRule="exact"/>
              <w:ind w:right="159"/>
              <w:jc w:val="right"/>
              <w:rPr>
                <w:sz w:val="24"/>
              </w:rPr>
            </w:pPr>
            <w:r>
              <w:rPr>
                <w:sz w:val="24"/>
              </w:rPr>
              <w:t>,108</w:t>
            </w:r>
          </w:p>
        </w:tc>
        <w:tc>
          <w:tcPr>
            <w:tcW w:w="1112" w:type="dxa"/>
          </w:tcPr>
          <w:p>
            <w:pPr>
              <w:pStyle w:val="TableParagraph"/>
              <w:spacing w:line="275" w:lineRule="exact"/>
              <w:ind w:right="160"/>
              <w:jc w:val="right"/>
              <w:rPr>
                <w:sz w:val="24"/>
              </w:rPr>
            </w:pPr>
            <w:r>
              <w:rPr>
                <w:sz w:val="24"/>
              </w:rPr>
              <w:t>-1,156</w:t>
            </w:r>
          </w:p>
        </w:tc>
        <w:tc>
          <w:tcPr>
            <w:tcW w:w="1224" w:type="dxa"/>
          </w:tcPr>
          <w:p>
            <w:pPr>
              <w:pStyle w:val="TableParagraph"/>
              <w:spacing w:line="275" w:lineRule="exact"/>
              <w:ind w:right="159"/>
              <w:jc w:val="right"/>
              <w:rPr>
                <w:sz w:val="24"/>
              </w:rPr>
            </w:pPr>
            <w:r>
              <w:rPr>
                <w:sz w:val="24"/>
              </w:rPr>
              <w:t>,215</w:t>
            </w:r>
          </w:p>
        </w:tc>
      </w:tr>
      <w:tr>
        <w:trPr>
          <w:trHeight w:val="415" w:hRule="atLeast"/>
        </w:trPr>
        <w:tc>
          <w:tcPr>
            <w:tcW w:w="1457" w:type="dxa"/>
          </w:tcPr>
          <w:p>
            <w:pPr>
              <w:pStyle w:val="TableParagraph"/>
              <w:spacing w:line="275" w:lineRule="exact"/>
              <w:ind w:left="167"/>
              <w:rPr>
                <w:sz w:val="24"/>
              </w:rPr>
            </w:pPr>
            <w:r>
              <w:rPr>
                <w:sz w:val="24"/>
              </w:rPr>
              <w:t>CVDV3</w:t>
            </w:r>
          </w:p>
        </w:tc>
        <w:tc>
          <w:tcPr>
            <w:tcW w:w="891" w:type="dxa"/>
          </w:tcPr>
          <w:p>
            <w:pPr>
              <w:pStyle w:val="TableParagraph"/>
              <w:spacing w:line="275" w:lineRule="exact"/>
              <w:ind w:right="157"/>
              <w:jc w:val="right"/>
              <w:rPr>
                <w:sz w:val="24"/>
              </w:rPr>
            </w:pPr>
            <w:r>
              <w:rPr>
                <w:sz w:val="24"/>
              </w:rPr>
              <w:t>1</w:t>
            </w:r>
          </w:p>
        </w:tc>
        <w:tc>
          <w:tcPr>
            <w:tcW w:w="894" w:type="dxa"/>
          </w:tcPr>
          <w:p>
            <w:pPr>
              <w:pStyle w:val="TableParagraph"/>
              <w:spacing w:line="275" w:lineRule="exact"/>
              <w:ind w:right="157"/>
              <w:jc w:val="right"/>
              <w:rPr>
                <w:sz w:val="24"/>
              </w:rPr>
            </w:pPr>
            <w:r>
              <w:rPr>
                <w:sz w:val="24"/>
              </w:rPr>
              <w:t>5</w:t>
            </w:r>
          </w:p>
        </w:tc>
        <w:tc>
          <w:tcPr>
            <w:tcW w:w="992" w:type="dxa"/>
          </w:tcPr>
          <w:p>
            <w:pPr>
              <w:pStyle w:val="TableParagraph"/>
              <w:spacing w:line="275" w:lineRule="exact"/>
              <w:ind w:right="160"/>
              <w:jc w:val="right"/>
              <w:rPr>
                <w:sz w:val="24"/>
              </w:rPr>
            </w:pPr>
            <w:r>
              <w:rPr>
                <w:sz w:val="24"/>
              </w:rPr>
              <w:t>4,10</w:t>
            </w:r>
          </w:p>
        </w:tc>
        <w:tc>
          <w:tcPr>
            <w:tcW w:w="1218" w:type="dxa"/>
          </w:tcPr>
          <w:p>
            <w:pPr>
              <w:pStyle w:val="TableParagraph"/>
              <w:spacing w:line="275" w:lineRule="exact"/>
              <w:ind w:right="162"/>
              <w:jc w:val="right"/>
              <w:rPr>
                <w:sz w:val="24"/>
              </w:rPr>
            </w:pPr>
            <w:r>
              <w:rPr>
                <w:sz w:val="24"/>
              </w:rPr>
              <w:t>-1,237</w:t>
            </w:r>
          </w:p>
        </w:tc>
        <w:tc>
          <w:tcPr>
            <w:tcW w:w="1222" w:type="dxa"/>
          </w:tcPr>
          <w:p>
            <w:pPr>
              <w:pStyle w:val="TableParagraph"/>
              <w:spacing w:line="275" w:lineRule="exact"/>
              <w:ind w:right="159"/>
              <w:jc w:val="right"/>
              <w:rPr>
                <w:sz w:val="24"/>
              </w:rPr>
            </w:pPr>
            <w:r>
              <w:rPr>
                <w:sz w:val="24"/>
              </w:rPr>
              <w:t>,108</w:t>
            </w:r>
          </w:p>
        </w:tc>
        <w:tc>
          <w:tcPr>
            <w:tcW w:w="1112" w:type="dxa"/>
          </w:tcPr>
          <w:p>
            <w:pPr>
              <w:pStyle w:val="TableParagraph"/>
              <w:spacing w:line="275" w:lineRule="exact"/>
              <w:ind w:right="160"/>
              <w:jc w:val="right"/>
              <w:rPr>
                <w:sz w:val="24"/>
              </w:rPr>
            </w:pPr>
            <w:r>
              <w:rPr>
                <w:sz w:val="24"/>
              </w:rPr>
              <w:t>-1,098</w:t>
            </w:r>
          </w:p>
        </w:tc>
        <w:tc>
          <w:tcPr>
            <w:tcW w:w="1224" w:type="dxa"/>
          </w:tcPr>
          <w:p>
            <w:pPr>
              <w:pStyle w:val="TableParagraph"/>
              <w:spacing w:line="275" w:lineRule="exact"/>
              <w:ind w:right="159"/>
              <w:jc w:val="right"/>
              <w:rPr>
                <w:sz w:val="24"/>
              </w:rPr>
            </w:pPr>
            <w:r>
              <w:rPr>
                <w:sz w:val="24"/>
              </w:rPr>
              <w:t>,215</w:t>
            </w:r>
          </w:p>
        </w:tc>
      </w:tr>
      <w:tr>
        <w:trPr>
          <w:trHeight w:val="414" w:hRule="atLeast"/>
        </w:trPr>
        <w:tc>
          <w:tcPr>
            <w:tcW w:w="1457" w:type="dxa"/>
          </w:tcPr>
          <w:p>
            <w:pPr>
              <w:pStyle w:val="TableParagraph"/>
              <w:spacing w:line="275" w:lineRule="exact"/>
              <w:ind w:left="167"/>
              <w:rPr>
                <w:sz w:val="24"/>
              </w:rPr>
            </w:pPr>
            <w:r>
              <w:rPr>
                <w:sz w:val="24"/>
              </w:rPr>
              <w:t>CVDV4</w:t>
            </w:r>
          </w:p>
        </w:tc>
        <w:tc>
          <w:tcPr>
            <w:tcW w:w="891" w:type="dxa"/>
          </w:tcPr>
          <w:p>
            <w:pPr>
              <w:pStyle w:val="TableParagraph"/>
              <w:spacing w:line="275" w:lineRule="exact"/>
              <w:ind w:right="157"/>
              <w:jc w:val="right"/>
              <w:rPr>
                <w:sz w:val="24"/>
              </w:rPr>
            </w:pPr>
            <w:r>
              <w:rPr>
                <w:sz w:val="24"/>
              </w:rPr>
              <w:t>1</w:t>
            </w:r>
          </w:p>
        </w:tc>
        <w:tc>
          <w:tcPr>
            <w:tcW w:w="894" w:type="dxa"/>
          </w:tcPr>
          <w:p>
            <w:pPr>
              <w:pStyle w:val="TableParagraph"/>
              <w:spacing w:line="275" w:lineRule="exact"/>
              <w:ind w:right="157"/>
              <w:jc w:val="right"/>
              <w:rPr>
                <w:sz w:val="24"/>
              </w:rPr>
            </w:pPr>
            <w:r>
              <w:rPr>
                <w:sz w:val="24"/>
              </w:rPr>
              <w:t>5</w:t>
            </w:r>
          </w:p>
        </w:tc>
        <w:tc>
          <w:tcPr>
            <w:tcW w:w="992" w:type="dxa"/>
          </w:tcPr>
          <w:p>
            <w:pPr>
              <w:pStyle w:val="TableParagraph"/>
              <w:spacing w:line="275" w:lineRule="exact"/>
              <w:ind w:right="160"/>
              <w:jc w:val="right"/>
              <w:rPr>
                <w:sz w:val="24"/>
              </w:rPr>
            </w:pPr>
            <w:r>
              <w:rPr>
                <w:sz w:val="24"/>
              </w:rPr>
              <w:t>4,09</w:t>
            </w:r>
          </w:p>
        </w:tc>
        <w:tc>
          <w:tcPr>
            <w:tcW w:w="1218" w:type="dxa"/>
          </w:tcPr>
          <w:p>
            <w:pPr>
              <w:pStyle w:val="TableParagraph"/>
              <w:spacing w:line="275" w:lineRule="exact"/>
              <w:ind w:right="161"/>
              <w:jc w:val="right"/>
              <w:rPr>
                <w:sz w:val="24"/>
              </w:rPr>
            </w:pPr>
            <w:r>
              <w:rPr>
                <w:sz w:val="24"/>
              </w:rPr>
              <w:t>-1,258</w:t>
            </w:r>
          </w:p>
        </w:tc>
        <w:tc>
          <w:tcPr>
            <w:tcW w:w="1222" w:type="dxa"/>
          </w:tcPr>
          <w:p>
            <w:pPr>
              <w:pStyle w:val="TableParagraph"/>
              <w:spacing w:line="275" w:lineRule="exact"/>
              <w:ind w:right="159"/>
              <w:jc w:val="right"/>
              <w:rPr>
                <w:sz w:val="24"/>
              </w:rPr>
            </w:pPr>
            <w:r>
              <w:rPr>
                <w:sz w:val="24"/>
              </w:rPr>
              <w:t>,108</w:t>
            </w:r>
          </w:p>
        </w:tc>
        <w:tc>
          <w:tcPr>
            <w:tcW w:w="1112" w:type="dxa"/>
          </w:tcPr>
          <w:p>
            <w:pPr>
              <w:pStyle w:val="TableParagraph"/>
              <w:spacing w:line="275" w:lineRule="exact"/>
              <w:ind w:right="160"/>
              <w:jc w:val="right"/>
              <w:rPr>
                <w:sz w:val="24"/>
              </w:rPr>
            </w:pPr>
            <w:r>
              <w:rPr>
                <w:sz w:val="24"/>
              </w:rPr>
              <w:t>-1,061</w:t>
            </w:r>
          </w:p>
        </w:tc>
        <w:tc>
          <w:tcPr>
            <w:tcW w:w="1224" w:type="dxa"/>
          </w:tcPr>
          <w:p>
            <w:pPr>
              <w:pStyle w:val="TableParagraph"/>
              <w:spacing w:line="275" w:lineRule="exact"/>
              <w:ind w:right="159"/>
              <w:jc w:val="right"/>
              <w:rPr>
                <w:sz w:val="24"/>
              </w:rPr>
            </w:pPr>
            <w:r>
              <w:rPr>
                <w:sz w:val="24"/>
              </w:rPr>
              <w:t>,215</w:t>
            </w:r>
          </w:p>
        </w:tc>
      </w:tr>
      <w:tr>
        <w:trPr>
          <w:trHeight w:val="412" w:hRule="atLeast"/>
        </w:trPr>
        <w:tc>
          <w:tcPr>
            <w:tcW w:w="1457" w:type="dxa"/>
          </w:tcPr>
          <w:p>
            <w:pPr>
              <w:pStyle w:val="TableParagraph"/>
              <w:spacing w:line="275" w:lineRule="exact"/>
              <w:ind w:left="167"/>
              <w:rPr>
                <w:sz w:val="24"/>
              </w:rPr>
            </w:pPr>
            <w:r>
              <w:rPr>
                <w:sz w:val="24"/>
              </w:rPr>
              <w:t>CVDV5</w:t>
            </w:r>
          </w:p>
        </w:tc>
        <w:tc>
          <w:tcPr>
            <w:tcW w:w="891" w:type="dxa"/>
          </w:tcPr>
          <w:p>
            <w:pPr>
              <w:pStyle w:val="TableParagraph"/>
              <w:spacing w:line="275" w:lineRule="exact"/>
              <w:ind w:right="157"/>
              <w:jc w:val="right"/>
              <w:rPr>
                <w:sz w:val="24"/>
              </w:rPr>
            </w:pPr>
            <w:r>
              <w:rPr>
                <w:sz w:val="24"/>
              </w:rPr>
              <w:t>1</w:t>
            </w:r>
          </w:p>
        </w:tc>
        <w:tc>
          <w:tcPr>
            <w:tcW w:w="894" w:type="dxa"/>
          </w:tcPr>
          <w:p>
            <w:pPr>
              <w:pStyle w:val="TableParagraph"/>
              <w:spacing w:line="275" w:lineRule="exact"/>
              <w:ind w:right="157"/>
              <w:jc w:val="right"/>
              <w:rPr>
                <w:sz w:val="24"/>
              </w:rPr>
            </w:pPr>
            <w:r>
              <w:rPr>
                <w:sz w:val="24"/>
              </w:rPr>
              <w:t>5</w:t>
            </w:r>
          </w:p>
        </w:tc>
        <w:tc>
          <w:tcPr>
            <w:tcW w:w="992" w:type="dxa"/>
          </w:tcPr>
          <w:p>
            <w:pPr>
              <w:pStyle w:val="TableParagraph"/>
              <w:spacing w:line="275" w:lineRule="exact"/>
              <w:ind w:right="160"/>
              <w:jc w:val="right"/>
              <w:rPr>
                <w:sz w:val="24"/>
              </w:rPr>
            </w:pPr>
            <w:r>
              <w:rPr>
                <w:sz w:val="24"/>
              </w:rPr>
              <w:t>2,13</w:t>
            </w:r>
          </w:p>
        </w:tc>
        <w:tc>
          <w:tcPr>
            <w:tcW w:w="1218" w:type="dxa"/>
          </w:tcPr>
          <w:p>
            <w:pPr>
              <w:pStyle w:val="TableParagraph"/>
              <w:spacing w:line="275" w:lineRule="exact"/>
              <w:ind w:right="162"/>
              <w:jc w:val="right"/>
              <w:rPr>
                <w:sz w:val="24"/>
              </w:rPr>
            </w:pPr>
            <w:r>
              <w:rPr>
                <w:sz w:val="24"/>
              </w:rPr>
              <w:t>-,947</w:t>
            </w:r>
          </w:p>
        </w:tc>
        <w:tc>
          <w:tcPr>
            <w:tcW w:w="1222" w:type="dxa"/>
          </w:tcPr>
          <w:p>
            <w:pPr>
              <w:pStyle w:val="TableParagraph"/>
              <w:spacing w:line="275" w:lineRule="exact"/>
              <w:ind w:right="99"/>
              <w:jc w:val="right"/>
              <w:rPr>
                <w:sz w:val="24"/>
              </w:rPr>
            </w:pPr>
            <w:r>
              <w:rPr>
                <w:sz w:val="24"/>
              </w:rPr>
              <w:t>,108</w:t>
            </w:r>
          </w:p>
        </w:tc>
        <w:tc>
          <w:tcPr>
            <w:tcW w:w="1112" w:type="dxa"/>
          </w:tcPr>
          <w:p>
            <w:pPr>
              <w:pStyle w:val="TableParagraph"/>
              <w:spacing w:line="275" w:lineRule="exact"/>
              <w:ind w:right="160"/>
              <w:jc w:val="right"/>
              <w:rPr>
                <w:sz w:val="24"/>
              </w:rPr>
            </w:pPr>
            <w:r>
              <w:rPr>
                <w:sz w:val="24"/>
              </w:rPr>
              <w:t>-,708</w:t>
            </w:r>
          </w:p>
        </w:tc>
        <w:tc>
          <w:tcPr>
            <w:tcW w:w="1224" w:type="dxa"/>
          </w:tcPr>
          <w:p>
            <w:pPr>
              <w:pStyle w:val="TableParagraph"/>
              <w:spacing w:line="275" w:lineRule="exact"/>
              <w:ind w:right="102"/>
              <w:jc w:val="right"/>
              <w:rPr>
                <w:sz w:val="24"/>
              </w:rPr>
            </w:pPr>
            <w:r>
              <w:rPr>
                <w:sz w:val="24"/>
              </w:rPr>
              <w:t>,215</w:t>
            </w:r>
          </w:p>
        </w:tc>
      </w:tr>
      <w:tr>
        <w:trPr>
          <w:trHeight w:val="414" w:hRule="atLeast"/>
        </w:trPr>
        <w:tc>
          <w:tcPr>
            <w:tcW w:w="1457" w:type="dxa"/>
          </w:tcPr>
          <w:p>
            <w:pPr>
              <w:pStyle w:val="TableParagraph"/>
              <w:spacing w:line="275" w:lineRule="exact"/>
              <w:ind w:left="167"/>
              <w:rPr>
                <w:sz w:val="24"/>
              </w:rPr>
            </w:pPr>
            <w:r>
              <w:rPr>
                <w:sz w:val="24"/>
              </w:rPr>
              <w:t>CVDV6</w:t>
            </w:r>
          </w:p>
        </w:tc>
        <w:tc>
          <w:tcPr>
            <w:tcW w:w="891" w:type="dxa"/>
          </w:tcPr>
          <w:p>
            <w:pPr>
              <w:pStyle w:val="TableParagraph"/>
              <w:spacing w:line="275" w:lineRule="exact"/>
              <w:ind w:right="157"/>
              <w:jc w:val="right"/>
              <w:rPr>
                <w:sz w:val="24"/>
              </w:rPr>
            </w:pPr>
            <w:r>
              <w:rPr>
                <w:sz w:val="24"/>
              </w:rPr>
              <w:t>1</w:t>
            </w:r>
          </w:p>
        </w:tc>
        <w:tc>
          <w:tcPr>
            <w:tcW w:w="894" w:type="dxa"/>
          </w:tcPr>
          <w:p>
            <w:pPr>
              <w:pStyle w:val="TableParagraph"/>
              <w:spacing w:line="275" w:lineRule="exact"/>
              <w:ind w:right="157"/>
              <w:jc w:val="right"/>
              <w:rPr>
                <w:sz w:val="24"/>
              </w:rPr>
            </w:pPr>
            <w:r>
              <w:rPr>
                <w:sz w:val="24"/>
              </w:rPr>
              <w:t>5</w:t>
            </w:r>
          </w:p>
        </w:tc>
        <w:tc>
          <w:tcPr>
            <w:tcW w:w="992" w:type="dxa"/>
          </w:tcPr>
          <w:p>
            <w:pPr>
              <w:pStyle w:val="TableParagraph"/>
              <w:spacing w:line="275" w:lineRule="exact"/>
              <w:ind w:right="160"/>
              <w:jc w:val="right"/>
              <w:rPr>
                <w:sz w:val="24"/>
              </w:rPr>
            </w:pPr>
            <w:r>
              <w:rPr>
                <w:sz w:val="24"/>
              </w:rPr>
              <w:t>3,75</w:t>
            </w:r>
          </w:p>
        </w:tc>
        <w:tc>
          <w:tcPr>
            <w:tcW w:w="1218" w:type="dxa"/>
          </w:tcPr>
          <w:p>
            <w:pPr>
              <w:pStyle w:val="TableParagraph"/>
              <w:spacing w:line="275" w:lineRule="exact"/>
              <w:ind w:right="162"/>
              <w:jc w:val="right"/>
              <w:rPr>
                <w:sz w:val="24"/>
              </w:rPr>
            </w:pPr>
            <w:r>
              <w:rPr>
                <w:sz w:val="24"/>
              </w:rPr>
              <w:t>-,830</w:t>
            </w:r>
          </w:p>
        </w:tc>
        <w:tc>
          <w:tcPr>
            <w:tcW w:w="1222" w:type="dxa"/>
          </w:tcPr>
          <w:p>
            <w:pPr>
              <w:pStyle w:val="TableParagraph"/>
              <w:spacing w:line="275" w:lineRule="exact"/>
              <w:ind w:right="99"/>
              <w:jc w:val="right"/>
              <w:rPr>
                <w:sz w:val="24"/>
              </w:rPr>
            </w:pPr>
            <w:r>
              <w:rPr>
                <w:sz w:val="24"/>
              </w:rPr>
              <w:t>,108</w:t>
            </w:r>
          </w:p>
        </w:tc>
        <w:tc>
          <w:tcPr>
            <w:tcW w:w="1112" w:type="dxa"/>
          </w:tcPr>
          <w:p>
            <w:pPr>
              <w:pStyle w:val="TableParagraph"/>
              <w:spacing w:line="275" w:lineRule="exact"/>
              <w:ind w:right="160"/>
              <w:jc w:val="right"/>
              <w:rPr>
                <w:sz w:val="24"/>
              </w:rPr>
            </w:pPr>
            <w:r>
              <w:rPr>
                <w:sz w:val="24"/>
              </w:rPr>
              <w:t>-,317</w:t>
            </w:r>
          </w:p>
        </w:tc>
        <w:tc>
          <w:tcPr>
            <w:tcW w:w="1224" w:type="dxa"/>
          </w:tcPr>
          <w:p>
            <w:pPr>
              <w:pStyle w:val="TableParagraph"/>
              <w:spacing w:line="275" w:lineRule="exact"/>
              <w:ind w:right="99"/>
              <w:jc w:val="right"/>
              <w:rPr>
                <w:sz w:val="24"/>
              </w:rPr>
            </w:pPr>
            <w:r>
              <w:rPr>
                <w:sz w:val="24"/>
              </w:rPr>
              <w:t>,215</w:t>
            </w:r>
          </w:p>
        </w:tc>
      </w:tr>
      <w:tr>
        <w:trPr>
          <w:trHeight w:val="412" w:hRule="atLeast"/>
        </w:trPr>
        <w:tc>
          <w:tcPr>
            <w:tcW w:w="1457" w:type="dxa"/>
          </w:tcPr>
          <w:p>
            <w:pPr>
              <w:pStyle w:val="TableParagraph"/>
              <w:spacing w:line="275" w:lineRule="exact"/>
              <w:ind w:left="167"/>
              <w:rPr>
                <w:sz w:val="24"/>
              </w:rPr>
            </w:pPr>
            <w:r>
              <w:rPr>
                <w:sz w:val="24"/>
              </w:rPr>
              <w:t>CVDV7</w:t>
            </w:r>
          </w:p>
        </w:tc>
        <w:tc>
          <w:tcPr>
            <w:tcW w:w="891" w:type="dxa"/>
          </w:tcPr>
          <w:p>
            <w:pPr>
              <w:pStyle w:val="TableParagraph"/>
              <w:spacing w:line="275" w:lineRule="exact"/>
              <w:ind w:right="157"/>
              <w:jc w:val="right"/>
              <w:rPr>
                <w:sz w:val="24"/>
              </w:rPr>
            </w:pPr>
            <w:r>
              <w:rPr>
                <w:sz w:val="24"/>
              </w:rPr>
              <w:t>1</w:t>
            </w:r>
          </w:p>
        </w:tc>
        <w:tc>
          <w:tcPr>
            <w:tcW w:w="894" w:type="dxa"/>
          </w:tcPr>
          <w:p>
            <w:pPr>
              <w:pStyle w:val="TableParagraph"/>
              <w:spacing w:line="275" w:lineRule="exact"/>
              <w:ind w:right="157"/>
              <w:jc w:val="right"/>
              <w:rPr>
                <w:sz w:val="24"/>
              </w:rPr>
            </w:pPr>
            <w:r>
              <w:rPr>
                <w:sz w:val="24"/>
              </w:rPr>
              <w:t>5</w:t>
            </w:r>
          </w:p>
        </w:tc>
        <w:tc>
          <w:tcPr>
            <w:tcW w:w="992" w:type="dxa"/>
          </w:tcPr>
          <w:p>
            <w:pPr>
              <w:pStyle w:val="TableParagraph"/>
              <w:spacing w:line="275" w:lineRule="exact"/>
              <w:ind w:right="160"/>
              <w:jc w:val="right"/>
              <w:rPr>
                <w:sz w:val="24"/>
              </w:rPr>
            </w:pPr>
            <w:r>
              <w:rPr>
                <w:sz w:val="24"/>
              </w:rPr>
              <w:t>3,89</w:t>
            </w:r>
          </w:p>
        </w:tc>
        <w:tc>
          <w:tcPr>
            <w:tcW w:w="1218" w:type="dxa"/>
          </w:tcPr>
          <w:p>
            <w:pPr>
              <w:pStyle w:val="TableParagraph"/>
              <w:spacing w:line="275" w:lineRule="exact"/>
              <w:ind w:right="162"/>
              <w:jc w:val="right"/>
              <w:rPr>
                <w:sz w:val="24"/>
              </w:rPr>
            </w:pPr>
            <w:r>
              <w:rPr>
                <w:sz w:val="24"/>
              </w:rPr>
              <w:t>-1,132</w:t>
            </w:r>
          </w:p>
        </w:tc>
        <w:tc>
          <w:tcPr>
            <w:tcW w:w="1222" w:type="dxa"/>
          </w:tcPr>
          <w:p>
            <w:pPr>
              <w:pStyle w:val="TableParagraph"/>
              <w:spacing w:line="275" w:lineRule="exact"/>
              <w:ind w:right="99"/>
              <w:jc w:val="right"/>
              <w:rPr>
                <w:sz w:val="24"/>
              </w:rPr>
            </w:pPr>
            <w:r>
              <w:rPr>
                <w:sz w:val="24"/>
              </w:rPr>
              <w:t>,108</w:t>
            </w:r>
          </w:p>
        </w:tc>
        <w:tc>
          <w:tcPr>
            <w:tcW w:w="1112" w:type="dxa"/>
          </w:tcPr>
          <w:p>
            <w:pPr>
              <w:pStyle w:val="TableParagraph"/>
              <w:spacing w:line="275" w:lineRule="exact"/>
              <w:ind w:right="160"/>
              <w:jc w:val="right"/>
              <w:rPr>
                <w:sz w:val="24"/>
              </w:rPr>
            </w:pPr>
            <w:r>
              <w:rPr>
                <w:sz w:val="24"/>
              </w:rPr>
              <w:t>,579</w:t>
            </w:r>
          </w:p>
        </w:tc>
        <w:tc>
          <w:tcPr>
            <w:tcW w:w="1224" w:type="dxa"/>
          </w:tcPr>
          <w:p>
            <w:pPr>
              <w:pStyle w:val="TableParagraph"/>
              <w:spacing w:line="275" w:lineRule="exact"/>
              <w:ind w:right="99"/>
              <w:jc w:val="right"/>
              <w:rPr>
                <w:sz w:val="24"/>
              </w:rPr>
            </w:pPr>
            <w:r>
              <w:rPr>
                <w:sz w:val="24"/>
              </w:rPr>
              <w:t>,215</w:t>
            </w:r>
          </w:p>
        </w:tc>
      </w:tr>
      <w:tr>
        <w:trPr>
          <w:trHeight w:val="414" w:hRule="atLeast"/>
        </w:trPr>
        <w:tc>
          <w:tcPr>
            <w:tcW w:w="1457" w:type="dxa"/>
          </w:tcPr>
          <w:p>
            <w:pPr>
              <w:pStyle w:val="TableParagraph"/>
              <w:spacing w:before="1"/>
              <w:ind w:left="167"/>
              <w:rPr>
                <w:sz w:val="24"/>
              </w:rPr>
            </w:pPr>
            <w:r>
              <w:rPr>
                <w:sz w:val="24"/>
              </w:rPr>
              <w:t>CVDV8</w:t>
            </w:r>
          </w:p>
        </w:tc>
        <w:tc>
          <w:tcPr>
            <w:tcW w:w="891" w:type="dxa"/>
          </w:tcPr>
          <w:p>
            <w:pPr>
              <w:pStyle w:val="TableParagraph"/>
              <w:spacing w:before="1"/>
              <w:ind w:right="157"/>
              <w:jc w:val="right"/>
              <w:rPr>
                <w:sz w:val="24"/>
              </w:rPr>
            </w:pPr>
            <w:r>
              <w:rPr>
                <w:sz w:val="24"/>
              </w:rPr>
              <w:t>1</w:t>
            </w:r>
          </w:p>
        </w:tc>
        <w:tc>
          <w:tcPr>
            <w:tcW w:w="894" w:type="dxa"/>
          </w:tcPr>
          <w:p>
            <w:pPr>
              <w:pStyle w:val="TableParagraph"/>
              <w:spacing w:before="1"/>
              <w:ind w:right="157"/>
              <w:jc w:val="right"/>
              <w:rPr>
                <w:sz w:val="24"/>
              </w:rPr>
            </w:pPr>
            <w:r>
              <w:rPr>
                <w:sz w:val="24"/>
              </w:rPr>
              <w:t>5</w:t>
            </w:r>
          </w:p>
        </w:tc>
        <w:tc>
          <w:tcPr>
            <w:tcW w:w="992" w:type="dxa"/>
          </w:tcPr>
          <w:p>
            <w:pPr>
              <w:pStyle w:val="TableParagraph"/>
              <w:spacing w:before="1"/>
              <w:ind w:right="160"/>
              <w:jc w:val="right"/>
              <w:rPr>
                <w:sz w:val="24"/>
              </w:rPr>
            </w:pPr>
            <w:r>
              <w:rPr>
                <w:sz w:val="24"/>
              </w:rPr>
              <w:t>4,03</w:t>
            </w:r>
          </w:p>
        </w:tc>
        <w:tc>
          <w:tcPr>
            <w:tcW w:w="1218" w:type="dxa"/>
          </w:tcPr>
          <w:p>
            <w:pPr>
              <w:pStyle w:val="TableParagraph"/>
              <w:spacing w:before="1"/>
              <w:ind w:right="162"/>
              <w:jc w:val="right"/>
              <w:rPr>
                <w:sz w:val="24"/>
              </w:rPr>
            </w:pPr>
            <w:r>
              <w:rPr>
                <w:sz w:val="24"/>
              </w:rPr>
              <w:t>-1,095</w:t>
            </w:r>
          </w:p>
        </w:tc>
        <w:tc>
          <w:tcPr>
            <w:tcW w:w="1222" w:type="dxa"/>
          </w:tcPr>
          <w:p>
            <w:pPr>
              <w:pStyle w:val="TableParagraph"/>
              <w:spacing w:before="1"/>
              <w:ind w:right="99"/>
              <w:jc w:val="right"/>
              <w:rPr>
                <w:sz w:val="24"/>
              </w:rPr>
            </w:pPr>
            <w:r>
              <w:rPr>
                <w:sz w:val="24"/>
              </w:rPr>
              <w:t>,108</w:t>
            </w:r>
          </w:p>
        </w:tc>
        <w:tc>
          <w:tcPr>
            <w:tcW w:w="1112" w:type="dxa"/>
          </w:tcPr>
          <w:p>
            <w:pPr>
              <w:pStyle w:val="TableParagraph"/>
              <w:spacing w:before="1"/>
              <w:ind w:right="160"/>
              <w:jc w:val="right"/>
              <w:rPr>
                <w:sz w:val="24"/>
              </w:rPr>
            </w:pPr>
            <w:r>
              <w:rPr>
                <w:sz w:val="24"/>
              </w:rPr>
              <w:t>,622</w:t>
            </w:r>
          </w:p>
        </w:tc>
        <w:tc>
          <w:tcPr>
            <w:tcW w:w="1224" w:type="dxa"/>
          </w:tcPr>
          <w:p>
            <w:pPr>
              <w:pStyle w:val="TableParagraph"/>
              <w:spacing w:before="1"/>
              <w:ind w:right="99"/>
              <w:jc w:val="right"/>
              <w:rPr>
                <w:sz w:val="24"/>
              </w:rPr>
            </w:pPr>
            <w:r>
              <w:rPr>
                <w:sz w:val="24"/>
              </w:rPr>
              <w:t>,215</w:t>
            </w:r>
          </w:p>
        </w:tc>
      </w:tr>
      <w:tr>
        <w:trPr>
          <w:trHeight w:val="414" w:hRule="atLeast"/>
        </w:trPr>
        <w:tc>
          <w:tcPr>
            <w:tcW w:w="1457" w:type="dxa"/>
          </w:tcPr>
          <w:p>
            <w:pPr>
              <w:pStyle w:val="TableParagraph"/>
              <w:spacing w:line="275" w:lineRule="exact"/>
              <w:ind w:left="167"/>
              <w:rPr>
                <w:sz w:val="24"/>
              </w:rPr>
            </w:pPr>
            <w:r>
              <w:rPr>
                <w:sz w:val="24"/>
              </w:rPr>
              <w:t>CVDV9</w:t>
            </w:r>
          </w:p>
        </w:tc>
        <w:tc>
          <w:tcPr>
            <w:tcW w:w="891" w:type="dxa"/>
          </w:tcPr>
          <w:p>
            <w:pPr>
              <w:pStyle w:val="TableParagraph"/>
              <w:spacing w:line="275" w:lineRule="exact"/>
              <w:ind w:right="157"/>
              <w:jc w:val="right"/>
              <w:rPr>
                <w:sz w:val="24"/>
              </w:rPr>
            </w:pPr>
            <w:r>
              <w:rPr>
                <w:sz w:val="24"/>
              </w:rPr>
              <w:t>1</w:t>
            </w:r>
          </w:p>
        </w:tc>
        <w:tc>
          <w:tcPr>
            <w:tcW w:w="894" w:type="dxa"/>
          </w:tcPr>
          <w:p>
            <w:pPr>
              <w:pStyle w:val="TableParagraph"/>
              <w:spacing w:line="275" w:lineRule="exact"/>
              <w:ind w:right="157"/>
              <w:jc w:val="right"/>
              <w:rPr>
                <w:sz w:val="24"/>
              </w:rPr>
            </w:pPr>
            <w:r>
              <w:rPr>
                <w:sz w:val="24"/>
              </w:rPr>
              <w:t>5</w:t>
            </w:r>
          </w:p>
        </w:tc>
        <w:tc>
          <w:tcPr>
            <w:tcW w:w="992" w:type="dxa"/>
          </w:tcPr>
          <w:p>
            <w:pPr>
              <w:pStyle w:val="TableParagraph"/>
              <w:spacing w:line="275" w:lineRule="exact"/>
              <w:ind w:right="160"/>
              <w:jc w:val="right"/>
              <w:rPr>
                <w:sz w:val="24"/>
              </w:rPr>
            </w:pPr>
            <w:r>
              <w:rPr>
                <w:sz w:val="24"/>
              </w:rPr>
              <w:t>2,80</w:t>
            </w:r>
          </w:p>
        </w:tc>
        <w:tc>
          <w:tcPr>
            <w:tcW w:w="1218" w:type="dxa"/>
          </w:tcPr>
          <w:p>
            <w:pPr>
              <w:pStyle w:val="TableParagraph"/>
              <w:spacing w:line="275" w:lineRule="exact"/>
              <w:ind w:right="162"/>
              <w:jc w:val="right"/>
              <w:rPr>
                <w:sz w:val="24"/>
              </w:rPr>
            </w:pPr>
            <w:r>
              <w:rPr>
                <w:sz w:val="24"/>
              </w:rPr>
              <w:t>,113</w:t>
            </w:r>
          </w:p>
        </w:tc>
        <w:tc>
          <w:tcPr>
            <w:tcW w:w="1222" w:type="dxa"/>
          </w:tcPr>
          <w:p>
            <w:pPr>
              <w:pStyle w:val="TableParagraph"/>
              <w:spacing w:line="275" w:lineRule="exact"/>
              <w:ind w:right="99"/>
              <w:jc w:val="right"/>
              <w:rPr>
                <w:sz w:val="24"/>
              </w:rPr>
            </w:pPr>
            <w:r>
              <w:rPr>
                <w:sz w:val="24"/>
              </w:rPr>
              <w:t>,108</w:t>
            </w:r>
          </w:p>
        </w:tc>
        <w:tc>
          <w:tcPr>
            <w:tcW w:w="1112" w:type="dxa"/>
          </w:tcPr>
          <w:p>
            <w:pPr>
              <w:pStyle w:val="TableParagraph"/>
              <w:spacing w:line="275" w:lineRule="exact"/>
              <w:ind w:right="160"/>
              <w:jc w:val="right"/>
              <w:rPr>
                <w:sz w:val="24"/>
              </w:rPr>
            </w:pPr>
            <w:r>
              <w:rPr>
                <w:sz w:val="24"/>
              </w:rPr>
              <w:t>-1,569</w:t>
            </w:r>
          </w:p>
        </w:tc>
        <w:tc>
          <w:tcPr>
            <w:tcW w:w="1224" w:type="dxa"/>
          </w:tcPr>
          <w:p>
            <w:pPr>
              <w:pStyle w:val="TableParagraph"/>
              <w:spacing w:line="275" w:lineRule="exact"/>
              <w:ind w:right="99"/>
              <w:jc w:val="right"/>
              <w:rPr>
                <w:sz w:val="24"/>
              </w:rPr>
            </w:pPr>
            <w:r>
              <w:rPr>
                <w:sz w:val="24"/>
              </w:rPr>
              <w:t>,215</w:t>
            </w:r>
          </w:p>
        </w:tc>
      </w:tr>
      <w:tr>
        <w:trPr>
          <w:trHeight w:val="414" w:hRule="atLeast"/>
        </w:trPr>
        <w:tc>
          <w:tcPr>
            <w:tcW w:w="1457" w:type="dxa"/>
          </w:tcPr>
          <w:p>
            <w:pPr>
              <w:pStyle w:val="TableParagraph"/>
              <w:spacing w:line="275" w:lineRule="exact"/>
              <w:ind w:left="167"/>
              <w:rPr>
                <w:sz w:val="24"/>
              </w:rPr>
            </w:pPr>
            <w:r>
              <w:rPr>
                <w:sz w:val="24"/>
              </w:rPr>
              <w:t>CVDV10</w:t>
            </w:r>
          </w:p>
        </w:tc>
        <w:tc>
          <w:tcPr>
            <w:tcW w:w="891" w:type="dxa"/>
          </w:tcPr>
          <w:p>
            <w:pPr>
              <w:pStyle w:val="TableParagraph"/>
              <w:spacing w:line="275" w:lineRule="exact"/>
              <w:ind w:right="157"/>
              <w:jc w:val="right"/>
              <w:rPr>
                <w:sz w:val="24"/>
              </w:rPr>
            </w:pPr>
            <w:r>
              <w:rPr>
                <w:sz w:val="24"/>
              </w:rPr>
              <w:t>1</w:t>
            </w:r>
          </w:p>
        </w:tc>
        <w:tc>
          <w:tcPr>
            <w:tcW w:w="894" w:type="dxa"/>
          </w:tcPr>
          <w:p>
            <w:pPr>
              <w:pStyle w:val="TableParagraph"/>
              <w:spacing w:line="275" w:lineRule="exact"/>
              <w:ind w:right="157"/>
              <w:jc w:val="right"/>
              <w:rPr>
                <w:sz w:val="24"/>
              </w:rPr>
            </w:pPr>
            <w:r>
              <w:rPr>
                <w:sz w:val="24"/>
              </w:rPr>
              <w:t>5</w:t>
            </w:r>
          </w:p>
        </w:tc>
        <w:tc>
          <w:tcPr>
            <w:tcW w:w="992" w:type="dxa"/>
          </w:tcPr>
          <w:p>
            <w:pPr>
              <w:pStyle w:val="TableParagraph"/>
              <w:spacing w:line="275" w:lineRule="exact"/>
              <w:ind w:right="160"/>
              <w:jc w:val="right"/>
              <w:rPr>
                <w:sz w:val="24"/>
              </w:rPr>
            </w:pPr>
            <w:r>
              <w:rPr>
                <w:sz w:val="24"/>
              </w:rPr>
              <w:t>3,82</w:t>
            </w:r>
          </w:p>
        </w:tc>
        <w:tc>
          <w:tcPr>
            <w:tcW w:w="1218" w:type="dxa"/>
          </w:tcPr>
          <w:p>
            <w:pPr>
              <w:pStyle w:val="TableParagraph"/>
              <w:spacing w:line="275" w:lineRule="exact"/>
              <w:ind w:right="161"/>
              <w:jc w:val="right"/>
              <w:rPr>
                <w:sz w:val="24"/>
              </w:rPr>
            </w:pPr>
            <w:r>
              <w:rPr>
                <w:sz w:val="24"/>
              </w:rPr>
              <w:t>-,807</w:t>
            </w:r>
          </w:p>
        </w:tc>
        <w:tc>
          <w:tcPr>
            <w:tcW w:w="1222" w:type="dxa"/>
          </w:tcPr>
          <w:p>
            <w:pPr>
              <w:pStyle w:val="TableParagraph"/>
              <w:spacing w:line="275" w:lineRule="exact"/>
              <w:ind w:right="99"/>
              <w:jc w:val="right"/>
              <w:rPr>
                <w:sz w:val="24"/>
              </w:rPr>
            </w:pPr>
            <w:r>
              <w:rPr>
                <w:sz w:val="24"/>
              </w:rPr>
              <w:t>,108</w:t>
            </w:r>
          </w:p>
        </w:tc>
        <w:tc>
          <w:tcPr>
            <w:tcW w:w="1112" w:type="dxa"/>
          </w:tcPr>
          <w:p>
            <w:pPr>
              <w:pStyle w:val="TableParagraph"/>
              <w:spacing w:line="275" w:lineRule="exact"/>
              <w:ind w:right="160"/>
              <w:jc w:val="right"/>
              <w:rPr>
                <w:sz w:val="24"/>
              </w:rPr>
            </w:pPr>
            <w:r>
              <w:rPr>
                <w:sz w:val="24"/>
              </w:rPr>
              <w:t>-,239</w:t>
            </w:r>
          </w:p>
        </w:tc>
        <w:tc>
          <w:tcPr>
            <w:tcW w:w="1224" w:type="dxa"/>
          </w:tcPr>
          <w:p>
            <w:pPr>
              <w:pStyle w:val="TableParagraph"/>
              <w:spacing w:line="275" w:lineRule="exact"/>
              <w:ind w:right="99"/>
              <w:jc w:val="right"/>
              <w:rPr>
                <w:sz w:val="24"/>
              </w:rPr>
            </w:pPr>
            <w:r>
              <w:rPr>
                <w:sz w:val="24"/>
              </w:rPr>
              <w:t>,215</w:t>
            </w:r>
          </w:p>
        </w:tc>
      </w:tr>
    </w:tbl>
    <w:p>
      <w:pPr>
        <w:spacing w:after="0" w:line="275" w:lineRule="exact"/>
        <w:jc w:val="right"/>
        <w:rPr>
          <w:sz w:val="24"/>
        </w:rPr>
        <w:sectPr>
          <w:pgSz w:w="11910" w:h="16850"/>
          <w:pgMar w:header="751" w:footer="0" w:top="960" w:bottom="280" w:left="820" w:right="240"/>
        </w:sectPr>
      </w:pPr>
    </w:p>
    <w:p>
      <w:pPr>
        <w:pStyle w:val="BodyText"/>
        <w:rPr>
          <w:b/>
          <w:sz w:val="20"/>
        </w:rPr>
      </w:pPr>
    </w:p>
    <w:p>
      <w:pPr>
        <w:pStyle w:val="BodyText"/>
        <w:rPr>
          <w:b/>
          <w:sz w:val="20"/>
        </w:rPr>
      </w:pPr>
    </w:p>
    <w:p>
      <w:pPr>
        <w:pStyle w:val="BodyText"/>
        <w:spacing w:before="1"/>
        <w:rPr>
          <w:b/>
          <w:sz w:val="11"/>
        </w:rPr>
      </w:pPr>
    </w:p>
    <w:tbl>
      <w:tblPr>
        <w:tblW w:w="0" w:type="auto"/>
        <w:jc w:val="left"/>
        <w:tblInd w:w="77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1457"/>
        <w:gridCol w:w="891"/>
        <w:gridCol w:w="894"/>
        <w:gridCol w:w="992"/>
        <w:gridCol w:w="1218"/>
        <w:gridCol w:w="1222"/>
        <w:gridCol w:w="1112"/>
        <w:gridCol w:w="1224"/>
      </w:tblGrid>
      <w:tr>
        <w:trPr>
          <w:trHeight w:val="415" w:hRule="atLeast"/>
        </w:trPr>
        <w:tc>
          <w:tcPr>
            <w:tcW w:w="1457" w:type="dxa"/>
          </w:tcPr>
          <w:p>
            <w:pPr>
              <w:pStyle w:val="TableParagraph"/>
              <w:spacing w:line="275" w:lineRule="exact"/>
              <w:ind w:left="167"/>
              <w:rPr>
                <w:sz w:val="24"/>
              </w:rPr>
            </w:pPr>
            <w:r>
              <w:rPr>
                <w:sz w:val="24"/>
              </w:rPr>
              <w:t>HL1</w:t>
            </w:r>
          </w:p>
        </w:tc>
        <w:tc>
          <w:tcPr>
            <w:tcW w:w="891" w:type="dxa"/>
          </w:tcPr>
          <w:p>
            <w:pPr>
              <w:pStyle w:val="TableParagraph"/>
              <w:spacing w:line="275" w:lineRule="exact"/>
              <w:ind w:right="157"/>
              <w:jc w:val="right"/>
              <w:rPr>
                <w:sz w:val="24"/>
              </w:rPr>
            </w:pPr>
            <w:r>
              <w:rPr>
                <w:sz w:val="24"/>
              </w:rPr>
              <w:t>1</w:t>
            </w:r>
          </w:p>
        </w:tc>
        <w:tc>
          <w:tcPr>
            <w:tcW w:w="894" w:type="dxa"/>
          </w:tcPr>
          <w:p>
            <w:pPr>
              <w:pStyle w:val="TableParagraph"/>
              <w:spacing w:line="275" w:lineRule="exact"/>
              <w:ind w:right="157"/>
              <w:jc w:val="right"/>
              <w:rPr>
                <w:sz w:val="24"/>
              </w:rPr>
            </w:pPr>
            <w:r>
              <w:rPr>
                <w:sz w:val="24"/>
              </w:rPr>
              <w:t>5</w:t>
            </w:r>
          </w:p>
        </w:tc>
        <w:tc>
          <w:tcPr>
            <w:tcW w:w="992" w:type="dxa"/>
          </w:tcPr>
          <w:p>
            <w:pPr>
              <w:pStyle w:val="TableParagraph"/>
              <w:spacing w:line="275" w:lineRule="exact"/>
              <w:ind w:right="160"/>
              <w:jc w:val="right"/>
              <w:rPr>
                <w:sz w:val="24"/>
              </w:rPr>
            </w:pPr>
            <w:r>
              <w:rPr>
                <w:sz w:val="24"/>
              </w:rPr>
              <w:t>3,85</w:t>
            </w:r>
          </w:p>
        </w:tc>
        <w:tc>
          <w:tcPr>
            <w:tcW w:w="1218" w:type="dxa"/>
          </w:tcPr>
          <w:p>
            <w:pPr>
              <w:pStyle w:val="TableParagraph"/>
              <w:spacing w:line="275" w:lineRule="exact"/>
              <w:ind w:right="161"/>
              <w:jc w:val="right"/>
              <w:rPr>
                <w:sz w:val="24"/>
              </w:rPr>
            </w:pPr>
            <w:r>
              <w:rPr>
                <w:sz w:val="24"/>
              </w:rPr>
              <w:t>-1,169</w:t>
            </w:r>
          </w:p>
        </w:tc>
        <w:tc>
          <w:tcPr>
            <w:tcW w:w="1222" w:type="dxa"/>
          </w:tcPr>
          <w:p>
            <w:pPr>
              <w:pStyle w:val="TableParagraph"/>
              <w:spacing w:line="275" w:lineRule="exact"/>
              <w:ind w:right="99"/>
              <w:jc w:val="right"/>
              <w:rPr>
                <w:sz w:val="24"/>
              </w:rPr>
            </w:pPr>
            <w:r>
              <w:rPr>
                <w:sz w:val="24"/>
              </w:rPr>
              <w:t>,108</w:t>
            </w:r>
          </w:p>
        </w:tc>
        <w:tc>
          <w:tcPr>
            <w:tcW w:w="1112" w:type="dxa"/>
          </w:tcPr>
          <w:p>
            <w:pPr>
              <w:pStyle w:val="TableParagraph"/>
              <w:spacing w:line="275" w:lineRule="exact"/>
              <w:ind w:right="160"/>
              <w:jc w:val="right"/>
              <w:rPr>
                <w:sz w:val="24"/>
              </w:rPr>
            </w:pPr>
            <w:r>
              <w:rPr>
                <w:sz w:val="24"/>
              </w:rPr>
              <w:t>,258</w:t>
            </w:r>
          </w:p>
        </w:tc>
        <w:tc>
          <w:tcPr>
            <w:tcW w:w="1224" w:type="dxa"/>
          </w:tcPr>
          <w:p>
            <w:pPr>
              <w:pStyle w:val="TableParagraph"/>
              <w:spacing w:line="275" w:lineRule="exact"/>
              <w:ind w:right="99"/>
              <w:jc w:val="right"/>
              <w:rPr>
                <w:sz w:val="24"/>
              </w:rPr>
            </w:pPr>
            <w:r>
              <w:rPr>
                <w:sz w:val="24"/>
              </w:rPr>
              <w:t>,215</w:t>
            </w:r>
          </w:p>
        </w:tc>
      </w:tr>
      <w:tr>
        <w:trPr>
          <w:trHeight w:val="412" w:hRule="atLeast"/>
        </w:trPr>
        <w:tc>
          <w:tcPr>
            <w:tcW w:w="1457" w:type="dxa"/>
          </w:tcPr>
          <w:p>
            <w:pPr>
              <w:pStyle w:val="TableParagraph"/>
              <w:spacing w:line="275" w:lineRule="exact"/>
              <w:ind w:left="167"/>
              <w:rPr>
                <w:sz w:val="24"/>
              </w:rPr>
            </w:pPr>
            <w:r>
              <w:rPr>
                <w:sz w:val="24"/>
              </w:rPr>
              <w:t>HL2</w:t>
            </w:r>
          </w:p>
        </w:tc>
        <w:tc>
          <w:tcPr>
            <w:tcW w:w="891" w:type="dxa"/>
          </w:tcPr>
          <w:p>
            <w:pPr>
              <w:pStyle w:val="TableParagraph"/>
              <w:spacing w:line="275" w:lineRule="exact"/>
              <w:ind w:right="157"/>
              <w:jc w:val="right"/>
              <w:rPr>
                <w:sz w:val="24"/>
              </w:rPr>
            </w:pPr>
            <w:r>
              <w:rPr>
                <w:sz w:val="24"/>
              </w:rPr>
              <w:t>1</w:t>
            </w:r>
          </w:p>
        </w:tc>
        <w:tc>
          <w:tcPr>
            <w:tcW w:w="894" w:type="dxa"/>
          </w:tcPr>
          <w:p>
            <w:pPr>
              <w:pStyle w:val="TableParagraph"/>
              <w:spacing w:line="275" w:lineRule="exact"/>
              <w:ind w:right="157"/>
              <w:jc w:val="right"/>
              <w:rPr>
                <w:sz w:val="24"/>
              </w:rPr>
            </w:pPr>
            <w:r>
              <w:rPr>
                <w:sz w:val="24"/>
              </w:rPr>
              <w:t>5</w:t>
            </w:r>
          </w:p>
        </w:tc>
        <w:tc>
          <w:tcPr>
            <w:tcW w:w="992" w:type="dxa"/>
          </w:tcPr>
          <w:p>
            <w:pPr>
              <w:pStyle w:val="TableParagraph"/>
              <w:spacing w:line="275" w:lineRule="exact"/>
              <w:ind w:right="160"/>
              <w:jc w:val="right"/>
              <w:rPr>
                <w:sz w:val="24"/>
              </w:rPr>
            </w:pPr>
            <w:r>
              <w:rPr>
                <w:sz w:val="24"/>
              </w:rPr>
              <w:t>3,74</w:t>
            </w:r>
          </w:p>
        </w:tc>
        <w:tc>
          <w:tcPr>
            <w:tcW w:w="1218" w:type="dxa"/>
          </w:tcPr>
          <w:p>
            <w:pPr>
              <w:pStyle w:val="TableParagraph"/>
              <w:spacing w:line="275" w:lineRule="exact"/>
              <w:ind w:right="162"/>
              <w:jc w:val="right"/>
              <w:rPr>
                <w:sz w:val="24"/>
              </w:rPr>
            </w:pPr>
            <w:r>
              <w:rPr>
                <w:sz w:val="24"/>
              </w:rPr>
              <w:t>-1,024</w:t>
            </w:r>
          </w:p>
        </w:tc>
        <w:tc>
          <w:tcPr>
            <w:tcW w:w="1222" w:type="dxa"/>
          </w:tcPr>
          <w:p>
            <w:pPr>
              <w:pStyle w:val="TableParagraph"/>
              <w:spacing w:line="275" w:lineRule="exact"/>
              <w:ind w:right="99"/>
              <w:jc w:val="right"/>
              <w:rPr>
                <w:sz w:val="24"/>
              </w:rPr>
            </w:pPr>
            <w:r>
              <w:rPr>
                <w:sz w:val="24"/>
              </w:rPr>
              <w:t>,108</w:t>
            </w:r>
          </w:p>
        </w:tc>
        <w:tc>
          <w:tcPr>
            <w:tcW w:w="1112" w:type="dxa"/>
          </w:tcPr>
          <w:p>
            <w:pPr>
              <w:pStyle w:val="TableParagraph"/>
              <w:spacing w:line="275" w:lineRule="exact"/>
              <w:ind w:right="160"/>
              <w:jc w:val="right"/>
              <w:rPr>
                <w:sz w:val="24"/>
              </w:rPr>
            </w:pPr>
            <w:r>
              <w:rPr>
                <w:sz w:val="24"/>
              </w:rPr>
              <w:t>-,183</w:t>
            </w:r>
          </w:p>
        </w:tc>
        <w:tc>
          <w:tcPr>
            <w:tcW w:w="1224" w:type="dxa"/>
          </w:tcPr>
          <w:p>
            <w:pPr>
              <w:pStyle w:val="TableParagraph"/>
              <w:spacing w:line="275" w:lineRule="exact"/>
              <w:ind w:right="99"/>
              <w:jc w:val="right"/>
              <w:rPr>
                <w:sz w:val="24"/>
              </w:rPr>
            </w:pPr>
            <w:r>
              <w:rPr>
                <w:sz w:val="24"/>
              </w:rPr>
              <w:t>,215</w:t>
            </w:r>
          </w:p>
        </w:tc>
      </w:tr>
      <w:tr>
        <w:trPr>
          <w:trHeight w:val="414" w:hRule="atLeast"/>
        </w:trPr>
        <w:tc>
          <w:tcPr>
            <w:tcW w:w="1457" w:type="dxa"/>
          </w:tcPr>
          <w:p>
            <w:pPr>
              <w:pStyle w:val="TableParagraph"/>
              <w:spacing w:line="275" w:lineRule="exact"/>
              <w:ind w:left="167"/>
              <w:rPr>
                <w:sz w:val="24"/>
              </w:rPr>
            </w:pPr>
            <w:r>
              <w:rPr>
                <w:sz w:val="24"/>
              </w:rPr>
              <w:t>HL3</w:t>
            </w:r>
          </w:p>
        </w:tc>
        <w:tc>
          <w:tcPr>
            <w:tcW w:w="891" w:type="dxa"/>
          </w:tcPr>
          <w:p>
            <w:pPr>
              <w:pStyle w:val="TableParagraph"/>
              <w:spacing w:line="275" w:lineRule="exact"/>
              <w:ind w:right="157"/>
              <w:jc w:val="right"/>
              <w:rPr>
                <w:sz w:val="24"/>
              </w:rPr>
            </w:pPr>
            <w:r>
              <w:rPr>
                <w:sz w:val="24"/>
              </w:rPr>
              <w:t>1</w:t>
            </w:r>
          </w:p>
        </w:tc>
        <w:tc>
          <w:tcPr>
            <w:tcW w:w="894" w:type="dxa"/>
          </w:tcPr>
          <w:p>
            <w:pPr>
              <w:pStyle w:val="TableParagraph"/>
              <w:spacing w:line="275" w:lineRule="exact"/>
              <w:ind w:right="157"/>
              <w:jc w:val="right"/>
              <w:rPr>
                <w:sz w:val="24"/>
              </w:rPr>
            </w:pPr>
            <w:r>
              <w:rPr>
                <w:sz w:val="24"/>
              </w:rPr>
              <w:t>5</w:t>
            </w:r>
          </w:p>
        </w:tc>
        <w:tc>
          <w:tcPr>
            <w:tcW w:w="992" w:type="dxa"/>
          </w:tcPr>
          <w:p>
            <w:pPr>
              <w:pStyle w:val="TableParagraph"/>
              <w:spacing w:line="275" w:lineRule="exact"/>
              <w:ind w:right="160"/>
              <w:jc w:val="right"/>
              <w:rPr>
                <w:sz w:val="24"/>
              </w:rPr>
            </w:pPr>
            <w:r>
              <w:rPr>
                <w:sz w:val="24"/>
              </w:rPr>
              <w:t>3,80</w:t>
            </w:r>
          </w:p>
        </w:tc>
        <w:tc>
          <w:tcPr>
            <w:tcW w:w="1218" w:type="dxa"/>
          </w:tcPr>
          <w:p>
            <w:pPr>
              <w:pStyle w:val="TableParagraph"/>
              <w:spacing w:line="275" w:lineRule="exact"/>
              <w:ind w:right="161"/>
              <w:jc w:val="right"/>
              <w:rPr>
                <w:sz w:val="24"/>
              </w:rPr>
            </w:pPr>
            <w:r>
              <w:rPr>
                <w:sz w:val="24"/>
              </w:rPr>
              <w:t>-1,133</w:t>
            </w:r>
          </w:p>
        </w:tc>
        <w:tc>
          <w:tcPr>
            <w:tcW w:w="1222" w:type="dxa"/>
          </w:tcPr>
          <w:p>
            <w:pPr>
              <w:pStyle w:val="TableParagraph"/>
              <w:spacing w:line="275" w:lineRule="exact"/>
              <w:ind w:right="99"/>
              <w:jc w:val="right"/>
              <w:rPr>
                <w:sz w:val="24"/>
              </w:rPr>
            </w:pPr>
            <w:r>
              <w:rPr>
                <w:sz w:val="24"/>
              </w:rPr>
              <w:t>,108</w:t>
            </w:r>
          </w:p>
        </w:tc>
        <w:tc>
          <w:tcPr>
            <w:tcW w:w="1112" w:type="dxa"/>
          </w:tcPr>
          <w:p>
            <w:pPr>
              <w:pStyle w:val="TableParagraph"/>
              <w:spacing w:line="275" w:lineRule="exact"/>
              <w:ind w:right="160"/>
              <w:jc w:val="right"/>
              <w:rPr>
                <w:sz w:val="24"/>
              </w:rPr>
            </w:pPr>
            <w:r>
              <w:rPr>
                <w:sz w:val="24"/>
              </w:rPr>
              <w:t>,180</w:t>
            </w:r>
          </w:p>
        </w:tc>
        <w:tc>
          <w:tcPr>
            <w:tcW w:w="1224" w:type="dxa"/>
          </w:tcPr>
          <w:p>
            <w:pPr>
              <w:pStyle w:val="TableParagraph"/>
              <w:spacing w:line="275" w:lineRule="exact"/>
              <w:ind w:right="99"/>
              <w:jc w:val="right"/>
              <w:rPr>
                <w:sz w:val="24"/>
              </w:rPr>
            </w:pPr>
            <w:r>
              <w:rPr>
                <w:sz w:val="24"/>
              </w:rPr>
              <w:t>,215</w:t>
            </w:r>
          </w:p>
        </w:tc>
      </w:tr>
      <w:tr>
        <w:trPr>
          <w:trHeight w:val="414" w:hRule="atLeast"/>
        </w:trPr>
        <w:tc>
          <w:tcPr>
            <w:tcW w:w="1457" w:type="dxa"/>
          </w:tcPr>
          <w:p>
            <w:pPr>
              <w:pStyle w:val="TableParagraph"/>
              <w:spacing w:line="275" w:lineRule="exact"/>
              <w:ind w:left="167"/>
              <w:rPr>
                <w:sz w:val="24"/>
              </w:rPr>
            </w:pPr>
            <w:r>
              <w:rPr>
                <w:sz w:val="24"/>
              </w:rPr>
              <w:t>LI1</w:t>
            </w:r>
          </w:p>
        </w:tc>
        <w:tc>
          <w:tcPr>
            <w:tcW w:w="891" w:type="dxa"/>
          </w:tcPr>
          <w:p>
            <w:pPr>
              <w:pStyle w:val="TableParagraph"/>
              <w:spacing w:line="275" w:lineRule="exact"/>
              <w:ind w:right="157"/>
              <w:jc w:val="right"/>
              <w:rPr>
                <w:sz w:val="24"/>
              </w:rPr>
            </w:pPr>
            <w:r>
              <w:rPr>
                <w:sz w:val="24"/>
              </w:rPr>
              <w:t>1</w:t>
            </w:r>
          </w:p>
        </w:tc>
        <w:tc>
          <w:tcPr>
            <w:tcW w:w="894" w:type="dxa"/>
          </w:tcPr>
          <w:p>
            <w:pPr>
              <w:pStyle w:val="TableParagraph"/>
              <w:spacing w:line="275" w:lineRule="exact"/>
              <w:ind w:right="157"/>
              <w:jc w:val="right"/>
              <w:rPr>
                <w:sz w:val="24"/>
              </w:rPr>
            </w:pPr>
            <w:r>
              <w:rPr>
                <w:sz w:val="24"/>
              </w:rPr>
              <w:t>5</w:t>
            </w:r>
          </w:p>
        </w:tc>
        <w:tc>
          <w:tcPr>
            <w:tcW w:w="992" w:type="dxa"/>
          </w:tcPr>
          <w:p>
            <w:pPr>
              <w:pStyle w:val="TableParagraph"/>
              <w:spacing w:line="275" w:lineRule="exact"/>
              <w:ind w:right="160"/>
              <w:jc w:val="right"/>
              <w:rPr>
                <w:sz w:val="24"/>
              </w:rPr>
            </w:pPr>
            <w:r>
              <w:rPr>
                <w:sz w:val="24"/>
              </w:rPr>
              <w:t>3,82</w:t>
            </w:r>
          </w:p>
        </w:tc>
        <w:tc>
          <w:tcPr>
            <w:tcW w:w="1218" w:type="dxa"/>
          </w:tcPr>
          <w:p>
            <w:pPr>
              <w:pStyle w:val="TableParagraph"/>
              <w:spacing w:line="275" w:lineRule="exact"/>
              <w:ind w:right="162"/>
              <w:jc w:val="right"/>
              <w:rPr>
                <w:sz w:val="24"/>
              </w:rPr>
            </w:pPr>
            <w:r>
              <w:rPr>
                <w:sz w:val="24"/>
              </w:rPr>
              <w:t>,805</w:t>
            </w:r>
          </w:p>
        </w:tc>
        <w:tc>
          <w:tcPr>
            <w:tcW w:w="1222" w:type="dxa"/>
          </w:tcPr>
          <w:p>
            <w:pPr>
              <w:pStyle w:val="TableParagraph"/>
              <w:spacing w:line="275" w:lineRule="exact"/>
              <w:ind w:right="99"/>
              <w:jc w:val="right"/>
              <w:rPr>
                <w:sz w:val="24"/>
              </w:rPr>
            </w:pPr>
            <w:r>
              <w:rPr>
                <w:sz w:val="24"/>
              </w:rPr>
              <w:t>,108</w:t>
            </w:r>
          </w:p>
        </w:tc>
        <w:tc>
          <w:tcPr>
            <w:tcW w:w="1112" w:type="dxa"/>
          </w:tcPr>
          <w:p>
            <w:pPr>
              <w:pStyle w:val="TableParagraph"/>
              <w:spacing w:line="275" w:lineRule="exact"/>
              <w:ind w:right="160"/>
              <w:jc w:val="right"/>
              <w:rPr>
                <w:sz w:val="24"/>
              </w:rPr>
            </w:pPr>
            <w:r>
              <w:rPr>
                <w:sz w:val="24"/>
              </w:rPr>
              <w:t>-,043</w:t>
            </w:r>
          </w:p>
        </w:tc>
        <w:tc>
          <w:tcPr>
            <w:tcW w:w="1224" w:type="dxa"/>
          </w:tcPr>
          <w:p>
            <w:pPr>
              <w:pStyle w:val="TableParagraph"/>
              <w:spacing w:line="275" w:lineRule="exact"/>
              <w:ind w:right="99"/>
              <w:jc w:val="right"/>
              <w:rPr>
                <w:sz w:val="24"/>
              </w:rPr>
            </w:pPr>
            <w:r>
              <w:rPr>
                <w:sz w:val="24"/>
              </w:rPr>
              <w:t>,215</w:t>
            </w:r>
          </w:p>
        </w:tc>
      </w:tr>
      <w:tr>
        <w:trPr>
          <w:trHeight w:val="412" w:hRule="atLeast"/>
        </w:trPr>
        <w:tc>
          <w:tcPr>
            <w:tcW w:w="1457" w:type="dxa"/>
          </w:tcPr>
          <w:p>
            <w:pPr>
              <w:pStyle w:val="TableParagraph"/>
              <w:spacing w:line="275" w:lineRule="exact"/>
              <w:ind w:left="167"/>
              <w:rPr>
                <w:sz w:val="24"/>
              </w:rPr>
            </w:pPr>
            <w:r>
              <w:rPr>
                <w:sz w:val="24"/>
              </w:rPr>
              <w:t>LI2</w:t>
            </w:r>
          </w:p>
        </w:tc>
        <w:tc>
          <w:tcPr>
            <w:tcW w:w="891" w:type="dxa"/>
          </w:tcPr>
          <w:p>
            <w:pPr>
              <w:pStyle w:val="TableParagraph"/>
              <w:spacing w:line="275" w:lineRule="exact"/>
              <w:ind w:right="157"/>
              <w:jc w:val="right"/>
              <w:rPr>
                <w:sz w:val="24"/>
              </w:rPr>
            </w:pPr>
            <w:r>
              <w:rPr>
                <w:sz w:val="24"/>
              </w:rPr>
              <w:t>1</w:t>
            </w:r>
          </w:p>
        </w:tc>
        <w:tc>
          <w:tcPr>
            <w:tcW w:w="894" w:type="dxa"/>
          </w:tcPr>
          <w:p>
            <w:pPr>
              <w:pStyle w:val="TableParagraph"/>
              <w:spacing w:line="275" w:lineRule="exact"/>
              <w:ind w:right="157"/>
              <w:jc w:val="right"/>
              <w:rPr>
                <w:sz w:val="24"/>
              </w:rPr>
            </w:pPr>
            <w:r>
              <w:rPr>
                <w:sz w:val="24"/>
              </w:rPr>
              <w:t>5</w:t>
            </w:r>
          </w:p>
        </w:tc>
        <w:tc>
          <w:tcPr>
            <w:tcW w:w="992" w:type="dxa"/>
          </w:tcPr>
          <w:p>
            <w:pPr>
              <w:pStyle w:val="TableParagraph"/>
              <w:spacing w:line="275" w:lineRule="exact"/>
              <w:ind w:right="160"/>
              <w:jc w:val="right"/>
              <w:rPr>
                <w:sz w:val="24"/>
              </w:rPr>
            </w:pPr>
            <w:r>
              <w:rPr>
                <w:sz w:val="24"/>
              </w:rPr>
              <w:t>3,74</w:t>
            </w:r>
          </w:p>
        </w:tc>
        <w:tc>
          <w:tcPr>
            <w:tcW w:w="1218" w:type="dxa"/>
          </w:tcPr>
          <w:p>
            <w:pPr>
              <w:pStyle w:val="TableParagraph"/>
              <w:spacing w:line="275" w:lineRule="exact"/>
              <w:ind w:right="162"/>
              <w:jc w:val="right"/>
              <w:rPr>
                <w:sz w:val="24"/>
              </w:rPr>
            </w:pPr>
            <w:r>
              <w:rPr>
                <w:sz w:val="24"/>
              </w:rPr>
              <w:t>-,757</w:t>
            </w:r>
          </w:p>
        </w:tc>
        <w:tc>
          <w:tcPr>
            <w:tcW w:w="1222" w:type="dxa"/>
          </w:tcPr>
          <w:p>
            <w:pPr>
              <w:pStyle w:val="TableParagraph"/>
              <w:spacing w:line="275" w:lineRule="exact"/>
              <w:ind w:right="99"/>
              <w:jc w:val="right"/>
              <w:rPr>
                <w:sz w:val="24"/>
              </w:rPr>
            </w:pPr>
            <w:r>
              <w:rPr>
                <w:sz w:val="24"/>
              </w:rPr>
              <w:t>,108</w:t>
            </w:r>
          </w:p>
        </w:tc>
        <w:tc>
          <w:tcPr>
            <w:tcW w:w="1112" w:type="dxa"/>
          </w:tcPr>
          <w:p>
            <w:pPr>
              <w:pStyle w:val="TableParagraph"/>
              <w:spacing w:line="275" w:lineRule="exact"/>
              <w:ind w:right="160"/>
              <w:jc w:val="right"/>
              <w:rPr>
                <w:sz w:val="24"/>
              </w:rPr>
            </w:pPr>
            <w:r>
              <w:rPr>
                <w:sz w:val="24"/>
              </w:rPr>
              <w:t>-,364</w:t>
            </w:r>
          </w:p>
        </w:tc>
        <w:tc>
          <w:tcPr>
            <w:tcW w:w="1224" w:type="dxa"/>
          </w:tcPr>
          <w:p>
            <w:pPr>
              <w:pStyle w:val="TableParagraph"/>
              <w:spacing w:line="275" w:lineRule="exact"/>
              <w:ind w:right="99"/>
              <w:jc w:val="right"/>
              <w:rPr>
                <w:sz w:val="24"/>
              </w:rPr>
            </w:pPr>
            <w:r>
              <w:rPr>
                <w:sz w:val="24"/>
              </w:rPr>
              <w:t>,215</w:t>
            </w:r>
          </w:p>
        </w:tc>
      </w:tr>
      <w:tr>
        <w:trPr>
          <w:trHeight w:val="414" w:hRule="atLeast"/>
        </w:trPr>
        <w:tc>
          <w:tcPr>
            <w:tcW w:w="1457" w:type="dxa"/>
          </w:tcPr>
          <w:p>
            <w:pPr>
              <w:pStyle w:val="TableParagraph"/>
              <w:spacing w:line="275" w:lineRule="exact"/>
              <w:ind w:left="167"/>
              <w:rPr>
                <w:sz w:val="24"/>
              </w:rPr>
            </w:pPr>
            <w:r>
              <w:rPr>
                <w:sz w:val="24"/>
              </w:rPr>
              <w:t>LI3</w:t>
            </w:r>
          </w:p>
        </w:tc>
        <w:tc>
          <w:tcPr>
            <w:tcW w:w="891" w:type="dxa"/>
          </w:tcPr>
          <w:p>
            <w:pPr>
              <w:pStyle w:val="TableParagraph"/>
              <w:spacing w:line="275" w:lineRule="exact"/>
              <w:ind w:right="157"/>
              <w:jc w:val="right"/>
              <w:rPr>
                <w:sz w:val="24"/>
              </w:rPr>
            </w:pPr>
            <w:r>
              <w:rPr>
                <w:sz w:val="24"/>
              </w:rPr>
              <w:t>1</w:t>
            </w:r>
          </w:p>
        </w:tc>
        <w:tc>
          <w:tcPr>
            <w:tcW w:w="894" w:type="dxa"/>
          </w:tcPr>
          <w:p>
            <w:pPr>
              <w:pStyle w:val="TableParagraph"/>
              <w:spacing w:line="275" w:lineRule="exact"/>
              <w:ind w:right="157"/>
              <w:jc w:val="right"/>
              <w:rPr>
                <w:sz w:val="24"/>
              </w:rPr>
            </w:pPr>
            <w:r>
              <w:rPr>
                <w:sz w:val="24"/>
              </w:rPr>
              <w:t>5</w:t>
            </w:r>
          </w:p>
        </w:tc>
        <w:tc>
          <w:tcPr>
            <w:tcW w:w="992" w:type="dxa"/>
          </w:tcPr>
          <w:p>
            <w:pPr>
              <w:pStyle w:val="TableParagraph"/>
              <w:spacing w:line="275" w:lineRule="exact"/>
              <w:ind w:right="160"/>
              <w:jc w:val="right"/>
              <w:rPr>
                <w:sz w:val="24"/>
              </w:rPr>
            </w:pPr>
            <w:r>
              <w:rPr>
                <w:sz w:val="24"/>
              </w:rPr>
              <w:t>3,88</w:t>
            </w:r>
          </w:p>
        </w:tc>
        <w:tc>
          <w:tcPr>
            <w:tcW w:w="1218" w:type="dxa"/>
          </w:tcPr>
          <w:p>
            <w:pPr>
              <w:pStyle w:val="TableParagraph"/>
              <w:spacing w:line="275" w:lineRule="exact"/>
              <w:ind w:right="161"/>
              <w:jc w:val="right"/>
              <w:rPr>
                <w:sz w:val="24"/>
              </w:rPr>
            </w:pPr>
            <w:r>
              <w:rPr>
                <w:sz w:val="24"/>
              </w:rPr>
              <w:t>-1,057</w:t>
            </w:r>
          </w:p>
        </w:tc>
        <w:tc>
          <w:tcPr>
            <w:tcW w:w="1222" w:type="dxa"/>
          </w:tcPr>
          <w:p>
            <w:pPr>
              <w:pStyle w:val="TableParagraph"/>
              <w:spacing w:line="275" w:lineRule="exact"/>
              <w:ind w:right="99"/>
              <w:jc w:val="right"/>
              <w:rPr>
                <w:sz w:val="24"/>
              </w:rPr>
            </w:pPr>
            <w:r>
              <w:rPr>
                <w:sz w:val="24"/>
              </w:rPr>
              <w:t>,108</w:t>
            </w:r>
          </w:p>
        </w:tc>
        <w:tc>
          <w:tcPr>
            <w:tcW w:w="1112" w:type="dxa"/>
          </w:tcPr>
          <w:p>
            <w:pPr>
              <w:pStyle w:val="TableParagraph"/>
              <w:spacing w:line="275" w:lineRule="exact"/>
              <w:ind w:right="160"/>
              <w:jc w:val="right"/>
              <w:rPr>
                <w:sz w:val="24"/>
              </w:rPr>
            </w:pPr>
            <w:r>
              <w:rPr>
                <w:sz w:val="24"/>
              </w:rPr>
              <w:t>,275</w:t>
            </w:r>
          </w:p>
        </w:tc>
        <w:tc>
          <w:tcPr>
            <w:tcW w:w="1224" w:type="dxa"/>
          </w:tcPr>
          <w:p>
            <w:pPr>
              <w:pStyle w:val="TableParagraph"/>
              <w:spacing w:line="275" w:lineRule="exact"/>
              <w:ind w:right="99"/>
              <w:jc w:val="right"/>
              <w:rPr>
                <w:sz w:val="24"/>
              </w:rPr>
            </w:pPr>
            <w:r>
              <w:rPr>
                <w:sz w:val="24"/>
              </w:rPr>
              <w:t>,215</w:t>
            </w:r>
          </w:p>
        </w:tc>
      </w:tr>
    </w:tbl>
    <w:p>
      <w:pPr>
        <w:spacing w:before="2"/>
        <w:ind w:left="0" w:right="891" w:firstLine="0"/>
        <w:jc w:val="right"/>
        <w:rPr>
          <w:i/>
          <w:sz w:val="26"/>
        </w:rPr>
      </w:pPr>
      <w:r>
        <w:rPr>
          <w:i/>
          <w:sz w:val="26"/>
        </w:rPr>
        <w:t>Nguồn: Kết quả xử lý dữ liệu trong SPSS</w:t>
      </w:r>
    </w:p>
    <w:p>
      <w:pPr>
        <w:pStyle w:val="Heading6"/>
        <w:numPr>
          <w:ilvl w:val="2"/>
          <w:numId w:val="24"/>
        </w:numPr>
        <w:tabs>
          <w:tab w:pos="1466" w:val="left" w:leader="none"/>
        </w:tabs>
        <w:spacing w:line="240" w:lineRule="auto" w:before="150" w:after="0"/>
        <w:ind w:left="1465" w:right="0" w:hanging="584"/>
        <w:jc w:val="both"/>
      </w:pPr>
      <w:bookmarkStart w:name="_TOC_250020" w:id="36"/>
      <w:r>
        <w:rPr/>
        <w:t>Đánh giá độ tin cậy thang đo bằng phương pháp Cronbach’s</w:t>
      </w:r>
      <w:r>
        <w:rPr>
          <w:spacing w:val="-8"/>
        </w:rPr>
        <w:t> </w:t>
      </w:r>
      <w:bookmarkEnd w:id="36"/>
      <w:r>
        <w:rPr/>
        <w:t>Alpha</w:t>
      </w:r>
    </w:p>
    <w:p>
      <w:pPr>
        <w:pStyle w:val="BodyText"/>
        <w:spacing w:line="360" w:lineRule="auto" w:before="149"/>
        <w:ind w:left="882" w:right="888" w:firstLine="719"/>
        <w:jc w:val="both"/>
      </w:pPr>
      <w:r>
        <w:rPr/>
        <w:t>Độ tin cậy của các thang đo được chấp nhận khi hệ số Cronach’s Alpha &gt;6 trong đó các biến có hệ số tương quan biến tổng lớn hơn 0,3 (Hair và cộng sự, 2009; Nguyễn Đình Thọ, 2011). Khi phân tích EFA chung cho các thang đo khái niệm thì hệ số tải nhân tố mỗi biến không nhỏ hơn 0,5, và các biến không tạo nhóm sẽ loại bỏ (Nguyễn Đình Thọ (2011). Kết quả sau 7 lần chạy như sau (Phụ lục 6 mục</w:t>
      </w:r>
      <w:r>
        <w:rPr>
          <w:spacing w:val="-17"/>
        </w:rPr>
        <w:t> </w:t>
      </w:r>
      <w:r>
        <w:rPr/>
        <w:t>III)</w:t>
      </w:r>
    </w:p>
    <w:p>
      <w:pPr>
        <w:pStyle w:val="Heading6"/>
        <w:numPr>
          <w:ilvl w:val="3"/>
          <w:numId w:val="24"/>
        </w:numPr>
        <w:tabs>
          <w:tab w:pos="1602" w:val="left" w:leader="none"/>
        </w:tabs>
        <w:spacing w:line="240" w:lineRule="auto" w:before="0" w:after="0"/>
        <w:ind w:left="1602" w:right="0" w:hanging="361"/>
        <w:jc w:val="left"/>
      </w:pPr>
      <w:r>
        <w:rPr/>
        <w:t>Kiểm định KMO</w:t>
      </w:r>
    </w:p>
    <w:p>
      <w:pPr>
        <w:pStyle w:val="BodyText"/>
        <w:spacing w:line="360" w:lineRule="auto" w:before="150"/>
        <w:ind w:left="882" w:right="888" w:firstLine="359"/>
        <w:jc w:val="both"/>
      </w:pPr>
      <w:r>
        <w:rPr/>
        <w:t>Theo Hoàng Trọng và công sự (2007) thì “để tiến hành phân tích nhân tố khám phá thì dữ liệu thu được phải đáp ứng được các điều kiện qua kiểm định KMO và kiểm </w:t>
      </w:r>
      <w:r>
        <w:rPr>
          <w:position w:val="2"/>
        </w:rPr>
        <w:t>định Bartlett’s. Bartlett’s Test dùng để kiểm định giả thuyết H</w:t>
      </w:r>
      <w:r>
        <w:rPr>
          <w:sz w:val="17"/>
        </w:rPr>
        <w:t>0 </w:t>
      </w:r>
      <w:r>
        <w:rPr>
          <w:position w:val="2"/>
        </w:rPr>
        <w:t>là các biến không có </w:t>
      </w:r>
      <w:r>
        <w:rPr/>
        <w:t>tương quan với nhau trong tổng thể, tức ma trận tương quan tổng thể là một ma trận đơn vị, hệ số KMO dùng để kiểm tra xem kích thước mẫu có được có phù hợp với phân tích nhân tố hay không thì giá trị Sig. của Bartlett’s Test nhỏ hơn 0.05 cho phép </w:t>
      </w:r>
      <w:r>
        <w:rPr>
          <w:position w:val="2"/>
        </w:rPr>
        <w:t>bác bỏ giả thiết H</w:t>
      </w:r>
      <w:r>
        <w:rPr>
          <w:sz w:val="17"/>
        </w:rPr>
        <w:t>0 </w:t>
      </w:r>
      <w:r>
        <w:rPr>
          <w:position w:val="2"/>
        </w:rPr>
        <w:t>và giá trị 0,5 &lt; KMO &lt; 1 có nghĩa là phân tích nhân tố là thích </w:t>
      </w:r>
      <w:r>
        <w:rPr/>
        <w:t>hợp”. Khi kiểm định KMO cho kết quả ở bảng 4.6 bên dưới và Phụ lục 5 mục</w:t>
      </w:r>
      <w:r>
        <w:rPr>
          <w:spacing w:val="-14"/>
        </w:rPr>
        <w:t> </w:t>
      </w:r>
      <w:r>
        <w:rPr/>
        <w:t>III.</w:t>
      </w:r>
    </w:p>
    <w:p>
      <w:pPr>
        <w:pStyle w:val="Heading6"/>
        <w:spacing w:line="299" w:lineRule="exact"/>
        <w:ind w:left="3954"/>
      </w:pPr>
      <w:r>
        <w:rPr/>
        <w:t>Bảng 3.7 Kiểm định KMO</w:t>
      </w:r>
    </w:p>
    <w:p>
      <w:pPr>
        <w:pStyle w:val="BodyText"/>
        <w:spacing w:before="10"/>
        <w:rPr>
          <w:b/>
          <w:sz w:val="12"/>
        </w:rPr>
      </w:pPr>
    </w:p>
    <w:tbl>
      <w:tblPr>
        <w:tblW w:w="0" w:type="auto"/>
        <w:jc w:val="left"/>
        <w:tblInd w:w="77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3541"/>
        <w:gridCol w:w="3260"/>
        <w:gridCol w:w="2411"/>
      </w:tblGrid>
      <w:tr>
        <w:trPr>
          <w:trHeight w:val="448" w:hRule="atLeast"/>
        </w:trPr>
        <w:tc>
          <w:tcPr>
            <w:tcW w:w="9212" w:type="dxa"/>
            <w:gridSpan w:val="3"/>
          </w:tcPr>
          <w:p>
            <w:pPr>
              <w:pStyle w:val="TableParagraph"/>
              <w:spacing w:before="2"/>
              <w:ind w:left="-1"/>
              <w:rPr>
                <w:b/>
                <w:sz w:val="26"/>
              </w:rPr>
            </w:pPr>
            <w:r>
              <w:rPr>
                <w:b/>
                <w:sz w:val="26"/>
              </w:rPr>
              <w:t>KMO và Bartlett’s Test</w:t>
            </w:r>
          </w:p>
        </w:tc>
      </w:tr>
      <w:tr>
        <w:trPr>
          <w:trHeight w:val="477" w:hRule="atLeast"/>
        </w:trPr>
        <w:tc>
          <w:tcPr>
            <w:tcW w:w="6801" w:type="dxa"/>
            <w:gridSpan w:val="2"/>
          </w:tcPr>
          <w:p>
            <w:pPr>
              <w:pStyle w:val="TableParagraph"/>
              <w:spacing w:before="2"/>
              <w:ind w:left="107"/>
              <w:rPr>
                <w:sz w:val="26"/>
              </w:rPr>
            </w:pPr>
            <w:r>
              <w:rPr>
                <w:sz w:val="26"/>
              </w:rPr>
              <w:t>Trị số KMO (Kaiser-Meyer-Olkin of Sampling Adequacy)</w:t>
            </w:r>
          </w:p>
        </w:tc>
        <w:tc>
          <w:tcPr>
            <w:tcW w:w="2411" w:type="dxa"/>
          </w:tcPr>
          <w:p>
            <w:pPr>
              <w:pStyle w:val="TableParagraph"/>
              <w:spacing w:before="2"/>
              <w:ind w:left="140"/>
              <w:rPr>
                <w:sz w:val="26"/>
              </w:rPr>
            </w:pPr>
            <w:r>
              <w:rPr>
                <w:sz w:val="26"/>
              </w:rPr>
              <w:t>0,826</w:t>
            </w:r>
          </w:p>
        </w:tc>
      </w:tr>
      <w:tr>
        <w:trPr>
          <w:trHeight w:val="448" w:hRule="atLeast"/>
        </w:trPr>
        <w:tc>
          <w:tcPr>
            <w:tcW w:w="3541" w:type="dxa"/>
            <w:vMerge w:val="restart"/>
          </w:tcPr>
          <w:p>
            <w:pPr>
              <w:pStyle w:val="TableParagraph"/>
              <w:spacing w:line="360" w:lineRule="auto" w:before="2"/>
              <w:ind w:left="107"/>
              <w:rPr>
                <w:sz w:val="26"/>
              </w:rPr>
            </w:pPr>
            <w:r>
              <w:rPr>
                <w:sz w:val="26"/>
              </w:rPr>
              <w:t>Đại lượng thống kê Bartlett’s (Bartlett’s Test of Sphericity)</w:t>
            </w:r>
          </w:p>
        </w:tc>
        <w:tc>
          <w:tcPr>
            <w:tcW w:w="3260" w:type="dxa"/>
          </w:tcPr>
          <w:p>
            <w:pPr>
              <w:pStyle w:val="TableParagraph"/>
              <w:spacing w:before="2"/>
              <w:ind w:left="104"/>
              <w:rPr>
                <w:sz w:val="26"/>
              </w:rPr>
            </w:pPr>
            <w:r>
              <w:rPr>
                <w:sz w:val="26"/>
              </w:rPr>
              <w:t>Approx. Chi-Square</w:t>
            </w:r>
          </w:p>
        </w:tc>
        <w:tc>
          <w:tcPr>
            <w:tcW w:w="2411" w:type="dxa"/>
          </w:tcPr>
          <w:p>
            <w:pPr>
              <w:pStyle w:val="TableParagraph"/>
              <w:spacing w:before="2"/>
              <w:ind w:left="140"/>
              <w:rPr>
                <w:sz w:val="26"/>
              </w:rPr>
            </w:pPr>
            <w:r>
              <w:rPr>
                <w:sz w:val="26"/>
              </w:rPr>
              <w:t>9831,338</w:t>
            </w:r>
          </w:p>
        </w:tc>
      </w:tr>
      <w:tr>
        <w:trPr>
          <w:trHeight w:val="448" w:hRule="atLeast"/>
        </w:trPr>
        <w:tc>
          <w:tcPr>
            <w:tcW w:w="3541" w:type="dxa"/>
            <w:vMerge/>
            <w:tcBorders>
              <w:top w:val="nil"/>
            </w:tcBorders>
          </w:tcPr>
          <w:p>
            <w:pPr>
              <w:rPr>
                <w:sz w:val="2"/>
                <w:szCs w:val="2"/>
              </w:rPr>
            </w:pPr>
          </w:p>
        </w:tc>
        <w:tc>
          <w:tcPr>
            <w:tcW w:w="3260" w:type="dxa"/>
          </w:tcPr>
          <w:p>
            <w:pPr>
              <w:pStyle w:val="TableParagraph"/>
              <w:spacing w:before="2"/>
              <w:ind w:left="104"/>
              <w:rPr>
                <w:sz w:val="26"/>
              </w:rPr>
            </w:pPr>
            <w:r>
              <w:rPr>
                <w:sz w:val="26"/>
              </w:rPr>
              <w:t>Df</w:t>
            </w:r>
          </w:p>
        </w:tc>
        <w:tc>
          <w:tcPr>
            <w:tcW w:w="2411" w:type="dxa"/>
          </w:tcPr>
          <w:p>
            <w:pPr>
              <w:pStyle w:val="TableParagraph"/>
              <w:spacing w:before="2"/>
              <w:ind w:left="140"/>
              <w:rPr>
                <w:sz w:val="26"/>
              </w:rPr>
            </w:pPr>
            <w:r>
              <w:rPr>
                <w:sz w:val="26"/>
              </w:rPr>
              <w:t>861</w:t>
            </w:r>
          </w:p>
        </w:tc>
      </w:tr>
      <w:tr>
        <w:trPr>
          <w:trHeight w:val="462" w:hRule="atLeast"/>
        </w:trPr>
        <w:tc>
          <w:tcPr>
            <w:tcW w:w="3541" w:type="dxa"/>
            <w:vMerge/>
            <w:tcBorders>
              <w:top w:val="nil"/>
            </w:tcBorders>
          </w:tcPr>
          <w:p>
            <w:pPr>
              <w:rPr>
                <w:sz w:val="2"/>
                <w:szCs w:val="2"/>
              </w:rPr>
            </w:pPr>
          </w:p>
        </w:tc>
        <w:tc>
          <w:tcPr>
            <w:tcW w:w="3260" w:type="dxa"/>
          </w:tcPr>
          <w:p>
            <w:pPr>
              <w:pStyle w:val="TableParagraph"/>
              <w:spacing w:before="2"/>
              <w:ind w:left="104"/>
              <w:rPr>
                <w:sz w:val="26"/>
              </w:rPr>
            </w:pPr>
            <w:r>
              <w:rPr>
                <w:sz w:val="26"/>
              </w:rPr>
              <w:t>Sig.</w:t>
            </w:r>
          </w:p>
        </w:tc>
        <w:tc>
          <w:tcPr>
            <w:tcW w:w="2411" w:type="dxa"/>
          </w:tcPr>
          <w:p>
            <w:pPr>
              <w:pStyle w:val="TableParagraph"/>
              <w:spacing w:before="2"/>
              <w:ind w:left="106"/>
              <w:rPr>
                <w:sz w:val="26"/>
              </w:rPr>
            </w:pPr>
            <w:r>
              <w:rPr>
                <w:sz w:val="26"/>
              </w:rPr>
              <w:t>0,000</w:t>
            </w:r>
          </w:p>
        </w:tc>
      </w:tr>
    </w:tbl>
    <w:p>
      <w:pPr>
        <w:spacing w:before="2"/>
        <w:ind w:left="0" w:right="891" w:firstLine="0"/>
        <w:jc w:val="right"/>
        <w:rPr>
          <w:i/>
          <w:sz w:val="26"/>
        </w:rPr>
      </w:pPr>
      <w:r>
        <w:rPr>
          <w:i/>
          <w:sz w:val="26"/>
        </w:rPr>
        <w:t>Nguồn: Kết quả xử lý dữ liệu từ SPSS</w:t>
      </w:r>
    </w:p>
    <w:p>
      <w:pPr>
        <w:spacing w:after="0"/>
        <w:jc w:val="right"/>
        <w:rPr>
          <w:sz w:val="26"/>
        </w:rPr>
        <w:sectPr>
          <w:pgSz w:w="11910" w:h="16850"/>
          <w:pgMar w:header="751" w:footer="0" w:top="960" w:bottom="280" w:left="820" w:right="240"/>
        </w:sectPr>
      </w:pPr>
    </w:p>
    <w:p>
      <w:pPr>
        <w:pStyle w:val="BodyText"/>
        <w:rPr>
          <w:i/>
          <w:sz w:val="20"/>
        </w:rPr>
      </w:pPr>
    </w:p>
    <w:p>
      <w:pPr>
        <w:pStyle w:val="BodyText"/>
        <w:spacing w:before="7"/>
        <w:rPr>
          <w:i/>
          <w:sz w:val="23"/>
        </w:rPr>
      </w:pPr>
    </w:p>
    <w:p>
      <w:pPr>
        <w:pStyle w:val="BodyText"/>
        <w:spacing w:line="360" w:lineRule="auto" w:before="89"/>
        <w:ind w:left="882" w:right="891" w:firstLine="359"/>
        <w:jc w:val="both"/>
      </w:pPr>
      <w:r>
        <w:rPr/>
        <w:t>Theo kết quả kiểm định cho thấy rằng trị số KMO đạt 0,821 lớn hơn 0,5 và Sig của Bartlett’s Test là 0,000 nhỏ hơn 0.05 cho thấy rằng 42 quan sát này có tính tương quan với nhau và rất phù hợp cho phân tích nhân tố (EFA).</w:t>
      </w:r>
    </w:p>
    <w:p>
      <w:pPr>
        <w:pStyle w:val="Heading6"/>
        <w:numPr>
          <w:ilvl w:val="3"/>
          <w:numId w:val="24"/>
        </w:numPr>
        <w:tabs>
          <w:tab w:pos="1602" w:val="left" w:leader="none"/>
        </w:tabs>
        <w:spacing w:line="298" w:lineRule="exact" w:before="0" w:after="0"/>
        <w:ind w:left="1602" w:right="0" w:hanging="361"/>
        <w:jc w:val="both"/>
      </w:pPr>
      <w:r>
        <w:rPr/>
        <w:t>Độ tin</w:t>
      </w:r>
      <w:r>
        <w:rPr>
          <w:spacing w:val="-3"/>
        </w:rPr>
        <w:t> </w:t>
      </w:r>
      <w:r>
        <w:rPr/>
        <w:t>cậy</w:t>
      </w:r>
    </w:p>
    <w:p>
      <w:pPr>
        <w:pStyle w:val="BodyText"/>
        <w:spacing w:line="360" w:lineRule="auto" w:before="150"/>
        <w:ind w:left="882" w:right="891" w:firstLine="719"/>
        <w:jc w:val="both"/>
      </w:pPr>
      <w:r>
        <w:rPr/>
        <w:t>Sau khi thực hiện kiểm định EFA cho thang đo nhân tố, ta thấy có sự tập trung các quan sát theo từng nhân tố đã khá rõ ràng. Kết quả cũng cho thấy 6 nhóm nhân tố được rút trích giải thích được 54,791 % sự biến động của dữ liệu (&gt; 50%) và giá trị eigenvalues của các nhân tố đều lớn hơn 1, do đó sử dụng phương pháp phân tích nhân tố là phù hợp.</w:t>
      </w:r>
    </w:p>
    <w:p>
      <w:pPr>
        <w:pStyle w:val="BodyText"/>
        <w:spacing w:line="360" w:lineRule="auto" w:before="2"/>
        <w:ind w:left="882" w:right="891" w:firstLine="719"/>
        <w:jc w:val="both"/>
      </w:pPr>
      <w:r>
        <w:rPr/>
        <w:t>Như vậy đánh giá độ tin cậy của thang đo các thành phần được trích có Cronbach’s Alpha đều &gt; 0,6 và các hệ số tương quan biến tổng đều &gt; 0,5. Do vậy các thang đo đều đảm bảo về tính kiên định nội tại trong các tập biến quan sát để đo lường các khái niệm nghiên cứu. Bảng tổng hợp sự phù hợp này được thể hiện trong bảng 3.8 bên dưới và phụ lục 6 mục III</w:t>
      </w:r>
    </w:p>
    <w:p>
      <w:pPr>
        <w:pStyle w:val="Heading6"/>
        <w:spacing w:line="298" w:lineRule="exact"/>
        <w:ind w:left="1606"/>
      </w:pPr>
      <w:r>
        <w:rPr/>
        <w:t>Bảng 3.8 Đánh giá độ tin cậy thang đo của các thành phần khái niệm</w:t>
      </w:r>
    </w:p>
    <w:p>
      <w:pPr>
        <w:pStyle w:val="BodyText"/>
        <w:spacing w:before="9" w:after="1"/>
        <w:rPr>
          <w:b/>
          <w:sz w:val="12"/>
        </w:rPr>
      </w:pPr>
    </w:p>
    <w:tbl>
      <w:tblPr>
        <w:tblW w:w="0" w:type="auto"/>
        <w:jc w:val="left"/>
        <w:tblInd w:w="77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1550"/>
        <w:gridCol w:w="2031"/>
        <w:gridCol w:w="1942"/>
        <w:gridCol w:w="1428"/>
        <w:gridCol w:w="2055"/>
      </w:tblGrid>
      <w:tr>
        <w:trPr>
          <w:trHeight w:val="1346" w:hRule="atLeast"/>
        </w:trPr>
        <w:tc>
          <w:tcPr>
            <w:tcW w:w="1550" w:type="dxa"/>
          </w:tcPr>
          <w:p>
            <w:pPr>
              <w:pStyle w:val="TableParagraph"/>
              <w:spacing w:before="2"/>
              <w:ind w:left="316"/>
              <w:rPr>
                <w:b/>
                <w:sz w:val="26"/>
              </w:rPr>
            </w:pPr>
            <w:r>
              <w:rPr>
                <w:b/>
                <w:sz w:val="26"/>
              </w:rPr>
              <w:t>Mã biến</w:t>
            </w:r>
          </w:p>
        </w:tc>
        <w:tc>
          <w:tcPr>
            <w:tcW w:w="2031" w:type="dxa"/>
          </w:tcPr>
          <w:p>
            <w:pPr>
              <w:pStyle w:val="TableParagraph"/>
              <w:spacing w:before="2"/>
              <w:ind w:left="292" w:firstLine="84"/>
              <w:rPr>
                <w:b/>
                <w:sz w:val="26"/>
              </w:rPr>
            </w:pPr>
            <w:r>
              <w:rPr>
                <w:b/>
                <w:sz w:val="26"/>
              </w:rPr>
              <w:t>Trung bình</w:t>
            </w:r>
          </w:p>
          <w:p>
            <w:pPr>
              <w:pStyle w:val="TableParagraph"/>
              <w:spacing w:line="450" w:lineRule="atLeast"/>
              <w:ind w:left="542" w:right="264" w:hanging="250"/>
              <w:rPr>
                <w:b/>
                <w:sz w:val="26"/>
              </w:rPr>
            </w:pPr>
            <w:r>
              <w:rPr>
                <w:b/>
                <w:sz w:val="26"/>
              </w:rPr>
              <w:t>thang đo nếu loại biến</w:t>
            </w:r>
          </w:p>
        </w:tc>
        <w:tc>
          <w:tcPr>
            <w:tcW w:w="1942" w:type="dxa"/>
          </w:tcPr>
          <w:p>
            <w:pPr>
              <w:pStyle w:val="TableParagraph"/>
              <w:spacing w:before="2"/>
              <w:ind w:left="249" w:firstLine="98"/>
              <w:rPr>
                <w:b/>
                <w:sz w:val="26"/>
              </w:rPr>
            </w:pPr>
            <w:r>
              <w:rPr>
                <w:b/>
                <w:sz w:val="26"/>
              </w:rPr>
              <w:t>Phương sai</w:t>
            </w:r>
          </w:p>
          <w:p>
            <w:pPr>
              <w:pStyle w:val="TableParagraph"/>
              <w:spacing w:line="450" w:lineRule="atLeast"/>
              <w:ind w:left="496" w:right="219" w:hanging="248"/>
              <w:rPr>
                <w:b/>
                <w:sz w:val="26"/>
              </w:rPr>
            </w:pPr>
            <w:r>
              <w:rPr>
                <w:b/>
                <w:sz w:val="26"/>
              </w:rPr>
              <w:t>thang đo nếu loại biến</w:t>
            </w:r>
          </w:p>
        </w:tc>
        <w:tc>
          <w:tcPr>
            <w:tcW w:w="1428" w:type="dxa"/>
          </w:tcPr>
          <w:p>
            <w:pPr>
              <w:pStyle w:val="TableParagraph"/>
              <w:spacing w:before="2"/>
              <w:ind w:left="157" w:right="150"/>
              <w:jc w:val="center"/>
              <w:rPr>
                <w:b/>
                <w:sz w:val="26"/>
              </w:rPr>
            </w:pPr>
            <w:r>
              <w:rPr>
                <w:b/>
                <w:sz w:val="26"/>
              </w:rPr>
              <w:t>Tương</w:t>
            </w:r>
          </w:p>
          <w:p>
            <w:pPr>
              <w:pStyle w:val="TableParagraph"/>
              <w:spacing w:line="450" w:lineRule="atLeast"/>
              <w:ind w:left="160" w:right="150"/>
              <w:jc w:val="center"/>
              <w:rPr>
                <w:b/>
                <w:sz w:val="26"/>
              </w:rPr>
            </w:pPr>
            <w:r>
              <w:rPr>
                <w:b/>
                <w:sz w:val="26"/>
              </w:rPr>
              <w:t>quan biến tổng</w:t>
            </w:r>
          </w:p>
        </w:tc>
        <w:tc>
          <w:tcPr>
            <w:tcW w:w="2055" w:type="dxa"/>
          </w:tcPr>
          <w:p>
            <w:pPr>
              <w:pStyle w:val="TableParagraph"/>
              <w:spacing w:before="2"/>
              <w:ind w:left="218" w:firstLine="136"/>
              <w:rPr>
                <w:b/>
                <w:sz w:val="26"/>
              </w:rPr>
            </w:pPr>
            <w:r>
              <w:rPr>
                <w:b/>
                <w:sz w:val="26"/>
              </w:rPr>
              <w:t>Cronbach’S</w:t>
            </w:r>
          </w:p>
          <w:p>
            <w:pPr>
              <w:pStyle w:val="TableParagraph"/>
              <w:spacing w:line="450" w:lineRule="atLeast"/>
              <w:ind w:left="787" w:right="189" w:hanging="570"/>
              <w:rPr>
                <w:b/>
                <w:sz w:val="26"/>
              </w:rPr>
            </w:pPr>
            <w:r>
              <w:rPr>
                <w:b/>
                <w:sz w:val="26"/>
              </w:rPr>
              <w:t>Alpha nếu loại biến</w:t>
            </w:r>
          </w:p>
        </w:tc>
      </w:tr>
      <w:tr>
        <w:trPr>
          <w:trHeight w:val="894" w:hRule="atLeast"/>
        </w:trPr>
        <w:tc>
          <w:tcPr>
            <w:tcW w:w="9006" w:type="dxa"/>
            <w:gridSpan w:val="5"/>
          </w:tcPr>
          <w:p>
            <w:pPr>
              <w:pStyle w:val="TableParagraph"/>
              <w:spacing w:before="2"/>
              <w:ind w:left="107"/>
              <w:rPr>
                <w:b/>
                <w:sz w:val="26"/>
              </w:rPr>
            </w:pPr>
            <w:r>
              <w:rPr>
                <w:b/>
                <w:sz w:val="26"/>
              </w:rPr>
              <w:t>Thang đo thành phần 1: chất lượng dịch vụ Logistics cảng container,</w:t>
            </w:r>
          </w:p>
          <w:p>
            <w:pPr>
              <w:pStyle w:val="TableParagraph"/>
              <w:spacing w:before="149"/>
              <w:ind w:left="107"/>
              <w:rPr>
                <w:b/>
                <w:sz w:val="26"/>
              </w:rPr>
            </w:pPr>
            <w:r>
              <w:rPr>
                <w:b/>
                <w:sz w:val="26"/>
              </w:rPr>
              <w:t>Cronbach ‘s Alpha = 0,868</w:t>
            </w:r>
          </w:p>
        </w:tc>
      </w:tr>
      <w:tr>
        <w:trPr>
          <w:trHeight w:val="448" w:hRule="atLeast"/>
        </w:trPr>
        <w:tc>
          <w:tcPr>
            <w:tcW w:w="1550" w:type="dxa"/>
          </w:tcPr>
          <w:p>
            <w:pPr>
              <w:pStyle w:val="TableParagraph"/>
              <w:spacing w:before="4"/>
              <w:ind w:left="167"/>
              <w:rPr>
                <w:sz w:val="26"/>
              </w:rPr>
            </w:pPr>
            <w:r>
              <w:rPr>
                <w:sz w:val="26"/>
              </w:rPr>
              <w:t>CLDV1</w:t>
            </w:r>
          </w:p>
        </w:tc>
        <w:tc>
          <w:tcPr>
            <w:tcW w:w="2031" w:type="dxa"/>
          </w:tcPr>
          <w:p>
            <w:pPr>
              <w:pStyle w:val="TableParagraph"/>
              <w:spacing w:before="4"/>
              <w:ind w:right="158"/>
              <w:jc w:val="right"/>
              <w:rPr>
                <w:sz w:val="26"/>
              </w:rPr>
            </w:pPr>
            <w:r>
              <w:rPr>
                <w:w w:val="95"/>
                <w:sz w:val="26"/>
              </w:rPr>
              <w:t>23,66</w:t>
            </w:r>
          </w:p>
        </w:tc>
        <w:tc>
          <w:tcPr>
            <w:tcW w:w="1942" w:type="dxa"/>
          </w:tcPr>
          <w:p>
            <w:pPr>
              <w:pStyle w:val="TableParagraph"/>
              <w:spacing w:before="4"/>
              <w:ind w:right="158"/>
              <w:jc w:val="right"/>
              <w:rPr>
                <w:sz w:val="26"/>
              </w:rPr>
            </w:pPr>
            <w:r>
              <w:rPr>
                <w:w w:val="95"/>
                <w:sz w:val="26"/>
              </w:rPr>
              <w:t>23,373</w:t>
            </w:r>
          </w:p>
        </w:tc>
        <w:tc>
          <w:tcPr>
            <w:tcW w:w="1428" w:type="dxa"/>
          </w:tcPr>
          <w:p>
            <w:pPr>
              <w:pStyle w:val="TableParagraph"/>
              <w:spacing w:before="4"/>
              <w:ind w:right="158"/>
              <w:jc w:val="right"/>
              <w:rPr>
                <w:sz w:val="26"/>
              </w:rPr>
            </w:pPr>
            <w:r>
              <w:rPr>
                <w:w w:val="95"/>
                <w:sz w:val="26"/>
              </w:rPr>
              <w:t>0,709</w:t>
            </w:r>
          </w:p>
        </w:tc>
        <w:tc>
          <w:tcPr>
            <w:tcW w:w="2055" w:type="dxa"/>
          </w:tcPr>
          <w:p>
            <w:pPr>
              <w:pStyle w:val="TableParagraph"/>
              <w:spacing w:before="4"/>
              <w:ind w:right="158"/>
              <w:jc w:val="right"/>
              <w:rPr>
                <w:sz w:val="26"/>
              </w:rPr>
            </w:pPr>
            <w:r>
              <w:rPr>
                <w:w w:val="95"/>
                <w:sz w:val="26"/>
              </w:rPr>
              <w:t>0,841</w:t>
            </w:r>
          </w:p>
        </w:tc>
      </w:tr>
      <w:tr>
        <w:trPr>
          <w:trHeight w:val="448" w:hRule="atLeast"/>
        </w:trPr>
        <w:tc>
          <w:tcPr>
            <w:tcW w:w="1550" w:type="dxa"/>
          </w:tcPr>
          <w:p>
            <w:pPr>
              <w:pStyle w:val="TableParagraph"/>
              <w:spacing w:before="4"/>
              <w:ind w:left="167"/>
              <w:rPr>
                <w:sz w:val="26"/>
              </w:rPr>
            </w:pPr>
            <w:r>
              <w:rPr>
                <w:sz w:val="26"/>
              </w:rPr>
              <w:t>CLDV3</w:t>
            </w:r>
          </w:p>
        </w:tc>
        <w:tc>
          <w:tcPr>
            <w:tcW w:w="2031" w:type="dxa"/>
          </w:tcPr>
          <w:p>
            <w:pPr>
              <w:pStyle w:val="TableParagraph"/>
              <w:spacing w:before="4"/>
              <w:ind w:right="158"/>
              <w:jc w:val="right"/>
              <w:rPr>
                <w:sz w:val="26"/>
              </w:rPr>
            </w:pPr>
            <w:r>
              <w:rPr>
                <w:w w:val="95"/>
                <w:sz w:val="26"/>
              </w:rPr>
              <w:t>23,59</w:t>
            </w:r>
          </w:p>
        </w:tc>
        <w:tc>
          <w:tcPr>
            <w:tcW w:w="1942" w:type="dxa"/>
          </w:tcPr>
          <w:p>
            <w:pPr>
              <w:pStyle w:val="TableParagraph"/>
              <w:spacing w:before="4"/>
              <w:ind w:right="158"/>
              <w:jc w:val="right"/>
              <w:rPr>
                <w:sz w:val="26"/>
              </w:rPr>
            </w:pPr>
            <w:r>
              <w:rPr>
                <w:w w:val="95"/>
                <w:sz w:val="26"/>
              </w:rPr>
              <w:t>23,973</w:t>
            </w:r>
          </w:p>
        </w:tc>
        <w:tc>
          <w:tcPr>
            <w:tcW w:w="1428" w:type="dxa"/>
          </w:tcPr>
          <w:p>
            <w:pPr>
              <w:pStyle w:val="TableParagraph"/>
              <w:spacing w:before="4"/>
              <w:ind w:right="158"/>
              <w:jc w:val="right"/>
              <w:rPr>
                <w:sz w:val="26"/>
              </w:rPr>
            </w:pPr>
            <w:r>
              <w:rPr>
                <w:w w:val="95"/>
                <w:sz w:val="26"/>
              </w:rPr>
              <w:t>0,676</w:t>
            </w:r>
          </w:p>
        </w:tc>
        <w:tc>
          <w:tcPr>
            <w:tcW w:w="2055" w:type="dxa"/>
          </w:tcPr>
          <w:p>
            <w:pPr>
              <w:pStyle w:val="TableParagraph"/>
              <w:spacing w:before="4"/>
              <w:ind w:right="158"/>
              <w:jc w:val="right"/>
              <w:rPr>
                <w:sz w:val="26"/>
              </w:rPr>
            </w:pPr>
            <w:r>
              <w:rPr>
                <w:w w:val="95"/>
                <w:sz w:val="26"/>
              </w:rPr>
              <w:t>0,846</w:t>
            </w:r>
          </w:p>
        </w:tc>
      </w:tr>
      <w:tr>
        <w:trPr>
          <w:trHeight w:val="450" w:hRule="atLeast"/>
        </w:trPr>
        <w:tc>
          <w:tcPr>
            <w:tcW w:w="1550" w:type="dxa"/>
          </w:tcPr>
          <w:p>
            <w:pPr>
              <w:pStyle w:val="TableParagraph"/>
              <w:spacing w:before="4"/>
              <w:ind w:left="167"/>
              <w:rPr>
                <w:sz w:val="26"/>
              </w:rPr>
            </w:pPr>
            <w:r>
              <w:rPr>
                <w:sz w:val="26"/>
              </w:rPr>
              <w:t>CLDV4</w:t>
            </w:r>
          </w:p>
        </w:tc>
        <w:tc>
          <w:tcPr>
            <w:tcW w:w="2031" w:type="dxa"/>
          </w:tcPr>
          <w:p>
            <w:pPr>
              <w:pStyle w:val="TableParagraph"/>
              <w:spacing w:before="4"/>
              <w:ind w:right="158"/>
              <w:jc w:val="right"/>
              <w:rPr>
                <w:sz w:val="26"/>
              </w:rPr>
            </w:pPr>
            <w:r>
              <w:rPr>
                <w:w w:val="95"/>
                <w:sz w:val="26"/>
              </w:rPr>
              <w:t>23,60</w:t>
            </w:r>
          </w:p>
        </w:tc>
        <w:tc>
          <w:tcPr>
            <w:tcW w:w="1942" w:type="dxa"/>
          </w:tcPr>
          <w:p>
            <w:pPr>
              <w:pStyle w:val="TableParagraph"/>
              <w:spacing w:before="4"/>
              <w:ind w:right="158"/>
              <w:jc w:val="right"/>
              <w:rPr>
                <w:sz w:val="26"/>
              </w:rPr>
            </w:pPr>
            <w:r>
              <w:rPr>
                <w:w w:val="95"/>
                <w:sz w:val="26"/>
              </w:rPr>
              <w:t>23,455</w:t>
            </w:r>
          </w:p>
        </w:tc>
        <w:tc>
          <w:tcPr>
            <w:tcW w:w="1428" w:type="dxa"/>
          </w:tcPr>
          <w:p>
            <w:pPr>
              <w:pStyle w:val="TableParagraph"/>
              <w:spacing w:before="4"/>
              <w:ind w:right="158"/>
              <w:jc w:val="right"/>
              <w:rPr>
                <w:sz w:val="26"/>
              </w:rPr>
            </w:pPr>
            <w:r>
              <w:rPr>
                <w:w w:val="95"/>
                <w:sz w:val="26"/>
              </w:rPr>
              <w:t>0,713</w:t>
            </w:r>
          </w:p>
        </w:tc>
        <w:tc>
          <w:tcPr>
            <w:tcW w:w="2055" w:type="dxa"/>
          </w:tcPr>
          <w:p>
            <w:pPr>
              <w:pStyle w:val="TableParagraph"/>
              <w:spacing w:before="4"/>
              <w:ind w:right="158"/>
              <w:jc w:val="right"/>
              <w:rPr>
                <w:sz w:val="26"/>
              </w:rPr>
            </w:pPr>
            <w:r>
              <w:rPr>
                <w:w w:val="95"/>
                <w:sz w:val="26"/>
              </w:rPr>
              <w:t>0,841</w:t>
            </w:r>
          </w:p>
        </w:tc>
      </w:tr>
      <w:tr>
        <w:trPr>
          <w:trHeight w:val="448" w:hRule="atLeast"/>
        </w:trPr>
        <w:tc>
          <w:tcPr>
            <w:tcW w:w="1550" w:type="dxa"/>
          </w:tcPr>
          <w:p>
            <w:pPr>
              <w:pStyle w:val="TableParagraph"/>
              <w:spacing w:before="2"/>
              <w:ind w:left="167"/>
              <w:rPr>
                <w:sz w:val="26"/>
              </w:rPr>
            </w:pPr>
            <w:r>
              <w:rPr>
                <w:sz w:val="26"/>
              </w:rPr>
              <w:t>CLDV6</w:t>
            </w:r>
          </w:p>
        </w:tc>
        <w:tc>
          <w:tcPr>
            <w:tcW w:w="2031" w:type="dxa"/>
          </w:tcPr>
          <w:p>
            <w:pPr>
              <w:pStyle w:val="TableParagraph"/>
              <w:spacing w:before="2"/>
              <w:ind w:right="158"/>
              <w:jc w:val="right"/>
              <w:rPr>
                <w:sz w:val="26"/>
              </w:rPr>
            </w:pPr>
            <w:r>
              <w:rPr>
                <w:w w:val="95"/>
                <w:sz w:val="26"/>
              </w:rPr>
              <w:t>23,95</w:t>
            </w:r>
          </w:p>
        </w:tc>
        <w:tc>
          <w:tcPr>
            <w:tcW w:w="1942" w:type="dxa"/>
          </w:tcPr>
          <w:p>
            <w:pPr>
              <w:pStyle w:val="TableParagraph"/>
              <w:spacing w:before="2"/>
              <w:ind w:right="158"/>
              <w:jc w:val="right"/>
              <w:rPr>
                <w:sz w:val="26"/>
              </w:rPr>
            </w:pPr>
            <w:r>
              <w:rPr>
                <w:w w:val="95"/>
                <w:sz w:val="26"/>
              </w:rPr>
              <w:t>23,368</w:t>
            </w:r>
          </w:p>
        </w:tc>
        <w:tc>
          <w:tcPr>
            <w:tcW w:w="1428" w:type="dxa"/>
          </w:tcPr>
          <w:p>
            <w:pPr>
              <w:pStyle w:val="TableParagraph"/>
              <w:spacing w:before="2"/>
              <w:ind w:right="158"/>
              <w:jc w:val="right"/>
              <w:rPr>
                <w:sz w:val="26"/>
              </w:rPr>
            </w:pPr>
            <w:r>
              <w:rPr>
                <w:w w:val="95"/>
                <w:sz w:val="26"/>
              </w:rPr>
              <w:t>0,568</w:t>
            </w:r>
          </w:p>
        </w:tc>
        <w:tc>
          <w:tcPr>
            <w:tcW w:w="2055" w:type="dxa"/>
          </w:tcPr>
          <w:p>
            <w:pPr>
              <w:pStyle w:val="TableParagraph"/>
              <w:spacing w:before="2"/>
              <w:ind w:right="158"/>
              <w:jc w:val="right"/>
              <w:rPr>
                <w:sz w:val="26"/>
              </w:rPr>
            </w:pPr>
            <w:r>
              <w:rPr>
                <w:w w:val="95"/>
                <w:sz w:val="26"/>
              </w:rPr>
              <w:t>0,862</w:t>
            </w:r>
          </w:p>
        </w:tc>
      </w:tr>
      <w:tr>
        <w:trPr>
          <w:trHeight w:val="448" w:hRule="atLeast"/>
        </w:trPr>
        <w:tc>
          <w:tcPr>
            <w:tcW w:w="1550" w:type="dxa"/>
          </w:tcPr>
          <w:p>
            <w:pPr>
              <w:pStyle w:val="TableParagraph"/>
              <w:spacing w:before="2"/>
              <w:ind w:left="167"/>
              <w:rPr>
                <w:sz w:val="26"/>
              </w:rPr>
            </w:pPr>
            <w:r>
              <w:rPr>
                <w:sz w:val="26"/>
              </w:rPr>
              <w:t>CLDV7</w:t>
            </w:r>
          </w:p>
        </w:tc>
        <w:tc>
          <w:tcPr>
            <w:tcW w:w="2031" w:type="dxa"/>
          </w:tcPr>
          <w:p>
            <w:pPr>
              <w:pStyle w:val="TableParagraph"/>
              <w:spacing w:before="2"/>
              <w:ind w:right="158"/>
              <w:jc w:val="right"/>
              <w:rPr>
                <w:sz w:val="26"/>
              </w:rPr>
            </w:pPr>
            <w:r>
              <w:rPr>
                <w:w w:val="95"/>
                <w:sz w:val="26"/>
              </w:rPr>
              <w:t>23,80</w:t>
            </w:r>
          </w:p>
        </w:tc>
        <w:tc>
          <w:tcPr>
            <w:tcW w:w="1942" w:type="dxa"/>
          </w:tcPr>
          <w:p>
            <w:pPr>
              <w:pStyle w:val="TableParagraph"/>
              <w:spacing w:before="2"/>
              <w:ind w:right="158"/>
              <w:jc w:val="right"/>
              <w:rPr>
                <w:sz w:val="26"/>
              </w:rPr>
            </w:pPr>
            <w:r>
              <w:rPr>
                <w:w w:val="95"/>
                <w:sz w:val="26"/>
              </w:rPr>
              <w:t>22,907</w:t>
            </w:r>
          </w:p>
        </w:tc>
        <w:tc>
          <w:tcPr>
            <w:tcW w:w="1428" w:type="dxa"/>
          </w:tcPr>
          <w:p>
            <w:pPr>
              <w:pStyle w:val="TableParagraph"/>
              <w:spacing w:before="2"/>
              <w:ind w:right="158"/>
              <w:jc w:val="right"/>
              <w:rPr>
                <w:sz w:val="26"/>
              </w:rPr>
            </w:pPr>
            <w:r>
              <w:rPr>
                <w:w w:val="95"/>
                <w:sz w:val="26"/>
              </w:rPr>
              <w:t>0,691</w:t>
            </w:r>
          </w:p>
        </w:tc>
        <w:tc>
          <w:tcPr>
            <w:tcW w:w="2055" w:type="dxa"/>
          </w:tcPr>
          <w:p>
            <w:pPr>
              <w:pStyle w:val="TableParagraph"/>
              <w:spacing w:before="2"/>
              <w:ind w:right="158"/>
              <w:jc w:val="right"/>
              <w:rPr>
                <w:sz w:val="26"/>
              </w:rPr>
            </w:pPr>
            <w:r>
              <w:rPr>
                <w:w w:val="95"/>
                <w:sz w:val="26"/>
              </w:rPr>
              <w:t>0,843</w:t>
            </w:r>
          </w:p>
        </w:tc>
      </w:tr>
      <w:tr>
        <w:trPr>
          <w:trHeight w:val="448" w:hRule="atLeast"/>
        </w:trPr>
        <w:tc>
          <w:tcPr>
            <w:tcW w:w="1550" w:type="dxa"/>
          </w:tcPr>
          <w:p>
            <w:pPr>
              <w:pStyle w:val="TableParagraph"/>
              <w:spacing w:before="2"/>
              <w:ind w:left="167"/>
              <w:rPr>
                <w:sz w:val="26"/>
              </w:rPr>
            </w:pPr>
            <w:r>
              <w:rPr>
                <w:sz w:val="26"/>
              </w:rPr>
              <w:t>CLDV8</w:t>
            </w:r>
          </w:p>
        </w:tc>
        <w:tc>
          <w:tcPr>
            <w:tcW w:w="2031" w:type="dxa"/>
          </w:tcPr>
          <w:p>
            <w:pPr>
              <w:pStyle w:val="TableParagraph"/>
              <w:spacing w:before="2"/>
              <w:ind w:right="158"/>
              <w:jc w:val="right"/>
              <w:rPr>
                <w:sz w:val="26"/>
              </w:rPr>
            </w:pPr>
            <w:r>
              <w:rPr>
                <w:w w:val="95"/>
                <w:sz w:val="26"/>
              </w:rPr>
              <w:t>23,66</w:t>
            </w:r>
          </w:p>
        </w:tc>
        <w:tc>
          <w:tcPr>
            <w:tcW w:w="1942" w:type="dxa"/>
          </w:tcPr>
          <w:p>
            <w:pPr>
              <w:pStyle w:val="TableParagraph"/>
              <w:spacing w:before="2"/>
              <w:ind w:right="158"/>
              <w:jc w:val="right"/>
              <w:rPr>
                <w:sz w:val="26"/>
              </w:rPr>
            </w:pPr>
            <w:r>
              <w:rPr>
                <w:w w:val="95"/>
                <w:sz w:val="26"/>
              </w:rPr>
              <w:t>23,638</w:t>
            </w:r>
          </w:p>
        </w:tc>
        <w:tc>
          <w:tcPr>
            <w:tcW w:w="1428" w:type="dxa"/>
          </w:tcPr>
          <w:p>
            <w:pPr>
              <w:pStyle w:val="TableParagraph"/>
              <w:spacing w:before="2"/>
              <w:ind w:right="158"/>
              <w:jc w:val="right"/>
              <w:rPr>
                <w:sz w:val="26"/>
              </w:rPr>
            </w:pPr>
            <w:r>
              <w:rPr>
                <w:w w:val="95"/>
                <w:sz w:val="26"/>
              </w:rPr>
              <w:t>0,707</w:t>
            </w:r>
          </w:p>
        </w:tc>
        <w:tc>
          <w:tcPr>
            <w:tcW w:w="2055" w:type="dxa"/>
          </w:tcPr>
          <w:p>
            <w:pPr>
              <w:pStyle w:val="TableParagraph"/>
              <w:spacing w:before="2"/>
              <w:ind w:right="158"/>
              <w:jc w:val="right"/>
              <w:rPr>
                <w:sz w:val="26"/>
              </w:rPr>
            </w:pPr>
            <w:r>
              <w:rPr>
                <w:w w:val="95"/>
                <w:sz w:val="26"/>
              </w:rPr>
              <w:t>0,842</w:t>
            </w:r>
          </w:p>
        </w:tc>
      </w:tr>
      <w:tr>
        <w:trPr>
          <w:trHeight w:val="448" w:hRule="atLeast"/>
        </w:trPr>
        <w:tc>
          <w:tcPr>
            <w:tcW w:w="1550" w:type="dxa"/>
          </w:tcPr>
          <w:p>
            <w:pPr>
              <w:pStyle w:val="TableParagraph"/>
              <w:spacing w:before="2"/>
              <w:ind w:left="167"/>
              <w:rPr>
                <w:sz w:val="26"/>
              </w:rPr>
            </w:pPr>
            <w:r>
              <w:rPr>
                <w:sz w:val="26"/>
              </w:rPr>
              <w:t>CLDV10</w:t>
            </w:r>
          </w:p>
        </w:tc>
        <w:tc>
          <w:tcPr>
            <w:tcW w:w="2031" w:type="dxa"/>
          </w:tcPr>
          <w:p>
            <w:pPr>
              <w:pStyle w:val="TableParagraph"/>
              <w:spacing w:before="2"/>
              <w:ind w:right="158"/>
              <w:jc w:val="right"/>
              <w:rPr>
                <w:sz w:val="26"/>
              </w:rPr>
            </w:pPr>
            <w:r>
              <w:rPr>
                <w:w w:val="95"/>
                <w:sz w:val="26"/>
              </w:rPr>
              <w:t>23,88</w:t>
            </w:r>
          </w:p>
        </w:tc>
        <w:tc>
          <w:tcPr>
            <w:tcW w:w="1942" w:type="dxa"/>
          </w:tcPr>
          <w:p>
            <w:pPr>
              <w:pStyle w:val="TableParagraph"/>
              <w:spacing w:before="2"/>
              <w:ind w:right="158"/>
              <w:jc w:val="right"/>
              <w:rPr>
                <w:sz w:val="26"/>
              </w:rPr>
            </w:pPr>
            <w:r>
              <w:rPr>
                <w:w w:val="95"/>
                <w:sz w:val="26"/>
              </w:rPr>
              <w:t>24,998</w:t>
            </w:r>
          </w:p>
        </w:tc>
        <w:tc>
          <w:tcPr>
            <w:tcW w:w="1428" w:type="dxa"/>
          </w:tcPr>
          <w:p>
            <w:pPr>
              <w:pStyle w:val="TableParagraph"/>
              <w:spacing w:before="2"/>
              <w:ind w:right="158"/>
              <w:jc w:val="right"/>
              <w:rPr>
                <w:sz w:val="26"/>
              </w:rPr>
            </w:pPr>
            <w:r>
              <w:rPr>
                <w:w w:val="95"/>
                <w:sz w:val="26"/>
              </w:rPr>
              <w:t>0,475</w:t>
            </w:r>
          </w:p>
        </w:tc>
        <w:tc>
          <w:tcPr>
            <w:tcW w:w="2055" w:type="dxa"/>
          </w:tcPr>
          <w:p>
            <w:pPr>
              <w:pStyle w:val="TableParagraph"/>
              <w:spacing w:before="2"/>
              <w:ind w:right="158"/>
              <w:jc w:val="right"/>
              <w:rPr>
                <w:sz w:val="26"/>
              </w:rPr>
            </w:pPr>
            <w:r>
              <w:rPr>
                <w:w w:val="95"/>
                <w:sz w:val="26"/>
              </w:rPr>
              <w:t>0,873</w:t>
            </w:r>
          </w:p>
        </w:tc>
      </w:tr>
      <w:tr>
        <w:trPr>
          <w:trHeight w:val="894" w:hRule="atLeast"/>
        </w:trPr>
        <w:tc>
          <w:tcPr>
            <w:tcW w:w="9006" w:type="dxa"/>
            <w:gridSpan w:val="5"/>
          </w:tcPr>
          <w:p>
            <w:pPr>
              <w:pStyle w:val="TableParagraph"/>
              <w:spacing w:before="2"/>
              <w:ind w:left="107"/>
              <w:rPr>
                <w:b/>
                <w:sz w:val="26"/>
              </w:rPr>
            </w:pPr>
            <w:r>
              <w:rPr>
                <w:b/>
                <w:sz w:val="26"/>
              </w:rPr>
              <w:t>Thang đo thành phần 2: Chi phí Logistics cảng container, Cronbach ‘s Alpha =</w:t>
            </w:r>
          </w:p>
          <w:p>
            <w:pPr>
              <w:pStyle w:val="TableParagraph"/>
              <w:spacing w:before="149"/>
              <w:ind w:left="107"/>
              <w:rPr>
                <w:b/>
                <w:sz w:val="26"/>
              </w:rPr>
            </w:pPr>
            <w:r>
              <w:rPr>
                <w:b/>
                <w:sz w:val="26"/>
              </w:rPr>
              <w:t>0,876</w:t>
            </w:r>
          </w:p>
        </w:tc>
      </w:tr>
      <w:tr>
        <w:trPr>
          <w:trHeight w:val="450" w:hRule="atLeast"/>
        </w:trPr>
        <w:tc>
          <w:tcPr>
            <w:tcW w:w="1550" w:type="dxa"/>
          </w:tcPr>
          <w:p>
            <w:pPr>
              <w:pStyle w:val="TableParagraph"/>
              <w:spacing w:before="4"/>
              <w:ind w:left="167"/>
              <w:rPr>
                <w:sz w:val="26"/>
              </w:rPr>
            </w:pPr>
            <w:r>
              <w:rPr>
                <w:sz w:val="26"/>
              </w:rPr>
              <w:t>CP1</w:t>
            </w:r>
          </w:p>
        </w:tc>
        <w:tc>
          <w:tcPr>
            <w:tcW w:w="2031" w:type="dxa"/>
          </w:tcPr>
          <w:p>
            <w:pPr>
              <w:pStyle w:val="TableParagraph"/>
              <w:spacing w:before="4"/>
              <w:ind w:right="158"/>
              <w:jc w:val="right"/>
              <w:rPr>
                <w:sz w:val="26"/>
              </w:rPr>
            </w:pPr>
            <w:r>
              <w:rPr>
                <w:w w:val="95"/>
                <w:sz w:val="26"/>
              </w:rPr>
              <w:t>18,55</w:t>
            </w:r>
          </w:p>
        </w:tc>
        <w:tc>
          <w:tcPr>
            <w:tcW w:w="1942" w:type="dxa"/>
          </w:tcPr>
          <w:p>
            <w:pPr>
              <w:pStyle w:val="TableParagraph"/>
              <w:spacing w:before="4"/>
              <w:ind w:right="158"/>
              <w:jc w:val="right"/>
              <w:rPr>
                <w:sz w:val="26"/>
              </w:rPr>
            </w:pPr>
            <w:r>
              <w:rPr>
                <w:w w:val="95"/>
                <w:sz w:val="26"/>
              </w:rPr>
              <w:t>19,638</w:t>
            </w:r>
          </w:p>
        </w:tc>
        <w:tc>
          <w:tcPr>
            <w:tcW w:w="1428" w:type="dxa"/>
          </w:tcPr>
          <w:p>
            <w:pPr>
              <w:pStyle w:val="TableParagraph"/>
              <w:spacing w:before="4"/>
              <w:ind w:right="158"/>
              <w:jc w:val="right"/>
              <w:rPr>
                <w:sz w:val="26"/>
              </w:rPr>
            </w:pPr>
            <w:r>
              <w:rPr>
                <w:w w:val="95"/>
                <w:sz w:val="26"/>
              </w:rPr>
              <w:t>0,591</w:t>
            </w:r>
          </w:p>
        </w:tc>
        <w:tc>
          <w:tcPr>
            <w:tcW w:w="2055" w:type="dxa"/>
          </w:tcPr>
          <w:p>
            <w:pPr>
              <w:pStyle w:val="TableParagraph"/>
              <w:spacing w:before="4"/>
              <w:ind w:right="158"/>
              <w:jc w:val="right"/>
              <w:rPr>
                <w:sz w:val="26"/>
              </w:rPr>
            </w:pPr>
            <w:r>
              <w:rPr>
                <w:w w:val="95"/>
                <w:sz w:val="26"/>
              </w:rPr>
              <w:t>0,872</w:t>
            </w:r>
          </w:p>
        </w:tc>
      </w:tr>
      <w:tr>
        <w:trPr>
          <w:trHeight w:val="448" w:hRule="atLeast"/>
        </w:trPr>
        <w:tc>
          <w:tcPr>
            <w:tcW w:w="1550" w:type="dxa"/>
          </w:tcPr>
          <w:p>
            <w:pPr>
              <w:pStyle w:val="TableParagraph"/>
              <w:spacing w:before="2"/>
              <w:ind w:left="167"/>
              <w:rPr>
                <w:sz w:val="26"/>
              </w:rPr>
            </w:pPr>
            <w:r>
              <w:rPr>
                <w:sz w:val="26"/>
              </w:rPr>
              <w:t>CP2</w:t>
            </w:r>
          </w:p>
        </w:tc>
        <w:tc>
          <w:tcPr>
            <w:tcW w:w="2031" w:type="dxa"/>
          </w:tcPr>
          <w:p>
            <w:pPr>
              <w:pStyle w:val="TableParagraph"/>
              <w:spacing w:before="2"/>
              <w:ind w:right="158"/>
              <w:jc w:val="right"/>
              <w:rPr>
                <w:sz w:val="26"/>
              </w:rPr>
            </w:pPr>
            <w:r>
              <w:rPr>
                <w:w w:val="95"/>
                <w:sz w:val="26"/>
              </w:rPr>
              <w:t>18,47</w:t>
            </w:r>
          </w:p>
        </w:tc>
        <w:tc>
          <w:tcPr>
            <w:tcW w:w="1942" w:type="dxa"/>
          </w:tcPr>
          <w:p>
            <w:pPr>
              <w:pStyle w:val="TableParagraph"/>
              <w:spacing w:before="2"/>
              <w:ind w:right="158"/>
              <w:jc w:val="right"/>
              <w:rPr>
                <w:sz w:val="26"/>
              </w:rPr>
            </w:pPr>
            <w:r>
              <w:rPr>
                <w:w w:val="95"/>
                <w:sz w:val="26"/>
              </w:rPr>
              <w:t>19,357</w:t>
            </w:r>
          </w:p>
        </w:tc>
        <w:tc>
          <w:tcPr>
            <w:tcW w:w="1428" w:type="dxa"/>
          </w:tcPr>
          <w:p>
            <w:pPr>
              <w:pStyle w:val="TableParagraph"/>
              <w:spacing w:before="2"/>
              <w:ind w:right="158"/>
              <w:jc w:val="right"/>
              <w:rPr>
                <w:sz w:val="26"/>
              </w:rPr>
            </w:pPr>
            <w:r>
              <w:rPr>
                <w:w w:val="95"/>
                <w:sz w:val="26"/>
              </w:rPr>
              <w:t>0,681</w:t>
            </w:r>
          </w:p>
        </w:tc>
        <w:tc>
          <w:tcPr>
            <w:tcW w:w="2055" w:type="dxa"/>
          </w:tcPr>
          <w:p>
            <w:pPr>
              <w:pStyle w:val="TableParagraph"/>
              <w:spacing w:before="2"/>
              <w:ind w:right="158"/>
              <w:jc w:val="right"/>
              <w:rPr>
                <w:sz w:val="26"/>
              </w:rPr>
            </w:pPr>
            <w:r>
              <w:rPr>
                <w:w w:val="95"/>
                <w:sz w:val="26"/>
              </w:rPr>
              <w:t>0,855</w:t>
            </w:r>
          </w:p>
        </w:tc>
      </w:tr>
    </w:tbl>
    <w:p>
      <w:pPr>
        <w:spacing w:after="0"/>
        <w:jc w:val="right"/>
        <w:rPr>
          <w:sz w:val="26"/>
        </w:rPr>
        <w:sectPr>
          <w:pgSz w:w="11910" w:h="16850"/>
          <w:pgMar w:header="751" w:footer="0" w:top="960" w:bottom="280" w:left="820" w:right="240"/>
        </w:sectPr>
      </w:pPr>
    </w:p>
    <w:p>
      <w:pPr>
        <w:pStyle w:val="BodyText"/>
        <w:rPr>
          <w:b/>
          <w:sz w:val="20"/>
        </w:rPr>
      </w:pPr>
    </w:p>
    <w:p>
      <w:pPr>
        <w:pStyle w:val="BodyText"/>
        <w:rPr>
          <w:b/>
          <w:sz w:val="20"/>
        </w:rPr>
      </w:pPr>
    </w:p>
    <w:p>
      <w:pPr>
        <w:pStyle w:val="BodyText"/>
        <w:spacing w:before="1"/>
        <w:rPr>
          <w:b/>
          <w:sz w:val="11"/>
        </w:rPr>
      </w:pPr>
    </w:p>
    <w:tbl>
      <w:tblPr>
        <w:tblW w:w="0" w:type="auto"/>
        <w:jc w:val="left"/>
        <w:tblInd w:w="77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1550"/>
        <w:gridCol w:w="2031"/>
        <w:gridCol w:w="1942"/>
        <w:gridCol w:w="1428"/>
        <w:gridCol w:w="2055"/>
      </w:tblGrid>
      <w:tr>
        <w:trPr>
          <w:trHeight w:val="1346" w:hRule="atLeast"/>
        </w:trPr>
        <w:tc>
          <w:tcPr>
            <w:tcW w:w="1550" w:type="dxa"/>
          </w:tcPr>
          <w:p>
            <w:pPr>
              <w:pStyle w:val="TableParagraph"/>
              <w:spacing w:before="2"/>
              <w:ind w:left="316"/>
              <w:rPr>
                <w:b/>
                <w:sz w:val="26"/>
              </w:rPr>
            </w:pPr>
            <w:r>
              <w:rPr>
                <w:b/>
                <w:sz w:val="26"/>
              </w:rPr>
              <w:t>Mã biến</w:t>
            </w:r>
          </w:p>
        </w:tc>
        <w:tc>
          <w:tcPr>
            <w:tcW w:w="2031" w:type="dxa"/>
          </w:tcPr>
          <w:p>
            <w:pPr>
              <w:pStyle w:val="TableParagraph"/>
              <w:spacing w:line="360" w:lineRule="auto" w:before="2"/>
              <w:ind w:left="292" w:right="282" w:firstLine="1"/>
              <w:jc w:val="center"/>
              <w:rPr>
                <w:b/>
                <w:sz w:val="26"/>
              </w:rPr>
            </w:pPr>
            <w:r>
              <w:rPr>
                <w:b/>
                <w:sz w:val="26"/>
              </w:rPr>
              <w:t>Trung bình thang đo nếu</w:t>
            </w:r>
          </w:p>
          <w:p>
            <w:pPr>
              <w:pStyle w:val="TableParagraph"/>
              <w:spacing w:before="1"/>
              <w:ind w:left="520" w:right="513"/>
              <w:jc w:val="center"/>
              <w:rPr>
                <w:b/>
                <w:sz w:val="26"/>
              </w:rPr>
            </w:pPr>
            <w:r>
              <w:rPr>
                <w:b/>
                <w:sz w:val="26"/>
              </w:rPr>
              <w:t>loại biến</w:t>
            </w:r>
          </w:p>
        </w:tc>
        <w:tc>
          <w:tcPr>
            <w:tcW w:w="1942" w:type="dxa"/>
          </w:tcPr>
          <w:p>
            <w:pPr>
              <w:pStyle w:val="TableParagraph"/>
              <w:spacing w:line="360" w:lineRule="auto" w:before="2"/>
              <w:ind w:left="249" w:right="237" w:hanging="4"/>
              <w:jc w:val="center"/>
              <w:rPr>
                <w:b/>
                <w:sz w:val="26"/>
              </w:rPr>
            </w:pPr>
            <w:r>
              <w:rPr>
                <w:b/>
                <w:sz w:val="26"/>
              </w:rPr>
              <w:t>Phương sai thang đo nếu</w:t>
            </w:r>
          </w:p>
          <w:p>
            <w:pPr>
              <w:pStyle w:val="TableParagraph"/>
              <w:spacing w:before="1"/>
              <w:ind w:left="475" w:right="470"/>
              <w:jc w:val="center"/>
              <w:rPr>
                <w:b/>
                <w:sz w:val="26"/>
              </w:rPr>
            </w:pPr>
            <w:r>
              <w:rPr>
                <w:b/>
                <w:sz w:val="26"/>
              </w:rPr>
              <w:t>loại biến</w:t>
            </w:r>
          </w:p>
        </w:tc>
        <w:tc>
          <w:tcPr>
            <w:tcW w:w="1428" w:type="dxa"/>
          </w:tcPr>
          <w:p>
            <w:pPr>
              <w:pStyle w:val="TableParagraph"/>
              <w:spacing w:line="360" w:lineRule="auto" w:before="2"/>
              <w:ind w:left="160" w:right="132" w:firstLine="180"/>
              <w:rPr>
                <w:b/>
                <w:sz w:val="26"/>
              </w:rPr>
            </w:pPr>
            <w:r>
              <w:rPr>
                <w:b/>
                <w:sz w:val="26"/>
              </w:rPr>
              <w:t>Tương quan biến</w:t>
            </w:r>
          </w:p>
          <w:p>
            <w:pPr>
              <w:pStyle w:val="TableParagraph"/>
              <w:spacing w:before="1"/>
              <w:ind w:left="468"/>
              <w:rPr>
                <w:b/>
                <w:sz w:val="26"/>
              </w:rPr>
            </w:pPr>
            <w:r>
              <w:rPr>
                <w:b/>
                <w:sz w:val="26"/>
              </w:rPr>
              <w:t>tổng</w:t>
            </w:r>
          </w:p>
        </w:tc>
        <w:tc>
          <w:tcPr>
            <w:tcW w:w="2055" w:type="dxa"/>
          </w:tcPr>
          <w:p>
            <w:pPr>
              <w:pStyle w:val="TableParagraph"/>
              <w:spacing w:line="360" w:lineRule="auto" w:before="2"/>
              <w:ind w:left="218" w:right="208" w:hanging="2"/>
              <w:jc w:val="center"/>
              <w:rPr>
                <w:b/>
                <w:sz w:val="26"/>
              </w:rPr>
            </w:pPr>
            <w:r>
              <w:rPr>
                <w:b/>
                <w:sz w:val="26"/>
              </w:rPr>
              <w:t>Cronbach’S Alpha nếu loại</w:t>
            </w:r>
          </w:p>
          <w:p>
            <w:pPr>
              <w:pStyle w:val="TableParagraph"/>
              <w:spacing w:before="1"/>
              <w:ind w:left="767" w:right="761"/>
              <w:jc w:val="center"/>
              <w:rPr>
                <w:b/>
                <w:sz w:val="26"/>
              </w:rPr>
            </w:pPr>
            <w:r>
              <w:rPr>
                <w:b/>
                <w:sz w:val="26"/>
              </w:rPr>
              <w:t>biến</w:t>
            </w:r>
          </w:p>
        </w:tc>
      </w:tr>
      <w:tr>
        <w:trPr>
          <w:trHeight w:val="448" w:hRule="atLeast"/>
        </w:trPr>
        <w:tc>
          <w:tcPr>
            <w:tcW w:w="1550" w:type="dxa"/>
          </w:tcPr>
          <w:p>
            <w:pPr>
              <w:pStyle w:val="TableParagraph"/>
              <w:spacing w:before="2"/>
              <w:ind w:left="167"/>
              <w:rPr>
                <w:sz w:val="26"/>
              </w:rPr>
            </w:pPr>
            <w:r>
              <w:rPr>
                <w:sz w:val="26"/>
              </w:rPr>
              <w:t>CP3</w:t>
            </w:r>
          </w:p>
        </w:tc>
        <w:tc>
          <w:tcPr>
            <w:tcW w:w="2031" w:type="dxa"/>
          </w:tcPr>
          <w:p>
            <w:pPr>
              <w:pStyle w:val="TableParagraph"/>
              <w:spacing w:before="2"/>
              <w:ind w:right="158"/>
              <w:jc w:val="right"/>
              <w:rPr>
                <w:sz w:val="26"/>
              </w:rPr>
            </w:pPr>
            <w:r>
              <w:rPr>
                <w:w w:val="95"/>
                <w:sz w:val="26"/>
              </w:rPr>
              <w:t>18,40</w:t>
            </w:r>
          </w:p>
        </w:tc>
        <w:tc>
          <w:tcPr>
            <w:tcW w:w="1942" w:type="dxa"/>
          </w:tcPr>
          <w:p>
            <w:pPr>
              <w:pStyle w:val="TableParagraph"/>
              <w:spacing w:before="2"/>
              <w:ind w:right="158"/>
              <w:jc w:val="right"/>
              <w:rPr>
                <w:sz w:val="26"/>
              </w:rPr>
            </w:pPr>
            <w:r>
              <w:rPr>
                <w:w w:val="95"/>
                <w:sz w:val="26"/>
              </w:rPr>
              <w:t>18,804</w:t>
            </w:r>
          </w:p>
        </w:tc>
        <w:tc>
          <w:tcPr>
            <w:tcW w:w="1428" w:type="dxa"/>
          </w:tcPr>
          <w:p>
            <w:pPr>
              <w:pStyle w:val="TableParagraph"/>
              <w:spacing w:before="2"/>
              <w:ind w:right="158"/>
              <w:jc w:val="right"/>
              <w:rPr>
                <w:sz w:val="26"/>
              </w:rPr>
            </w:pPr>
            <w:r>
              <w:rPr>
                <w:w w:val="95"/>
                <w:sz w:val="26"/>
              </w:rPr>
              <w:t>0,742</w:t>
            </w:r>
          </w:p>
        </w:tc>
        <w:tc>
          <w:tcPr>
            <w:tcW w:w="2055" w:type="dxa"/>
          </w:tcPr>
          <w:p>
            <w:pPr>
              <w:pStyle w:val="TableParagraph"/>
              <w:spacing w:before="2"/>
              <w:ind w:right="158"/>
              <w:jc w:val="right"/>
              <w:rPr>
                <w:sz w:val="26"/>
              </w:rPr>
            </w:pPr>
            <w:r>
              <w:rPr>
                <w:w w:val="95"/>
                <w:sz w:val="26"/>
              </w:rPr>
              <w:t>0,844</w:t>
            </w:r>
          </w:p>
        </w:tc>
      </w:tr>
      <w:tr>
        <w:trPr>
          <w:trHeight w:val="448" w:hRule="atLeast"/>
        </w:trPr>
        <w:tc>
          <w:tcPr>
            <w:tcW w:w="1550" w:type="dxa"/>
          </w:tcPr>
          <w:p>
            <w:pPr>
              <w:pStyle w:val="TableParagraph"/>
              <w:spacing w:before="2"/>
              <w:ind w:left="167"/>
              <w:rPr>
                <w:sz w:val="26"/>
              </w:rPr>
            </w:pPr>
            <w:r>
              <w:rPr>
                <w:sz w:val="26"/>
              </w:rPr>
              <w:t>CP4</w:t>
            </w:r>
          </w:p>
        </w:tc>
        <w:tc>
          <w:tcPr>
            <w:tcW w:w="2031" w:type="dxa"/>
          </w:tcPr>
          <w:p>
            <w:pPr>
              <w:pStyle w:val="TableParagraph"/>
              <w:spacing w:before="2"/>
              <w:ind w:right="158"/>
              <w:jc w:val="right"/>
              <w:rPr>
                <w:sz w:val="26"/>
              </w:rPr>
            </w:pPr>
            <w:r>
              <w:rPr>
                <w:w w:val="95"/>
                <w:sz w:val="26"/>
              </w:rPr>
              <w:t>18,40</w:t>
            </w:r>
          </w:p>
        </w:tc>
        <w:tc>
          <w:tcPr>
            <w:tcW w:w="1942" w:type="dxa"/>
          </w:tcPr>
          <w:p>
            <w:pPr>
              <w:pStyle w:val="TableParagraph"/>
              <w:spacing w:before="2"/>
              <w:ind w:right="158"/>
              <w:jc w:val="right"/>
              <w:rPr>
                <w:sz w:val="26"/>
              </w:rPr>
            </w:pPr>
            <w:r>
              <w:rPr>
                <w:w w:val="95"/>
                <w:sz w:val="26"/>
              </w:rPr>
              <w:t>19,363</w:t>
            </w:r>
          </w:p>
        </w:tc>
        <w:tc>
          <w:tcPr>
            <w:tcW w:w="1428" w:type="dxa"/>
          </w:tcPr>
          <w:p>
            <w:pPr>
              <w:pStyle w:val="TableParagraph"/>
              <w:spacing w:before="2"/>
              <w:ind w:right="158"/>
              <w:jc w:val="right"/>
              <w:rPr>
                <w:sz w:val="26"/>
              </w:rPr>
            </w:pPr>
            <w:r>
              <w:rPr>
                <w:w w:val="95"/>
                <w:sz w:val="26"/>
              </w:rPr>
              <w:t>0,713</w:t>
            </w:r>
          </w:p>
        </w:tc>
        <w:tc>
          <w:tcPr>
            <w:tcW w:w="2055" w:type="dxa"/>
          </w:tcPr>
          <w:p>
            <w:pPr>
              <w:pStyle w:val="TableParagraph"/>
              <w:spacing w:before="2"/>
              <w:ind w:right="158"/>
              <w:jc w:val="right"/>
              <w:rPr>
                <w:sz w:val="26"/>
              </w:rPr>
            </w:pPr>
            <w:r>
              <w:rPr>
                <w:w w:val="95"/>
                <w:sz w:val="26"/>
              </w:rPr>
              <w:t>0,850</w:t>
            </w:r>
          </w:p>
        </w:tc>
      </w:tr>
      <w:tr>
        <w:trPr>
          <w:trHeight w:val="448" w:hRule="atLeast"/>
        </w:trPr>
        <w:tc>
          <w:tcPr>
            <w:tcW w:w="1550" w:type="dxa"/>
          </w:tcPr>
          <w:p>
            <w:pPr>
              <w:pStyle w:val="TableParagraph"/>
              <w:spacing w:before="2"/>
              <w:ind w:left="167"/>
              <w:rPr>
                <w:sz w:val="26"/>
              </w:rPr>
            </w:pPr>
            <w:r>
              <w:rPr>
                <w:sz w:val="26"/>
              </w:rPr>
              <w:t>CP5</w:t>
            </w:r>
          </w:p>
        </w:tc>
        <w:tc>
          <w:tcPr>
            <w:tcW w:w="2031" w:type="dxa"/>
          </w:tcPr>
          <w:p>
            <w:pPr>
              <w:pStyle w:val="TableParagraph"/>
              <w:spacing w:before="2"/>
              <w:ind w:right="158"/>
              <w:jc w:val="right"/>
              <w:rPr>
                <w:sz w:val="26"/>
              </w:rPr>
            </w:pPr>
            <w:r>
              <w:rPr>
                <w:w w:val="95"/>
                <w:sz w:val="26"/>
              </w:rPr>
              <w:t>18,42</w:t>
            </w:r>
          </w:p>
        </w:tc>
        <w:tc>
          <w:tcPr>
            <w:tcW w:w="1942" w:type="dxa"/>
          </w:tcPr>
          <w:p>
            <w:pPr>
              <w:pStyle w:val="TableParagraph"/>
              <w:spacing w:before="2"/>
              <w:ind w:right="158"/>
              <w:jc w:val="right"/>
              <w:rPr>
                <w:sz w:val="26"/>
              </w:rPr>
            </w:pPr>
            <w:r>
              <w:rPr>
                <w:w w:val="95"/>
                <w:sz w:val="26"/>
              </w:rPr>
              <w:t>19,572</w:t>
            </w:r>
          </w:p>
        </w:tc>
        <w:tc>
          <w:tcPr>
            <w:tcW w:w="1428" w:type="dxa"/>
          </w:tcPr>
          <w:p>
            <w:pPr>
              <w:pStyle w:val="TableParagraph"/>
              <w:spacing w:before="2"/>
              <w:ind w:right="158"/>
              <w:jc w:val="right"/>
              <w:rPr>
                <w:sz w:val="26"/>
              </w:rPr>
            </w:pPr>
            <w:r>
              <w:rPr>
                <w:w w:val="95"/>
                <w:sz w:val="26"/>
              </w:rPr>
              <w:t>0,679</w:t>
            </w:r>
          </w:p>
        </w:tc>
        <w:tc>
          <w:tcPr>
            <w:tcW w:w="2055" w:type="dxa"/>
          </w:tcPr>
          <w:p>
            <w:pPr>
              <w:pStyle w:val="TableParagraph"/>
              <w:spacing w:before="2"/>
              <w:ind w:right="158"/>
              <w:jc w:val="right"/>
              <w:rPr>
                <w:sz w:val="26"/>
              </w:rPr>
            </w:pPr>
            <w:r>
              <w:rPr>
                <w:w w:val="95"/>
                <w:sz w:val="26"/>
              </w:rPr>
              <w:t>0,855</w:t>
            </w:r>
          </w:p>
        </w:tc>
      </w:tr>
      <w:tr>
        <w:trPr>
          <w:trHeight w:val="448" w:hRule="atLeast"/>
        </w:trPr>
        <w:tc>
          <w:tcPr>
            <w:tcW w:w="1550" w:type="dxa"/>
          </w:tcPr>
          <w:p>
            <w:pPr>
              <w:pStyle w:val="TableParagraph"/>
              <w:spacing w:before="2"/>
              <w:ind w:left="167"/>
              <w:rPr>
                <w:sz w:val="26"/>
              </w:rPr>
            </w:pPr>
            <w:r>
              <w:rPr>
                <w:sz w:val="26"/>
              </w:rPr>
              <w:t>CP6</w:t>
            </w:r>
          </w:p>
        </w:tc>
        <w:tc>
          <w:tcPr>
            <w:tcW w:w="2031" w:type="dxa"/>
          </w:tcPr>
          <w:p>
            <w:pPr>
              <w:pStyle w:val="TableParagraph"/>
              <w:spacing w:before="2"/>
              <w:ind w:right="158"/>
              <w:jc w:val="right"/>
              <w:rPr>
                <w:sz w:val="26"/>
              </w:rPr>
            </w:pPr>
            <w:r>
              <w:rPr>
                <w:w w:val="95"/>
                <w:sz w:val="26"/>
              </w:rPr>
              <w:t>18,32</w:t>
            </w:r>
          </w:p>
        </w:tc>
        <w:tc>
          <w:tcPr>
            <w:tcW w:w="1942" w:type="dxa"/>
          </w:tcPr>
          <w:p>
            <w:pPr>
              <w:pStyle w:val="TableParagraph"/>
              <w:spacing w:before="2"/>
              <w:ind w:right="158"/>
              <w:jc w:val="right"/>
              <w:rPr>
                <w:sz w:val="26"/>
              </w:rPr>
            </w:pPr>
            <w:r>
              <w:rPr>
                <w:w w:val="95"/>
                <w:sz w:val="26"/>
              </w:rPr>
              <w:t>19,883</w:t>
            </w:r>
          </w:p>
        </w:tc>
        <w:tc>
          <w:tcPr>
            <w:tcW w:w="1428" w:type="dxa"/>
          </w:tcPr>
          <w:p>
            <w:pPr>
              <w:pStyle w:val="TableParagraph"/>
              <w:spacing w:before="2"/>
              <w:ind w:right="158"/>
              <w:jc w:val="right"/>
              <w:rPr>
                <w:sz w:val="26"/>
              </w:rPr>
            </w:pPr>
            <w:r>
              <w:rPr>
                <w:w w:val="95"/>
                <w:sz w:val="26"/>
              </w:rPr>
              <w:t>0,689</w:t>
            </w:r>
          </w:p>
        </w:tc>
        <w:tc>
          <w:tcPr>
            <w:tcW w:w="2055" w:type="dxa"/>
          </w:tcPr>
          <w:p>
            <w:pPr>
              <w:pStyle w:val="TableParagraph"/>
              <w:spacing w:before="2"/>
              <w:ind w:right="158"/>
              <w:jc w:val="right"/>
              <w:rPr>
                <w:sz w:val="26"/>
              </w:rPr>
            </w:pPr>
            <w:r>
              <w:rPr>
                <w:w w:val="95"/>
                <w:sz w:val="26"/>
              </w:rPr>
              <w:t>0,854</w:t>
            </w:r>
          </w:p>
        </w:tc>
      </w:tr>
      <w:tr>
        <w:trPr>
          <w:trHeight w:val="448" w:hRule="atLeast"/>
        </w:trPr>
        <w:tc>
          <w:tcPr>
            <w:tcW w:w="9006" w:type="dxa"/>
            <w:gridSpan w:val="5"/>
          </w:tcPr>
          <w:p>
            <w:pPr>
              <w:pStyle w:val="TableParagraph"/>
              <w:spacing w:before="2"/>
              <w:ind w:left="107"/>
              <w:rPr>
                <w:b/>
                <w:sz w:val="26"/>
              </w:rPr>
            </w:pPr>
            <w:r>
              <w:rPr>
                <w:b/>
                <w:sz w:val="26"/>
              </w:rPr>
              <w:t>Thang đo thành phần 3: Vị trí cảng container, Cronbach ‘s Alpha = 0,872</w:t>
            </w:r>
          </w:p>
        </w:tc>
      </w:tr>
      <w:tr>
        <w:trPr>
          <w:trHeight w:val="448" w:hRule="atLeast"/>
        </w:trPr>
        <w:tc>
          <w:tcPr>
            <w:tcW w:w="1550" w:type="dxa"/>
          </w:tcPr>
          <w:p>
            <w:pPr>
              <w:pStyle w:val="TableParagraph"/>
              <w:spacing w:before="2"/>
              <w:ind w:left="167"/>
              <w:rPr>
                <w:sz w:val="26"/>
              </w:rPr>
            </w:pPr>
            <w:r>
              <w:rPr>
                <w:sz w:val="26"/>
              </w:rPr>
              <w:t>VT2</w:t>
            </w:r>
          </w:p>
        </w:tc>
        <w:tc>
          <w:tcPr>
            <w:tcW w:w="2031" w:type="dxa"/>
          </w:tcPr>
          <w:p>
            <w:pPr>
              <w:pStyle w:val="TableParagraph"/>
              <w:spacing w:before="2"/>
              <w:ind w:right="158"/>
              <w:jc w:val="right"/>
              <w:rPr>
                <w:sz w:val="26"/>
              </w:rPr>
            </w:pPr>
            <w:r>
              <w:rPr>
                <w:w w:val="95"/>
                <w:sz w:val="26"/>
              </w:rPr>
              <w:t>18,24</w:t>
            </w:r>
          </w:p>
        </w:tc>
        <w:tc>
          <w:tcPr>
            <w:tcW w:w="1942" w:type="dxa"/>
          </w:tcPr>
          <w:p>
            <w:pPr>
              <w:pStyle w:val="TableParagraph"/>
              <w:spacing w:before="2"/>
              <w:ind w:right="158"/>
              <w:jc w:val="right"/>
              <w:rPr>
                <w:sz w:val="26"/>
              </w:rPr>
            </w:pPr>
            <w:r>
              <w:rPr>
                <w:w w:val="95"/>
                <w:sz w:val="26"/>
              </w:rPr>
              <w:t>27,554</w:t>
            </w:r>
          </w:p>
        </w:tc>
        <w:tc>
          <w:tcPr>
            <w:tcW w:w="1428" w:type="dxa"/>
          </w:tcPr>
          <w:p>
            <w:pPr>
              <w:pStyle w:val="TableParagraph"/>
              <w:spacing w:before="2"/>
              <w:ind w:right="158"/>
              <w:jc w:val="right"/>
              <w:rPr>
                <w:sz w:val="26"/>
              </w:rPr>
            </w:pPr>
            <w:r>
              <w:rPr>
                <w:w w:val="95"/>
                <w:sz w:val="26"/>
              </w:rPr>
              <w:t>0,685</w:t>
            </w:r>
          </w:p>
        </w:tc>
        <w:tc>
          <w:tcPr>
            <w:tcW w:w="2055" w:type="dxa"/>
          </w:tcPr>
          <w:p>
            <w:pPr>
              <w:pStyle w:val="TableParagraph"/>
              <w:spacing w:before="2"/>
              <w:ind w:right="158"/>
              <w:jc w:val="right"/>
              <w:rPr>
                <w:sz w:val="26"/>
              </w:rPr>
            </w:pPr>
            <w:r>
              <w:rPr>
                <w:w w:val="95"/>
                <w:sz w:val="26"/>
              </w:rPr>
              <w:t>0,848</w:t>
            </w:r>
          </w:p>
        </w:tc>
      </w:tr>
      <w:tr>
        <w:trPr>
          <w:trHeight w:val="448" w:hRule="atLeast"/>
        </w:trPr>
        <w:tc>
          <w:tcPr>
            <w:tcW w:w="1550" w:type="dxa"/>
          </w:tcPr>
          <w:p>
            <w:pPr>
              <w:pStyle w:val="TableParagraph"/>
              <w:spacing w:before="2"/>
              <w:ind w:left="167"/>
              <w:rPr>
                <w:sz w:val="26"/>
              </w:rPr>
            </w:pPr>
            <w:r>
              <w:rPr>
                <w:sz w:val="26"/>
              </w:rPr>
              <w:t>VT3</w:t>
            </w:r>
          </w:p>
        </w:tc>
        <w:tc>
          <w:tcPr>
            <w:tcW w:w="2031" w:type="dxa"/>
          </w:tcPr>
          <w:p>
            <w:pPr>
              <w:pStyle w:val="TableParagraph"/>
              <w:spacing w:before="2"/>
              <w:ind w:right="158"/>
              <w:jc w:val="right"/>
              <w:rPr>
                <w:sz w:val="26"/>
              </w:rPr>
            </w:pPr>
            <w:r>
              <w:rPr>
                <w:w w:val="95"/>
                <w:sz w:val="26"/>
              </w:rPr>
              <w:t>18,29</w:t>
            </w:r>
          </w:p>
        </w:tc>
        <w:tc>
          <w:tcPr>
            <w:tcW w:w="1942" w:type="dxa"/>
          </w:tcPr>
          <w:p>
            <w:pPr>
              <w:pStyle w:val="TableParagraph"/>
              <w:spacing w:before="2"/>
              <w:ind w:right="158"/>
              <w:jc w:val="right"/>
              <w:rPr>
                <w:sz w:val="26"/>
              </w:rPr>
            </w:pPr>
            <w:r>
              <w:rPr>
                <w:w w:val="95"/>
                <w:sz w:val="26"/>
              </w:rPr>
              <w:t>28,056</w:t>
            </w:r>
          </w:p>
        </w:tc>
        <w:tc>
          <w:tcPr>
            <w:tcW w:w="1428" w:type="dxa"/>
          </w:tcPr>
          <w:p>
            <w:pPr>
              <w:pStyle w:val="TableParagraph"/>
              <w:spacing w:before="2"/>
              <w:ind w:right="158"/>
              <w:jc w:val="right"/>
              <w:rPr>
                <w:sz w:val="26"/>
              </w:rPr>
            </w:pPr>
            <w:r>
              <w:rPr>
                <w:w w:val="95"/>
                <w:sz w:val="26"/>
              </w:rPr>
              <w:t>0,629</w:t>
            </w:r>
          </w:p>
        </w:tc>
        <w:tc>
          <w:tcPr>
            <w:tcW w:w="2055" w:type="dxa"/>
          </w:tcPr>
          <w:p>
            <w:pPr>
              <w:pStyle w:val="TableParagraph"/>
              <w:spacing w:before="2"/>
              <w:ind w:right="158"/>
              <w:jc w:val="right"/>
              <w:rPr>
                <w:sz w:val="26"/>
              </w:rPr>
            </w:pPr>
            <w:r>
              <w:rPr>
                <w:w w:val="95"/>
                <w:sz w:val="26"/>
              </w:rPr>
              <w:t>0,858</w:t>
            </w:r>
          </w:p>
        </w:tc>
      </w:tr>
      <w:tr>
        <w:trPr>
          <w:trHeight w:val="448" w:hRule="atLeast"/>
        </w:trPr>
        <w:tc>
          <w:tcPr>
            <w:tcW w:w="1550" w:type="dxa"/>
          </w:tcPr>
          <w:p>
            <w:pPr>
              <w:pStyle w:val="TableParagraph"/>
              <w:spacing w:before="2"/>
              <w:ind w:left="167"/>
              <w:rPr>
                <w:sz w:val="26"/>
              </w:rPr>
            </w:pPr>
            <w:r>
              <w:rPr>
                <w:sz w:val="26"/>
              </w:rPr>
              <w:t>VT5</w:t>
            </w:r>
          </w:p>
        </w:tc>
        <w:tc>
          <w:tcPr>
            <w:tcW w:w="2031" w:type="dxa"/>
          </w:tcPr>
          <w:p>
            <w:pPr>
              <w:pStyle w:val="TableParagraph"/>
              <w:spacing w:before="2"/>
              <w:ind w:right="158"/>
              <w:jc w:val="right"/>
              <w:rPr>
                <w:sz w:val="26"/>
              </w:rPr>
            </w:pPr>
            <w:r>
              <w:rPr>
                <w:w w:val="95"/>
                <w:sz w:val="26"/>
              </w:rPr>
              <w:t>18,36</w:t>
            </w:r>
          </w:p>
        </w:tc>
        <w:tc>
          <w:tcPr>
            <w:tcW w:w="1942" w:type="dxa"/>
          </w:tcPr>
          <w:p>
            <w:pPr>
              <w:pStyle w:val="TableParagraph"/>
              <w:spacing w:before="2"/>
              <w:ind w:right="158"/>
              <w:jc w:val="right"/>
              <w:rPr>
                <w:sz w:val="26"/>
              </w:rPr>
            </w:pPr>
            <w:r>
              <w:rPr>
                <w:w w:val="95"/>
                <w:sz w:val="26"/>
              </w:rPr>
              <w:t>27,586</w:t>
            </w:r>
          </w:p>
        </w:tc>
        <w:tc>
          <w:tcPr>
            <w:tcW w:w="1428" w:type="dxa"/>
          </w:tcPr>
          <w:p>
            <w:pPr>
              <w:pStyle w:val="TableParagraph"/>
              <w:spacing w:before="2"/>
              <w:ind w:right="158"/>
              <w:jc w:val="right"/>
              <w:rPr>
                <w:sz w:val="26"/>
              </w:rPr>
            </w:pPr>
            <w:r>
              <w:rPr>
                <w:w w:val="95"/>
                <w:sz w:val="26"/>
              </w:rPr>
              <w:t>0,650</w:t>
            </w:r>
          </w:p>
        </w:tc>
        <w:tc>
          <w:tcPr>
            <w:tcW w:w="2055" w:type="dxa"/>
          </w:tcPr>
          <w:p>
            <w:pPr>
              <w:pStyle w:val="TableParagraph"/>
              <w:spacing w:before="2"/>
              <w:ind w:right="158"/>
              <w:jc w:val="right"/>
              <w:rPr>
                <w:sz w:val="26"/>
              </w:rPr>
            </w:pPr>
            <w:r>
              <w:rPr>
                <w:w w:val="95"/>
                <w:sz w:val="26"/>
              </w:rPr>
              <w:t>0,854</w:t>
            </w:r>
          </w:p>
        </w:tc>
      </w:tr>
      <w:tr>
        <w:trPr>
          <w:trHeight w:val="448" w:hRule="atLeast"/>
        </w:trPr>
        <w:tc>
          <w:tcPr>
            <w:tcW w:w="1550" w:type="dxa"/>
          </w:tcPr>
          <w:p>
            <w:pPr>
              <w:pStyle w:val="TableParagraph"/>
              <w:spacing w:before="2"/>
              <w:ind w:left="167"/>
              <w:rPr>
                <w:sz w:val="26"/>
              </w:rPr>
            </w:pPr>
            <w:r>
              <w:rPr>
                <w:sz w:val="26"/>
              </w:rPr>
              <w:t>VT6</w:t>
            </w:r>
          </w:p>
        </w:tc>
        <w:tc>
          <w:tcPr>
            <w:tcW w:w="2031" w:type="dxa"/>
          </w:tcPr>
          <w:p>
            <w:pPr>
              <w:pStyle w:val="TableParagraph"/>
              <w:spacing w:before="2"/>
              <w:ind w:right="158"/>
              <w:jc w:val="right"/>
              <w:rPr>
                <w:sz w:val="26"/>
              </w:rPr>
            </w:pPr>
            <w:r>
              <w:rPr>
                <w:w w:val="95"/>
                <w:sz w:val="26"/>
              </w:rPr>
              <w:t>18,19</w:t>
            </w:r>
          </w:p>
        </w:tc>
        <w:tc>
          <w:tcPr>
            <w:tcW w:w="1942" w:type="dxa"/>
          </w:tcPr>
          <w:p>
            <w:pPr>
              <w:pStyle w:val="TableParagraph"/>
              <w:spacing w:before="2"/>
              <w:ind w:right="158"/>
              <w:jc w:val="right"/>
              <w:rPr>
                <w:sz w:val="26"/>
              </w:rPr>
            </w:pPr>
            <w:r>
              <w:rPr>
                <w:w w:val="95"/>
                <w:sz w:val="26"/>
              </w:rPr>
              <w:t>28,185</w:t>
            </w:r>
          </w:p>
        </w:tc>
        <w:tc>
          <w:tcPr>
            <w:tcW w:w="1428" w:type="dxa"/>
          </w:tcPr>
          <w:p>
            <w:pPr>
              <w:pStyle w:val="TableParagraph"/>
              <w:spacing w:before="2"/>
              <w:ind w:right="158"/>
              <w:jc w:val="right"/>
              <w:rPr>
                <w:sz w:val="26"/>
              </w:rPr>
            </w:pPr>
            <w:r>
              <w:rPr>
                <w:w w:val="95"/>
                <w:sz w:val="26"/>
              </w:rPr>
              <w:t>0,662</w:t>
            </w:r>
          </w:p>
        </w:tc>
        <w:tc>
          <w:tcPr>
            <w:tcW w:w="2055" w:type="dxa"/>
          </w:tcPr>
          <w:p>
            <w:pPr>
              <w:pStyle w:val="TableParagraph"/>
              <w:spacing w:before="2"/>
              <w:ind w:right="158"/>
              <w:jc w:val="right"/>
              <w:rPr>
                <w:sz w:val="26"/>
              </w:rPr>
            </w:pPr>
            <w:r>
              <w:rPr>
                <w:w w:val="95"/>
                <w:sz w:val="26"/>
              </w:rPr>
              <w:t>0,852</w:t>
            </w:r>
          </w:p>
        </w:tc>
      </w:tr>
      <w:tr>
        <w:trPr>
          <w:trHeight w:val="448" w:hRule="atLeast"/>
        </w:trPr>
        <w:tc>
          <w:tcPr>
            <w:tcW w:w="1550" w:type="dxa"/>
          </w:tcPr>
          <w:p>
            <w:pPr>
              <w:pStyle w:val="TableParagraph"/>
              <w:spacing w:before="2"/>
              <w:ind w:left="167"/>
              <w:rPr>
                <w:sz w:val="26"/>
              </w:rPr>
            </w:pPr>
            <w:r>
              <w:rPr>
                <w:sz w:val="26"/>
              </w:rPr>
              <w:t>VT7</w:t>
            </w:r>
          </w:p>
        </w:tc>
        <w:tc>
          <w:tcPr>
            <w:tcW w:w="2031" w:type="dxa"/>
          </w:tcPr>
          <w:p>
            <w:pPr>
              <w:pStyle w:val="TableParagraph"/>
              <w:spacing w:before="2"/>
              <w:ind w:right="158"/>
              <w:jc w:val="right"/>
              <w:rPr>
                <w:sz w:val="26"/>
              </w:rPr>
            </w:pPr>
            <w:r>
              <w:rPr>
                <w:w w:val="95"/>
                <w:sz w:val="26"/>
              </w:rPr>
              <w:t>18,14</w:t>
            </w:r>
          </w:p>
        </w:tc>
        <w:tc>
          <w:tcPr>
            <w:tcW w:w="1942" w:type="dxa"/>
          </w:tcPr>
          <w:p>
            <w:pPr>
              <w:pStyle w:val="TableParagraph"/>
              <w:spacing w:before="2"/>
              <w:ind w:right="158"/>
              <w:jc w:val="right"/>
              <w:rPr>
                <w:sz w:val="26"/>
              </w:rPr>
            </w:pPr>
            <w:r>
              <w:rPr>
                <w:w w:val="95"/>
                <w:sz w:val="26"/>
              </w:rPr>
              <w:t>27,311</w:t>
            </w:r>
          </w:p>
        </w:tc>
        <w:tc>
          <w:tcPr>
            <w:tcW w:w="1428" w:type="dxa"/>
          </w:tcPr>
          <w:p>
            <w:pPr>
              <w:pStyle w:val="TableParagraph"/>
              <w:spacing w:before="2"/>
              <w:ind w:right="158"/>
              <w:jc w:val="right"/>
              <w:rPr>
                <w:sz w:val="26"/>
              </w:rPr>
            </w:pPr>
            <w:r>
              <w:rPr>
                <w:w w:val="95"/>
                <w:sz w:val="26"/>
              </w:rPr>
              <w:t>0,772</w:t>
            </w:r>
          </w:p>
        </w:tc>
        <w:tc>
          <w:tcPr>
            <w:tcW w:w="2055" w:type="dxa"/>
          </w:tcPr>
          <w:p>
            <w:pPr>
              <w:pStyle w:val="TableParagraph"/>
              <w:spacing w:before="2"/>
              <w:ind w:right="158"/>
              <w:jc w:val="right"/>
              <w:rPr>
                <w:sz w:val="26"/>
              </w:rPr>
            </w:pPr>
            <w:r>
              <w:rPr>
                <w:w w:val="95"/>
                <w:sz w:val="26"/>
              </w:rPr>
              <w:t>0,834</w:t>
            </w:r>
          </w:p>
        </w:tc>
      </w:tr>
      <w:tr>
        <w:trPr>
          <w:trHeight w:val="448" w:hRule="atLeast"/>
        </w:trPr>
        <w:tc>
          <w:tcPr>
            <w:tcW w:w="1550" w:type="dxa"/>
          </w:tcPr>
          <w:p>
            <w:pPr>
              <w:pStyle w:val="TableParagraph"/>
              <w:spacing w:before="2"/>
              <w:ind w:left="167"/>
              <w:rPr>
                <w:sz w:val="26"/>
              </w:rPr>
            </w:pPr>
            <w:r>
              <w:rPr>
                <w:sz w:val="26"/>
              </w:rPr>
              <w:t>VT9</w:t>
            </w:r>
          </w:p>
        </w:tc>
        <w:tc>
          <w:tcPr>
            <w:tcW w:w="2031" w:type="dxa"/>
          </w:tcPr>
          <w:p>
            <w:pPr>
              <w:pStyle w:val="TableParagraph"/>
              <w:spacing w:before="2"/>
              <w:ind w:right="158"/>
              <w:jc w:val="right"/>
              <w:rPr>
                <w:sz w:val="26"/>
              </w:rPr>
            </w:pPr>
            <w:r>
              <w:rPr>
                <w:w w:val="95"/>
                <w:sz w:val="26"/>
              </w:rPr>
              <w:t>18,21</w:t>
            </w:r>
          </w:p>
        </w:tc>
        <w:tc>
          <w:tcPr>
            <w:tcW w:w="1942" w:type="dxa"/>
          </w:tcPr>
          <w:p>
            <w:pPr>
              <w:pStyle w:val="TableParagraph"/>
              <w:spacing w:before="2"/>
              <w:ind w:right="158"/>
              <w:jc w:val="right"/>
              <w:rPr>
                <w:sz w:val="26"/>
              </w:rPr>
            </w:pPr>
            <w:r>
              <w:rPr>
                <w:w w:val="95"/>
                <w:sz w:val="26"/>
              </w:rPr>
              <w:t>27,437</w:t>
            </w:r>
          </w:p>
        </w:tc>
        <w:tc>
          <w:tcPr>
            <w:tcW w:w="1428" w:type="dxa"/>
          </w:tcPr>
          <w:p>
            <w:pPr>
              <w:pStyle w:val="TableParagraph"/>
              <w:spacing w:before="2"/>
              <w:ind w:right="158"/>
              <w:jc w:val="right"/>
              <w:rPr>
                <w:sz w:val="26"/>
              </w:rPr>
            </w:pPr>
            <w:r>
              <w:rPr>
                <w:w w:val="95"/>
                <w:sz w:val="26"/>
              </w:rPr>
              <w:t>0,649</w:t>
            </w:r>
          </w:p>
        </w:tc>
        <w:tc>
          <w:tcPr>
            <w:tcW w:w="2055" w:type="dxa"/>
          </w:tcPr>
          <w:p>
            <w:pPr>
              <w:pStyle w:val="TableParagraph"/>
              <w:spacing w:before="2"/>
              <w:ind w:right="158"/>
              <w:jc w:val="right"/>
              <w:rPr>
                <w:sz w:val="26"/>
              </w:rPr>
            </w:pPr>
            <w:r>
              <w:rPr>
                <w:w w:val="95"/>
                <w:sz w:val="26"/>
              </w:rPr>
              <w:t>0,855</w:t>
            </w:r>
          </w:p>
        </w:tc>
      </w:tr>
      <w:tr>
        <w:trPr>
          <w:trHeight w:val="897" w:hRule="atLeast"/>
        </w:trPr>
        <w:tc>
          <w:tcPr>
            <w:tcW w:w="9006" w:type="dxa"/>
            <w:gridSpan w:val="5"/>
          </w:tcPr>
          <w:p>
            <w:pPr>
              <w:pStyle w:val="TableParagraph"/>
              <w:spacing w:before="2"/>
              <w:ind w:left="107"/>
              <w:rPr>
                <w:b/>
                <w:sz w:val="26"/>
              </w:rPr>
            </w:pPr>
            <w:r>
              <w:rPr>
                <w:b/>
                <w:sz w:val="26"/>
              </w:rPr>
              <w:t>Thang đo thành phần 4: Cơ sở hạ tầng cảng container, Cronbach ‘s Alpha =</w:t>
            </w:r>
          </w:p>
          <w:p>
            <w:pPr>
              <w:pStyle w:val="TableParagraph"/>
              <w:spacing w:before="149"/>
              <w:ind w:left="107"/>
              <w:rPr>
                <w:b/>
                <w:sz w:val="26"/>
              </w:rPr>
            </w:pPr>
            <w:r>
              <w:rPr>
                <w:b/>
                <w:sz w:val="26"/>
              </w:rPr>
              <w:t>0,832</w:t>
            </w:r>
          </w:p>
        </w:tc>
      </w:tr>
      <w:tr>
        <w:trPr>
          <w:trHeight w:val="448" w:hRule="atLeast"/>
        </w:trPr>
        <w:tc>
          <w:tcPr>
            <w:tcW w:w="1550" w:type="dxa"/>
          </w:tcPr>
          <w:p>
            <w:pPr>
              <w:pStyle w:val="TableParagraph"/>
              <w:spacing w:before="2"/>
              <w:ind w:left="167"/>
              <w:rPr>
                <w:sz w:val="26"/>
              </w:rPr>
            </w:pPr>
            <w:r>
              <w:rPr>
                <w:sz w:val="26"/>
              </w:rPr>
              <w:t>HT1</w:t>
            </w:r>
          </w:p>
        </w:tc>
        <w:tc>
          <w:tcPr>
            <w:tcW w:w="2031" w:type="dxa"/>
          </w:tcPr>
          <w:p>
            <w:pPr>
              <w:pStyle w:val="TableParagraph"/>
              <w:spacing w:before="2"/>
              <w:ind w:right="158"/>
              <w:jc w:val="right"/>
              <w:rPr>
                <w:sz w:val="26"/>
              </w:rPr>
            </w:pPr>
            <w:r>
              <w:rPr>
                <w:w w:val="95"/>
                <w:sz w:val="26"/>
              </w:rPr>
              <w:t>16,90</w:t>
            </w:r>
          </w:p>
        </w:tc>
        <w:tc>
          <w:tcPr>
            <w:tcW w:w="1942" w:type="dxa"/>
          </w:tcPr>
          <w:p>
            <w:pPr>
              <w:pStyle w:val="TableParagraph"/>
              <w:spacing w:before="2"/>
              <w:ind w:right="158"/>
              <w:jc w:val="right"/>
              <w:rPr>
                <w:sz w:val="26"/>
              </w:rPr>
            </w:pPr>
            <w:r>
              <w:rPr>
                <w:w w:val="95"/>
                <w:sz w:val="26"/>
              </w:rPr>
              <w:t>20,879</w:t>
            </w:r>
          </w:p>
        </w:tc>
        <w:tc>
          <w:tcPr>
            <w:tcW w:w="1428" w:type="dxa"/>
          </w:tcPr>
          <w:p>
            <w:pPr>
              <w:pStyle w:val="TableParagraph"/>
              <w:spacing w:before="2"/>
              <w:ind w:right="158"/>
              <w:jc w:val="right"/>
              <w:rPr>
                <w:sz w:val="26"/>
              </w:rPr>
            </w:pPr>
            <w:r>
              <w:rPr>
                <w:w w:val="95"/>
                <w:sz w:val="26"/>
              </w:rPr>
              <w:t>0,552</w:t>
            </w:r>
          </w:p>
        </w:tc>
        <w:tc>
          <w:tcPr>
            <w:tcW w:w="2055" w:type="dxa"/>
          </w:tcPr>
          <w:p>
            <w:pPr>
              <w:pStyle w:val="TableParagraph"/>
              <w:spacing w:before="2"/>
              <w:ind w:right="158"/>
              <w:jc w:val="right"/>
              <w:rPr>
                <w:sz w:val="26"/>
              </w:rPr>
            </w:pPr>
            <w:r>
              <w:rPr>
                <w:w w:val="95"/>
                <w:sz w:val="26"/>
              </w:rPr>
              <w:t>0,815</w:t>
            </w:r>
          </w:p>
        </w:tc>
      </w:tr>
      <w:tr>
        <w:trPr>
          <w:trHeight w:val="448" w:hRule="atLeast"/>
        </w:trPr>
        <w:tc>
          <w:tcPr>
            <w:tcW w:w="1550" w:type="dxa"/>
          </w:tcPr>
          <w:p>
            <w:pPr>
              <w:pStyle w:val="TableParagraph"/>
              <w:spacing w:before="2"/>
              <w:ind w:left="167"/>
              <w:rPr>
                <w:sz w:val="26"/>
              </w:rPr>
            </w:pPr>
            <w:r>
              <w:rPr>
                <w:sz w:val="26"/>
              </w:rPr>
              <w:t>HT2</w:t>
            </w:r>
          </w:p>
        </w:tc>
        <w:tc>
          <w:tcPr>
            <w:tcW w:w="2031" w:type="dxa"/>
          </w:tcPr>
          <w:p>
            <w:pPr>
              <w:pStyle w:val="TableParagraph"/>
              <w:spacing w:before="2"/>
              <w:ind w:right="158"/>
              <w:jc w:val="right"/>
              <w:rPr>
                <w:sz w:val="26"/>
              </w:rPr>
            </w:pPr>
            <w:r>
              <w:rPr>
                <w:w w:val="95"/>
                <w:sz w:val="26"/>
              </w:rPr>
              <w:t>16,95</w:t>
            </w:r>
          </w:p>
        </w:tc>
        <w:tc>
          <w:tcPr>
            <w:tcW w:w="1942" w:type="dxa"/>
          </w:tcPr>
          <w:p>
            <w:pPr>
              <w:pStyle w:val="TableParagraph"/>
              <w:spacing w:before="2"/>
              <w:ind w:right="158"/>
              <w:jc w:val="right"/>
              <w:rPr>
                <w:sz w:val="26"/>
              </w:rPr>
            </w:pPr>
            <w:r>
              <w:rPr>
                <w:w w:val="95"/>
                <w:sz w:val="26"/>
              </w:rPr>
              <w:t>20,916</w:t>
            </w:r>
          </w:p>
        </w:tc>
        <w:tc>
          <w:tcPr>
            <w:tcW w:w="1428" w:type="dxa"/>
          </w:tcPr>
          <w:p>
            <w:pPr>
              <w:pStyle w:val="TableParagraph"/>
              <w:spacing w:before="2"/>
              <w:ind w:right="158"/>
              <w:jc w:val="right"/>
              <w:rPr>
                <w:sz w:val="26"/>
              </w:rPr>
            </w:pPr>
            <w:r>
              <w:rPr>
                <w:w w:val="95"/>
                <w:sz w:val="26"/>
              </w:rPr>
              <w:t>0,513</w:t>
            </w:r>
          </w:p>
        </w:tc>
        <w:tc>
          <w:tcPr>
            <w:tcW w:w="2055" w:type="dxa"/>
          </w:tcPr>
          <w:p>
            <w:pPr>
              <w:pStyle w:val="TableParagraph"/>
              <w:spacing w:before="2"/>
              <w:ind w:right="158"/>
              <w:jc w:val="right"/>
              <w:rPr>
                <w:sz w:val="26"/>
              </w:rPr>
            </w:pPr>
            <w:r>
              <w:rPr>
                <w:w w:val="95"/>
                <w:sz w:val="26"/>
              </w:rPr>
              <w:t>0,823</w:t>
            </w:r>
          </w:p>
        </w:tc>
      </w:tr>
      <w:tr>
        <w:trPr>
          <w:trHeight w:val="448" w:hRule="atLeast"/>
        </w:trPr>
        <w:tc>
          <w:tcPr>
            <w:tcW w:w="1550" w:type="dxa"/>
          </w:tcPr>
          <w:p>
            <w:pPr>
              <w:pStyle w:val="TableParagraph"/>
              <w:spacing w:before="2"/>
              <w:ind w:left="167"/>
              <w:rPr>
                <w:sz w:val="26"/>
              </w:rPr>
            </w:pPr>
            <w:r>
              <w:rPr>
                <w:sz w:val="26"/>
              </w:rPr>
              <w:t>HT4</w:t>
            </w:r>
          </w:p>
        </w:tc>
        <w:tc>
          <w:tcPr>
            <w:tcW w:w="2031" w:type="dxa"/>
          </w:tcPr>
          <w:p>
            <w:pPr>
              <w:pStyle w:val="TableParagraph"/>
              <w:spacing w:before="2"/>
              <w:ind w:right="158"/>
              <w:jc w:val="right"/>
              <w:rPr>
                <w:sz w:val="26"/>
              </w:rPr>
            </w:pPr>
            <w:r>
              <w:rPr>
                <w:w w:val="95"/>
                <w:sz w:val="26"/>
              </w:rPr>
              <w:t>17,65</w:t>
            </w:r>
          </w:p>
        </w:tc>
        <w:tc>
          <w:tcPr>
            <w:tcW w:w="1942" w:type="dxa"/>
          </w:tcPr>
          <w:p>
            <w:pPr>
              <w:pStyle w:val="TableParagraph"/>
              <w:spacing w:before="2"/>
              <w:ind w:right="158"/>
              <w:jc w:val="right"/>
              <w:rPr>
                <w:sz w:val="26"/>
              </w:rPr>
            </w:pPr>
            <w:r>
              <w:rPr>
                <w:w w:val="95"/>
                <w:sz w:val="26"/>
              </w:rPr>
              <w:t>19,006</w:t>
            </w:r>
          </w:p>
        </w:tc>
        <w:tc>
          <w:tcPr>
            <w:tcW w:w="1428" w:type="dxa"/>
          </w:tcPr>
          <w:p>
            <w:pPr>
              <w:pStyle w:val="TableParagraph"/>
              <w:spacing w:before="2"/>
              <w:ind w:right="158"/>
              <w:jc w:val="right"/>
              <w:rPr>
                <w:sz w:val="26"/>
              </w:rPr>
            </w:pPr>
            <w:r>
              <w:rPr>
                <w:w w:val="95"/>
                <w:sz w:val="26"/>
              </w:rPr>
              <w:t>0,718</w:t>
            </w:r>
          </w:p>
        </w:tc>
        <w:tc>
          <w:tcPr>
            <w:tcW w:w="2055" w:type="dxa"/>
          </w:tcPr>
          <w:p>
            <w:pPr>
              <w:pStyle w:val="TableParagraph"/>
              <w:spacing w:before="2"/>
              <w:ind w:right="158"/>
              <w:jc w:val="right"/>
              <w:rPr>
                <w:sz w:val="26"/>
              </w:rPr>
            </w:pPr>
            <w:r>
              <w:rPr>
                <w:w w:val="95"/>
                <w:sz w:val="26"/>
              </w:rPr>
              <w:t>0,780</w:t>
            </w:r>
          </w:p>
        </w:tc>
      </w:tr>
      <w:tr>
        <w:trPr>
          <w:trHeight w:val="448" w:hRule="atLeast"/>
        </w:trPr>
        <w:tc>
          <w:tcPr>
            <w:tcW w:w="1550" w:type="dxa"/>
          </w:tcPr>
          <w:p>
            <w:pPr>
              <w:pStyle w:val="TableParagraph"/>
              <w:spacing w:before="2"/>
              <w:ind w:left="167"/>
              <w:rPr>
                <w:sz w:val="26"/>
              </w:rPr>
            </w:pPr>
            <w:r>
              <w:rPr>
                <w:sz w:val="26"/>
              </w:rPr>
              <w:t>HT5</w:t>
            </w:r>
          </w:p>
        </w:tc>
        <w:tc>
          <w:tcPr>
            <w:tcW w:w="2031" w:type="dxa"/>
          </w:tcPr>
          <w:p>
            <w:pPr>
              <w:pStyle w:val="TableParagraph"/>
              <w:spacing w:before="2"/>
              <w:ind w:right="158"/>
              <w:jc w:val="right"/>
              <w:rPr>
                <w:sz w:val="26"/>
              </w:rPr>
            </w:pPr>
            <w:r>
              <w:rPr>
                <w:w w:val="95"/>
                <w:sz w:val="26"/>
              </w:rPr>
              <w:t>17,60</w:t>
            </w:r>
          </w:p>
        </w:tc>
        <w:tc>
          <w:tcPr>
            <w:tcW w:w="1942" w:type="dxa"/>
          </w:tcPr>
          <w:p>
            <w:pPr>
              <w:pStyle w:val="TableParagraph"/>
              <w:spacing w:before="2"/>
              <w:ind w:right="158"/>
              <w:jc w:val="right"/>
              <w:rPr>
                <w:sz w:val="26"/>
              </w:rPr>
            </w:pPr>
            <w:r>
              <w:rPr>
                <w:w w:val="95"/>
                <w:sz w:val="26"/>
              </w:rPr>
              <w:t>18,866</w:t>
            </w:r>
          </w:p>
        </w:tc>
        <w:tc>
          <w:tcPr>
            <w:tcW w:w="1428" w:type="dxa"/>
          </w:tcPr>
          <w:p>
            <w:pPr>
              <w:pStyle w:val="TableParagraph"/>
              <w:spacing w:before="2"/>
              <w:ind w:right="158"/>
              <w:jc w:val="right"/>
              <w:rPr>
                <w:sz w:val="26"/>
              </w:rPr>
            </w:pPr>
            <w:r>
              <w:rPr>
                <w:w w:val="95"/>
                <w:sz w:val="26"/>
              </w:rPr>
              <w:t>0,736</w:t>
            </w:r>
          </w:p>
        </w:tc>
        <w:tc>
          <w:tcPr>
            <w:tcW w:w="2055" w:type="dxa"/>
          </w:tcPr>
          <w:p>
            <w:pPr>
              <w:pStyle w:val="TableParagraph"/>
              <w:spacing w:before="2"/>
              <w:ind w:right="158"/>
              <w:jc w:val="right"/>
              <w:rPr>
                <w:sz w:val="26"/>
              </w:rPr>
            </w:pPr>
            <w:r>
              <w:rPr>
                <w:w w:val="95"/>
                <w:sz w:val="26"/>
              </w:rPr>
              <w:t>0,776</w:t>
            </w:r>
          </w:p>
        </w:tc>
      </w:tr>
      <w:tr>
        <w:trPr>
          <w:trHeight w:val="448" w:hRule="atLeast"/>
        </w:trPr>
        <w:tc>
          <w:tcPr>
            <w:tcW w:w="1550" w:type="dxa"/>
          </w:tcPr>
          <w:p>
            <w:pPr>
              <w:pStyle w:val="TableParagraph"/>
              <w:spacing w:before="2"/>
              <w:ind w:left="167"/>
              <w:rPr>
                <w:sz w:val="26"/>
              </w:rPr>
            </w:pPr>
            <w:r>
              <w:rPr>
                <w:sz w:val="26"/>
              </w:rPr>
              <w:t>HT6</w:t>
            </w:r>
          </w:p>
        </w:tc>
        <w:tc>
          <w:tcPr>
            <w:tcW w:w="2031" w:type="dxa"/>
          </w:tcPr>
          <w:p>
            <w:pPr>
              <w:pStyle w:val="TableParagraph"/>
              <w:spacing w:before="2"/>
              <w:ind w:right="158"/>
              <w:jc w:val="right"/>
              <w:rPr>
                <w:sz w:val="26"/>
              </w:rPr>
            </w:pPr>
            <w:r>
              <w:rPr>
                <w:w w:val="95"/>
                <w:sz w:val="26"/>
              </w:rPr>
              <w:t>17,78</w:t>
            </w:r>
          </w:p>
        </w:tc>
        <w:tc>
          <w:tcPr>
            <w:tcW w:w="1942" w:type="dxa"/>
          </w:tcPr>
          <w:p>
            <w:pPr>
              <w:pStyle w:val="TableParagraph"/>
              <w:spacing w:before="2"/>
              <w:ind w:right="158"/>
              <w:jc w:val="right"/>
              <w:rPr>
                <w:sz w:val="26"/>
              </w:rPr>
            </w:pPr>
            <w:r>
              <w:rPr>
                <w:w w:val="95"/>
                <w:sz w:val="26"/>
              </w:rPr>
              <w:t>20,198</w:t>
            </w:r>
          </w:p>
        </w:tc>
        <w:tc>
          <w:tcPr>
            <w:tcW w:w="1428" w:type="dxa"/>
          </w:tcPr>
          <w:p>
            <w:pPr>
              <w:pStyle w:val="TableParagraph"/>
              <w:spacing w:before="2"/>
              <w:ind w:right="158"/>
              <w:jc w:val="right"/>
              <w:rPr>
                <w:sz w:val="26"/>
              </w:rPr>
            </w:pPr>
            <w:r>
              <w:rPr>
                <w:w w:val="95"/>
                <w:sz w:val="26"/>
              </w:rPr>
              <w:t>0,648</w:t>
            </w:r>
          </w:p>
        </w:tc>
        <w:tc>
          <w:tcPr>
            <w:tcW w:w="2055" w:type="dxa"/>
          </w:tcPr>
          <w:p>
            <w:pPr>
              <w:pStyle w:val="TableParagraph"/>
              <w:spacing w:before="2"/>
              <w:ind w:right="158"/>
              <w:jc w:val="right"/>
              <w:rPr>
                <w:sz w:val="26"/>
              </w:rPr>
            </w:pPr>
            <w:r>
              <w:rPr>
                <w:w w:val="95"/>
                <w:sz w:val="26"/>
              </w:rPr>
              <w:t>00,796</w:t>
            </w:r>
          </w:p>
        </w:tc>
      </w:tr>
      <w:tr>
        <w:trPr>
          <w:trHeight w:val="448" w:hRule="atLeast"/>
        </w:trPr>
        <w:tc>
          <w:tcPr>
            <w:tcW w:w="1550" w:type="dxa"/>
          </w:tcPr>
          <w:p>
            <w:pPr>
              <w:pStyle w:val="TableParagraph"/>
              <w:spacing w:before="2"/>
              <w:ind w:left="167"/>
              <w:rPr>
                <w:sz w:val="26"/>
              </w:rPr>
            </w:pPr>
            <w:r>
              <w:rPr>
                <w:sz w:val="26"/>
              </w:rPr>
              <w:t>HT7</w:t>
            </w:r>
          </w:p>
        </w:tc>
        <w:tc>
          <w:tcPr>
            <w:tcW w:w="2031" w:type="dxa"/>
          </w:tcPr>
          <w:p>
            <w:pPr>
              <w:pStyle w:val="TableParagraph"/>
              <w:spacing w:before="2"/>
              <w:ind w:right="158"/>
              <w:jc w:val="right"/>
              <w:rPr>
                <w:sz w:val="26"/>
              </w:rPr>
            </w:pPr>
            <w:r>
              <w:rPr>
                <w:w w:val="95"/>
                <w:sz w:val="26"/>
              </w:rPr>
              <w:t>16,87</w:t>
            </w:r>
          </w:p>
        </w:tc>
        <w:tc>
          <w:tcPr>
            <w:tcW w:w="1942" w:type="dxa"/>
          </w:tcPr>
          <w:p>
            <w:pPr>
              <w:pStyle w:val="TableParagraph"/>
              <w:spacing w:before="2"/>
              <w:ind w:right="158"/>
              <w:jc w:val="right"/>
              <w:rPr>
                <w:sz w:val="26"/>
              </w:rPr>
            </w:pPr>
            <w:r>
              <w:rPr>
                <w:w w:val="95"/>
                <w:sz w:val="26"/>
              </w:rPr>
              <w:t>21,495</w:t>
            </w:r>
          </w:p>
        </w:tc>
        <w:tc>
          <w:tcPr>
            <w:tcW w:w="1428" w:type="dxa"/>
          </w:tcPr>
          <w:p>
            <w:pPr>
              <w:pStyle w:val="TableParagraph"/>
              <w:spacing w:before="2"/>
              <w:ind w:right="158"/>
              <w:jc w:val="right"/>
              <w:rPr>
                <w:sz w:val="26"/>
              </w:rPr>
            </w:pPr>
            <w:r>
              <w:rPr>
                <w:w w:val="95"/>
                <w:sz w:val="26"/>
              </w:rPr>
              <w:t>0,466</w:t>
            </w:r>
          </w:p>
        </w:tc>
        <w:tc>
          <w:tcPr>
            <w:tcW w:w="2055" w:type="dxa"/>
          </w:tcPr>
          <w:p>
            <w:pPr>
              <w:pStyle w:val="TableParagraph"/>
              <w:spacing w:before="2"/>
              <w:ind w:right="158"/>
              <w:jc w:val="right"/>
              <w:rPr>
                <w:sz w:val="26"/>
              </w:rPr>
            </w:pPr>
            <w:r>
              <w:rPr>
                <w:w w:val="95"/>
                <w:sz w:val="26"/>
              </w:rPr>
              <w:t>,832</w:t>
            </w:r>
          </w:p>
        </w:tc>
      </w:tr>
      <w:tr>
        <w:trPr>
          <w:trHeight w:val="448" w:hRule="atLeast"/>
        </w:trPr>
        <w:tc>
          <w:tcPr>
            <w:tcW w:w="9006" w:type="dxa"/>
            <w:gridSpan w:val="5"/>
          </w:tcPr>
          <w:p>
            <w:pPr>
              <w:pStyle w:val="TableParagraph"/>
              <w:spacing w:before="2"/>
              <w:ind w:left="107"/>
              <w:rPr>
                <w:b/>
                <w:sz w:val="26"/>
              </w:rPr>
            </w:pPr>
            <w:r>
              <w:rPr>
                <w:b/>
                <w:sz w:val="26"/>
              </w:rPr>
              <w:t>Thang đo thành phần 5: Kết nối nội địa cảng, Cronbach ‘s Alpha = 0,857</w:t>
            </w:r>
          </w:p>
        </w:tc>
      </w:tr>
      <w:tr>
        <w:trPr>
          <w:trHeight w:val="449" w:hRule="atLeast"/>
        </w:trPr>
        <w:tc>
          <w:tcPr>
            <w:tcW w:w="1550" w:type="dxa"/>
          </w:tcPr>
          <w:p>
            <w:pPr>
              <w:pStyle w:val="TableParagraph"/>
              <w:spacing w:before="2"/>
              <w:ind w:left="167"/>
              <w:rPr>
                <w:sz w:val="26"/>
              </w:rPr>
            </w:pPr>
            <w:r>
              <w:rPr>
                <w:sz w:val="26"/>
              </w:rPr>
              <w:t>ND1</w:t>
            </w:r>
          </w:p>
        </w:tc>
        <w:tc>
          <w:tcPr>
            <w:tcW w:w="2031" w:type="dxa"/>
          </w:tcPr>
          <w:p>
            <w:pPr>
              <w:pStyle w:val="TableParagraph"/>
              <w:spacing w:before="2"/>
              <w:ind w:right="158"/>
              <w:jc w:val="right"/>
              <w:rPr>
                <w:sz w:val="26"/>
              </w:rPr>
            </w:pPr>
            <w:r>
              <w:rPr>
                <w:w w:val="95"/>
                <w:sz w:val="26"/>
              </w:rPr>
              <w:t>14,90</w:t>
            </w:r>
          </w:p>
        </w:tc>
        <w:tc>
          <w:tcPr>
            <w:tcW w:w="1942" w:type="dxa"/>
          </w:tcPr>
          <w:p>
            <w:pPr>
              <w:pStyle w:val="TableParagraph"/>
              <w:spacing w:before="2"/>
              <w:ind w:right="158"/>
              <w:jc w:val="right"/>
              <w:rPr>
                <w:sz w:val="26"/>
              </w:rPr>
            </w:pPr>
            <w:r>
              <w:rPr>
                <w:w w:val="95"/>
                <w:sz w:val="26"/>
              </w:rPr>
              <w:t>15,143</w:t>
            </w:r>
          </w:p>
        </w:tc>
        <w:tc>
          <w:tcPr>
            <w:tcW w:w="1428" w:type="dxa"/>
          </w:tcPr>
          <w:p>
            <w:pPr>
              <w:pStyle w:val="TableParagraph"/>
              <w:spacing w:before="2"/>
              <w:ind w:right="158"/>
              <w:jc w:val="right"/>
              <w:rPr>
                <w:sz w:val="26"/>
              </w:rPr>
            </w:pPr>
            <w:r>
              <w:rPr>
                <w:w w:val="95"/>
                <w:sz w:val="26"/>
              </w:rPr>
              <w:t>0,714</w:t>
            </w:r>
          </w:p>
        </w:tc>
        <w:tc>
          <w:tcPr>
            <w:tcW w:w="2055" w:type="dxa"/>
          </w:tcPr>
          <w:p>
            <w:pPr>
              <w:pStyle w:val="TableParagraph"/>
              <w:spacing w:before="2"/>
              <w:ind w:right="158"/>
              <w:jc w:val="right"/>
              <w:rPr>
                <w:sz w:val="26"/>
              </w:rPr>
            </w:pPr>
            <w:r>
              <w:rPr>
                <w:w w:val="95"/>
                <w:sz w:val="26"/>
              </w:rPr>
              <w:t>0,817</w:t>
            </w:r>
          </w:p>
        </w:tc>
      </w:tr>
      <w:tr>
        <w:trPr>
          <w:trHeight w:val="448" w:hRule="atLeast"/>
        </w:trPr>
        <w:tc>
          <w:tcPr>
            <w:tcW w:w="1550" w:type="dxa"/>
          </w:tcPr>
          <w:p>
            <w:pPr>
              <w:pStyle w:val="TableParagraph"/>
              <w:spacing w:before="2"/>
              <w:ind w:left="167"/>
              <w:rPr>
                <w:sz w:val="26"/>
              </w:rPr>
            </w:pPr>
            <w:r>
              <w:rPr>
                <w:sz w:val="26"/>
              </w:rPr>
              <w:t>ND2</w:t>
            </w:r>
          </w:p>
        </w:tc>
        <w:tc>
          <w:tcPr>
            <w:tcW w:w="2031" w:type="dxa"/>
          </w:tcPr>
          <w:p>
            <w:pPr>
              <w:pStyle w:val="TableParagraph"/>
              <w:spacing w:before="2"/>
              <w:ind w:right="158"/>
              <w:jc w:val="right"/>
              <w:rPr>
                <w:sz w:val="26"/>
              </w:rPr>
            </w:pPr>
            <w:r>
              <w:rPr>
                <w:w w:val="95"/>
                <w:sz w:val="26"/>
              </w:rPr>
              <w:t>14,94</w:t>
            </w:r>
          </w:p>
        </w:tc>
        <w:tc>
          <w:tcPr>
            <w:tcW w:w="1942" w:type="dxa"/>
          </w:tcPr>
          <w:p>
            <w:pPr>
              <w:pStyle w:val="TableParagraph"/>
              <w:spacing w:before="2"/>
              <w:ind w:right="158"/>
              <w:jc w:val="right"/>
              <w:rPr>
                <w:sz w:val="26"/>
              </w:rPr>
            </w:pPr>
            <w:r>
              <w:rPr>
                <w:w w:val="95"/>
                <w:sz w:val="26"/>
              </w:rPr>
              <w:t>15,657</w:t>
            </w:r>
          </w:p>
        </w:tc>
        <w:tc>
          <w:tcPr>
            <w:tcW w:w="1428" w:type="dxa"/>
          </w:tcPr>
          <w:p>
            <w:pPr>
              <w:pStyle w:val="TableParagraph"/>
              <w:spacing w:before="2"/>
              <w:ind w:right="158"/>
              <w:jc w:val="right"/>
              <w:rPr>
                <w:sz w:val="26"/>
              </w:rPr>
            </w:pPr>
            <w:r>
              <w:rPr>
                <w:w w:val="95"/>
                <w:sz w:val="26"/>
              </w:rPr>
              <w:t>0,673</w:t>
            </w:r>
          </w:p>
        </w:tc>
        <w:tc>
          <w:tcPr>
            <w:tcW w:w="2055" w:type="dxa"/>
          </w:tcPr>
          <w:p>
            <w:pPr>
              <w:pStyle w:val="TableParagraph"/>
              <w:spacing w:before="2"/>
              <w:ind w:right="158"/>
              <w:jc w:val="right"/>
              <w:rPr>
                <w:sz w:val="26"/>
              </w:rPr>
            </w:pPr>
            <w:r>
              <w:rPr>
                <w:w w:val="95"/>
                <w:sz w:val="26"/>
              </w:rPr>
              <w:t>0,827</w:t>
            </w:r>
          </w:p>
        </w:tc>
      </w:tr>
      <w:tr>
        <w:trPr>
          <w:trHeight w:val="448" w:hRule="atLeast"/>
        </w:trPr>
        <w:tc>
          <w:tcPr>
            <w:tcW w:w="1550" w:type="dxa"/>
          </w:tcPr>
          <w:p>
            <w:pPr>
              <w:pStyle w:val="TableParagraph"/>
              <w:spacing w:before="2"/>
              <w:ind w:left="167"/>
              <w:rPr>
                <w:sz w:val="26"/>
              </w:rPr>
            </w:pPr>
            <w:r>
              <w:rPr>
                <w:sz w:val="26"/>
              </w:rPr>
              <w:t>ND3</w:t>
            </w:r>
          </w:p>
        </w:tc>
        <w:tc>
          <w:tcPr>
            <w:tcW w:w="2031" w:type="dxa"/>
          </w:tcPr>
          <w:p>
            <w:pPr>
              <w:pStyle w:val="TableParagraph"/>
              <w:spacing w:before="2"/>
              <w:ind w:right="158"/>
              <w:jc w:val="right"/>
              <w:rPr>
                <w:sz w:val="26"/>
              </w:rPr>
            </w:pPr>
            <w:r>
              <w:rPr>
                <w:w w:val="95"/>
                <w:sz w:val="26"/>
              </w:rPr>
              <w:t>14,70</w:t>
            </w:r>
          </w:p>
        </w:tc>
        <w:tc>
          <w:tcPr>
            <w:tcW w:w="1942" w:type="dxa"/>
          </w:tcPr>
          <w:p>
            <w:pPr>
              <w:pStyle w:val="TableParagraph"/>
              <w:spacing w:before="2"/>
              <w:ind w:right="158"/>
              <w:jc w:val="right"/>
              <w:rPr>
                <w:sz w:val="26"/>
              </w:rPr>
            </w:pPr>
            <w:r>
              <w:rPr>
                <w:w w:val="95"/>
                <w:sz w:val="26"/>
              </w:rPr>
              <w:t>16,572</w:t>
            </w:r>
          </w:p>
        </w:tc>
        <w:tc>
          <w:tcPr>
            <w:tcW w:w="1428" w:type="dxa"/>
          </w:tcPr>
          <w:p>
            <w:pPr>
              <w:pStyle w:val="TableParagraph"/>
              <w:spacing w:before="2"/>
              <w:ind w:right="158"/>
              <w:jc w:val="right"/>
              <w:rPr>
                <w:sz w:val="26"/>
              </w:rPr>
            </w:pPr>
            <w:r>
              <w:rPr>
                <w:w w:val="95"/>
                <w:sz w:val="26"/>
              </w:rPr>
              <w:t>0,619</w:t>
            </w:r>
          </w:p>
        </w:tc>
        <w:tc>
          <w:tcPr>
            <w:tcW w:w="2055" w:type="dxa"/>
          </w:tcPr>
          <w:p>
            <w:pPr>
              <w:pStyle w:val="TableParagraph"/>
              <w:spacing w:before="2"/>
              <w:ind w:right="158"/>
              <w:jc w:val="right"/>
              <w:rPr>
                <w:sz w:val="26"/>
              </w:rPr>
            </w:pPr>
            <w:r>
              <w:rPr>
                <w:w w:val="95"/>
                <w:sz w:val="26"/>
              </w:rPr>
              <w:t>0,841</w:t>
            </w:r>
          </w:p>
        </w:tc>
      </w:tr>
      <w:tr>
        <w:trPr>
          <w:trHeight w:val="448" w:hRule="atLeast"/>
        </w:trPr>
        <w:tc>
          <w:tcPr>
            <w:tcW w:w="1550" w:type="dxa"/>
          </w:tcPr>
          <w:p>
            <w:pPr>
              <w:pStyle w:val="TableParagraph"/>
              <w:spacing w:before="2"/>
              <w:ind w:left="167"/>
              <w:rPr>
                <w:sz w:val="26"/>
              </w:rPr>
            </w:pPr>
            <w:r>
              <w:rPr>
                <w:sz w:val="26"/>
              </w:rPr>
              <w:t>ND4</w:t>
            </w:r>
          </w:p>
        </w:tc>
        <w:tc>
          <w:tcPr>
            <w:tcW w:w="2031" w:type="dxa"/>
          </w:tcPr>
          <w:p>
            <w:pPr>
              <w:pStyle w:val="TableParagraph"/>
              <w:spacing w:before="2"/>
              <w:ind w:right="158"/>
              <w:jc w:val="right"/>
              <w:rPr>
                <w:sz w:val="26"/>
              </w:rPr>
            </w:pPr>
            <w:r>
              <w:rPr>
                <w:w w:val="95"/>
                <w:sz w:val="26"/>
              </w:rPr>
              <w:t>14,73</w:t>
            </w:r>
          </w:p>
        </w:tc>
        <w:tc>
          <w:tcPr>
            <w:tcW w:w="1942" w:type="dxa"/>
          </w:tcPr>
          <w:p>
            <w:pPr>
              <w:pStyle w:val="TableParagraph"/>
              <w:spacing w:before="2"/>
              <w:ind w:right="158"/>
              <w:jc w:val="right"/>
              <w:rPr>
                <w:sz w:val="26"/>
              </w:rPr>
            </w:pPr>
            <w:r>
              <w:rPr>
                <w:w w:val="95"/>
                <w:sz w:val="26"/>
              </w:rPr>
              <w:t>15,407</w:t>
            </w:r>
          </w:p>
        </w:tc>
        <w:tc>
          <w:tcPr>
            <w:tcW w:w="1428" w:type="dxa"/>
          </w:tcPr>
          <w:p>
            <w:pPr>
              <w:pStyle w:val="TableParagraph"/>
              <w:spacing w:before="2"/>
              <w:ind w:right="158"/>
              <w:jc w:val="right"/>
              <w:rPr>
                <w:sz w:val="26"/>
              </w:rPr>
            </w:pPr>
            <w:r>
              <w:rPr>
                <w:w w:val="95"/>
                <w:sz w:val="26"/>
              </w:rPr>
              <w:t>0,708</w:t>
            </w:r>
          </w:p>
        </w:tc>
        <w:tc>
          <w:tcPr>
            <w:tcW w:w="2055" w:type="dxa"/>
          </w:tcPr>
          <w:p>
            <w:pPr>
              <w:pStyle w:val="TableParagraph"/>
              <w:spacing w:before="2"/>
              <w:ind w:right="158"/>
              <w:jc w:val="right"/>
              <w:rPr>
                <w:sz w:val="26"/>
              </w:rPr>
            </w:pPr>
            <w:r>
              <w:rPr>
                <w:w w:val="95"/>
                <w:sz w:val="26"/>
              </w:rPr>
              <w:t>0,819</w:t>
            </w:r>
          </w:p>
        </w:tc>
      </w:tr>
      <w:tr>
        <w:trPr>
          <w:trHeight w:val="448" w:hRule="atLeast"/>
        </w:trPr>
        <w:tc>
          <w:tcPr>
            <w:tcW w:w="1550" w:type="dxa"/>
          </w:tcPr>
          <w:p>
            <w:pPr>
              <w:pStyle w:val="TableParagraph"/>
              <w:spacing w:before="2"/>
              <w:ind w:left="167"/>
              <w:rPr>
                <w:sz w:val="26"/>
              </w:rPr>
            </w:pPr>
            <w:r>
              <w:rPr>
                <w:sz w:val="26"/>
              </w:rPr>
              <w:t>ND5</w:t>
            </w:r>
          </w:p>
        </w:tc>
        <w:tc>
          <w:tcPr>
            <w:tcW w:w="2031" w:type="dxa"/>
          </w:tcPr>
          <w:p>
            <w:pPr>
              <w:pStyle w:val="TableParagraph"/>
              <w:spacing w:before="2"/>
              <w:ind w:right="158"/>
              <w:jc w:val="right"/>
              <w:rPr>
                <w:sz w:val="26"/>
              </w:rPr>
            </w:pPr>
            <w:r>
              <w:rPr>
                <w:w w:val="95"/>
                <w:sz w:val="26"/>
              </w:rPr>
              <w:t>14,96</w:t>
            </w:r>
          </w:p>
        </w:tc>
        <w:tc>
          <w:tcPr>
            <w:tcW w:w="1942" w:type="dxa"/>
          </w:tcPr>
          <w:p>
            <w:pPr>
              <w:pStyle w:val="TableParagraph"/>
              <w:spacing w:before="2"/>
              <w:ind w:right="158"/>
              <w:jc w:val="right"/>
              <w:rPr>
                <w:sz w:val="26"/>
              </w:rPr>
            </w:pPr>
            <w:r>
              <w:rPr>
                <w:w w:val="95"/>
                <w:sz w:val="26"/>
              </w:rPr>
              <w:t>15,134</w:t>
            </w:r>
          </w:p>
        </w:tc>
        <w:tc>
          <w:tcPr>
            <w:tcW w:w="1428" w:type="dxa"/>
          </w:tcPr>
          <w:p>
            <w:pPr>
              <w:pStyle w:val="TableParagraph"/>
              <w:spacing w:before="2"/>
              <w:ind w:right="158"/>
              <w:jc w:val="right"/>
              <w:rPr>
                <w:sz w:val="26"/>
              </w:rPr>
            </w:pPr>
            <w:r>
              <w:rPr>
                <w:w w:val="95"/>
                <w:sz w:val="26"/>
              </w:rPr>
              <w:t>0,653</w:t>
            </w:r>
          </w:p>
        </w:tc>
        <w:tc>
          <w:tcPr>
            <w:tcW w:w="2055" w:type="dxa"/>
          </w:tcPr>
          <w:p>
            <w:pPr>
              <w:pStyle w:val="TableParagraph"/>
              <w:spacing w:before="2"/>
              <w:ind w:right="158"/>
              <w:jc w:val="right"/>
              <w:rPr>
                <w:sz w:val="26"/>
              </w:rPr>
            </w:pPr>
            <w:r>
              <w:rPr>
                <w:w w:val="95"/>
                <w:sz w:val="26"/>
              </w:rPr>
              <w:t>0,834</w:t>
            </w:r>
          </w:p>
        </w:tc>
      </w:tr>
      <w:tr>
        <w:trPr>
          <w:trHeight w:val="448" w:hRule="atLeast"/>
        </w:trPr>
        <w:tc>
          <w:tcPr>
            <w:tcW w:w="9006" w:type="dxa"/>
            <w:gridSpan w:val="5"/>
          </w:tcPr>
          <w:p>
            <w:pPr>
              <w:pStyle w:val="TableParagraph"/>
              <w:spacing w:before="2"/>
              <w:ind w:left="107"/>
              <w:rPr>
                <w:b/>
                <w:sz w:val="26"/>
              </w:rPr>
            </w:pPr>
            <w:r>
              <w:rPr>
                <w:b/>
                <w:sz w:val="26"/>
              </w:rPr>
              <w:t>Thang đo thành phần 6: Độ tin cậy cảng container, Cronbach ‘s Alpha = 0,846</w:t>
            </w:r>
          </w:p>
        </w:tc>
      </w:tr>
      <w:tr>
        <w:trPr>
          <w:trHeight w:val="448" w:hRule="atLeast"/>
        </w:trPr>
        <w:tc>
          <w:tcPr>
            <w:tcW w:w="1550" w:type="dxa"/>
          </w:tcPr>
          <w:p>
            <w:pPr>
              <w:pStyle w:val="TableParagraph"/>
              <w:spacing w:before="1"/>
              <w:ind w:left="167"/>
              <w:rPr>
                <w:sz w:val="26"/>
              </w:rPr>
            </w:pPr>
            <w:r>
              <w:rPr>
                <w:sz w:val="26"/>
              </w:rPr>
              <w:t>TC1</w:t>
            </w:r>
          </w:p>
        </w:tc>
        <w:tc>
          <w:tcPr>
            <w:tcW w:w="2031" w:type="dxa"/>
          </w:tcPr>
          <w:p>
            <w:pPr>
              <w:pStyle w:val="TableParagraph"/>
              <w:spacing w:before="1"/>
              <w:ind w:right="158"/>
              <w:jc w:val="right"/>
              <w:rPr>
                <w:sz w:val="26"/>
              </w:rPr>
            </w:pPr>
            <w:r>
              <w:rPr>
                <w:w w:val="95"/>
                <w:sz w:val="26"/>
              </w:rPr>
              <w:t>10,97</w:t>
            </w:r>
          </w:p>
        </w:tc>
        <w:tc>
          <w:tcPr>
            <w:tcW w:w="1942" w:type="dxa"/>
          </w:tcPr>
          <w:p>
            <w:pPr>
              <w:pStyle w:val="TableParagraph"/>
              <w:spacing w:before="1"/>
              <w:ind w:right="158"/>
              <w:jc w:val="right"/>
              <w:rPr>
                <w:sz w:val="26"/>
              </w:rPr>
            </w:pPr>
            <w:r>
              <w:rPr>
                <w:w w:val="95"/>
                <w:sz w:val="26"/>
              </w:rPr>
              <w:t>10,446</w:t>
            </w:r>
          </w:p>
        </w:tc>
        <w:tc>
          <w:tcPr>
            <w:tcW w:w="1428" w:type="dxa"/>
          </w:tcPr>
          <w:p>
            <w:pPr>
              <w:pStyle w:val="TableParagraph"/>
              <w:spacing w:before="1"/>
              <w:ind w:right="158"/>
              <w:jc w:val="right"/>
              <w:rPr>
                <w:sz w:val="26"/>
              </w:rPr>
            </w:pPr>
            <w:r>
              <w:rPr>
                <w:w w:val="95"/>
                <w:sz w:val="26"/>
              </w:rPr>
              <w:t>0,726</w:t>
            </w:r>
          </w:p>
        </w:tc>
        <w:tc>
          <w:tcPr>
            <w:tcW w:w="2055" w:type="dxa"/>
          </w:tcPr>
          <w:p>
            <w:pPr>
              <w:pStyle w:val="TableParagraph"/>
              <w:spacing w:before="1"/>
              <w:ind w:right="158"/>
              <w:jc w:val="right"/>
              <w:rPr>
                <w:sz w:val="26"/>
              </w:rPr>
            </w:pPr>
            <w:r>
              <w:rPr>
                <w:w w:val="95"/>
                <w:sz w:val="26"/>
              </w:rPr>
              <w:t>0,787</w:t>
            </w:r>
          </w:p>
        </w:tc>
      </w:tr>
    </w:tbl>
    <w:p>
      <w:pPr>
        <w:spacing w:after="0"/>
        <w:jc w:val="right"/>
        <w:rPr>
          <w:sz w:val="26"/>
        </w:rPr>
        <w:sectPr>
          <w:pgSz w:w="11910" w:h="16850"/>
          <w:pgMar w:header="751" w:footer="0" w:top="960" w:bottom="280" w:left="820" w:right="240"/>
        </w:sectPr>
      </w:pPr>
    </w:p>
    <w:p>
      <w:pPr>
        <w:pStyle w:val="BodyText"/>
        <w:rPr>
          <w:b/>
          <w:sz w:val="20"/>
        </w:rPr>
      </w:pPr>
    </w:p>
    <w:p>
      <w:pPr>
        <w:pStyle w:val="BodyText"/>
        <w:rPr>
          <w:b/>
          <w:sz w:val="20"/>
        </w:rPr>
      </w:pPr>
    </w:p>
    <w:p>
      <w:pPr>
        <w:pStyle w:val="BodyText"/>
        <w:spacing w:before="1"/>
        <w:rPr>
          <w:b/>
          <w:sz w:val="11"/>
        </w:rPr>
      </w:pPr>
    </w:p>
    <w:tbl>
      <w:tblPr>
        <w:tblW w:w="0" w:type="auto"/>
        <w:jc w:val="left"/>
        <w:tblInd w:w="77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1550"/>
        <w:gridCol w:w="2031"/>
        <w:gridCol w:w="1942"/>
        <w:gridCol w:w="1428"/>
        <w:gridCol w:w="2055"/>
      </w:tblGrid>
      <w:tr>
        <w:trPr>
          <w:trHeight w:val="1346" w:hRule="atLeast"/>
        </w:trPr>
        <w:tc>
          <w:tcPr>
            <w:tcW w:w="1550" w:type="dxa"/>
          </w:tcPr>
          <w:p>
            <w:pPr>
              <w:pStyle w:val="TableParagraph"/>
              <w:spacing w:before="2"/>
              <w:ind w:left="316"/>
              <w:rPr>
                <w:b/>
                <w:sz w:val="26"/>
              </w:rPr>
            </w:pPr>
            <w:r>
              <w:rPr>
                <w:b/>
                <w:sz w:val="26"/>
              </w:rPr>
              <w:t>Mã biến</w:t>
            </w:r>
          </w:p>
        </w:tc>
        <w:tc>
          <w:tcPr>
            <w:tcW w:w="2031" w:type="dxa"/>
          </w:tcPr>
          <w:p>
            <w:pPr>
              <w:pStyle w:val="TableParagraph"/>
              <w:spacing w:line="360" w:lineRule="auto" w:before="2"/>
              <w:ind w:left="292" w:right="282" w:firstLine="1"/>
              <w:jc w:val="center"/>
              <w:rPr>
                <w:b/>
                <w:sz w:val="26"/>
              </w:rPr>
            </w:pPr>
            <w:r>
              <w:rPr>
                <w:b/>
                <w:sz w:val="26"/>
              </w:rPr>
              <w:t>Trung bình thang đo nếu</w:t>
            </w:r>
          </w:p>
          <w:p>
            <w:pPr>
              <w:pStyle w:val="TableParagraph"/>
              <w:spacing w:before="1"/>
              <w:ind w:left="520" w:right="513"/>
              <w:jc w:val="center"/>
              <w:rPr>
                <w:b/>
                <w:sz w:val="26"/>
              </w:rPr>
            </w:pPr>
            <w:r>
              <w:rPr>
                <w:b/>
                <w:sz w:val="26"/>
              </w:rPr>
              <w:t>loại biến</w:t>
            </w:r>
          </w:p>
        </w:tc>
        <w:tc>
          <w:tcPr>
            <w:tcW w:w="1942" w:type="dxa"/>
          </w:tcPr>
          <w:p>
            <w:pPr>
              <w:pStyle w:val="TableParagraph"/>
              <w:spacing w:line="360" w:lineRule="auto" w:before="2"/>
              <w:ind w:left="249" w:right="237" w:hanging="4"/>
              <w:jc w:val="center"/>
              <w:rPr>
                <w:b/>
                <w:sz w:val="26"/>
              </w:rPr>
            </w:pPr>
            <w:r>
              <w:rPr>
                <w:b/>
                <w:sz w:val="26"/>
              </w:rPr>
              <w:t>Phương sai thang đo nếu</w:t>
            </w:r>
          </w:p>
          <w:p>
            <w:pPr>
              <w:pStyle w:val="TableParagraph"/>
              <w:spacing w:before="1"/>
              <w:ind w:left="475" w:right="470"/>
              <w:jc w:val="center"/>
              <w:rPr>
                <w:b/>
                <w:sz w:val="26"/>
              </w:rPr>
            </w:pPr>
            <w:r>
              <w:rPr>
                <w:b/>
                <w:sz w:val="26"/>
              </w:rPr>
              <w:t>loại biến</w:t>
            </w:r>
          </w:p>
        </w:tc>
        <w:tc>
          <w:tcPr>
            <w:tcW w:w="1428" w:type="dxa"/>
          </w:tcPr>
          <w:p>
            <w:pPr>
              <w:pStyle w:val="TableParagraph"/>
              <w:spacing w:line="360" w:lineRule="auto" w:before="2"/>
              <w:ind w:left="160" w:right="132" w:firstLine="180"/>
              <w:rPr>
                <w:b/>
                <w:sz w:val="26"/>
              </w:rPr>
            </w:pPr>
            <w:r>
              <w:rPr>
                <w:b/>
                <w:sz w:val="26"/>
              </w:rPr>
              <w:t>Tương quan biến</w:t>
            </w:r>
          </w:p>
          <w:p>
            <w:pPr>
              <w:pStyle w:val="TableParagraph"/>
              <w:spacing w:before="1"/>
              <w:ind w:left="468"/>
              <w:rPr>
                <w:b/>
                <w:sz w:val="26"/>
              </w:rPr>
            </w:pPr>
            <w:r>
              <w:rPr>
                <w:b/>
                <w:sz w:val="26"/>
              </w:rPr>
              <w:t>tổng</w:t>
            </w:r>
          </w:p>
        </w:tc>
        <w:tc>
          <w:tcPr>
            <w:tcW w:w="2055" w:type="dxa"/>
          </w:tcPr>
          <w:p>
            <w:pPr>
              <w:pStyle w:val="TableParagraph"/>
              <w:spacing w:line="360" w:lineRule="auto" w:before="2"/>
              <w:ind w:left="218" w:right="208" w:hanging="2"/>
              <w:jc w:val="center"/>
              <w:rPr>
                <w:b/>
                <w:sz w:val="26"/>
              </w:rPr>
            </w:pPr>
            <w:r>
              <w:rPr>
                <w:b/>
                <w:sz w:val="26"/>
              </w:rPr>
              <w:t>Cronbach’S Alpha nếu loại</w:t>
            </w:r>
          </w:p>
          <w:p>
            <w:pPr>
              <w:pStyle w:val="TableParagraph"/>
              <w:spacing w:before="1"/>
              <w:ind w:left="767" w:right="761"/>
              <w:jc w:val="center"/>
              <w:rPr>
                <w:b/>
                <w:sz w:val="26"/>
              </w:rPr>
            </w:pPr>
            <w:r>
              <w:rPr>
                <w:b/>
                <w:sz w:val="26"/>
              </w:rPr>
              <w:t>biến</w:t>
            </w:r>
          </w:p>
        </w:tc>
      </w:tr>
      <w:tr>
        <w:trPr>
          <w:trHeight w:val="448" w:hRule="atLeast"/>
        </w:trPr>
        <w:tc>
          <w:tcPr>
            <w:tcW w:w="1550" w:type="dxa"/>
          </w:tcPr>
          <w:p>
            <w:pPr>
              <w:pStyle w:val="TableParagraph"/>
              <w:spacing w:before="2"/>
              <w:ind w:left="167"/>
              <w:rPr>
                <w:sz w:val="26"/>
              </w:rPr>
            </w:pPr>
            <w:r>
              <w:rPr>
                <w:sz w:val="26"/>
              </w:rPr>
              <w:t>TC2</w:t>
            </w:r>
          </w:p>
        </w:tc>
        <w:tc>
          <w:tcPr>
            <w:tcW w:w="2031" w:type="dxa"/>
          </w:tcPr>
          <w:p>
            <w:pPr>
              <w:pStyle w:val="TableParagraph"/>
              <w:spacing w:before="2"/>
              <w:ind w:right="158"/>
              <w:jc w:val="right"/>
              <w:rPr>
                <w:sz w:val="26"/>
              </w:rPr>
            </w:pPr>
            <w:r>
              <w:rPr>
                <w:w w:val="95"/>
                <w:sz w:val="26"/>
              </w:rPr>
              <w:t>11,16</w:t>
            </w:r>
          </w:p>
        </w:tc>
        <w:tc>
          <w:tcPr>
            <w:tcW w:w="1942" w:type="dxa"/>
          </w:tcPr>
          <w:p>
            <w:pPr>
              <w:pStyle w:val="TableParagraph"/>
              <w:spacing w:before="2"/>
              <w:ind w:right="158"/>
              <w:jc w:val="right"/>
              <w:rPr>
                <w:sz w:val="26"/>
              </w:rPr>
            </w:pPr>
            <w:r>
              <w:rPr>
                <w:w w:val="95"/>
                <w:sz w:val="26"/>
              </w:rPr>
              <w:t>10,317</w:t>
            </w:r>
          </w:p>
        </w:tc>
        <w:tc>
          <w:tcPr>
            <w:tcW w:w="1428" w:type="dxa"/>
          </w:tcPr>
          <w:p>
            <w:pPr>
              <w:pStyle w:val="TableParagraph"/>
              <w:spacing w:before="2"/>
              <w:ind w:right="158"/>
              <w:jc w:val="right"/>
              <w:rPr>
                <w:sz w:val="26"/>
              </w:rPr>
            </w:pPr>
            <w:r>
              <w:rPr>
                <w:w w:val="95"/>
                <w:sz w:val="26"/>
              </w:rPr>
              <w:t>0,655</w:t>
            </w:r>
          </w:p>
        </w:tc>
        <w:tc>
          <w:tcPr>
            <w:tcW w:w="2055" w:type="dxa"/>
          </w:tcPr>
          <w:p>
            <w:pPr>
              <w:pStyle w:val="TableParagraph"/>
              <w:spacing w:before="2"/>
              <w:ind w:right="158"/>
              <w:jc w:val="right"/>
              <w:rPr>
                <w:sz w:val="26"/>
              </w:rPr>
            </w:pPr>
            <w:r>
              <w:rPr>
                <w:w w:val="95"/>
                <w:sz w:val="26"/>
              </w:rPr>
              <w:t>0,818</w:t>
            </w:r>
          </w:p>
        </w:tc>
      </w:tr>
      <w:tr>
        <w:trPr>
          <w:trHeight w:val="448" w:hRule="atLeast"/>
        </w:trPr>
        <w:tc>
          <w:tcPr>
            <w:tcW w:w="1550" w:type="dxa"/>
          </w:tcPr>
          <w:p>
            <w:pPr>
              <w:pStyle w:val="TableParagraph"/>
              <w:spacing w:before="2"/>
              <w:ind w:left="167"/>
              <w:rPr>
                <w:sz w:val="26"/>
              </w:rPr>
            </w:pPr>
            <w:r>
              <w:rPr>
                <w:sz w:val="26"/>
              </w:rPr>
              <w:t>TC3</w:t>
            </w:r>
          </w:p>
        </w:tc>
        <w:tc>
          <w:tcPr>
            <w:tcW w:w="2031" w:type="dxa"/>
          </w:tcPr>
          <w:p>
            <w:pPr>
              <w:pStyle w:val="TableParagraph"/>
              <w:spacing w:before="2"/>
              <w:ind w:right="158"/>
              <w:jc w:val="right"/>
              <w:rPr>
                <w:sz w:val="26"/>
              </w:rPr>
            </w:pPr>
            <w:r>
              <w:rPr>
                <w:w w:val="95"/>
                <w:sz w:val="26"/>
              </w:rPr>
              <w:t>11,12</w:t>
            </w:r>
          </w:p>
        </w:tc>
        <w:tc>
          <w:tcPr>
            <w:tcW w:w="1942" w:type="dxa"/>
          </w:tcPr>
          <w:p>
            <w:pPr>
              <w:pStyle w:val="TableParagraph"/>
              <w:spacing w:before="2"/>
              <w:ind w:right="158"/>
              <w:jc w:val="right"/>
              <w:rPr>
                <w:sz w:val="26"/>
              </w:rPr>
            </w:pPr>
            <w:r>
              <w:rPr>
                <w:w w:val="95"/>
                <w:sz w:val="26"/>
              </w:rPr>
              <w:t>10,597</w:t>
            </w:r>
          </w:p>
        </w:tc>
        <w:tc>
          <w:tcPr>
            <w:tcW w:w="1428" w:type="dxa"/>
          </w:tcPr>
          <w:p>
            <w:pPr>
              <w:pStyle w:val="TableParagraph"/>
              <w:spacing w:before="2"/>
              <w:ind w:right="158"/>
              <w:jc w:val="right"/>
              <w:rPr>
                <w:sz w:val="26"/>
              </w:rPr>
            </w:pPr>
            <w:r>
              <w:rPr>
                <w:w w:val="95"/>
                <w:sz w:val="26"/>
              </w:rPr>
              <w:t>0,633</w:t>
            </w:r>
          </w:p>
        </w:tc>
        <w:tc>
          <w:tcPr>
            <w:tcW w:w="2055" w:type="dxa"/>
          </w:tcPr>
          <w:p>
            <w:pPr>
              <w:pStyle w:val="TableParagraph"/>
              <w:spacing w:before="2"/>
              <w:ind w:right="158"/>
              <w:jc w:val="right"/>
              <w:rPr>
                <w:sz w:val="26"/>
              </w:rPr>
            </w:pPr>
            <w:r>
              <w:rPr>
                <w:w w:val="95"/>
                <w:sz w:val="26"/>
              </w:rPr>
              <w:t>0,827</w:t>
            </w:r>
          </w:p>
        </w:tc>
      </w:tr>
      <w:tr>
        <w:trPr>
          <w:trHeight w:val="448" w:hRule="atLeast"/>
        </w:trPr>
        <w:tc>
          <w:tcPr>
            <w:tcW w:w="1550" w:type="dxa"/>
          </w:tcPr>
          <w:p>
            <w:pPr>
              <w:pStyle w:val="TableParagraph"/>
              <w:spacing w:before="2"/>
              <w:ind w:left="167"/>
              <w:rPr>
                <w:sz w:val="26"/>
              </w:rPr>
            </w:pPr>
            <w:r>
              <w:rPr>
                <w:sz w:val="26"/>
              </w:rPr>
              <w:t>TC4</w:t>
            </w:r>
          </w:p>
        </w:tc>
        <w:tc>
          <w:tcPr>
            <w:tcW w:w="2031" w:type="dxa"/>
          </w:tcPr>
          <w:p>
            <w:pPr>
              <w:pStyle w:val="TableParagraph"/>
              <w:spacing w:before="2"/>
              <w:ind w:right="158"/>
              <w:jc w:val="right"/>
              <w:rPr>
                <w:sz w:val="26"/>
              </w:rPr>
            </w:pPr>
            <w:r>
              <w:rPr>
                <w:w w:val="95"/>
                <w:sz w:val="26"/>
              </w:rPr>
              <w:t>11,01</w:t>
            </w:r>
          </w:p>
        </w:tc>
        <w:tc>
          <w:tcPr>
            <w:tcW w:w="1942" w:type="dxa"/>
          </w:tcPr>
          <w:p>
            <w:pPr>
              <w:pStyle w:val="TableParagraph"/>
              <w:spacing w:before="2"/>
              <w:ind w:right="158"/>
              <w:jc w:val="right"/>
              <w:rPr>
                <w:sz w:val="26"/>
              </w:rPr>
            </w:pPr>
            <w:r>
              <w:rPr>
                <w:w w:val="95"/>
                <w:sz w:val="26"/>
              </w:rPr>
              <w:t>10,390</w:t>
            </w:r>
          </w:p>
        </w:tc>
        <w:tc>
          <w:tcPr>
            <w:tcW w:w="1428" w:type="dxa"/>
          </w:tcPr>
          <w:p>
            <w:pPr>
              <w:pStyle w:val="TableParagraph"/>
              <w:spacing w:before="2"/>
              <w:ind w:right="158"/>
              <w:jc w:val="right"/>
              <w:rPr>
                <w:sz w:val="26"/>
              </w:rPr>
            </w:pPr>
            <w:r>
              <w:rPr>
                <w:w w:val="95"/>
                <w:sz w:val="26"/>
              </w:rPr>
              <w:t>0,725</w:t>
            </w:r>
          </w:p>
        </w:tc>
        <w:tc>
          <w:tcPr>
            <w:tcW w:w="2055" w:type="dxa"/>
          </w:tcPr>
          <w:p>
            <w:pPr>
              <w:pStyle w:val="TableParagraph"/>
              <w:spacing w:before="2"/>
              <w:ind w:right="158"/>
              <w:jc w:val="right"/>
              <w:rPr>
                <w:sz w:val="26"/>
              </w:rPr>
            </w:pPr>
            <w:r>
              <w:rPr>
                <w:w w:val="95"/>
                <w:sz w:val="26"/>
              </w:rPr>
              <w:t>0,787</w:t>
            </w:r>
          </w:p>
        </w:tc>
      </w:tr>
      <w:tr>
        <w:trPr>
          <w:trHeight w:val="897" w:hRule="atLeast"/>
        </w:trPr>
        <w:tc>
          <w:tcPr>
            <w:tcW w:w="9006" w:type="dxa"/>
            <w:gridSpan w:val="5"/>
          </w:tcPr>
          <w:p>
            <w:pPr>
              <w:pStyle w:val="TableParagraph"/>
              <w:spacing w:before="2"/>
              <w:ind w:left="107"/>
              <w:rPr>
                <w:b/>
                <w:sz w:val="26"/>
              </w:rPr>
            </w:pPr>
            <w:r>
              <w:rPr>
                <w:b/>
                <w:sz w:val="26"/>
              </w:rPr>
              <w:t>Thang đo thành phần 7: Hài lòng khách hàng cảng container, Cronbach ‘s</w:t>
            </w:r>
          </w:p>
          <w:p>
            <w:pPr>
              <w:pStyle w:val="TableParagraph"/>
              <w:spacing w:before="149"/>
              <w:ind w:left="107"/>
              <w:rPr>
                <w:b/>
                <w:sz w:val="26"/>
              </w:rPr>
            </w:pPr>
            <w:r>
              <w:rPr>
                <w:b/>
                <w:sz w:val="26"/>
              </w:rPr>
              <w:t>Alpha = 0,753</w:t>
            </w:r>
          </w:p>
        </w:tc>
      </w:tr>
      <w:tr>
        <w:trPr>
          <w:trHeight w:val="449" w:hRule="atLeast"/>
        </w:trPr>
        <w:tc>
          <w:tcPr>
            <w:tcW w:w="1550" w:type="dxa"/>
          </w:tcPr>
          <w:p>
            <w:pPr>
              <w:pStyle w:val="TableParagraph"/>
              <w:spacing w:before="2"/>
              <w:ind w:left="167"/>
              <w:rPr>
                <w:sz w:val="26"/>
              </w:rPr>
            </w:pPr>
            <w:r>
              <w:rPr>
                <w:sz w:val="26"/>
              </w:rPr>
              <w:t>HL1</w:t>
            </w:r>
          </w:p>
        </w:tc>
        <w:tc>
          <w:tcPr>
            <w:tcW w:w="2031" w:type="dxa"/>
          </w:tcPr>
          <w:p>
            <w:pPr>
              <w:pStyle w:val="TableParagraph"/>
              <w:spacing w:before="2"/>
              <w:ind w:right="158"/>
              <w:jc w:val="right"/>
              <w:rPr>
                <w:sz w:val="26"/>
              </w:rPr>
            </w:pPr>
            <w:r>
              <w:rPr>
                <w:w w:val="95"/>
                <w:sz w:val="26"/>
              </w:rPr>
              <w:t>7,54</w:t>
            </w:r>
          </w:p>
        </w:tc>
        <w:tc>
          <w:tcPr>
            <w:tcW w:w="1942" w:type="dxa"/>
          </w:tcPr>
          <w:p>
            <w:pPr>
              <w:pStyle w:val="TableParagraph"/>
              <w:spacing w:before="2"/>
              <w:ind w:right="158"/>
              <w:jc w:val="right"/>
              <w:rPr>
                <w:sz w:val="26"/>
              </w:rPr>
            </w:pPr>
            <w:r>
              <w:rPr>
                <w:w w:val="95"/>
                <w:sz w:val="26"/>
              </w:rPr>
              <w:t>4,975</w:t>
            </w:r>
          </w:p>
        </w:tc>
        <w:tc>
          <w:tcPr>
            <w:tcW w:w="1428" w:type="dxa"/>
          </w:tcPr>
          <w:p>
            <w:pPr>
              <w:pStyle w:val="TableParagraph"/>
              <w:spacing w:before="2"/>
              <w:ind w:right="158"/>
              <w:jc w:val="right"/>
              <w:rPr>
                <w:sz w:val="26"/>
              </w:rPr>
            </w:pPr>
            <w:r>
              <w:rPr>
                <w:w w:val="95"/>
                <w:sz w:val="26"/>
              </w:rPr>
              <w:t>0,597</w:t>
            </w:r>
          </w:p>
        </w:tc>
        <w:tc>
          <w:tcPr>
            <w:tcW w:w="2055" w:type="dxa"/>
          </w:tcPr>
          <w:p>
            <w:pPr>
              <w:pStyle w:val="TableParagraph"/>
              <w:spacing w:before="2"/>
              <w:ind w:right="158"/>
              <w:jc w:val="right"/>
              <w:rPr>
                <w:sz w:val="26"/>
              </w:rPr>
            </w:pPr>
            <w:r>
              <w:rPr>
                <w:w w:val="95"/>
                <w:sz w:val="26"/>
              </w:rPr>
              <w:t>0,656</w:t>
            </w:r>
          </w:p>
        </w:tc>
      </w:tr>
      <w:tr>
        <w:trPr>
          <w:trHeight w:val="448" w:hRule="atLeast"/>
        </w:trPr>
        <w:tc>
          <w:tcPr>
            <w:tcW w:w="1550" w:type="dxa"/>
          </w:tcPr>
          <w:p>
            <w:pPr>
              <w:pStyle w:val="TableParagraph"/>
              <w:spacing w:before="2"/>
              <w:ind w:left="167"/>
              <w:rPr>
                <w:sz w:val="26"/>
              </w:rPr>
            </w:pPr>
            <w:r>
              <w:rPr>
                <w:sz w:val="26"/>
              </w:rPr>
              <w:t>HL2</w:t>
            </w:r>
          </w:p>
        </w:tc>
        <w:tc>
          <w:tcPr>
            <w:tcW w:w="2031" w:type="dxa"/>
          </w:tcPr>
          <w:p>
            <w:pPr>
              <w:pStyle w:val="TableParagraph"/>
              <w:spacing w:before="2"/>
              <w:ind w:right="158"/>
              <w:jc w:val="right"/>
              <w:rPr>
                <w:sz w:val="26"/>
              </w:rPr>
            </w:pPr>
            <w:r>
              <w:rPr>
                <w:w w:val="95"/>
                <w:sz w:val="26"/>
              </w:rPr>
              <w:t>7,65</w:t>
            </w:r>
          </w:p>
        </w:tc>
        <w:tc>
          <w:tcPr>
            <w:tcW w:w="1942" w:type="dxa"/>
          </w:tcPr>
          <w:p>
            <w:pPr>
              <w:pStyle w:val="TableParagraph"/>
              <w:spacing w:before="2"/>
              <w:ind w:right="158"/>
              <w:jc w:val="right"/>
              <w:rPr>
                <w:sz w:val="26"/>
              </w:rPr>
            </w:pPr>
            <w:r>
              <w:rPr>
                <w:w w:val="95"/>
                <w:sz w:val="26"/>
              </w:rPr>
              <w:t>4,927</w:t>
            </w:r>
          </w:p>
        </w:tc>
        <w:tc>
          <w:tcPr>
            <w:tcW w:w="1428" w:type="dxa"/>
          </w:tcPr>
          <w:p>
            <w:pPr>
              <w:pStyle w:val="TableParagraph"/>
              <w:spacing w:before="2"/>
              <w:ind w:right="158"/>
              <w:jc w:val="right"/>
              <w:rPr>
                <w:sz w:val="26"/>
              </w:rPr>
            </w:pPr>
            <w:r>
              <w:rPr>
                <w:w w:val="95"/>
                <w:sz w:val="26"/>
              </w:rPr>
              <w:t>0,558</w:t>
            </w:r>
          </w:p>
        </w:tc>
        <w:tc>
          <w:tcPr>
            <w:tcW w:w="2055" w:type="dxa"/>
          </w:tcPr>
          <w:p>
            <w:pPr>
              <w:pStyle w:val="TableParagraph"/>
              <w:spacing w:before="2"/>
              <w:ind w:right="158"/>
              <w:jc w:val="right"/>
              <w:rPr>
                <w:sz w:val="26"/>
              </w:rPr>
            </w:pPr>
            <w:r>
              <w:rPr>
                <w:w w:val="95"/>
                <w:sz w:val="26"/>
              </w:rPr>
              <w:t>0,702</w:t>
            </w:r>
          </w:p>
        </w:tc>
      </w:tr>
      <w:tr>
        <w:trPr>
          <w:trHeight w:val="448" w:hRule="atLeast"/>
        </w:trPr>
        <w:tc>
          <w:tcPr>
            <w:tcW w:w="1550" w:type="dxa"/>
          </w:tcPr>
          <w:p>
            <w:pPr>
              <w:pStyle w:val="TableParagraph"/>
              <w:spacing w:before="2"/>
              <w:ind w:left="167"/>
              <w:rPr>
                <w:sz w:val="26"/>
              </w:rPr>
            </w:pPr>
            <w:r>
              <w:rPr>
                <w:sz w:val="26"/>
              </w:rPr>
              <w:t>HL3</w:t>
            </w:r>
          </w:p>
        </w:tc>
        <w:tc>
          <w:tcPr>
            <w:tcW w:w="2031" w:type="dxa"/>
          </w:tcPr>
          <w:p>
            <w:pPr>
              <w:pStyle w:val="TableParagraph"/>
              <w:spacing w:before="2"/>
              <w:ind w:right="158"/>
              <w:jc w:val="right"/>
              <w:rPr>
                <w:sz w:val="26"/>
              </w:rPr>
            </w:pPr>
            <w:r>
              <w:rPr>
                <w:w w:val="95"/>
                <w:sz w:val="26"/>
              </w:rPr>
              <w:t>7,59</w:t>
            </w:r>
          </w:p>
        </w:tc>
        <w:tc>
          <w:tcPr>
            <w:tcW w:w="1942" w:type="dxa"/>
          </w:tcPr>
          <w:p>
            <w:pPr>
              <w:pStyle w:val="TableParagraph"/>
              <w:spacing w:before="2"/>
              <w:ind w:right="158"/>
              <w:jc w:val="right"/>
              <w:rPr>
                <w:sz w:val="26"/>
              </w:rPr>
            </w:pPr>
            <w:r>
              <w:rPr>
                <w:w w:val="95"/>
                <w:sz w:val="26"/>
              </w:rPr>
              <w:t>4,977</w:t>
            </w:r>
          </w:p>
        </w:tc>
        <w:tc>
          <w:tcPr>
            <w:tcW w:w="1428" w:type="dxa"/>
          </w:tcPr>
          <w:p>
            <w:pPr>
              <w:pStyle w:val="TableParagraph"/>
              <w:spacing w:before="2"/>
              <w:ind w:right="158"/>
              <w:jc w:val="right"/>
              <w:rPr>
                <w:sz w:val="26"/>
              </w:rPr>
            </w:pPr>
            <w:r>
              <w:rPr>
                <w:w w:val="95"/>
                <w:sz w:val="26"/>
              </w:rPr>
              <w:t>0,595</w:t>
            </w:r>
          </w:p>
        </w:tc>
        <w:tc>
          <w:tcPr>
            <w:tcW w:w="2055" w:type="dxa"/>
          </w:tcPr>
          <w:p>
            <w:pPr>
              <w:pStyle w:val="TableParagraph"/>
              <w:spacing w:before="2"/>
              <w:ind w:right="158"/>
              <w:jc w:val="right"/>
              <w:rPr>
                <w:sz w:val="26"/>
              </w:rPr>
            </w:pPr>
            <w:r>
              <w:rPr>
                <w:w w:val="95"/>
                <w:sz w:val="26"/>
              </w:rPr>
              <w:t>0,658</w:t>
            </w:r>
          </w:p>
        </w:tc>
      </w:tr>
      <w:tr>
        <w:trPr>
          <w:trHeight w:val="897" w:hRule="atLeast"/>
        </w:trPr>
        <w:tc>
          <w:tcPr>
            <w:tcW w:w="9006" w:type="dxa"/>
            <w:gridSpan w:val="5"/>
          </w:tcPr>
          <w:p>
            <w:pPr>
              <w:pStyle w:val="TableParagraph"/>
              <w:spacing w:before="2"/>
              <w:ind w:left="167"/>
              <w:rPr>
                <w:b/>
                <w:sz w:val="26"/>
              </w:rPr>
            </w:pPr>
            <w:r>
              <w:rPr>
                <w:b/>
                <w:sz w:val="26"/>
              </w:rPr>
              <w:t>Thang đo thành phần 8: Lợi ích khách hàng cảng container, Cronbach ‘s</w:t>
            </w:r>
          </w:p>
          <w:p>
            <w:pPr>
              <w:pStyle w:val="TableParagraph"/>
              <w:spacing w:before="149"/>
              <w:ind w:left="167"/>
              <w:rPr>
                <w:b/>
                <w:sz w:val="26"/>
              </w:rPr>
            </w:pPr>
            <w:r>
              <w:rPr>
                <w:b/>
                <w:sz w:val="26"/>
              </w:rPr>
              <w:t>Alpha = 0,730</w:t>
            </w:r>
          </w:p>
        </w:tc>
      </w:tr>
      <w:tr>
        <w:trPr>
          <w:trHeight w:val="448" w:hRule="atLeast"/>
        </w:trPr>
        <w:tc>
          <w:tcPr>
            <w:tcW w:w="1550" w:type="dxa"/>
          </w:tcPr>
          <w:p>
            <w:pPr>
              <w:pStyle w:val="TableParagraph"/>
              <w:spacing w:before="2"/>
              <w:ind w:left="167"/>
              <w:rPr>
                <w:sz w:val="26"/>
              </w:rPr>
            </w:pPr>
            <w:r>
              <w:rPr>
                <w:sz w:val="26"/>
              </w:rPr>
              <w:t>LI1</w:t>
            </w:r>
          </w:p>
        </w:tc>
        <w:tc>
          <w:tcPr>
            <w:tcW w:w="2031" w:type="dxa"/>
          </w:tcPr>
          <w:p>
            <w:pPr>
              <w:pStyle w:val="TableParagraph"/>
              <w:spacing w:before="2"/>
              <w:ind w:right="158"/>
              <w:jc w:val="right"/>
              <w:rPr>
                <w:sz w:val="26"/>
              </w:rPr>
            </w:pPr>
            <w:r>
              <w:rPr>
                <w:w w:val="95"/>
                <w:sz w:val="26"/>
              </w:rPr>
              <w:t>7,63</w:t>
            </w:r>
          </w:p>
        </w:tc>
        <w:tc>
          <w:tcPr>
            <w:tcW w:w="1942" w:type="dxa"/>
          </w:tcPr>
          <w:p>
            <w:pPr>
              <w:pStyle w:val="TableParagraph"/>
              <w:spacing w:before="2"/>
              <w:ind w:right="158"/>
              <w:jc w:val="right"/>
              <w:rPr>
                <w:sz w:val="26"/>
              </w:rPr>
            </w:pPr>
            <w:r>
              <w:rPr>
                <w:w w:val="95"/>
                <w:sz w:val="26"/>
              </w:rPr>
              <w:t>3,916</w:t>
            </w:r>
          </w:p>
        </w:tc>
        <w:tc>
          <w:tcPr>
            <w:tcW w:w="1428" w:type="dxa"/>
          </w:tcPr>
          <w:p>
            <w:pPr>
              <w:pStyle w:val="TableParagraph"/>
              <w:spacing w:before="2"/>
              <w:ind w:right="158"/>
              <w:jc w:val="right"/>
              <w:rPr>
                <w:sz w:val="26"/>
              </w:rPr>
            </w:pPr>
            <w:r>
              <w:rPr>
                <w:w w:val="95"/>
                <w:sz w:val="26"/>
              </w:rPr>
              <w:t>0,558</w:t>
            </w:r>
          </w:p>
        </w:tc>
        <w:tc>
          <w:tcPr>
            <w:tcW w:w="2055" w:type="dxa"/>
          </w:tcPr>
          <w:p>
            <w:pPr>
              <w:pStyle w:val="TableParagraph"/>
              <w:spacing w:before="2"/>
              <w:ind w:right="158"/>
              <w:jc w:val="right"/>
              <w:rPr>
                <w:sz w:val="26"/>
              </w:rPr>
            </w:pPr>
            <w:r>
              <w:rPr>
                <w:w w:val="95"/>
                <w:sz w:val="26"/>
              </w:rPr>
              <w:t>0,638</w:t>
            </w:r>
          </w:p>
        </w:tc>
      </w:tr>
      <w:tr>
        <w:trPr>
          <w:trHeight w:val="448" w:hRule="atLeast"/>
        </w:trPr>
        <w:tc>
          <w:tcPr>
            <w:tcW w:w="1550" w:type="dxa"/>
          </w:tcPr>
          <w:p>
            <w:pPr>
              <w:pStyle w:val="TableParagraph"/>
              <w:spacing w:before="2"/>
              <w:ind w:left="167"/>
              <w:rPr>
                <w:sz w:val="26"/>
              </w:rPr>
            </w:pPr>
            <w:r>
              <w:rPr>
                <w:sz w:val="26"/>
              </w:rPr>
              <w:t>LI2</w:t>
            </w:r>
          </w:p>
        </w:tc>
        <w:tc>
          <w:tcPr>
            <w:tcW w:w="2031" w:type="dxa"/>
          </w:tcPr>
          <w:p>
            <w:pPr>
              <w:pStyle w:val="TableParagraph"/>
              <w:spacing w:before="2"/>
              <w:ind w:right="158"/>
              <w:jc w:val="right"/>
              <w:rPr>
                <w:sz w:val="26"/>
              </w:rPr>
            </w:pPr>
            <w:r>
              <w:rPr>
                <w:w w:val="95"/>
                <w:sz w:val="26"/>
              </w:rPr>
              <w:t>7,71</w:t>
            </w:r>
          </w:p>
        </w:tc>
        <w:tc>
          <w:tcPr>
            <w:tcW w:w="1942" w:type="dxa"/>
          </w:tcPr>
          <w:p>
            <w:pPr>
              <w:pStyle w:val="TableParagraph"/>
              <w:spacing w:before="2"/>
              <w:ind w:right="158"/>
              <w:jc w:val="right"/>
              <w:rPr>
                <w:sz w:val="26"/>
              </w:rPr>
            </w:pPr>
            <w:r>
              <w:rPr>
                <w:w w:val="95"/>
                <w:sz w:val="26"/>
              </w:rPr>
              <w:t>3,788</w:t>
            </w:r>
          </w:p>
        </w:tc>
        <w:tc>
          <w:tcPr>
            <w:tcW w:w="1428" w:type="dxa"/>
          </w:tcPr>
          <w:p>
            <w:pPr>
              <w:pStyle w:val="TableParagraph"/>
              <w:spacing w:before="2"/>
              <w:ind w:right="158"/>
              <w:jc w:val="right"/>
              <w:rPr>
                <w:sz w:val="26"/>
              </w:rPr>
            </w:pPr>
            <w:r>
              <w:rPr>
                <w:w w:val="95"/>
                <w:sz w:val="26"/>
              </w:rPr>
              <w:t>0,513</w:t>
            </w:r>
          </w:p>
        </w:tc>
        <w:tc>
          <w:tcPr>
            <w:tcW w:w="2055" w:type="dxa"/>
          </w:tcPr>
          <w:p>
            <w:pPr>
              <w:pStyle w:val="TableParagraph"/>
              <w:spacing w:before="2"/>
              <w:ind w:right="158"/>
              <w:jc w:val="right"/>
              <w:rPr>
                <w:sz w:val="26"/>
              </w:rPr>
            </w:pPr>
            <w:r>
              <w:rPr>
                <w:w w:val="95"/>
                <w:sz w:val="26"/>
              </w:rPr>
              <w:t>0,690</w:t>
            </w:r>
          </w:p>
        </w:tc>
      </w:tr>
      <w:tr>
        <w:trPr>
          <w:trHeight w:val="448" w:hRule="atLeast"/>
        </w:trPr>
        <w:tc>
          <w:tcPr>
            <w:tcW w:w="1550" w:type="dxa"/>
          </w:tcPr>
          <w:p>
            <w:pPr>
              <w:pStyle w:val="TableParagraph"/>
              <w:spacing w:before="2"/>
              <w:ind w:left="167"/>
              <w:rPr>
                <w:sz w:val="26"/>
              </w:rPr>
            </w:pPr>
            <w:r>
              <w:rPr>
                <w:sz w:val="26"/>
              </w:rPr>
              <w:t>LI3</w:t>
            </w:r>
          </w:p>
        </w:tc>
        <w:tc>
          <w:tcPr>
            <w:tcW w:w="2031" w:type="dxa"/>
          </w:tcPr>
          <w:p>
            <w:pPr>
              <w:pStyle w:val="TableParagraph"/>
              <w:spacing w:before="2"/>
              <w:ind w:right="158"/>
              <w:jc w:val="right"/>
              <w:rPr>
                <w:sz w:val="26"/>
              </w:rPr>
            </w:pPr>
            <w:r>
              <w:rPr>
                <w:w w:val="95"/>
                <w:sz w:val="26"/>
              </w:rPr>
              <w:t>7,57</w:t>
            </w:r>
          </w:p>
        </w:tc>
        <w:tc>
          <w:tcPr>
            <w:tcW w:w="1942" w:type="dxa"/>
          </w:tcPr>
          <w:p>
            <w:pPr>
              <w:pStyle w:val="TableParagraph"/>
              <w:spacing w:before="2"/>
              <w:ind w:right="158"/>
              <w:jc w:val="right"/>
              <w:rPr>
                <w:sz w:val="26"/>
              </w:rPr>
            </w:pPr>
            <w:r>
              <w:rPr>
                <w:w w:val="95"/>
                <w:sz w:val="26"/>
              </w:rPr>
              <w:t>3,481</w:t>
            </w:r>
          </w:p>
        </w:tc>
        <w:tc>
          <w:tcPr>
            <w:tcW w:w="1428" w:type="dxa"/>
          </w:tcPr>
          <w:p>
            <w:pPr>
              <w:pStyle w:val="TableParagraph"/>
              <w:spacing w:before="2"/>
              <w:ind w:right="158"/>
              <w:jc w:val="right"/>
              <w:rPr>
                <w:sz w:val="26"/>
              </w:rPr>
            </w:pPr>
            <w:r>
              <w:rPr>
                <w:w w:val="95"/>
                <w:sz w:val="26"/>
              </w:rPr>
              <w:t>0,589</w:t>
            </w:r>
          </w:p>
        </w:tc>
        <w:tc>
          <w:tcPr>
            <w:tcW w:w="2055" w:type="dxa"/>
          </w:tcPr>
          <w:p>
            <w:pPr>
              <w:pStyle w:val="TableParagraph"/>
              <w:spacing w:before="2"/>
              <w:ind w:right="158"/>
              <w:jc w:val="right"/>
              <w:rPr>
                <w:sz w:val="26"/>
              </w:rPr>
            </w:pPr>
            <w:r>
              <w:rPr>
                <w:w w:val="95"/>
                <w:sz w:val="26"/>
              </w:rPr>
              <w:t>0,597</w:t>
            </w:r>
          </w:p>
        </w:tc>
      </w:tr>
    </w:tbl>
    <w:p>
      <w:pPr>
        <w:pStyle w:val="BodyText"/>
        <w:spacing w:before="11"/>
        <w:rPr>
          <w:b/>
          <w:sz w:val="7"/>
        </w:rPr>
      </w:pPr>
    </w:p>
    <w:p>
      <w:pPr>
        <w:spacing w:after="0"/>
        <w:rPr>
          <w:sz w:val="7"/>
        </w:rPr>
        <w:sectPr>
          <w:pgSz w:w="11910" w:h="16850"/>
          <w:pgMar w:header="751" w:footer="0" w:top="960" w:bottom="280" w:left="820" w:right="240"/>
        </w:sectPr>
      </w:pPr>
    </w:p>
    <w:p>
      <w:pPr>
        <w:pStyle w:val="BodyText"/>
        <w:spacing w:before="3"/>
        <w:rPr>
          <w:b/>
          <w:sz w:val="31"/>
        </w:rPr>
      </w:pPr>
    </w:p>
    <w:p>
      <w:pPr>
        <w:pStyle w:val="Heading6"/>
        <w:numPr>
          <w:ilvl w:val="2"/>
          <w:numId w:val="24"/>
        </w:numPr>
        <w:tabs>
          <w:tab w:pos="1466" w:val="left" w:leader="none"/>
        </w:tabs>
        <w:spacing w:line="240" w:lineRule="auto" w:before="0" w:after="0"/>
        <w:ind w:left="1465" w:right="0" w:hanging="584"/>
        <w:jc w:val="left"/>
      </w:pPr>
      <w:bookmarkStart w:name="_TOC_250019" w:id="37"/>
      <w:r>
        <w:rPr/>
        <w:t>Kiểm định sự phù hợp của mô</w:t>
      </w:r>
      <w:r>
        <w:rPr>
          <w:spacing w:val="-16"/>
        </w:rPr>
        <w:t> </w:t>
      </w:r>
      <w:bookmarkEnd w:id="37"/>
      <w:r>
        <w:rPr/>
        <w:t>hình</w:t>
      </w:r>
    </w:p>
    <w:p>
      <w:pPr>
        <w:spacing w:before="88"/>
        <w:ind w:left="639" w:right="0" w:firstLine="0"/>
        <w:jc w:val="left"/>
        <w:rPr>
          <w:i/>
          <w:sz w:val="26"/>
        </w:rPr>
      </w:pPr>
      <w:r>
        <w:rPr/>
        <w:br w:type="column"/>
      </w:r>
      <w:r>
        <w:rPr>
          <w:i/>
          <w:sz w:val="26"/>
        </w:rPr>
        <w:t>Nguồn: Kết quả xử lý dữ liệu từ SPSS</w:t>
      </w:r>
    </w:p>
    <w:p>
      <w:pPr>
        <w:spacing w:after="0"/>
        <w:jc w:val="left"/>
        <w:rPr>
          <w:sz w:val="26"/>
        </w:rPr>
        <w:sectPr>
          <w:type w:val="continuous"/>
          <w:pgSz w:w="11910" w:h="16850"/>
          <w:pgMar w:top="1840" w:bottom="280" w:left="820" w:right="240"/>
          <w:cols w:num="2" w:equalWidth="0">
            <w:col w:w="5400" w:space="40"/>
            <w:col w:w="5410"/>
          </w:cols>
        </w:sectPr>
      </w:pPr>
    </w:p>
    <w:p>
      <w:pPr>
        <w:spacing w:line="360" w:lineRule="auto" w:before="150"/>
        <w:ind w:left="882" w:right="888" w:firstLine="359"/>
        <w:jc w:val="both"/>
        <w:rPr>
          <w:sz w:val="26"/>
        </w:rPr>
      </w:pPr>
      <w:r>
        <w:rPr>
          <w:sz w:val="26"/>
        </w:rPr>
        <w:t>Theo Nguyễn Đình Thọ (2011) thì “</w:t>
      </w:r>
      <w:r>
        <w:rPr>
          <w:i/>
          <w:sz w:val="26"/>
        </w:rPr>
        <w:t>Để kiểm định giá trị phân biệt của tất cả các </w:t>
      </w:r>
      <w:r>
        <w:rPr>
          <w:i/>
          <w:sz w:val="26"/>
        </w:rPr>
        <w:t>khái niệm trong cùng một mô hình, nghĩa là cho các khái niệm liên kết với nhau để tạo mô hình tới hạn</w:t>
      </w:r>
      <w:r>
        <w:rPr>
          <w:sz w:val="26"/>
        </w:rPr>
        <w:t>”. Phân tích nhân tố khẳng định (CFA) đã được thực hiện với 40 biến quan sát. Theo kết quả phân tích nhân tố khám phá (EFA) thì có 8 nhân tố được rút trích ra tương ứng các nhóm thang đo tạo thành mô hình đo lường các khái niệm và đưa vào phân tích nhân tố khẳng định (CFA) nhằm xem xét sự phù hợp mô hình với dữ liệu nghiên cứu. Theo Nguyễn Đình Thọ and Nguyễn Thị Mai Trang (2011) thì “Mô hình đo lường phù hợp với hệ số CMIN/DF &lt;2 và RMSEA &lt;0,8” kết quả phân tích cho</w:t>
      </w:r>
      <w:r>
        <w:rPr>
          <w:spacing w:val="-3"/>
          <w:sz w:val="26"/>
        </w:rPr>
        <w:t> </w:t>
      </w:r>
      <w:r>
        <w:rPr>
          <w:sz w:val="26"/>
        </w:rPr>
        <w:t>thấy:</w:t>
      </w:r>
    </w:p>
    <w:p>
      <w:pPr>
        <w:pStyle w:val="Heading6"/>
        <w:spacing w:line="298" w:lineRule="exact"/>
        <w:ind w:left="1326"/>
      </w:pPr>
      <w:r>
        <w:rPr/>
        <w:t>Bảng 3.9: Các chỉ số đánh giá sự phù hợp của mô hình với dữ liệu nghiên cứu</w:t>
      </w:r>
    </w:p>
    <w:p>
      <w:pPr>
        <w:pStyle w:val="BodyText"/>
        <w:spacing w:before="9" w:after="1"/>
        <w:rPr>
          <w:b/>
          <w:sz w:val="12"/>
        </w:rPr>
      </w:pPr>
    </w:p>
    <w:tbl>
      <w:tblPr>
        <w:tblW w:w="0" w:type="auto"/>
        <w:jc w:val="left"/>
        <w:tblInd w:w="92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5502"/>
        <w:gridCol w:w="3505"/>
      </w:tblGrid>
      <w:tr>
        <w:trPr>
          <w:trHeight w:val="359" w:hRule="atLeast"/>
        </w:trPr>
        <w:tc>
          <w:tcPr>
            <w:tcW w:w="5502" w:type="dxa"/>
            <w:shd w:val="clear" w:color="auto" w:fill="E4E4E4"/>
          </w:tcPr>
          <w:p>
            <w:pPr>
              <w:pStyle w:val="TableParagraph"/>
              <w:spacing w:before="2"/>
              <w:ind w:left="107"/>
              <w:rPr>
                <w:b/>
                <w:sz w:val="26"/>
              </w:rPr>
            </w:pPr>
            <w:r>
              <w:rPr>
                <w:b/>
                <w:sz w:val="26"/>
              </w:rPr>
              <w:t>Các chỉ số đánh giá</w:t>
            </w:r>
          </w:p>
        </w:tc>
        <w:tc>
          <w:tcPr>
            <w:tcW w:w="3505" w:type="dxa"/>
            <w:shd w:val="clear" w:color="auto" w:fill="E4E4E4"/>
          </w:tcPr>
          <w:p>
            <w:pPr>
              <w:pStyle w:val="TableParagraph"/>
              <w:spacing w:before="2"/>
              <w:ind w:left="107"/>
              <w:rPr>
                <w:b/>
                <w:sz w:val="26"/>
              </w:rPr>
            </w:pPr>
            <w:r>
              <w:rPr>
                <w:b/>
                <w:sz w:val="26"/>
              </w:rPr>
              <w:t>Giá trị</w:t>
            </w:r>
          </w:p>
        </w:tc>
      </w:tr>
      <w:tr>
        <w:trPr>
          <w:trHeight w:val="354" w:hRule="atLeast"/>
        </w:trPr>
        <w:tc>
          <w:tcPr>
            <w:tcW w:w="5502" w:type="dxa"/>
          </w:tcPr>
          <w:p>
            <w:pPr>
              <w:pStyle w:val="TableParagraph"/>
              <w:spacing w:before="1"/>
              <w:ind w:left="107"/>
              <w:rPr>
                <w:b/>
                <w:sz w:val="26"/>
              </w:rPr>
            </w:pPr>
            <w:r>
              <w:rPr>
                <w:b/>
                <w:sz w:val="26"/>
              </w:rPr>
              <w:t>CMIN/DF</w:t>
            </w:r>
          </w:p>
        </w:tc>
        <w:tc>
          <w:tcPr>
            <w:tcW w:w="3505" w:type="dxa"/>
          </w:tcPr>
          <w:p>
            <w:pPr>
              <w:pStyle w:val="TableParagraph"/>
              <w:spacing w:before="1"/>
              <w:ind w:left="107"/>
              <w:rPr>
                <w:b/>
                <w:sz w:val="26"/>
              </w:rPr>
            </w:pPr>
            <w:r>
              <w:rPr>
                <w:b/>
                <w:sz w:val="26"/>
              </w:rPr>
              <w:t>1,575</w:t>
            </w:r>
          </w:p>
        </w:tc>
      </w:tr>
      <w:tr>
        <w:trPr>
          <w:trHeight w:val="426" w:hRule="atLeast"/>
        </w:trPr>
        <w:tc>
          <w:tcPr>
            <w:tcW w:w="5502" w:type="dxa"/>
          </w:tcPr>
          <w:p>
            <w:pPr>
              <w:pStyle w:val="TableParagraph"/>
              <w:spacing w:before="4"/>
              <w:ind w:left="107"/>
              <w:rPr>
                <w:b/>
                <w:sz w:val="26"/>
              </w:rPr>
            </w:pPr>
            <w:r>
              <w:rPr>
                <w:b/>
                <w:sz w:val="26"/>
              </w:rPr>
              <w:t>GFI</w:t>
            </w:r>
          </w:p>
        </w:tc>
        <w:tc>
          <w:tcPr>
            <w:tcW w:w="3505" w:type="dxa"/>
          </w:tcPr>
          <w:p>
            <w:pPr>
              <w:pStyle w:val="TableParagraph"/>
              <w:spacing w:before="4"/>
              <w:ind w:left="107"/>
              <w:rPr>
                <w:b/>
                <w:sz w:val="26"/>
              </w:rPr>
            </w:pPr>
            <w:r>
              <w:rPr>
                <w:b/>
                <w:sz w:val="26"/>
              </w:rPr>
              <w:t>0,899</w:t>
            </w:r>
          </w:p>
        </w:tc>
      </w:tr>
    </w:tbl>
    <w:p>
      <w:pPr>
        <w:spacing w:after="0"/>
        <w:rPr>
          <w:sz w:val="26"/>
        </w:rPr>
        <w:sectPr>
          <w:type w:val="continuous"/>
          <w:pgSz w:w="11910" w:h="16850"/>
          <w:pgMar w:top="1840" w:bottom="280" w:left="820" w:right="240"/>
        </w:sectPr>
      </w:pPr>
    </w:p>
    <w:p>
      <w:pPr>
        <w:pStyle w:val="BodyText"/>
        <w:rPr>
          <w:b/>
          <w:sz w:val="20"/>
        </w:rPr>
      </w:pPr>
    </w:p>
    <w:p>
      <w:pPr>
        <w:pStyle w:val="BodyText"/>
        <w:rPr>
          <w:b/>
          <w:sz w:val="20"/>
        </w:rPr>
      </w:pPr>
    </w:p>
    <w:p>
      <w:pPr>
        <w:pStyle w:val="BodyText"/>
        <w:spacing w:before="1"/>
        <w:rPr>
          <w:b/>
          <w:sz w:val="11"/>
        </w:rPr>
      </w:pPr>
    </w:p>
    <w:tbl>
      <w:tblPr>
        <w:tblW w:w="0" w:type="auto"/>
        <w:jc w:val="left"/>
        <w:tblInd w:w="92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5502"/>
        <w:gridCol w:w="3505"/>
      </w:tblGrid>
      <w:tr>
        <w:trPr>
          <w:trHeight w:val="360" w:hRule="atLeast"/>
        </w:trPr>
        <w:tc>
          <w:tcPr>
            <w:tcW w:w="5502" w:type="dxa"/>
            <w:shd w:val="clear" w:color="auto" w:fill="E4E4E4"/>
          </w:tcPr>
          <w:p>
            <w:pPr>
              <w:pStyle w:val="TableParagraph"/>
              <w:spacing w:before="2"/>
              <w:ind w:left="107"/>
              <w:rPr>
                <w:b/>
                <w:sz w:val="26"/>
              </w:rPr>
            </w:pPr>
            <w:r>
              <w:rPr>
                <w:b/>
                <w:sz w:val="26"/>
              </w:rPr>
              <w:t>Các chỉ số đánh giá</w:t>
            </w:r>
          </w:p>
        </w:tc>
        <w:tc>
          <w:tcPr>
            <w:tcW w:w="3505" w:type="dxa"/>
            <w:shd w:val="clear" w:color="auto" w:fill="E4E4E4"/>
          </w:tcPr>
          <w:p>
            <w:pPr>
              <w:pStyle w:val="TableParagraph"/>
              <w:spacing w:before="2"/>
              <w:ind w:left="107"/>
              <w:rPr>
                <w:b/>
                <w:sz w:val="26"/>
              </w:rPr>
            </w:pPr>
            <w:r>
              <w:rPr>
                <w:b/>
                <w:sz w:val="26"/>
              </w:rPr>
              <w:t>Giá trị</w:t>
            </w:r>
          </w:p>
        </w:tc>
      </w:tr>
      <w:tr>
        <w:trPr>
          <w:trHeight w:val="433" w:hRule="atLeast"/>
        </w:trPr>
        <w:tc>
          <w:tcPr>
            <w:tcW w:w="5502" w:type="dxa"/>
          </w:tcPr>
          <w:p>
            <w:pPr>
              <w:pStyle w:val="TableParagraph"/>
              <w:spacing w:before="2"/>
              <w:ind w:left="107"/>
              <w:rPr>
                <w:b/>
                <w:sz w:val="26"/>
              </w:rPr>
            </w:pPr>
            <w:r>
              <w:rPr>
                <w:b/>
                <w:sz w:val="26"/>
              </w:rPr>
              <w:t>TLI</w:t>
            </w:r>
          </w:p>
        </w:tc>
        <w:tc>
          <w:tcPr>
            <w:tcW w:w="3505" w:type="dxa"/>
          </w:tcPr>
          <w:p>
            <w:pPr>
              <w:pStyle w:val="TableParagraph"/>
              <w:spacing w:before="2"/>
              <w:ind w:left="107"/>
              <w:rPr>
                <w:b/>
                <w:sz w:val="26"/>
              </w:rPr>
            </w:pPr>
            <w:r>
              <w:rPr>
                <w:b/>
                <w:sz w:val="26"/>
              </w:rPr>
              <w:t>0,947</w:t>
            </w:r>
          </w:p>
        </w:tc>
      </w:tr>
      <w:tr>
        <w:trPr>
          <w:trHeight w:val="345" w:hRule="atLeast"/>
        </w:trPr>
        <w:tc>
          <w:tcPr>
            <w:tcW w:w="5502" w:type="dxa"/>
          </w:tcPr>
          <w:p>
            <w:pPr>
              <w:pStyle w:val="TableParagraph"/>
              <w:spacing w:before="4"/>
              <w:ind w:left="107"/>
              <w:rPr>
                <w:b/>
                <w:sz w:val="26"/>
              </w:rPr>
            </w:pPr>
            <w:r>
              <w:rPr>
                <w:b/>
                <w:sz w:val="26"/>
              </w:rPr>
              <w:t>CFI</w:t>
            </w:r>
          </w:p>
        </w:tc>
        <w:tc>
          <w:tcPr>
            <w:tcW w:w="3505" w:type="dxa"/>
          </w:tcPr>
          <w:p>
            <w:pPr>
              <w:pStyle w:val="TableParagraph"/>
              <w:spacing w:before="4"/>
              <w:ind w:left="107"/>
              <w:rPr>
                <w:b/>
                <w:sz w:val="26"/>
              </w:rPr>
            </w:pPr>
            <w:r>
              <w:rPr>
                <w:b/>
                <w:sz w:val="26"/>
              </w:rPr>
              <w:t>0,952</w:t>
            </w:r>
          </w:p>
        </w:tc>
      </w:tr>
      <w:tr>
        <w:trPr>
          <w:trHeight w:val="354" w:hRule="atLeast"/>
        </w:trPr>
        <w:tc>
          <w:tcPr>
            <w:tcW w:w="5502" w:type="dxa"/>
          </w:tcPr>
          <w:p>
            <w:pPr>
              <w:pStyle w:val="TableParagraph"/>
              <w:spacing w:before="4"/>
              <w:ind w:left="107"/>
              <w:rPr>
                <w:b/>
                <w:sz w:val="26"/>
              </w:rPr>
            </w:pPr>
            <w:r>
              <w:rPr>
                <w:b/>
                <w:sz w:val="26"/>
              </w:rPr>
              <w:t>RMSEA</w:t>
            </w:r>
          </w:p>
        </w:tc>
        <w:tc>
          <w:tcPr>
            <w:tcW w:w="3505" w:type="dxa"/>
          </w:tcPr>
          <w:p>
            <w:pPr>
              <w:pStyle w:val="TableParagraph"/>
              <w:spacing w:before="4"/>
              <w:ind w:left="107"/>
              <w:rPr>
                <w:b/>
                <w:sz w:val="26"/>
              </w:rPr>
            </w:pPr>
            <w:r>
              <w:rPr>
                <w:b/>
                <w:sz w:val="26"/>
              </w:rPr>
              <w:t>0,033</w:t>
            </w:r>
          </w:p>
        </w:tc>
      </w:tr>
    </w:tbl>
    <w:p>
      <w:pPr>
        <w:pStyle w:val="BodyText"/>
        <w:spacing w:line="360" w:lineRule="auto" w:before="2"/>
        <w:ind w:left="882" w:right="888" w:firstLine="5988"/>
        <w:jc w:val="right"/>
      </w:pPr>
      <w:r>
        <w:rPr>
          <w:i/>
        </w:rPr>
        <w:t>Nguồn: Xử lý dữ liệu từ SPSS</w:t>
      </w:r>
      <w:r>
        <w:rPr>
          <w:i/>
          <w:w w:val="99"/>
        </w:rPr>
        <w:t> </w:t>
      </w:r>
      <w:r>
        <w:rPr/>
        <w:t>Dựa vào bảng trên ta thấy, CMIN/DF= 1,575 (&lt; 2), TLI, CFI ≥ 0,9, GFI ≈ 0,9 và</w:t>
      </w:r>
      <w:r>
        <w:rPr>
          <w:w w:val="99"/>
        </w:rPr>
        <w:t> </w:t>
      </w:r>
      <w:r>
        <w:rPr/>
        <w:t>RMSEA= 0,033 nhỏ hơn 0,08 đều phù hợp. Vì vậy, nhìn tổng thể mô hình phù hợp và</w:t>
      </w:r>
      <w:r>
        <w:rPr>
          <w:w w:val="99"/>
        </w:rPr>
        <w:t> </w:t>
      </w:r>
      <w:r>
        <w:rPr/>
        <w:t>tương thích với dữ liệu nghiên cứu. Bên cạnh đó thì độ tin cậy thang đo, giá trị hội tụ,</w:t>
      </w:r>
    </w:p>
    <w:p>
      <w:pPr>
        <w:pStyle w:val="BodyText"/>
        <w:spacing w:before="1"/>
        <w:ind w:left="882"/>
      </w:pPr>
      <w:r>
        <w:rPr/>
        <w:t>tính đơn nguyên và giá trị phân biệt cũng cần xem xét.</w:t>
      </w:r>
    </w:p>
    <w:p>
      <w:pPr>
        <w:pStyle w:val="Heading6"/>
        <w:numPr>
          <w:ilvl w:val="2"/>
          <w:numId w:val="24"/>
        </w:numPr>
        <w:tabs>
          <w:tab w:pos="1466" w:val="left" w:leader="none"/>
        </w:tabs>
        <w:spacing w:line="240" w:lineRule="auto" w:before="151" w:after="0"/>
        <w:ind w:left="1465" w:right="0" w:hanging="584"/>
        <w:jc w:val="both"/>
      </w:pPr>
      <w:r>
        <w:rPr/>
        <w:t>Đánh giá độ tin cậy thang</w:t>
      </w:r>
      <w:r>
        <w:rPr>
          <w:spacing w:val="1"/>
        </w:rPr>
        <w:t> </w:t>
      </w:r>
      <w:r>
        <w:rPr/>
        <w:t>đo</w:t>
      </w:r>
    </w:p>
    <w:p>
      <w:pPr>
        <w:spacing w:line="360" w:lineRule="auto" w:before="147"/>
        <w:ind w:left="882" w:right="889" w:firstLine="719"/>
        <w:jc w:val="both"/>
        <w:rPr>
          <w:sz w:val="26"/>
        </w:rPr>
      </w:pPr>
      <w:r>
        <w:rPr>
          <w:sz w:val="26"/>
        </w:rPr>
        <w:t>Theo Nguyễn Đình Thọ, 2011 thì “</w:t>
      </w:r>
      <w:r>
        <w:rPr>
          <w:i/>
          <w:sz w:val="26"/>
        </w:rPr>
        <w:t>Độ tin cậy thang đo được đánh giá thông </w:t>
      </w:r>
      <w:r>
        <w:rPr>
          <w:i/>
          <w:sz w:val="26"/>
        </w:rPr>
        <w:t>qua 3 chỉ số: Độ tin cậy tổng hợp (CR), tổng phương sai rút trích (AVE) và hệ số Cronbach’s</w:t>
      </w:r>
      <w:r>
        <w:rPr>
          <w:i/>
          <w:spacing w:val="-2"/>
          <w:sz w:val="26"/>
        </w:rPr>
        <w:t> </w:t>
      </w:r>
      <w:r>
        <w:rPr>
          <w:i/>
          <w:sz w:val="26"/>
        </w:rPr>
        <w:t>Alpha.</w:t>
      </w:r>
      <w:r>
        <w:rPr>
          <w:sz w:val="26"/>
        </w:rPr>
        <w:t>”</w:t>
      </w:r>
    </w:p>
    <w:p>
      <w:pPr>
        <w:pStyle w:val="BodyText"/>
        <w:spacing w:line="360" w:lineRule="auto" w:before="1"/>
        <w:ind w:left="882" w:right="888" w:firstLine="359"/>
        <w:jc w:val="both"/>
      </w:pPr>
      <w:r>
        <w:rPr/>
        <w:t>Theo Hair and cộng sự (1995); Nunnally (1978) thì “thang đo được đánh giá là đáng tin cậy khi độ tin cậy tổng hợp có ý nghĩa khi có giá trị lớn hơn 0,5 và tổng phương sai rút trích có ý nghĩa khi có giá trị trên 0,5.” Dựa vào bảng kết quả ta thấy độ tin cậy tổng hợp (CR) và tổng phương sai rút trích (AVE) của tất cả các thang đo đều lớn hơn hoặc bằng 0,5. Do đó, các thang đo nhìn chung là rất đáng tin cậy. Chi tiết được trình bày trong bảng 3.10 bên dưới:</w:t>
      </w:r>
    </w:p>
    <w:p>
      <w:pPr>
        <w:pStyle w:val="Heading6"/>
        <w:ind w:left="1450"/>
      </w:pPr>
      <w:r>
        <w:rPr/>
        <w:t>Bảng 3.10. Độ tin cậy tổng hợp và tổng phương sai rút trích các nhân tố</w:t>
      </w:r>
    </w:p>
    <w:p>
      <w:pPr>
        <w:pStyle w:val="BodyText"/>
        <w:spacing w:before="10"/>
        <w:rPr>
          <w:b/>
          <w:sz w:val="12"/>
        </w:rPr>
      </w:pPr>
    </w:p>
    <w:tbl>
      <w:tblPr>
        <w:tblW w:w="0" w:type="auto"/>
        <w:jc w:val="left"/>
        <w:tblInd w:w="92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2962"/>
        <w:gridCol w:w="1889"/>
        <w:gridCol w:w="2043"/>
        <w:gridCol w:w="2113"/>
      </w:tblGrid>
      <w:tr>
        <w:trPr>
          <w:trHeight w:val="827" w:hRule="atLeast"/>
        </w:trPr>
        <w:tc>
          <w:tcPr>
            <w:tcW w:w="2962" w:type="dxa"/>
            <w:shd w:val="clear" w:color="auto" w:fill="E4E4E4"/>
          </w:tcPr>
          <w:p>
            <w:pPr>
              <w:pStyle w:val="TableParagraph"/>
              <w:spacing w:before="205"/>
              <w:ind w:left="1047" w:right="1043"/>
              <w:jc w:val="center"/>
              <w:rPr>
                <w:b/>
                <w:sz w:val="24"/>
              </w:rPr>
            </w:pPr>
            <w:r>
              <w:rPr>
                <w:b/>
                <w:sz w:val="24"/>
              </w:rPr>
              <w:t>Nhân tố</w:t>
            </w:r>
          </w:p>
        </w:tc>
        <w:tc>
          <w:tcPr>
            <w:tcW w:w="1889" w:type="dxa"/>
            <w:shd w:val="clear" w:color="auto" w:fill="E4E4E4"/>
          </w:tcPr>
          <w:p>
            <w:pPr>
              <w:pStyle w:val="TableParagraph"/>
              <w:spacing w:line="275" w:lineRule="exact"/>
              <w:ind w:left="144" w:right="140"/>
              <w:jc w:val="center"/>
              <w:rPr>
                <w:b/>
                <w:sz w:val="24"/>
              </w:rPr>
            </w:pPr>
            <w:r>
              <w:rPr>
                <w:b/>
                <w:sz w:val="24"/>
              </w:rPr>
              <w:t>Độ tin cậy tổng</w:t>
            </w:r>
          </w:p>
          <w:p>
            <w:pPr>
              <w:pStyle w:val="TableParagraph"/>
              <w:spacing w:before="139"/>
              <w:ind w:left="143" w:right="140"/>
              <w:jc w:val="center"/>
              <w:rPr>
                <w:b/>
                <w:sz w:val="24"/>
              </w:rPr>
            </w:pPr>
            <w:r>
              <w:rPr>
                <w:b/>
                <w:sz w:val="24"/>
              </w:rPr>
              <w:t>hợp (CR)</w:t>
            </w:r>
          </w:p>
        </w:tc>
        <w:tc>
          <w:tcPr>
            <w:tcW w:w="2043" w:type="dxa"/>
            <w:shd w:val="clear" w:color="auto" w:fill="E4E4E4"/>
          </w:tcPr>
          <w:p>
            <w:pPr>
              <w:pStyle w:val="TableParagraph"/>
              <w:spacing w:line="275" w:lineRule="exact"/>
              <w:ind w:left="153"/>
              <w:rPr>
                <w:b/>
                <w:sz w:val="24"/>
              </w:rPr>
            </w:pPr>
            <w:r>
              <w:rPr>
                <w:b/>
                <w:sz w:val="24"/>
              </w:rPr>
              <w:t>Tổng phương sai</w:t>
            </w:r>
          </w:p>
          <w:p>
            <w:pPr>
              <w:pStyle w:val="TableParagraph"/>
              <w:spacing w:before="139"/>
              <w:ind w:left="220"/>
              <w:rPr>
                <w:b/>
                <w:sz w:val="24"/>
              </w:rPr>
            </w:pPr>
            <w:r>
              <w:rPr>
                <w:b/>
                <w:sz w:val="24"/>
              </w:rPr>
              <w:t>rút trích (AVE)</w:t>
            </w:r>
          </w:p>
        </w:tc>
        <w:tc>
          <w:tcPr>
            <w:tcW w:w="2113" w:type="dxa"/>
            <w:shd w:val="clear" w:color="auto" w:fill="E4E4E4"/>
          </w:tcPr>
          <w:p>
            <w:pPr>
              <w:pStyle w:val="TableParagraph"/>
              <w:spacing w:line="275" w:lineRule="exact"/>
              <w:ind w:left="112"/>
              <w:rPr>
                <w:b/>
                <w:sz w:val="24"/>
              </w:rPr>
            </w:pPr>
            <w:r>
              <w:rPr>
                <w:b/>
                <w:sz w:val="24"/>
              </w:rPr>
              <w:t>Cronbach’s Alpha</w:t>
            </w:r>
          </w:p>
        </w:tc>
      </w:tr>
      <w:tr>
        <w:trPr>
          <w:trHeight w:val="414" w:hRule="atLeast"/>
        </w:trPr>
        <w:tc>
          <w:tcPr>
            <w:tcW w:w="2962" w:type="dxa"/>
          </w:tcPr>
          <w:p>
            <w:pPr>
              <w:pStyle w:val="TableParagraph"/>
              <w:spacing w:line="275" w:lineRule="exact"/>
              <w:ind w:left="107"/>
              <w:rPr>
                <w:sz w:val="24"/>
              </w:rPr>
            </w:pPr>
            <w:r>
              <w:rPr>
                <w:sz w:val="24"/>
              </w:rPr>
              <w:t>Chất lượng dịch vụ</w:t>
            </w:r>
          </w:p>
        </w:tc>
        <w:tc>
          <w:tcPr>
            <w:tcW w:w="1889" w:type="dxa"/>
          </w:tcPr>
          <w:p>
            <w:pPr>
              <w:pStyle w:val="TableParagraph"/>
              <w:spacing w:line="275" w:lineRule="exact"/>
              <w:ind w:left="105"/>
              <w:rPr>
                <w:sz w:val="24"/>
              </w:rPr>
            </w:pPr>
            <w:r>
              <w:rPr>
                <w:sz w:val="24"/>
              </w:rPr>
              <w:t>0,874</w:t>
            </w:r>
          </w:p>
        </w:tc>
        <w:tc>
          <w:tcPr>
            <w:tcW w:w="2043" w:type="dxa"/>
          </w:tcPr>
          <w:p>
            <w:pPr>
              <w:pStyle w:val="TableParagraph"/>
              <w:spacing w:line="275" w:lineRule="exact"/>
              <w:ind w:left="108"/>
              <w:rPr>
                <w:sz w:val="24"/>
              </w:rPr>
            </w:pPr>
            <w:r>
              <w:rPr>
                <w:sz w:val="24"/>
              </w:rPr>
              <w:t>0,504</w:t>
            </w:r>
          </w:p>
        </w:tc>
        <w:tc>
          <w:tcPr>
            <w:tcW w:w="2113" w:type="dxa"/>
          </w:tcPr>
          <w:p>
            <w:pPr>
              <w:pStyle w:val="TableParagraph"/>
              <w:spacing w:line="275" w:lineRule="exact"/>
              <w:ind w:left="107"/>
              <w:rPr>
                <w:sz w:val="24"/>
              </w:rPr>
            </w:pPr>
            <w:r>
              <w:rPr>
                <w:sz w:val="24"/>
              </w:rPr>
              <w:t>0,868</w:t>
            </w:r>
          </w:p>
        </w:tc>
      </w:tr>
      <w:tr>
        <w:trPr>
          <w:trHeight w:val="412" w:hRule="atLeast"/>
        </w:trPr>
        <w:tc>
          <w:tcPr>
            <w:tcW w:w="2962" w:type="dxa"/>
          </w:tcPr>
          <w:p>
            <w:pPr>
              <w:pStyle w:val="TableParagraph"/>
              <w:spacing w:line="275" w:lineRule="exact"/>
              <w:ind w:left="107"/>
              <w:rPr>
                <w:sz w:val="24"/>
              </w:rPr>
            </w:pPr>
            <w:r>
              <w:rPr>
                <w:sz w:val="24"/>
              </w:rPr>
              <w:t>Chi phí Logistics</w:t>
            </w:r>
          </w:p>
        </w:tc>
        <w:tc>
          <w:tcPr>
            <w:tcW w:w="1889" w:type="dxa"/>
          </w:tcPr>
          <w:p>
            <w:pPr>
              <w:pStyle w:val="TableParagraph"/>
              <w:spacing w:line="275" w:lineRule="exact"/>
              <w:ind w:left="105"/>
              <w:rPr>
                <w:sz w:val="24"/>
              </w:rPr>
            </w:pPr>
            <w:r>
              <w:rPr>
                <w:sz w:val="24"/>
              </w:rPr>
              <w:t>0,864</w:t>
            </w:r>
          </w:p>
        </w:tc>
        <w:tc>
          <w:tcPr>
            <w:tcW w:w="2043" w:type="dxa"/>
          </w:tcPr>
          <w:p>
            <w:pPr>
              <w:pStyle w:val="TableParagraph"/>
              <w:spacing w:line="275" w:lineRule="exact"/>
              <w:ind w:left="108"/>
              <w:rPr>
                <w:sz w:val="24"/>
              </w:rPr>
            </w:pPr>
            <w:r>
              <w:rPr>
                <w:sz w:val="24"/>
              </w:rPr>
              <w:t>0,517</w:t>
            </w:r>
          </w:p>
        </w:tc>
        <w:tc>
          <w:tcPr>
            <w:tcW w:w="2113" w:type="dxa"/>
          </w:tcPr>
          <w:p>
            <w:pPr>
              <w:pStyle w:val="TableParagraph"/>
              <w:spacing w:line="275" w:lineRule="exact"/>
              <w:ind w:left="107"/>
              <w:rPr>
                <w:sz w:val="24"/>
              </w:rPr>
            </w:pPr>
            <w:r>
              <w:rPr>
                <w:sz w:val="24"/>
              </w:rPr>
              <w:t>0,876</w:t>
            </w:r>
          </w:p>
        </w:tc>
      </w:tr>
      <w:tr>
        <w:trPr>
          <w:trHeight w:val="414" w:hRule="atLeast"/>
        </w:trPr>
        <w:tc>
          <w:tcPr>
            <w:tcW w:w="2962" w:type="dxa"/>
          </w:tcPr>
          <w:p>
            <w:pPr>
              <w:pStyle w:val="TableParagraph"/>
              <w:spacing w:before="1"/>
              <w:ind w:left="107"/>
              <w:rPr>
                <w:sz w:val="24"/>
              </w:rPr>
            </w:pPr>
            <w:r>
              <w:rPr>
                <w:sz w:val="24"/>
              </w:rPr>
              <w:t>Hạ tầng cảng</w:t>
            </w:r>
          </w:p>
        </w:tc>
        <w:tc>
          <w:tcPr>
            <w:tcW w:w="1889" w:type="dxa"/>
          </w:tcPr>
          <w:p>
            <w:pPr>
              <w:pStyle w:val="TableParagraph"/>
              <w:spacing w:before="1"/>
              <w:ind w:left="105"/>
              <w:rPr>
                <w:sz w:val="24"/>
              </w:rPr>
            </w:pPr>
            <w:r>
              <w:rPr>
                <w:sz w:val="24"/>
              </w:rPr>
              <w:t>0,867</w:t>
            </w:r>
          </w:p>
        </w:tc>
        <w:tc>
          <w:tcPr>
            <w:tcW w:w="2043" w:type="dxa"/>
          </w:tcPr>
          <w:p>
            <w:pPr>
              <w:pStyle w:val="TableParagraph"/>
              <w:spacing w:before="1"/>
              <w:ind w:left="108"/>
              <w:rPr>
                <w:sz w:val="24"/>
              </w:rPr>
            </w:pPr>
            <w:r>
              <w:rPr>
                <w:sz w:val="24"/>
              </w:rPr>
              <w:t>0,524</w:t>
            </w:r>
          </w:p>
        </w:tc>
        <w:tc>
          <w:tcPr>
            <w:tcW w:w="2113" w:type="dxa"/>
          </w:tcPr>
          <w:p>
            <w:pPr>
              <w:pStyle w:val="TableParagraph"/>
              <w:spacing w:before="1"/>
              <w:ind w:left="107"/>
              <w:rPr>
                <w:sz w:val="24"/>
              </w:rPr>
            </w:pPr>
            <w:r>
              <w:rPr>
                <w:sz w:val="24"/>
              </w:rPr>
              <w:t>0,872</w:t>
            </w:r>
          </w:p>
        </w:tc>
      </w:tr>
      <w:tr>
        <w:trPr>
          <w:trHeight w:val="415" w:hRule="atLeast"/>
        </w:trPr>
        <w:tc>
          <w:tcPr>
            <w:tcW w:w="2962" w:type="dxa"/>
          </w:tcPr>
          <w:p>
            <w:pPr>
              <w:pStyle w:val="TableParagraph"/>
              <w:spacing w:line="276" w:lineRule="exact"/>
              <w:ind w:left="107"/>
              <w:rPr>
                <w:sz w:val="24"/>
              </w:rPr>
            </w:pPr>
            <w:r>
              <w:rPr>
                <w:sz w:val="24"/>
              </w:rPr>
              <w:t>Năng lực kết nối nội địa</w:t>
            </w:r>
          </w:p>
        </w:tc>
        <w:tc>
          <w:tcPr>
            <w:tcW w:w="1889" w:type="dxa"/>
          </w:tcPr>
          <w:p>
            <w:pPr>
              <w:pStyle w:val="TableParagraph"/>
              <w:spacing w:line="276" w:lineRule="exact"/>
              <w:ind w:left="105"/>
              <w:rPr>
                <w:sz w:val="24"/>
              </w:rPr>
            </w:pPr>
            <w:r>
              <w:rPr>
                <w:sz w:val="24"/>
              </w:rPr>
              <w:t>0,835</w:t>
            </w:r>
          </w:p>
        </w:tc>
        <w:tc>
          <w:tcPr>
            <w:tcW w:w="2043" w:type="dxa"/>
          </w:tcPr>
          <w:p>
            <w:pPr>
              <w:pStyle w:val="TableParagraph"/>
              <w:spacing w:line="276" w:lineRule="exact"/>
              <w:ind w:left="108"/>
              <w:rPr>
                <w:sz w:val="24"/>
              </w:rPr>
            </w:pPr>
            <w:r>
              <w:rPr>
                <w:sz w:val="24"/>
              </w:rPr>
              <w:t>0,511</w:t>
            </w:r>
          </w:p>
        </w:tc>
        <w:tc>
          <w:tcPr>
            <w:tcW w:w="2113" w:type="dxa"/>
          </w:tcPr>
          <w:p>
            <w:pPr>
              <w:pStyle w:val="TableParagraph"/>
              <w:spacing w:line="276" w:lineRule="exact"/>
              <w:ind w:left="107"/>
              <w:rPr>
                <w:sz w:val="24"/>
              </w:rPr>
            </w:pPr>
            <w:r>
              <w:rPr>
                <w:sz w:val="24"/>
              </w:rPr>
              <w:t>0,832</w:t>
            </w:r>
          </w:p>
        </w:tc>
      </w:tr>
      <w:tr>
        <w:trPr>
          <w:trHeight w:val="412" w:hRule="atLeast"/>
        </w:trPr>
        <w:tc>
          <w:tcPr>
            <w:tcW w:w="2962" w:type="dxa"/>
          </w:tcPr>
          <w:p>
            <w:pPr>
              <w:pStyle w:val="TableParagraph"/>
              <w:spacing w:line="275" w:lineRule="exact"/>
              <w:ind w:left="107"/>
              <w:rPr>
                <w:sz w:val="24"/>
              </w:rPr>
            </w:pPr>
            <w:r>
              <w:rPr>
                <w:sz w:val="24"/>
              </w:rPr>
              <w:t>Vị trí cảng container</w:t>
            </w:r>
          </w:p>
        </w:tc>
        <w:tc>
          <w:tcPr>
            <w:tcW w:w="1889" w:type="dxa"/>
          </w:tcPr>
          <w:p>
            <w:pPr>
              <w:pStyle w:val="TableParagraph"/>
              <w:spacing w:line="275" w:lineRule="exact"/>
              <w:ind w:left="105"/>
              <w:rPr>
                <w:sz w:val="24"/>
              </w:rPr>
            </w:pPr>
            <w:r>
              <w:rPr>
                <w:sz w:val="24"/>
              </w:rPr>
              <w:t>0,860</w:t>
            </w:r>
          </w:p>
        </w:tc>
        <w:tc>
          <w:tcPr>
            <w:tcW w:w="2043" w:type="dxa"/>
          </w:tcPr>
          <w:p>
            <w:pPr>
              <w:pStyle w:val="TableParagraph"/>
              <w:spacing w:line="275" w:lineRule="exact"/>
              <w:ind w:left="108"/>
              <w:rPr>
                <w:sz w:val="24"/>
              </w:rPr>
            </w:pPr>
            <w:r>
              <w:rPr>
                <w:sz w:val="24"/>
              </w:rPr>
              <w:t>0,552</w:t>
            </w:r>
          </w:p>
        </w:tc>
        <w:tc>
          <w:tcPr>
            <w:tcW w:w="2113" w:type="dxa"/>
          </w:tcPr>
          <w:p>
            <w:pPr>
              <w:pStyle w:val="TableParagraph"/>
              <w:spacing w:line="275" w:lineRule="exact"/>
              <w:ind w:left="107"/>
              <w:rPr>
                <w:sz w:val="24"/>
              </w:rPr>
            </w:pPr>
            <w:r>
              <w:rPr>
                <w:sz w:val="24"/>
              </w:rPr>
              <w:t>0,857</w:t>
            </w:r>
          </w:p>
        </w:tc>
      </w:tr>
      <w:tr>
        <w:trPr>
          <w:trHeight w:val="414" w:hRule="atLeast"/>
        </w:trPr>
        <w:tc>
          <w:tcPr>
            <w:tcW w:w="2962" w:type="dxa"/>
          </w:tcPr>
          <w:p>
            <w:pPr>
              <w:pStyle w:val="TableParagraph"/>
              <w:spacing w:before="1"/>
              <w:ind w:left="107"/>
              <w:rPr>
                <w:sz w:val="24"/>
              </w:rPr>
            </w:pPr>
            <w:r>
              <w:rPr>
                <w:sz w:val="24"/>
              </w:rPr>
              <w:t>Tin cậy</w:t>
            </w:r>
          </w:p>
        </w:tc>
        <w:tc>
          <w:tcPr>
            <w:tcW w:w="1889" w:type="dxa"/>
          </w:tcPr>
          <w:p>
            <w:pPr>
              <w:pStyle w:val="TableParagraph"/>
              <w:spacing w:before="1"/>
              <w:ind w:left="105"/>
              <w:rPr>
                <w:sz w:val="24"/>
              </w:rPr>
            </w:pPr>
            <w:r>
              <w:rPr>
                <w:sz w:val="24"/>
              </w:rPr>
              <w:t>0,849</w:t>
            </w:r>
          </w:p>
        </w:tc>
        <w:tc>
          <w:tcPr>
            <w:tcW w:w="2043" w:type="dxa"/>
          </w:tcPr>
          <w:p>
            <w:pPr>
              <w:pStyle w:val="TableParagraph"/>
              <w:spacing w:before="1"/>
              <w:ind w:left="108"/>
              <w:rPr>
                <w:sz w:val="24"/>
              </w:rPr>
            </w:pPr>
            <w:r>
              <w:rPr>
                <w:sz w:val="24"/>
              </w:rPr>
              <w:t>0,585</w:t>
            </w:r>
          </w:p>
        </w:tc>
        <w:tc>
          <w:tcPr>
            <w:tcW w:w="2113" w:type="dxa"/>
          </w:tcPr>
          <w:p>
            <w:pPr>
              <w:pStyle w:val="TableParagraph"/>
              <w:spacing w:before="1"/>
              <w:ind w:left="107"/>
              <w:rPr>
                <w:sz w:val="24"/>
              </w:rPr>
            </w:pPr>
            <w:r>
              <w:rPr>
                <w:sz w:val="24"/>
              </w:rPr>
              <w:t>0,846</w:t>
            </w:r>
          </w:p>
        </w:tc>
      </w:tr>
      <w:tr>
        <w:trPr>
          <w:trHeight w:val="414" w:hRule="atLeast"/>
        </w:trPr>
        <w:tc>
          <w:tcPr>
            <w:tcW w:w="2962" w:type="dxa"/>
          </w:tcPr>
          <w:p>
            <w:pPr>
              <w:pStyle w:val="TableParagraph"/>
              <w:spacing w:line="275" w:lineRule="exact"/>
              <w:ind w:left="107"/>
              <w:rPr>
                <w:sz w:val="24"/>
              </w:rPr>
            </w:pPr>
            <w:r>
              <w:rPr>
                <w:sz w:val="24"/>
              </w:rPr>
              <w:t>Khách hàng hài lòng</w:t>
            </w:r>
          </w:p>
        </w:tc>
        <w:tc>
          <w:tcPr>
            <w:tcW w:w="1889" w:type="dxa"/>
          </w:tcPr>
          <w:p>
            <w:pPr>
              <w:pStyle w:val="TableParagraph"/>
              <w:spacing w:line="275" w:lineRule="exact"/>
              <w:ind w:left="105"/>
              <w:rPr>
                <w:sz w:val="24"/>
              </w:rPr>
            </w:pPr>
            <w:r>
              <w:rPr>
                <w:sz w:val="24"/>
              </w:rPr>
              <w:t>0,756</w:t>
            </w:r>
          </w:p>
        </w:tc>
        <w:tc>
          <w:tcPr>
            <w:tcW w:w="2043" w:type="dxa"/>
          </w:tcPr>
          <w:p>
            <w:pPr>
              <w:pStyle w:val="TableParagraph"/>
              <w:spacing w:line="275" w:lineRule="exact"/>
              <w:ind w:left="108"/>
              <w:rPr>
                <w:sz w:val="24"/>
              </w:rPr>
            </w:pPr>
            <w:r>
              <w:rPr>
                <w:sz w:val="24"/>
              </w:rPr>
              <w:t>0,508</w:t>
            </w:r>
          </w:p>
        </w:tc>
        <w:tc>
          <w:tcPr>
            <w:tcW w:w="2113" w:type="dxa"/>
          </w:tcPr>
          <w:p>
            <w:pPr>
              <w:pStyle w:val="TableParagraph"/>
              <w:spacing w:line="275" w:lineRule="exact"/>
              <w:ind w:left="107"/>
              <w:rPr>
                <w:sz w:val="24"/>
              </w:rPr>
            </w:pPr>
            <w:r>
              <w:rPr>
                <w:sz w:val="24"/>
              </w:rPr>
              <w:t>0,753</w:t>
            </w:r>
          </w:p>
        </w:tc>
      </w:tr>
      <w:tr>
        <w:trPr>
          <w:trHeight w:val="414" w:hRule="atLeast"/>
        </w:trPr>
        <w:tc>
          <w:tcPr>
            <w:tcW w:w="2962" w:type="dxa"/>
          </w:tcPr>
          <w:p>
            <w:pPr>
              <w:pStyle w:val="TableParagraph"/>
              <w:spacing w:line="275" w:lineRule="exact"/>
              <w:ind w:left="107"/>
              <w:rPr>
                <w:sz w:val="24"/>
              </w:rPr>
            </w:pPr>
            <w:r>
              <w:rPr>
                <w:sz w:val="24"/>
              </w:rPr>
              <w:t>Lợi ích khách hàng</w:t>
            </w:r>
          </w:p>
        </w:tc>
        <w:tc>
          <w:tcPr>
            <w:tcW w:w="1889" w:type="dxa"/>
          </w:tcPr>
          <w:p>
            <w:pPr>
              <w:pStyle w:val="TableParagraph"/>
              <w:spacing w:line="275" w:lineRule="exact"/>
              <w:ind w:left="105"/>
              <w:rPr>
                <w:sz w:val="24"/>
              </w:rPr>
            </w:pPr>
            <w:r>
              <w:rPr>
                <w:sz w:val="24"/>
              </w:rPr>
              <w:t>0,732</w:t>
            </w:r>
          </w:p>
        </w:tc>
        <w:tc>
          <w:tcPr>
            <w:tcW w:w="2043" w:type="dxa"/>
          </w:tcPr>
          <w:p>
            <w:pPr>
              <w:pStyle w:val="TableParagraph"/>
              <w:spacing w:line="275" w:lineRule="exact"/>
              <w:ind w:left="108"/>
              <w:rPr>
                <w:sz w:val="24"/>
              </w:rPr>
            </w:pPr>
            <w:r>
              <w:rPr>
                <w:sz w:val="24"/>
              </w:rPr>
              <w:t>0,519</w:t>
            </w:r>
          </w:p>
        </w:tc>
        <w:tc>
          <w:tcPr>
            <w:tcW w:w="2113" w:type="dxa"/>
          </w:tcPr>
          <w:p>
            <w:pPr>
              <w:pStyle w:val="TableParagraph"/>
              <w:spacing w:line="275" w:lineRule="exact"/>
              <w:ind w:left="107"/>
              <w:rPr>
                <w:sz w:val="24"/>
              </w:rPr>
            </w:pPr>
            <w:r>
              <w:rPr>
                <w:sz w:val="24"/>
              </w:rPr>
              <w:t>0,730</w:t>
            </w:r>
          </w:p>
        </w:tc>
      </w:tr>
    </w:tbl>
    <w:p>
      <w:pPr>
        <w:spacing w:before="2"/>
        <w:ind w:left="6871" w:right="0" w:firstLine="0"/>
        <w:jc w:val="left"/>
        <w:rPr>
          <w:i/>
          <w:sz w:val="26"/>
        </w:rPr>
      </w:pPr>
      <w:r>
        <w:rPr>
          <w:i/>
          <w:sz w:val="26"/>
        </w:rPr>
        <w:t>Nguồn: Xử lý dữ liệu từ SPSS</w:t>
      </w:r>
    </w:p>
    <w:p>
      <w:pPr>
        <w:spacing w:after="0"/>
        <w:jc w:val="left"/>
        <w:rPr>
          <w:sz w:val="26"/>
        </w:rPr>
        <w:sectPr>
          <w:pgSz w:w="11910" w:h="16850"/>
          <w:pgMar w:header="751" w:footer="0" w:top="960" w:bottom="280" w:left="820" w:right="240"/>
        </w:sectPr>
      </w:pPr>
    </w:p>
    <w:p>
      <w:pPr>
        <w:pStyle w:val="BodyText"/>
        <w:rPr>
          <w:i/>
          <w:sz w:val="20"/>
        </w:rPr>
      </w:pPr>
    </w:p>
    <w:p>
      <w:pPr>
        <w:pStyle w:val="BodyText"/>
        <w:spacing w:before="7"/>
        <w:rPr>
          <w:i/>
          <w:sz w:val="23"/>
        </w:rPr>
      </w:pPr>
    </w:p>
    <w:p>
      <w:pPr>
        <w:pStyle w:val="Heading6"/>
        <w:numPr>
          <w:ilvl w:val="2"/>
          <w:numId w:val="24"/>
        </w:numPr>
        <w:tabs>
          <w:tab w:pos="1466" w:val="left" w:leader="none"/>
        </w:tabs>
        <w:spacing w:line="240" w:lineRule="auto" w:before="89" w:after="0"/>
        <w:ind w:left="1465" w:right="0" w:hanging="584"/>
        <w:jc w:val="both"/>
      </w:pPr>
      <w:r>
        <w:rPr/>
        <w:t>Kiểm định giá trị hội tụ</w:t>
      </w:r>
    </w:p>
    <w:p>
      <w:pPr>
        <w:pStyle w:val="BodyText"/>
        <w:spacing w:line="360" w:lineRule="auto" w:before="150"/>
        <w:ind w:left="882" w:right="888" w:firstLine="359"/>
        <w:jc w:val="both"/>
      </w:pPr>
      <w:r>
        <w:rPr/>
        <w:t>Theo Gerbring and Anderson (1988); Hair and cộng sự (1992) thì “Thang đo được xem là đạt giá trị hội tụ khi các trọng số chuẩn hóa của các thang đo lớn hơn 0,5 và có ý nghĩa thống kê”. Bên cạnh đó, còn có một tiêu chí khác để kiểm định giá trị hội tụ đó là tổng phương sai rút trích (AVE) của các khái niệm đo lường. Fornell and Larcker (1981) cho rằng “để nhân tố đạt giá trị hội tụ thì AVE tối thiểu phải là 0.5.” Dựa trên kết quả phân tích cho thấy được tất cả hệ số đã chuẩn hóa và chưa chuẩn hóa đều có giá trị lớn hơn 0,5, đồng thời đó là các giá trị tổng phương sai rút trích (AVE) đều lớn hơn 0,5 nên có thể kết luận các nhân tố đạt giá trị hội</w:t>
      </w:r>
      <w:r>
        <w:rPr>
          <w:spacing w:val="-4"/>
        </w:rPr>
        <w:t> </w:t>
      </w:r>
      <w:r>
        <w:rPr/>
        <w:t>tụ.</w:t>
      </w:r>
    </w:p>
    <w:p>
      <w:pPr>
        <w:pStyle w:val="Heading6"/>
        <w:ind w:left="2425"/>
      </w:pPr>
      <w:r>
        <w:rPr/>
        <w:t>Bảng 3.11. Các hệ số chưa chuẩn hóa và đã chuẩn hóa</w:t>
      </w:r>
    </w:p>
    <w:p>
      <w:pPr>
        <w:pStyle w:val="BodyText"/>
        <w:spacing w:before="10"/>
        <w:rPr>
          <w:b/>
          <w:sz w:val="12"/>
        </w:rPr>
      </w:pPr>
    </w:p>
    <w:tbl>
      <w:tblPr>
        <w:tblW w:w="0" w:type="auto"/>
        <w:jc w:val="left"/>
        <w:tblInd w:w="85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1447"/>
        <w:gridCol w:w="825"/>
        <w:gridCol w:w="1730"/>
        <w:gridCol w:w="2692"/>
        <w:gridCol w:w="2517"/>
      </w:tblGrid>
      <w:tr>
        <w:trPr>
          <w:trHeight w:val="938" w:hRule="atLeast"/>
        </w:trPr>
        <w:tc>
          <w:tcPr>
            <w:tcW w:w="4002" w:type="dxa"/>
            <w:gridSpan w:val="3"/>
            <w:tcBorders>
              <w:right w:val="single" w:sz="6" w:space="0" w:color="000000"/>
            </w:tcBorders>
            <w:shd w:val="clear" w:color="auto" w:fill="E4E4E4"/>
          </w:tcPr>
          <w:p>
            <w:pPr>
              <w:pStyle w:val="TableParagraph"/>
              <w:spacing w:before="246"/>
              <w:ind w:left="107"/>
              <w:rPr>
                <w:b/>
                <w:sz w:val="26"/>
              </w:rPr>
            </w:pPr>
            <w:r>
              <w:rPr>
                <w:b/>
                <w:sz w:val="26"/>
              </w:rPr>
              <w:t>Mối tương quan giữa các nhân tố</w:t>
            </w:r>
          </w:p>
        </w:tc>
        <w:tc>
          <w:tcPr>
            <w:tcW w:w="2692" w:type="dxa"/>
            <w:tcBorders>
              <w:left w:val="single" w:sz="6" w:space="0" w:color="000000"/>
            </w:tcBorders>
            <w:shd w:val="clear" w:color="auto" w:fill="E4E4E4"/>
          </w:tcPr>
          <w:p>
            <w:pPr>
              <w:pStyle w:val="TableParagraph"/>
              <w:spacing w:before="246"/>
              <w:ind w:left="126"/>
              <w:rPr>
                <w:b/>
                <w:sz w:val="26"/>
              </w:rPr>
            </w:pPr>
            <w:r>
              <w:rPr>
                <w:b/>
                <w:sz w:val="26"/>
              </w:rPr>
              <w:t>Hệ số chưa chuẩn hóa</w:t>
            </w:r>
          </w:p>
        </w:tc>
        <w:tc>
          <w:tcPr>
            <w:tcW w:w="2517" w:type="dxa"/>
            <w:shd w:val="clear" w:color="auto" w:fill="E4E4E4"/>
          </w:tcPr>
          <w:p>
            <w:pPr>
              <w:pStyle w:val="TableParagraph"/>
              <w:spacing w:before="246"/>
              <w:ind w:left="177"/>
              <w:rPr>
                <w:b/>
                <w:sz w:val="26"/>
              </w:rPr>
            </w:pPr>
            <w:r>
              <w:rPr>
                <w:b/>
                <w:sz w:val="26"/>
              </w:rPr>
              <w:t>Hệ số đã chuẩn hóa</w:t>
            </w:r>
          </w:p>
        </w:tc>
      </w:tr>
      <w:tr>
        <w:trPr>
          <w:trHeight w:val="494" w:hRule="atLeast"/>
        </w:trPr>
        <w:tc>
          <w:tcPr>
            <w:tcW w:w="1447" w:type="dxa"/>
          </w:tcPr>
          <w:p>
            <w:pPr>
              <w:pStyle w:val="TableParagraph"/>
              <w:spacing w:before="2"/>
              <w:ind w:left="107"/>
              <w:rPr>
                <w:sz w:val="26"/>
              </w:rPr>
            </w:pPr>
            <w:r>
              <w:rPr>
                <w:sz w:val="26"/>
              </w:rPr>
              <w:t>CLDV1</w:t>
            </w:r>
          </w:p>
        </w:tc>
        <w:tc>
          <w:tcPr>
            <w:tcW w:w="825" w:type="dxa"/>
          </w:tcPr>
          <w:p>
            <w:pPr>
              <w:pStyle w:val="TableParagraph"/>
              <w:spacing w:before="2"/>
              <w:ind w:left="105"/>
              <w:rPr>
                <w:sz w:val="26"/>
              </w:rPr>
            </w:pPr>
            <w:r>
              <w:rPr>
                <w:w w:val="99"/>
                <w:sz w:val="26"/>
              </w:rPr>
              <w:t>←</w:t>
            </w:r>
          </w:p>
        </w:tc>
        <w:tc>
          <w:tcPr>
            <w:tcW w:w="1730" w:type="dxa"/>
            <w:tcBorders>
              <w:right w:val="single" w:sz="6" w:space="0" w:color="000000"/>
            </w:tcBorders>
          </w:tcPr>
          <w:p>
            <w:pPr>
              <w:pStyle w:val="TableParagraph"/>
              <w:spacing w:before="2"/>
              <w:ind w:left="109"/>
              <w:rPr>
                <w:sz w:val="26"/>
              </w:rPr>
            </w:pPr>
            <w:r>
              <w:rPr>
                <w:sz w:val="26"/>
              </w:rPr>
              <w:t>CLDV</w:t>
            </w:r>
          </w:p>
        </w:tc>
        <w:tc>
          <w:tcPr>
            <w:tcW w:w="2692" w:type="dxa"/>
            <w:tcBorders>
              <w:left w:val="single" w:sz="6" w:space="0" w:color="000000"/>
            </w:tcBorders>
          </w:tcPr>
          <w:p>
            <w:pPr>
              <w:pStyle w:val="TableParagraph"/>
              <w:spacing w:before="26"/>
              <w:ind w:left="107"/>
              <w:rPr>
                <w:sz w:val="26"/>
              </w:rPr>
            </w:pPr>
            <w:r>
              <w:rPr>
                <w:sz w:val="26"/>
              </w:rPr>
              <w:t>1,000</w:t>
            </w:r>
          </w:p>
        </w:tc>
        <w:tc>
          <w:tcPr>
            <w:tcW w:w="2517" w:type="dxa"/>
          </w:tcPr>
          <w:p>
            <w:pPr>
              <w:pStyle w:val="TableParagraph"/>
              <w:spacing w:before="26"/>
              <w:ind w:left="110"/>
              <w:rPr>
                <w:sz w:val="26"/>
              </w:rPr>
            </w:pPr>
            <w:r>
              <w:rPr>
                <w:sz w:val="26"/>
              </w:rPr>
              <w:t>0,775</w:t>
            </w:r>
          </w:p>
        </w:tc>
      </w:tr>
      <w:tr>
        <w:trPr>
          <w:trHeight w:val="496" w:hRule="atLeast"/>
        </w:trPr>
        <w:tc>
          <w:tcPr>
            <w:tcW w:w="1447" w:type="dxa"/>
          </w:tcPr>
          <w:p>
            <w:pPr>
              <w:pStyle w:val="TableParagraph"/>
              <w:spacing w:before="4"/>
              <w:ind w:left="107"/>
              <w:rPr>
                <w:sz w:val="26"/>
              </w:rPr>
            </w:pPr>
            <w:r>
              <w:rPr>
                <w:sz w:val="26"/>
              </w:rPr>
              <w:t>CLDV7</w:t>
            </w:r>
          </w:p>
        </w:tc>
        <w:tc>
          <w:tcPr>
            <w:tcW w:w="825" w:type="dxa"/>
          </w:tcPr>
          <w:p>
            <w:pPr>
              <w:pStyle w:val="TableParagraph"/>
              <w:spacing w:before="4"/>
              <w:ind w:left="105"/>
              <w:rPr>
                <w:sz w:val="26"/>
              </w:rPr>
            </w:pPr>
            <w:r>
              <w:rPr>
                <w:w w:val="99"/>
                <w:sz w:val="26"/>
              </w:rPr>
              <w:t>←</w:t>
            </w:r>
          </w:p>
        </w:tc>
        <w:tc>
          <w:tcPr>
            <w:tcW w:w="1730" w:type="dxa"/>
            <w:tcBorders>
              <w:right w:val="single" w:sz="6" w:space="0" w:color="000000"/>
            </w:tcBorders>
          </w:tcPr>
          <w:p>
            <w:pPr>
              <w:pStyle w:val="TableParagraph"/>
              <w:spacing w:before="4"/>
              <w:ind w:left="109"/>
              <w:rPr>
                <w:sz w:val="26"/>
              </w:rPr>
            </w:pPr>
            <w:r>
              <w:rPr>
                <w:sz w:val="26"/>
              </w:rPr>
              <w:t>CLDV</w:t>
            </w:r>
          </w:p>
        </w:tc>
        <w:tc>
          <w:tcPr>
            <w:tcW w:w="2692" w:type="dxa"/>
            <w:tcBorders>
              <w:left w:val="single" w:sz="6" w:space="0" w:color="000000"/>
            </w:tcBorders>
          </w:tcPr>
          <w:p>
            <w:pPr>
              <w:pStyle w:val="TableParagraph"/>
              <w:spacing w:before="26"/>
              <w:ind w:left="107"/>
              <w:rPr>
                <w:sz w:val="26"/>
              </w:rPr>
            </w:pPr>
            <w:r>
              <w:rPr>
                <w:sz w:val="26"/>
              </w:rPr>
              <w:t>0,998</w:t>
            </w:r>
          </w:p>
        </w:tc>
        <w:tc>
          <w:tcPr>
            <w:tcW w:w="2517" w:type="dxa"/>
          </w:tcPr>
          <w:p>
            <w:pPr>
              <w:pStyle w:val="TableParagraph"/>
              <w:spacing w:before="26"/>
              <w:ind w:left="110"/>
              <w:rPr>
                <w:sz w:val="26"/>
              </w:rPr>
            </w:pPr>
            <w:r>
              <w:rPr>
                <w:sz w:val="26"/>
              </w:rPr>
              <w:t>0,717</w:t>
            </w:r>
          </w:p>
        </w:tc>
      </w:tr>
      <w:tr>
        <w:trPr>
          <w:trHeight w:val="496" w:hRule="atLeast"/>
        </w:trPr>
        <w:tc>
          <w:tcPr>
            <w:tcW w:w="1447" w:type="dxa"/>
          </w:tcPr>
          <w:p>
            <w:pPr>
              <w:pStyle w:val="TableParagraph"/>
              <w:spacing w:before="2"/>
              <w:ind w:left="107"/>
              <w:rPr>
                <w:sz w:val="26"/>
              </w:rPr>
            </w:pPr>
            <w:r>
              <w:rPr>
                <w:sz w:val="26"/>
              </w:rPr>
              <w:t>CLDV8</w:t>
            </w:r>
          </w:p>
        </w:tc>
        <w:tc>
          <w:tcPr>
            <w:tcW w:w="825" w:type="dxa"/>
          </w:tcPr>
          <w:p>
            <w:pPr>
              <w:pStyle w:val="TableParagraph"/>
              <w:spacing w:before="2"/>
              <w:ind w:left="105"/>
              <w:rPr>
                <w:sz w:val="26"/>
              </w:rPr>
            </w:pPr>
            <w:r>
              <w:rPr>
                <w:w w:val="99"/>
                <w:sz w:val="26"/>
              </w:rPr>
              <w:t>←</w:t>
            </w:r>
          </w:p>
        </w:tc>
        <w:tc>
          <w:tcPr>
            <w:tcW w:w="1730" w:type="dxa"/>
            <w:tcBorders>
              <w:right w:val="single" w:sz="6" w:space="0" w:color="000000"/>
            </w:tcBorders>
          </w:tcPr>
          <w:p>
            <w:pPr>
              <w:pStyle w:val="TableParagraph"/>
              <w:spacing w:before="2"/>
              <w:ind w:left="109"/>
              <w:rPr>
                <w:sz w:val="26"/>
              </w:rPr>
            </w:pPr>
            <w:r>
              <w:rPr>
                <w:sz w:val="26"/>
              </w:rPr>
              <w:t>CLDV</w:t>
            </w:r>
          </w:p>
        </w:tc>
        <w:tc>
          <w:tcPr>
            <w:tcW w:w="2692" w:type="dxa"/>
            <w:tcBorders>
              <w:left w:val="single" w:sz="6" w:space="0" w:color="000000"/>
            </w:tcBorders>
          </w:tcPr>
          <w:p>
            <w:pPr>
              <w:pStyle w:val="TableParagraph"/>
              <w:spacing w:before="26"/>
              <w:ind w:left="107"/>
              <w:rPr>
                <w:sz w:val="26"/>
              </w:rPr>
            </w:pPr>
            <w:r>
              <w:rPr>
                <w:sz w:val="26"/>
              </w:rPr>
              <w:t>0,971</w:t>
            </w:r>
          </w:p>
        </w:tc>
        <w:tc>
          <w:tcPr>
            <w:tcW w:w="2517" w:type="dxa"/>
          </w:tcPr>
          <w:p>
            <w:pPr>
              <w:pStyle w:val="TableParagraph"/>
              <w:spacing w:before="26"/>
              <w:ind w:left="110"/>
              <w:rPr>
                <w:sz w:val="26"/>
              </w:rPr>
            </w:pPr>
            <w:r>
              <w:rPr>
                <w:sz w:val="26"/>
              </w:rPr>
              <w:t>0,778</w:t>
            </w:r>
          </w:p>
        </w:tc>
      </w:tr>
      <w:tr>
        <w:trPr>
          <w:trHeight w:val="496" w:hRule="atLeast"/>
        </w:trPr>
        <w:tc>
          <w:tcPr>
            <w:tcW w:w="1447" w:type="dxa"/>
          </w:tcPr>
          <w:p>
            <w:pPr>
              <w:pStyle w:val="TableParagraph"/>
              <w:spacing w:before="2"/>
              <w:ind w:left="107"/>
              <w:rPr>
                <w:sz w:val="26"/>
              </w:rPr>
            </w:pPr>
            <w:r>
              <w:rPr>
                <w:sz w:val="26"/>
              </w:rPr>
              <w:t>CLDV4</w:t>
            </w:r>
          </w:p>
        </w:tc>
        <w:tc>
          <w:tcPr>
            <w:tcW w:w="825" w:type="dxa"/>
          </w:tcPr>
          <w:p>
            <w:pPr>
              <w:pStyle w:val="TableParagraph"/>
              <w:spacing w:before="2"/>
              <w:ind w:left="105"/>
              <w:rPr>
                <w:sz w:val="26"/>
              </w:rPr>
            </w:pPr>
            <w:r>
              <w:rPr>
                <w:w w:val="99"/>
                <w:sz w:val="26"/>
              </w:rPr>
              <w:t>←</w:t>
            </w:r>
          </w:p>
        </w:tc>
        <w:tc>
          <w:tcPr>
            <w:tcW w:w="1730" w:type="dxa"/>
            <w:tcBorders>
              <w:right w:val="single" w:sz="6" w:space="0" w:color="000000"/>
            </w:tcBorders>
          </w:tcPr>
          <w:p>
            <w:pPr>
              <w:pStyle w:val="TableParagraph"/>
              <w:spacing w:before="2"/>
              <w:ind w:left="109"/>
              <w:rPr>
                <w:sz w:val="26"/>
              </w:rPr>
            </w:pPr>
            <w:r>
              <w:rPr>
                <w:sz w:val="26"/>
              </w:rPr>
              <w:t>CLDV</w:t>
            </w:r>
          </w:p>
        </w:tc>
        <w:tc>
          <w:tcPr>
            <w:tcW w:w="2692" w:type="dxa"/>
            <w:tcBorders>
              <w:left w:val="single" w:sz="6" w:space="0" w:color="000000"/>
            </w:tcBorders>
          </w:tcPr>
          <w:p>
            <w:pPr>
              <w:pStyle w:val="TableParagraph"/>
              <w:spacing w:before="26"/>
              <w:ind w:left="107"/>
              <w:rPr>
                <w:sz w:val="26"/>
              </w:rPr>
            </w:pPr>
            <w:r>
              <w:rPr>
                <w:sz w:val="26"/>
              </w:rPr>
              <w:t>0,997</w:t>
            </w:r>
          </w:p>
        </w:tc>
        <w:tc>
          <w:tcPr>
            <w:tcW w:w="2517" w:type="dxa"/>
          </w:tcPr>
          <w:p>
            <w:pPr>
              <w:pStyle w:val="TableParagraph"/>
              <w:spacing w:before="26"/>
              <w:ind w:left="110"/>
              <w:rPr>
                <w:sz w:val="26"/>
              </w:rPr>
            </w:pPr>
            <w:r>
              <w:rPr>
                <w:sz w:val="26"/>
              </w:rPr>
              <w:t>0,784</w:t>
            </w:r>
          </w:p>
        </w:tc>
      </w:tr>
      <w:tr>
        <w:trPr>
          <w:trHeight w:val="496" w:hRule="atLeast"/>
        </w:trPr>
        <w:tc>
          <w:tcPr>
            <w:tcW w:w="1447" w:type="dxa"/>
          </w:tcPr>
          <w:p>
            <w:pPr>
              <w:pStyle w:val="TableParagraph"/>
              <w:spacing w:before="2"/>
              <w:ind w:left="107"/>
              <w:rPr>
                <w:sz w:val="26"/>
              </w:rPr>
            </w:pPr>
            <w:r>
              <w:rPr>
                <w:sz w:val="26"/>
              </w:rPr>
              <w:t>CLDV3</w:t>
            </w:r>
          </w:p>
        </w:tc>
        <w:tc>
          <w:tcPr>
            <w:tcW w:w="825" w:type="dxa"/>
          </w:tcPr>
          <w:p>
            <w:pPr>
              <w:pStyle w:val="TableParagraph"/>
              <w:spacing w:before="2"/>
              <w:ind w:left="105"/>
              <w:rPr>
                <w:sz w:val="26"/>
              </w:rPr>
            </w:pPr>
            <w:r>
              <w:rPr>
                <w:w w:val="99"/>
                <w:sz w:val="26"/>
              </w:rPr>
              <w:t>←</w:t>
            </w:r>
          </w:p>
        </w:tc>
        <w:tc>
          <w:tcPr>
            <w:tcW w:w="1730" w:type="dxa"/>
            <w:tcBorders>
              <w:right w:val="single" w:sz="6" w:space="0" w:color="000000"/>
            </w:tcBorders>
          </w:tcPr>
          <w:p>
            <w:pPr>
              <w:pStyle w:val="TableParagraph"/>
              <w:spacing w:before="2"/>
              <w:ind w:left="109"/>
              <w:rPr>
                <w:sz w:val="26"/>
              </w:rPr>
            </w:pPr>
            <w:r>
              <w:rPr>
                <w:sz w:val="26"/>
              </w:rPr>
              <w:t>CLDV</w:t>
            </w:r>
          </w:p>
        </w:tc>
        <w:tc>
          <w:tcPr>
            <w:tcW w:w="2692" w:type="dxa"/>
            <w:tcBorders>
              <w:left w:val="single" w:sz="6" w:space="0" w:color="000000"/>
            </w:tcBorders>
          </w:tcPr>
          <w:p>
            <w:pPr>
              <w:pStyle w:val="TableParagraph"/>
              <w:spacing w:before="26"/>
              <w:ind w:left="107"/>
              <w:rPr>
                <w:sz w:val="26"/>
              </w:rPr>
            </w:pPr>
            <w:r>
              <w:rPr>
                <w:sz w:val="26"/>
              </w:rPr>
              <w:t>0,942</w:t>
            </w:r>
          </w:p>
        </w:tc>
        <w:tc>
          <w:tcPr>
            <w:tcW w:w="2517" w:type="dxa"/>
          </w:tcPr>
          <w:p>
            <w:pPr>
              <w:pStyle w:val="TableParagraph"/>
              <w:spacing w:before="26"/>
              <w:ind w:left="110"/>
              <w:rPr>
                <w:sz w:val="26"/>
              </w:rPr>
            </w:pPr>
            <w:r>
              <w:rPr>
                <w:sz w:val="26"/>
              </w:rPr>
              <w:t>0,761</w:t>
            </w:r>
          </w:p>
        </w:tc>
      </w:tr>
      <w:tr>
        <w:trPr>
          <w:trHeight w:val="496" w:hRule="atLeast"/>
        </w:trPr>
        <w:tc>
          <w:tcPr>
            <w:tcW w:w="1447" w:type="dxa"/>
          </w:tcPr>
          <w:p>
            <w:pPr>
              <w:pStyle w:val="TableParagraph"/>
              <w:spacing w:before="2"/>
              <w:ind w:left="107"/>
              <w:rPr>
                <w:sz w:val="26"/>
              </w:rPr>
            </w:pPr>
            <w:r>
              <w:rPr>
                <w:sz w:val="26"/>
              </w:rPr>
              <w:t>CLDV6</w:t>
            </w:r>
          </w:p>
        </w:tc>
        <w:tc>
          <w:tcPr>
            <w:tcW w:w="825" w:type="dxa"/>
          </w:tcPr>
          <w:p>
            <w:pPr>
              <w:pStyle w:val="TableParagraph"/>
              <w:spacing w:before="2"/>
              <w:ind w:left="105"/>
              <w:rPr>
                <w:sz w:val="26"/>
              </w:rPr>
            </w:pPr>
            <w:r>
              <w:rPr>
                <w:w w:val="99"/>
                <w:sz w:val="26"/>
              </w:rPr>
              <w:t>←</w:t>
            </w:r>
          </w:p>
        </w:tc>
        <w:tc>
          <w:tcPr>
            <w:tcW w:w="1730" w:type="dxa"/>
            <w:tcBorders>
              <w:right w:val="single" w:sz="6" w:space="0" w:color="000000"/>
            </w:tcBorders>
          </w:tcPr>
          <w:p>
            <w:pPr>
              <w:pStyle w:val="TableParagraph"/>
              <w:spacing w:before="2"/>
              <w:ind w:left="109"/>
              <w:rPr>
                <w:sz w:val="26"/>
              </w:rPr>
            </w:pPr>
            <w:r>
              <w:rPr>
                <w:sz w:val="26"/>
              </w:rPr>
              <w:t>CLDV</w:t>
            </w:r>
          </w:p>
        </w:tc>
        <w:tc>
          <w:tcPr>
            <w:tcW w:w="2692" w:type="dxa"/>
            <w:tcBorders>
              <w:left w:val="single" w:sz="6" w:space="0" w:color="000000"/>
            </w:tcBorders>
          </w:tcPr>
          <w:p>
            <w:pPr>
              <w:pStyle w:val="TableParagraph"/>
              <w:spacing w:before="26"/>
              <w:ind w:left="107"/>
              <w:rPr>
                <w:sz w:val="26"/>
              </w:rPr>
            </w:pPr>
            <w:r>
              <w:rPr>
                <w:sz w:val="26"/>
              </w:rPr>
              <w:t>0,914</w:t>
            </w:r>
          </w:p>
        </w:tc>
        <w:tc>
          <w:tcPr>
            <w:tcW w:w="2517" w:type="dxa"/>
          </w:tcPr>
          <w:p>
            <w:pPr>
              <w:pStyle w:val="TableParagraph"/>
              <w:spacing w:before="26"/>
              <w:ind w:left="110"/>
              <w:rPr>
                <w:sz w:val="26"/>
              </w:rPr>
            </w:pPr>
            <w:r>
              <w:rPr>
                <w:sz w:val="26"/>
              </w:rPr>
              <w:t>0,602</w:t>
            </w:r>
          </w:p>
        </w:tc>
      </w:tr>
      <w:tr>
        <w:trPr>
          <w:trHeight w:val="494" w:hRule="atLeast"/>
        </w:trPr>
        <w:tc>
          <w:tcPr>
            <w:tcW w:w="1447" w:type="dxa"/>
          </w:tcPr>
          <w:p>
            <w:pPr>
              <w:pStyle w:val="TableParagraph"/>
              <w:spacing w:before="2"/>
              <w:ind w:left="107"/>
              <w:rPr>
                <w:sz w:val="26"/>
              </w:rPr>
            </w:pPr>
            <w:r>
              <w:rPr>
                <w:sz w:val="26"/>
              </w:rPr>
              <w:t>CLDV10</w:t>
            </w:r>
          </w:p>
        </w:tc>
        <w:tc>
          <w:tcPr>
            <w:tcW w:w="825" w:type="dxa"/>
          </w:tcPr>
          <w:p>
            <w:pPr>
              <w:pStyle w:val="TableParagraph"/>
              <w:spacing w:before="2"/>
              <w:ind w:left="105"/>
              <w:rPr>
                <w:sz w:val="26"/>
              </w:rPr>
            </w:pPr>
            <w:r>
              <w:rPr>
                <w:w w:val="99"/>
                <w:sz w:val="26"/>
              </w:rPr>
              <w:t>←</w:t>
            </w:r>
          </w:p>
        </w:tc>
        <w:tc>
          <w:tcPr>
            <w:tcW w:w="1730" w:type="dxa"/>
            <w:tcBorders>
              <w:right w:val="single" w:sz="6" w:space="0" w:color="000000"/>
            </w:tcBorders>
          </w:tcPr>
          <w:p>
            <w:pPr>
              <w:pStyle w:val="TableParagraph"/>
              <w:spacing w:before="2"/>
              <w:ind w:left="109"/>
              <w:rPr>
                <w:sz w:val="26"/>
              </w:rPr>
            </w:pPr>
            <w:r>
              <w:rPr>
                <w:sz w:val="26"/>
              </w:rPr>
              <w:t>CLDV</w:t>
            </w:r>
          </w:p>
        </w:tc>
        <w:tc>
          <w:tcPr>
            <w:tcW w:w="2692" w:type="dxa"/>
            <w:tcBorders>
              <w:left w:val="single" w:sz="6" w:space="0" w:color="000000"/>
            </w:tcBorders>
          </w:tcPr>
          <w:p>
            <w:pPr>
              <w:pStyle w:val="TableParagraph"/>
              <w:spacing w:before="26"/>
              <w:ind w:left="107"/>
              <w:rPr>
                <w:sz w:val="26"/>
              </w:rPr>
            </w:pPr>
            <w:r>
              <w:rPr>
                <w:sz w:val="26"/>
              </w:rPr>
              <w:t>0,695</w:t>
            </w:r>
          </w:p>
        </w:tc>
        <w:tc>
          <w:tcPr>
            <w:tcW w:w="2517" w:type="dxa"/>
          </w:tcPr>
          <w:p>
            <w:pPr>
              <w:pStyle w:val="TableParagraph"/>
              <w:spacing w:before="26"/>
              <w:ind w:left="110"/>
              <w:rPr>
                <w:sz w:val="26"/>
              </w:rPr>
            </w:pPr>
            <w:r>
              <w:rPr>
                <w:sz w:val="26"/>
              </w:rPr>
              <w:t>0,5</w:t>
            </w:r>
          </w:p>
        </w:tc>
      </w:tr>
      <w:tr>
        <w:trPr>
          <w:trHeight w:val="496" w:hRule="atLeast"/>
        </w:trPr>
        <w:tc>
          <w:tcPr>
            <w:tcW w:w="1447" w:type="dxa"/>
          </w:tcPr>
          <w:p>
            <w:pPr>
              <w:pStyle w:val="TableParagraph"/>
              <w:spacing w:before="4"/>
              <w:ind w:left="107"/>
              <w:rPr>
                <w:sz w:val="26"/>
              </w:rPr>
            </w:pPr>
            <w:r>
              <w:rPr>
                <w:sz w:val="26"/>
              </w:rPr>
              <w:t>CP3</w:t>
            </w:r>
          </w:p>
        </w:tc>
        <w:tc>
          <w:tcPr>
            <w:tcW w:w="825" w:type="dxa"/>
          </w:tcPr>
          <w:p>
            <w:pPr>
              <w:pStyle w:val="TableParagraph"/>
              <w:spacing w:before="4"/>
              <w:ind w:left="105"/>
              <w:rPr>
                <w:sz w:val="26"/>
              </w:rPr>
            </w:pPr>
            <w:r>
              <w:rPr>
                <w:w w:val="99"/>
                <w:sz w:val="26"/>
              </w:rPr>
              <w:t>←</w:t>
            </w:r>
          </w:p>
        </w:tc>
        <w:tc>
          <w:tcPr>
            <w:tcW w:w="1730" w:type="dxa"/>
            <w:tcBorders>
              <w:right w:val="single" w:sz="6" w:space="0" w:color="000000"/>
            </w:tcBorders>
          </w:tcPr>
          <w:p>
            <w:pPr>
              <w:pStyle w:val="TableParagraph"/>
              <w:spacing w:before="4"/>
              <w:ind w:left="109"/>
              <w:rPr>
                <w:sz w:val="26"/>
              </w:rPr>
            </w:pPr>
            <w:r>
              <w:rPr>
                <w:sz w:val="26"/>
              </w:rPr>
              <w:t>CP</w:t>
            </w:r>
          </w:p>
        </w:tc>
        <w:tc>
          <w:tcPr>
            <w:tcW w:w="2692" w:type="dxa"/>
            <w:tcBorders>
              <w:left w:val="single" w:sz="6" w:space="0" w:color="000000"/>
            </w:tcBorders>
          </w:tcPr>
          <w:p>
            <w:pPr>
              <w:pStyle w:val="TableParagraph"/>
              <w:spacing w:before="26"/>
              <w:ind w:left="107"/>
              <w:rPr>
                <w:sz w:val="26"/>
              </w:rPr>
            </w:pPr>
            <w:r>
              <w:rPr>
                <w:sz w:val="26"/>
              </w:rPr>
              <w:t>1,000</w:t>
            </w:r>
          </w:p>
        </w:tc>
        <w:tc>
          <w:tcPr>
            <w:tcW w:w="2517" w:type="dxa"/>
          </w:tcPr>
          <w:p>
            <w:pPr>
              <w:pStyle w:val="TableParagraph"/>
              <w:spacing w:before="26"/>
              <w:ind w:left="110"/>
              <w:rPr>
                <w:sz w:val="26"/>
              </w:rPr>
            </w:pPr>
            <w:r>
              <w:rPr>
                <w:sz w:val="26"/>
              </w:rPr>
              <w:t>0,709</w:t>
            </w:r>
          </w:p>
        </w:tc>
      </w:tr>
      <w:tr>
        <w:trPr>
          <w:trHeight w:val="496" w:hRule="atLeast"/>
        </w:trPr>
        <w:tc>
          <w:tcPr>
            <w:tcW w:w="1447" w:type="dxa"/>
          </w:tcPr>
          <w:p>
            <w:pPr>
              <w:pStyle w:val="TableParagraph"/>
              <w:spacing w:before="2"/>
              <w:ind w:left="107"/>
              <w:rPr>
                <w:sz w:val="26"/>
              </w:rPr>
            </w:pPr>
            <w:r>
              <w:rPr>
                <w:sz w:val="26"/>
              </w:rPr>
              <w:t>CP4</w:t>
            </w:r>
          </w:p>
        </w:tc>
        <w:tc>
          <w:tcPr>
            <w:tcW w:w="825" w:type="dxa"/>
          </w:tcPr>
          <w:p>
            <w:pPr>
              <w:pStyle w:val="TableParagraph"/>
              <w:spacing w:before="2"/>
              <w:ind w:left="105"/>
              <w:rPr>
                <w:sz w:val="26"/>
              </w:rPr>
            </w:pPr>
            <w:r>
              <w:rPr>
                <w:w w:val="99"/>
                <w:sz w:val="26"/>
              </w:rPr>
              <w:t>←</w:t>
            </w:r>
          </w:p>
        </w:tc>
        <w:tc>
          <w:tcPr>
            <w:tcW w:w="1730" w:type="dxa"/>
            <w:tcBorders>
              <w:right w:val="single" w:sz="6" w:space="0" w:color="000000"/>
            </w:tcBorders>
          </w:tcPr>
          <w:p>
            <w:pPr>
              <w:pStyle w:val="TableParagraph"/>
              <w:spacing w:before="2"/>
              <w:ind w:left="109"/>
              <w:rPr>
                <w:sz w:val="26"/>
              </w:rPr>
            </w:pPr>
            <w:r>
              <w:rPr>
                <w:sz w:val="26"/>
              </w:rPr>
              <w:t>CP</w:t>
            </w:r>
          </w:p>
        </w:tc>
        <w:tc>
          <w:tcPr>
            <w:tcW w:w="2692" w:type="dxa"/>
            <w:tcBorders>
              <w:left w:val="single" w:sz="6" w:space="0" w:color="000000"/>
            </w:tcBorders>
          </w:tcPr>
          <w:p>
            <w:pPr>
              <w:pStyle w:val="TableParagraph"/>
              <w:spacing w:before="26"/>
              <w:ind w:left="107"/>
              <w:rPr>
                <w:sz w:val="26"/>
              </w:rPr>
            </w:pPr>
            <w:r>
              <w:rPr>
                <w:sz w:val="26"/>
              </w:rPr>
              <w:t>1,075</w:t>
            </w:r>
          </w:p>
        </w:tc>
        <w:tc>
          <w:tcPr>
            <w:tcW w:w="2517" w:type="dxa"/>
          </w:tcPr>
          <w:p>
            <w:pPr>
              <w:pStyle w:val="TableParagraph"/>
              <w:spacing w:before="26"/>
              <w:ind w:left="110"/>
              <w:rPr>
                <w:sz w:val="26"/>
              </w:rPr>
            </w:pPr>
            <w:r>
              <w:rPr>
                <w:sz w:val="26"/>
              </w:rPr>
              <w:t>0,784</w:t>
            </w:r>
          </w:p>
        </w:tc>
      </w:tr>
      <w:tr>
        <w:trPr>
          <w:trHeight w:val="496" w:hRule="atLeast"/>
        </w:trPr>
        <w:tc>
          <w:tcPr>
            <w:tcW w:w="1447" w:type="dxa"/>
          </w:tcPr>
          <w:p>
            <w:pPr>
              <w:pStyle w:val="TableParagraph"/>
              <w:spacing w:before="2"/>
              <w:ind w:left="107"/>
              <w:rPr>
                <w:sz w:val="26"/>
              </w:rPr>
            </w:pPr>
            <w:r>
              <w:rPr>
                <w:sz w:val="26"/>
              </w:rPr>
              <w:t>CP6</w:t>
            </w:r>
          </w:p>
        </w:tc>
        <w:tc>
          <w:tcPr>
            <w:tcW w:w="825" w:type="dxa"/>
          </w:tcPr>
          <w:p>
            <w:pPr>
              <w:pStyle w:val="TableParagraph"/>
              <w:spacing w:before="2"/>
              <w:ind w:left="105"/>
              <w:rPr>
                <w:sz w:val="26"/>
              </w:rPr>
            </w:pPr>
            <w:r>
              <w:rPr>
                <w:w w:val="99"/>
                <w:sz w:val="26"/>
              </w:rPr>
              <w:t>←</w:t>
            </w:r>
          </w:p>
        </w:tc>
        <w:tc>
          <w:tcPr>
            <w:tcW w:w="1730" w:type="dxa"/>
            <w:tcBorders>
              <w:right w:val="single" w:sz="6" w:space="0" w:color="000000"/>
            </w:tcBorders>
          </w:tcPr>
          <w:p>
            <w:pPr>
              <w:pStyle w:val="TableParagraph"/>
              <w:spacing w:before="2"/>
              <w:ind w:left="109"/>
              <w:rPr>
                <w:sz w:val="26"/>
              </w:rPr>
            </w:pPr>
            <w:r>
              <w:rPr>
                <w:sz w:val="26"/>
              </w:rPr>
              <w:t>CP</w:t>
            </w:r>
          </w:p>
        </w:tc>
        <w:tc>
          <w:tcPr>
            <w:tcW w:w="2692" w:type="dxa"/>
            <w:tcBorders>
              <w:left w:val="single" w:sz="6" w:space="0" w:color="000000"/>
            </w:tcBorders>
          </w:tcPr>
          <w:p>
            <w:pPr>
              <w:pStyle w:val="TableParagraph"/>
              <w:spacing w:before="26"/>
              <w:ind w:left="107"/>
              <w:rPr>
                <w:sz w:val="26"/>
              </w:rPr>
            </w:pPr>
            <w:r>
              <w:rPr>
                <w:sz w:val="26"/>
              </w:rPr>
              <w:t>0,999</w:t>
            </w:r>
          </w:p>
        </w:tc>
        <w:tc>
          <w:tcPr>
            <w:tcW w:w="2517" w:type="dxa"/>
          </w:tcPr>
          <w:p>
            <w:pPr>
              <w:pStyle w:val="TableParagraph"/>
              <w:spacing w:before="26"/>
              <w:ind w:left="110"/>
              <w:rPr>
                <w:sz w:val="26"/>
              </w:rPr>
            </w:pPr>
            <w:r>
              <w:rPr>
                <w:sz w:val="26"/>
              </w:rPr>
              <w:t>0,761</w:t>
            </w:r>
          </w:p>
        </w:tc>
      </w:tr>
      <w:tr>
        <w:trPr>
          <w:trHeight w:val="497" w:hRule="atLeast"/>
        </w:trPr>
        <w:tc>
          <w:tcPr>
            <w:tcW w:w="1447" w:type="dxa"/>
          </w:tcPr>
          <w:p>
            <w:pPr>
              <w:pStyle w:val="TableParagraph"/>
              <w:spacing w:before="2"/>
              <w:ind w:left="107"/>
              <w:rPr>
                <w:sz w:val="26"/>
              </w:rPr>
            </w:pPr>
            <w:r>
              <w:rPr>
                <w:sz w:val="26"/>
              </w:rPr>
              <w:t>CP2</w:t>
            </w:r>
          </w:p>
        </w:tc>
        <w:tc>
          <w:tcPr>
            <w:tcW w:w="825" w:type="dxa"/>
          </w:tcPr>
          <w:p>
            <w:pPr>
              <w:pStyle w:val="TableParagraph"/>
              <w:spacing w:before="2"/>
              <w:ind w:left="105"/>
              <w:rPr>
                <w:sz w:val="26"/>
              </w:rPr>
            </w:pPr>
            <w:r>
              <w:rPr>
                <w:w w:val="99"/>
                <w:sz w:val="26"/>
              </w:rPr>
              <w:t>←</w:t>
            </w:r>
          </w:p>
        </w:tc>
        <w:tc>
          <w:tcPr>
            <w:tcW w:w="1730" w:type="dxa"/>
            <w:tcBorders>
              <w:right w:val="single" w:sz="6" w:space="0" w:color="000000"/>
            </w:tcBorders>
          </w:tcPr>
          <w:p>
            <w:pPr>
              <w:pStyle w:val="TableParagraph"/>
              <w:spacing w:before="2"/>
              <w:ind w:left="109"/>
              <w:rPr>
                <w:sz w:val="26"/>
              </w:rPr>
            </w:pPr>
            <w:r>
              <w:rPr>
                <w:sz w:val="26"/>
              </w:rPr>
              <w:t>CP</w:t>
            </w:r>
          </w:p>
        </w:tc>
        <w:tc>
          <w:tcPr>
            <w:tcW w:w="2692" w:type="dxa"/>
            <w:tcBorders>
              <w:left w:val="single" w:sz="6" w:space="0" w:color="000000"/>
            </w:tcBorders>
          </w:tcPr>
          <w:p>
            <w:pPr>
              <w:pStyle w:val="TableParagraph"/>
              <w:spacing w:before="26"/>
              <w:ind w:left="107"/>
              <w:rPr>
                <w:sz w:val="26"/>
              </w:rPr>
            </w:pPr>
            <w:r>
              <w:rPr>
                <w:sz w:val="26"/>
              </w:rPr>
              <w:t>0,963</w:t>
            </w:r>
          </w:p>
        </w:tc>
        <w:tc>
          <w:tcPr>
            <w:tcW w:w="2517" w:type="dxa"/>
          </w:tcPr>
          <w:p>
            <w:pPr>
              <w:pStyle w:val="TableParagraph"/>
              <w:spacing w:before="26"/>
              <w:ind w:left="110"/>
              <w:rPr>
                <w:sz w:val="26"/>
              </w:rPr>
            </w:pPr>
            <w:r>
              <w:rPr>
                <w:sz w:val="26"/>
              </w:rPr>
              <w:t>0,679</w:t>
            </w:r>
          </w:p>
        </w:tc>
      </w:tr>
      <w:tr>
        <w:trPr>
          <w:trHeight w:val="496" w:hRule="atLeast"/>
        </w:trPr>
        <w:tc>
          <w:tcPr>
            <w:tcW w:w="1447" w:type="dxa"/>
          </w:tcPr>
          <w:p>
            <w:pPr>
              <w:pStyle w:val="TableParagraph"/>
              <w:spacing w:before="2"/>
              <w:ind w:left="107"/>
              <w:rPr>
                <w:sz w:val="26"/>
              </w:rPr>
            </w:pPr>
            <w:r>
              <w:rPr>
                <w:sz w:val="26"/>
              </w:rPr>
              <w:t>CP1</w:t>
            </w:r>
          </w:p>
        </w:tc>
        <w:tc>
          <w:tcPr>
            <w:tcW w:w="825" w:type="dxa"/>
          </w:tcPr>
          <w:p>
            <w:pPr>
              <w:pStyle w:val="TableParagraph"/>
              <w:spacing w:before="2"/>
              <w:ind w:left="105"/>
              <w:rPr>
                <w:sz w:val="26"/>
              </w:rPr>
            </w:pPr>
            <w:r>
              <w:rPr>
                <w:w w:val="99"/>
                <w:sz w:val="26"/>
              </w:rPr>
              <w:t>←</w:t>
            </w:r>
          </w:p>
        </w:tc>
        <w:tc>
          <w:tcPr>
            <w:tcW w:w="1730" w:type="dxa"/>
            <w:tcBorders>
              <w:right w:val="single" w:sz="6" w:space="0" w:color="000000"/>
            </w:tcBorders>
          </w:tcPr>
          <w:p>
            <w:pPr>
              <w:pStyle w:val="TableParagraph"/>
              <w:spacing w:before="2"/>
              <w:ind w:left="109"/>
              <w:rPr>
                <w:sz w:val="26"/>
              </w:rPr>
            </w:pPr>
            <w:r>
              <w:rPr>
                <w:sz w:val="26"/>
              </w:rPr>
              <w:t>CP</w:t>
            </w:r>
          </w:p>
        </w:tc>
        <w:tc>
          <w:tcPr>
            <w:tcW w:w="2692" w:type="dxa"/>
            <w:tcBorders>
              <w:left w:val="single" w:sz="6" w:space="0" w:color="000000"/>
            </w:tcBorders>
          </w:tcPr>
          <w:p>
            <w:pPr>
              <w:pStyle w:val="TableParagraph"/>
              <w:spacing w:before="26"/>
              <w:ind w:left="107"/>
              <w:rPr>
                <w:sz w:val="26"/>
              </w:rPr>
            </w:pPr>
            <w:r>
              <w:rPr>
                <w:sz w:val="26"/>
              </w:rPr>
              <w:t>0,846</w:t>
            </w:r>
          </w:p>
        </w:tc>
        <w:tc>
          <w:tcPr>
            <w:tcW w:w="2517" w:type="dxa"/>
          </w:tcPr>
          <w:p>
            <w:pPr>
              <w:pStyle w:val="TableParagraph"/>
              <w:spacing w:before="26"/>
              <w:ind w:left="110"/>
              <w:rPr>
                <w:sz w:val="26"/>
              </w:rPr>
            </w:pPr>
            <w:r>
              <w:rPr>
                <w:sz w:val="26"/>
              </w:rPr>
              <w:t>0,559</w:t>
            </w:r>
          </w:p>
        </w:tc>
      </w:tr>
      <w:tr>
        <w:trPr>
          <w:trHeight w:val="494" w:hRule="atLeast"/>
        </w:trPr>
        <w:tc>
          <w:tcPr>
            <w:tcW w:w="1447" w:type="dxa"/>
          </w:tcPr>
          <w:p>
            <w:pPr>
              <w:pStyle w:val="TableParagraph"/>
              <w:spacing w:before="2"/>
              <w:ind w:left="107"/>
              <w:rPr>
                <w:sz w:val="26"/>
              </w:rPr>
            </w:pPr>
            <w:r>
              <w:rPr>
                <w:sz w:val="26"/>
              </w:rPr>
              <w:t>CP5</w:t>
            </w:r>
          </w:p>
        </w:tc>
        <w:tc>
          <w:tcPr>
            <w:tcW w:w="825" w:type="dxa"/>
          </w:tcPr>
          <w:p>
            <w:pPr>
              <w:pStyle w:val="TableParagraph"/>
              <w:spacing w:before="2"/>
              <w:ind w:left="105"/>
              <w:rPr>
                <w:sz w:val="26"/>
              </w:rPr>
            </w:pPr>
            <w:r>
              <w:rPr>
                <w:w w:val="99"/>
                <w:sz w:val="26"/>
              </w:rPr>
              <w:t>←</w:t>
            </w:r>
          </w:p>
        </w:tc>
        <w:tc>
          <w:tcPr>
            <w:tcW w:w="1730" w:type="dxa"/>
            <w:tcBorders>
              <w:right w:val="single" w:sz="6" w:space="0" w:color="000000"/>
            </w:tcBorders>
          </w:tcPr>
          <w:p>
            <w:pPr>
              <w:pStyle w:val="TableParagraph"/>
              <w:spacing w:before="2"/>
              <w:ind w:left="109"/>
              <w:rPr>
                <w:sz w:val="26"/>
              </w:rPr>
            </w:pPr>
            <w:r>
              <w:rPr>
                <w:sz w:val="26"/>
              </w:rPr>
              <w:t>CP</w:t>
            </w:r>
          </w:p>
        </w:tc>
        <w:tc>
          <w:tcPr>
            <w:tcW w:w="2692" w:type="dxa"/>
            <w:tcBorders>
              <w:left w:val="single" w:sz="6" w:space="0" w:color="000000"/>
            </w:tcBorders>
          </w:tcPr>
          <w:p>
            <w:pPr>
              <w:pStyle w:val="TableParagraph"/>
              <w:spacing w:before="26"/>
              <w:ind w:left="107"/>
              <w:rPr>
                <w:sz w:val="26"/>
              </w:rPr>
            </w:pPr>
            <w:r>
              <w:rPr>
                <w:sz w:val="26"/>
              </w:rPr>
              <w:t>1,098</w:t>
            </w:r>
          </w:p>
        </w:tc>
        <w:tc>
          <w:tcPr>
            <w:tcW w:w="2517" w:type="dxa"/>
          </w:tcPr>
          <w:p>
            <w:pPr>
              <w:pStyle w:val="TableParagraph"/>
              <w:spacing w:before="26"/>
              <w:ind w:left="110"/>
              <w:rPr>
                <w:sz w:val="26"/>
              </w:rPr>
            </w:pPr>
            <w:r>
              <w:rPr>
                <w:sz w:val="26"/>
              </w:rPr>
              <w:t>0,794</w:t>
            </w:r>
          </w:p>
        </w:tc>
      </w:tr>
      <w:tr>
        <w:trPr>
          <w:trHeight w:val="496" w:hRule="atLeast"/>
        </w:trPr>
        <w:tc>
          <w:tcPr>
            <w:tcW w:w="1447" w:type="dxa"/>
          </w:tcPr>
          <w:p>
            <w:pPr>
              <w:pStyle w:val="TableParagraph"/>
              <w:spacing w:before="4"/>
              <w:ind w:left="107"/>
              <w:rPr>
                <w:sz w:val="26"/>
              </w:rPr>
            </w:pPr>
            <w:r>
              <w:rPr>
                <w:sz w:val="26"/>
              </w:rPr>
              <w:t>VT7</w:t>
            </w:r>
          </w:p>
        </w:tc>
        <w:tc>
          <w:tcPr>
            <w:tcW w:w="825" w:type="dxa"/>
          </w:tcPr>
          <w:p>
            <w:pPr>
              <w:pStyle w:val="TableParagraph"/>
              <w:spacing w:before="4"/>
              <w:ind w:left="105"/>
              <w:rPr>
                <w:sz w:val="26"/>
              </w:rPr>
            </w:pPr>
            <w:r>
              <w:rPr>
                <w:w w:val="99"/>
                <w:sz w:val="26"/>
              </w:rPr>
              <w:t>←</w:t>
            </w:r>
          </w:p>
        </w:tc>
        <w:tc>
          <w:tcPr>
            <w:tcW w:w="1730" w:type="dxa"/>
            <w:tcBorders>
              <w:right w:val="single" w:sz="6" w:space="0" w:color="000000"/>
            </w:tcBorders>
          </w:tcPr>
          <w:p>
            <w:pPr>
              <w:pStyle w:val="TableParagraph"/>
              <w:spacing w:before="4"/>
              <w:ind w:left="109"/>
              <w:rPr>
                <w:sz w:val="26"/>
              </w:rPr>
            </w:pPr>
            <w:r>
              <w:rPr>
                <w:sz w:val="26"/>
              </w:rPr>
              <w:t>VT</w:t>
            </w:r>
          </w:p>
        </w:tc>
        <w:tc>
          <w:tcPr>
            <w:tcW w:w="2692" w:type="dxa"/>
            <w:tcBorders>
              <w:left w:val="single" w:sz="6" w:space="0" w:color="000000"/>
            </w:tcBorders>
          </w:tcPr>
          <w:p>
            <w:pPr>
              <w:pStyle w:val="TableParagraph"/>
              <w:spacing w:before="26"/>
              <w:ind w:left="107"/>
              <w:rPr>
                <w:sz w:val="26"/>
              </w:rPr>
            </w:pPr>
            <w:r>
              <w:rPr>
                <w:sz w:val="26"/>
              </w:rPr>
              <w:t>1,000</w:t>
            </w:r>
          </w:p>
        </w:tc>
        <w:tc>
          <w:tcPr>
            <w:tcW w:w="2517" w:type="dxa"/>
          </w:tcPr>
          <w:p>
            <w:pPr>
              <w:pStyle w:val="TableParagraph"/>
              <w:spacing w:before="26"/>
              <w:ind w:left="110"/>
              <w:rPr>
                <w:sz w:val="26"/>
              </w:rPr>
            </w:pPr>
            <w:r>
              <w:rPr>
                <w:sz w:val="26"/>
              </w:rPr>
              <w:t>0,879</w:t>
            </w:r>
          </w:p>
        </w:tc>
      </w:tr>
      <w:tr>
        <w:trPr>
          <w:trHeight w:val="496" w:hRule="atLeast"/>
        </w:trPr>
        <w:tc>
          <w:tcPr>
            <w:tcW w:w="1447" w:type="dxa"/>
          </w:tcPr>
          <w:p>
            <w:pPr>
              <w:pStyle w:val="TableParagraph"/>
              <w:spacing w:before="2"/>
              <w:ind w:left="107"/>
              <w:rPr>
                <w:sz w:val="26"/>
              </w:rPr>
            </w:pPr>
            <w:r>
              <w:rPr>
                <w:sz w:val="26"/>
              </w:rPr>
              <w:t>VT2</w:t>
            </w:r>
          </w:p>
        </w:tc>
        <w:tc>
          <w:tcPr>
            <w:tcW w:w="825" w:type="dxa"/>
          </w:tcPr>
          <w:p>
            <w:pPr>
              <w:pStyle w:val="TableParagraph"/>
              <w:spacing w:before="2"/>
              <w:ind w:left="105"/>
              <w:rPr>
                <w:sz w:val="26"/>
              </w:rPr>
            </w:pPr>
            <w:r>
              <w:rPr>
                <w:w w:val="99"/>
                <w:sz w:val="26"/>
              </w:rPr>
              <w:t>←</w:t>
            </w:r>
          </w:p>
        </w:tc>
        <w:tc>
          <w:tcPr>
            <w:tcW w:w="1730" w:type="dxa"/>
            <w:tcBorders>
              <w:right w:val="single" w:sz="6" w:space="0" w:color="000000"/>
            </w:tcBorders>
          </w:tcPr>
          <w:p>
            <w:pPr>
              <w:pStyle w:val="TableParagraph"/>
              <w:spacing w:before="2"/>
              <w:ind w:left="109"/>
              <w:rPr>
                <w:sz w:val="26"/>
              </w:rPr>
            </w:pPr>
            <w:r>
              <w:rPr>
                <w:sz w:val="26"/>
              </w:rPr>
              <w:t>VT</w:t>
            </w:r>
          </w:p>
        </w:tc>
        <w:tc>
          <w:tcPr>
            <w:tcW w:w="2692" w:type="dxa"/>
            <w:tcBorders>
              <w:left w:val="single" w:sz="6" w:space="0" w:color="000000"/>
            </w:tcBorders>
          </w:tcPr>
          <w:p>
            <w:pPr>
              <w:pStyle w:val="TableParagraph"/>
              <w:spacing w:before="26"/>
              <w:ind w:left="107"/>
              <w:rPr>
                <w:sz w:val="26"/>
              </w:rPr>
            </w:pPr>
            <w:r>
              <w:rPr>
                <w:sz w:val="26"/>
              </w:rPr>
              <w:t>0,815</w:t>
            </w:r>
          </w:p>
        </w:tc>
        <w:tc>
          <w:tcPr>
            <w:tcW w:w="2517" w:type="dxa"/>
          </w:tcPr>
          <w:p>
            <w:pPr>
              <w:pStyle w:val="TableParagraph"/>
              <w:spacing w:before="26"/>
              <w:ind w:left="110"/>
              <w:rPr>
                <w:sz w:val="26"/>
              </w:rPr>
            </w:pPr>
            <w:r>
              <w:rPr>
                <w:sz w:val="26"/>
              </w:rPr>
              <w:t>0,669</w:t>
            </w:r>
          </w:p>
        </w:tc>
      </w:tr>
      <w:tr>
        <w:trPr>
          <w:trHeight w:val="496" w:hRule="atLeast"/>
        </w:trPr>
        <w:tc>
          <w:tcPr>
            <w:tcW w:w="1447" w:type="dxa"/>
          </w:tcPr>
          <w:p>
            <w:pPr>
              <w:pStyle w:val="TableParagraph"/>
              <w:spacing w:before="2"/>
              <w:ind w:left="107"/>
              <w:rPr>
                <w:sz w:val="26"/>
              </w:rPr>
            </w:pPr>
            <w:r>
              <w:rPr>
                <w:sz w:val="26"/>
              </w:rPr>
              <w:t>VT 6</w:t>
            </w:r>
          </w:p>
        </w:tc>
        <w:tc>
          <w:tcPr>
            <w:tcW w:w="825" w:type="dxa"/>
          </w:tcPr>
          <w:p>
            <w:pPr>
              <w:pStyle w:val="TableParagraph"/>
              <w:spacing w:before="2"/>
              <w:ind w:left="105"/>
              <w:rPr>
                <w:sz w:val="26"/>
              </w:rPr>
            </w:pPr>
            <w:r>
              <w:rPr>
                <w:w w:val="99"/>
                <w:sz w:val="26"/>
              </w:rPr>
              <w:t>←</w:t>
            </w:r>
          </w:p>
        </w:tc>
        <w:tc>
          <w:tcPr>
            <w:tcW w:w="1730" w:type="dxa"/>
            <w:tcBorders>
              <w:right w:val="single" w:sz="6" w:space="0" w:color="000000"/>
            </w:tcBorders>
          </w:tcPr>
          <w:p>
            <w:pPr>
              <w:pStyle w:val="TableParagraph"/>
              <w:spacing w:before="2"/>
              <w:ind w:left="109"/>
              <w:rPr>
                <w:sz w:val="26"/>
              </w:rPr>
            </w:pPr>
            <w:r>
              <w:rPr>
                <w:sz w:val="26"/>
              </w:rPr>
              <w:t>VT</w:t>
            </w:r>
          </w:p>
        </w:tc>
        <w:tc>
          <w:tcPr>
            <w:tcW w:w="2692" w:type="dxa"/>
            <w:tcBorders>
              <w:left w:val="single" w:sz="6" w:space="0" w:color="000000"/>
            </w:tcBorders>
          </w:tcPr>
          <w:p>
            <w:pPr>
              <w:pStyle w:val="TableParagraph"/>
              <w:spacing w:before="25"/>
              <w:ind w:left="107"/>
              <w:rPr>
                <w:sz w:val="26"/>
              </w:rPr>
            </w:pPr>
            <w:r>
              <w:rPr>
                <w:sz w:val="26"/>
              </w:rPr>
              <w:t>0,762</w:t>
            </w:r>
          </w:p>
        </w:tc>
        <w:tc>
          <w:tcPr>
            <w:tcW w:w="2517" w:type="dxa"/>
          </w:tcPr>
          <w:p>
            <w:pPr>
              <w:pStyle w:val="TableParagraph"/>
              <w:spacing w:before="25"/>
              <w:ind w:left="110"/>
              <w:rPr>
                <w:sz w:val="26"/>
              </w:rPr>
            </w:pPr>
            <w:r>
              <w:rPr>
                <w:sz w:val="26"/>
              </w:rPr>
              <w:t>0,648</w:t>
            </w:r>
          </w:p>
        </w:tc>
      </w:tr>
      <w:tr>
        <w:trPr>
          <w:trHeight w:val="496" w:hRule="atLeast"/>
        </w:trPr>
        <w:tc>
          <w:tcPr>
            <w:tcW w:w="1447" w:type="dxa"/>
          </w:tcPr>
          <w:p>
            <w:pPr>
              <w:pStyle w:val="TableParagraph"/>
              <w:spacing w:before="2"/>
              <w:ind w:left="107"/>
              <w:rPr>
                <w:sz w:val="26"/>
              </w:rPr>
            </w:pPr>
            <w:r>
              <w:rPr>
                <w:sz w:val="26"/>
              </w:rPr>
              <w:t>VT5</w:t>
            </w:r>
          </w:p>
        </w:tc>
        <w:tc>
          <w:tcPr>
            <w:tcW w:w="825" w:type="dxa"/>
          </w:tcPr>
          <w:p>
            <w:pPr>
              <w:pStyle w:val="TableParagraph"/>
              <w:spacing w:before="2"/>
              <w:ind w:left="105"/>
              <w:rPr>
                <w:sz w:val="26"/>
              </w:rPr>
            </w:pPr>
            <w:r>
              <w:rPr>
                <w:w w:val="99"/>
                <w:sz w:val="26"/>
              </w:rPr>
              <w:t>←</w:t>
            </w:r>
          </w:p>
        </w:tc>
        <w:tc>
          <w:tcPr>
            <w:tcW w:w="1730" w:type="dxa"/>
            <w:tcBorders>
              <w:right w:val="single" w:sz="6" w:space="0" w:color="000000"/>
            </w:tcBorders>
          </w:tcPr>
          <w:p>
            <w:pPr>
              <w:pStyle w:val="TableParagraph"/>
              <w:spacing w:before="2"/>
              <w:ind w:left="109"/>
              <w:rPr>
                <w:sz w:val="26"/>
              </w:rPr>
            </w:pPr>
            <w:r>
              <w:rPr>
                <w:sz w:val="26"/>
              </w:rPr>
              <w:t>VT</w:t>
            </w:r>
          </w:p>
        </w:tc>
        <w:tc>
          <w:tcPr>
            <w:tcW w:w="2692" w:type="dxa"/>
            <w:tcBorders>
              <w:left w:val="single" w:sz="6" w:space="0" w:color="000000"/>
            </w:tcBorders>
          </w:tcPr>
          <w:p>
            <w:pPr>
              <w:pStyle w:val="TableParagraph"/>
              <w:spacing w:before="26"/>
              <w:ind w:left="107"/>
              <w:rPr>
                <w:sz w:val="26"/>
              </w:rPr>
            </w:pPr>
            <w:r>
              <w:rPr>
                <w:sz w:val="26"/>
              </w:rPr>
              <w:t>0,950</w:t>
            </w:r>
          </w:p>
        </w:tc>
        <w:tc>
          <w:tcPr>
            <w:tcW w:w="2517" w:type="dxa"/>
          </w:tcPr>
          <w:p>
            <w:pPr>
              <w:pStyle w:val="TableParagraph"/>
              <w:spacing w:before="26"/>
              <w:ind w:left="110"/>
              <w:rPr>
                <w:sz w:val="26"/>
              </w:rPr>
            </w:pPr>
            <w:r>
              <w:rPr>
                <w:sz w:val="26"/>
              </w:rPr>
              <w:t>0,754</w:t>
            </w:r>
          </w:p>
        </w:tc>
      </w:tr>
    </w:tbl>
    <w:p>
      <w:pPr>
        <w:spacing w:after="0"/>
        <w:rPr>
          <w:sz w:val="26"/>
        </w:rPr>
        <w:sectPr>
          <w:pgSz w:w="11910" w:h="16850"/>
          <w:pgMar w:header="751" w:footer="0" w:top="960" w:bottom="280" w:left="820" w:right="240"/>
        </w:sectPr>
      </w:pPr>
    </w:p>
    <w:p>
      <w:pPr>
        <w:pStyle w:val="BodyText"/>
        <w:rPr>
          <w:b/>
          <w:sz w:val="20"/>
        </w:rPr>
      </w:pPr>
    </w:p>
    <w:p>
      <w:pPr>
        <w:pStyle w:val="BodyText"/>
        <w:rPr>
          <w:b/>
          <w:sz w:val="20"/>
        </w:rPr>
      </w:pPr>
    </w:p>
    <w:p>
      <w:pPr>
        <w:pStyle w:val="BodyText"/>
        <w:spacing w:before="1"/>
        <w:rPr>
          <w:b/>
          <w:sz w:val="11"/>
        </w:rPr>
      </w:pPr>
    </w:p>
    <w:tbl>
      <w:tblPr>
        <w:tblW w:w="0" w:type="auto"/>
        <w:jc w:val="left"/>
        <w:tblInd w:w="85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1447"/>
        <w:gridCol w:w="825"/>
        <w:gridCol w:w="1730"/>
        <w:gridCol w:w="2692"/>
        <w:gridCol w:w="2517"/>
      </w:tblGrid>
      <w:tr>
        <w:trPr>
          <w:trHeight w:val="938" w:hRule="atLeast"/>
        </w:trPr>
        <w:tc>
          <w:tcPr>
            <w:tcW w:w="4002" w:type="dxa"/>
            <w:gridSpan w:val="3"/>
            <w:tcBorders>
              <w:right w:val="single" w:sz="6" w:space="0" w:color="000000"/>
            </w:tcBorders>
            <w:shd w:val="clear" w:color="auto" w:fill="E4E4E4"/>
          </w:tcPr>
          <w:p>
            <w:pPr>
              <w:pStyle w:val="TableParagraph"/>
              <w:spacing w:before="247"/>
              <w:ind w:left="107"/>
              <w:rPr>
                <w:b/>
                <w:sz w:val="26"/>
              </w:rPr>
            </w:pPr>
            <w:r>
              <w:rPr>
                <w:b/>
                <w:sz w:val="26"/>
              </w:rPr>
              <w:t>Mối tương quan giữa các nhân tố</w:t>
            </w:r>
          </w:p>
        </w:tc>
        <w:tc>
          <w:tcPr>
            <w:tcW w:w="2692" w:type="dxa"/>
            <w:tcBorders>
              <w:left w:val="single" w:sz="6" w:space="0" w:color="000000"/>
            </w:tcBorders>
            <w:shd w:val="clear" w:color="auto" w:fill="E4E4E4"/>
          </w:tcPr>
          <w:p>
            <w:pPr>
              <w:pStyle w:val="TableParagraph"/>
              <w:spacing w:before="247"/>
              <w:ind w:left="126"/>
              <w:rPr>
                <w:b/>
                <w:sz w:val="26"/>
              </w:rPr>
            </w:pPr>
            <w:r>
              <w:rPr>
                <w:b/>
                <w:sz w:val="26"/>
              </w:rPr>
              <w:t>Hệ số chưa chuẩn hóa</w:t>
            </w:r>
          </w:p>
        </w:tc>
        <w:tc>
          <w:tcPr>
            <w:tcW w:w="2517" w:type="dxa"/>
            <w:shd w:val="clear" w:color="auto" w:fill="E4E4E4"/>
          </w:tcPr>
          <w:p>
            <w:pPr>
              <w:pStyle w:val="TableParagraph"/>
              <w:spacing w:before="247"/>
              <w:ind w:left="177"/>
              <w:rPr>
                <w:b/>
                <w:sz w:val="26"/>
              </w:rPr>
            </w:pPr>
            <w:r>
              <w:rPr>
                <w:b/>
                <w:sz w:val="26"/>
              </w:rPr>
              <w:t>Hệ số đã chuẩn hóa</w:t>
            </w:r>
          </w:p>
        </w:tc>
      </w:tr>
      <w:tr>
        <w:trPr>
          <w:trHeight w:val="496" w:hRule="atLeast"/>
        </w:trPr>
        <w:tc>
          <w:tcPr>
            <w:tcW w:w="1447" w:type="dxa"/>
          </w:tcPr>
          <w:p>
            <w:pPr>
              <w:pStyle w:val="TableParagraph"/>
              <w:spacing w:before="2"/>
              <w:ind w:left="107"/>
              <w:rPr>
                <w:sz w:val="26"/>
              </w:rPr>
            </w:pPr>
            <w:r>
              <w:rPr>
                <w:sz w:val="26"/>
              </w:rPr>
              <w:t>VT9</w:t>
            </w:r>
          </w:p>
        </w:tc>
        <w:tc>
          <w:tcPr>
            <w:tcW w:w="825" w:type="dxa"/>
          </w:tcPr>
          <w:p>
            <w:pPr>
              <w:pStyle w:val="TableParagraph"/>
              <w:spacing w:before="2"/>
              <w:ind w:left="105"/>
              <w:rPr>
                <w:sz w:val="26"/>
              </w:rPr>
            </w:pPr>
            <w:r>
              <w:rPr>
                <w:w w:val="99"/>
                <w:sz w:val="26"/>
              </w:rPr>
              <w:t>←</w:t>
            </w:r>
          </w:p>
        </w:tc>
        <w:tc>
          <w:tcPr>
            <w:tcW w:w="1730" w:type="dxa"/>
            <w:tcBorders>
              <w:right w:val="single" w:sz="6" w:space="0" w:color="000000"/>
            </w:tcBorders>
          </w:tcPr>
          <w:p>
            <w:pPr>
              <w:pStyle w:val="TableParagraph"/>
              <w:spacing w:before="2"/>
              <w:ind w:left="109"/>
              <w:rPr>
                <w:sz w:val="26"/>
              </w:rPr>
            </w:pPr>
            <w:r>
              <w:rPr>
                <w:sz w:val="26"/>
              </w:rPr>
              <w:t>VT</w:t>
            </w:r>
          </w:p>
        </w:tc>
        <w:tc>
          <w:tcPr>
            <w:tcW w:w="2692" w:type="dxa"/>
            <w:tcBorders>
              <w:left w:val="single" w:sz="6" w:space="0" w:color="000000"/>
            </w:tcBorders>
          </w:tcPr>
          <w:p>
            <w:pPr>
              <w:pStyle w:val="TableParagraph"/>
              <w:spacing w:before="26"/>
              <w:ind w:left="107"/>
              <w:rPr>
                <w:sz w:val="26"/>
              </w:rPr>
            </w:pPr>
            <w:r>
              <w:rPr>
                <w:sz w:val="26"/>
              </w:rPr>
              <w:t>0,886</w:t>
            </w:r>
          </w:p>
        </w:tc>
        <w:tc>
          <w:tcPr>
            <w:tcW w:w="2517" w:type="dxa"/>
          </w:tcPr>
          <w:p>
            <w:pPr>
              <w:pStyle w:val="TableParagraph"/>
              <w:spacing w:before="26"/>
              <w:ind w:left="110"/>
              <w:rPr>
                <w:sz w:val="26"/>
              </w:rPr>
            </w:pPr>
            <w:r>
              <w:rPr>
                <w:sz w:val="26"/>
              </w:rPr>
              <w:t>0,693</w:t>
            </w:r>
          </w:p>
        </w:tc>
      </w:tr>
      <w:tr>
        <w:trPr>
          <w:trHeight w:val="496" w:hRule="atLeast"/>
        </w:trPr>
        <w:tc>
          <w:tcPr>
            <w:tcW w:w="1447" w:type="dxa"/>
          </w:tcPr>
          <w:p>
            <w:pPr>
              <w:pStyle w:val="TableParagraph"/>
              <w:spacing w:before="2"/>
              <w:ind w:left="107"/>
              <w:rPr>
                <w:sz w:val="26"/>
              </w:rPr>
            </w:pPr>
            <w:r>
              <w:rPr>
                <w:sz w:val="26"/>
              </w:rPr>
              <w:t>VT3</w:t>
            </w:r>
          </w:p>
        </w:tc>
        <w:tc>
          <w:tcPr>
            <w:tcW w:w="825" w:type="dxa"/>
          </w:tcPr>
          <w:p>
            <w:pPr>
              <w:pStyle w:val="TableParagraph"/>
              <w:spacing w:before="2"/>
              <w:ind w:left="105"/>
              <w:rPr>
                <w:sz w:val="26"/>
              </w:rPr>
            </w:pPr>
            <w:r>
              <w:rPr>
                <w:w w:val="99"/>
                <w:sz w:val="26"/>
              </w:rPr>
              <w:t>←</w:t>
            </w:r>
          </w:p>
        </w:tc>
        <w:tc>
          <w:tcPr>
            <w:tcW w:w="1730" w:type="dxa"/>
            <w:tcBorders>
              <w:right w:val="single" w:sz="6" w:space="0" w:color="000000"/>
            </w:tcBorders>
          </w:tcPr>
          <w:p>
            <w:pPr>
              <w:pStyle w:val="TableParagraph"/>
              <w:spacing w:before="2"/>
              <w:ind w:left="109"/>
              <w:rPr>
                <w:sz w:val="26"/>
              </w:rPr>
            </w:pPr>
            <w:r>
              <w:rPr>
                <w:sz w:val="26"/>
              </w:rPr>
              <w:t>VT</w:t>
            </w:r>
          </w:p>
        </w:tc>
        <w:tc>
          <w:tcPr>
            <w:tcW w:w="2692" w:type="dxa"/>
            <w:tcBorders>
              <w:left w:val="single" w:sz="6" w:space="0" w:color="000000"/>
            </w:tcBorders>
          </w:tcPr>
          <w:p>
            <w:pPr>
              <w:pStyle w:val="TableParagraph"/>
              <w:spacing w:before="26"/>
              <w:ind w:left="107"/>
              <w:rPr>
                <w:sz w:val="26"/>
              </w:rPr>
            </w:pPr>
            <w:r>
              <w:rPr>
                <w:sz w:val="26"/>
              </w:rPr>
              <w:t>0,834</w:t>
            </w:r>
          </w:p>
        </w:tc>
        <w:tc>
          <w:tcPr>
            <w:tcW w:w="2517" w:type="dxa"/>
          </w:tcPr>
          <w:p>
            <w:pPr>
              <w:pStyle w:val="TableParagraph"/>
              <w:spacing w:before="26"/>
              <w:ind w:left="110"/>
              <w:rPr>
                <w:sz w:val="26"/>
              </w:rPr>
            </w:pPr>
            <w:r>
              <w:rPr>
                <w:sz w:val="26"/>
              </w:rPr>
              <w:t>0,675</w:t>
            </w:r>
          </w:p>
        </w:tc>
      </w:tr>
      <w:tr>
        <w:trPr>
          <w:trHeight w:val="494" w:hRule="atLeast"/>
        </w:trPr>
        <w:tc>
          <w:tcPr>
            <w:tcW w:w="1447" w:type="dxa"/>
          </w:tcPr>
          <w:p>
            <w:pPr>
              <w:pStyle w:val="TableParagraph"/>
              <w:spacing w:before="2"/>
              <w:ind w:left="107"/>
              <w:rPr>
                <w:sz w:val="26"/>
              </w:rPr>
            </w:pPr>
            <w:r>
              <w:rPr>
                <w:sz w:val="26"/>
              </w:rPr>
              <w:t>HT5</w:t>
            </w:r>
          </w:p>
        </w:tc>
        <w:tc>
          <w:tcPr>
            <w:tcW w:w="825" w:type="dxa"/>
          </w:tcPr>
          <w:p>
            <w:pPr>
              <w:pStyle w:val="TableParagraph"/>
              <w:spacing w:before="2"/>
              <w:ind w:left="105"/>
              <w:rPr>
                <w:sz w:val="26"/>
              </w:rPr>
            </w:pPr>
            <w:r>
              <w:rPr>
                <w:w w:val="99"/>
                <w:sz w:val="26"/>
              </w:rPr>
              <w:t>←</w:t>
            </w:r>
          </w:p>
        </w:tc>
        <w:tc>
          <w:tcPr>
            <w:tcW w:w="1730" w:type="dxa"/>
            <w:tcBorders>
              <w:right w:val="single" w:sz="6" w:space="0" w:color="000000"/>
            </w:tcBorders>
          </w:tcPr>
          <w:p>
            <w:pPr>
              <w:pStyle w:val="TableParagraph"/>
              <w:spacing w:before="2"/>
              <w:ind w:left="109"/>
              <w:rPr>
                <w:sz w:val="26"/>
              </w:rPr>
            </w:pPr>
            <w:r>
              <w:rPr>
                <w:sz w:val="26"/>
              </w:rPr>
              <w:t>HT</w:t>
            </w:r>
          </w:p>
        </w:tc>
        <w:tc>
          <w:tcPr>
            <w:tcW w:w="2692" w:type="dxa"/>
            <w:tcBorders>
              <w:left w:val="single" w:sz="6" w:space="0" w:color="000000"/>
            </w:tcBorders>
          </w:tcPr>
          <w:p>
            <w:pPr>
              <w:pStyle w:val="TableParagraph"/>
              <w:spacing w:before="26"/>
              <w:ind w:left="107"/>
              <w:rPr>
                <w:sz w:val="26"/>
              </w:rPr>
            </w:pPr>
            <w:r>
              <w:rPr>
                <w:sz w:val="26"/>
              </w:rPr>
              <w:t>1,000</w:t>
            </w:r>
          </w:p>
        </w:tc>
        <w:tc>
          <w:tcPr>
            <w:tcW w:w="2517" w:type="dxa"/>
          </w:tcPr>
          <w:p>
            <w:pPr>
              <w:pStyle w:val="TableParagraph"/>
              <w:spacing w:before="26"/>
              <w:ind w:left="110"/>
              <w:rPr>
                <w:sz w:val="26"/>
              </w:rPr>
            </w:pPr>
            <w:r>
              <w:rPr>
                <w:sz w:val="26"/>
              </w:rPr>
              <w:t>0,851</w:t>
            </w:r>
          </w:p>
        </w:tc>
      </w:tr>
      <w:tr>
        <w:trPr>
          <w:trHeight w:val="496" w:hRule="atLeast"/>
        </w:trPr>
        <w:tc>
          <w:tcPr>
            <w:tcW w:w="1447" w:type="dxa"/>
          </w:tcPr>
          <w:p>
            <w:pPr>
              <w:pStyle w:val="TableParagraph"/>
              <w:spacing w:before="4"/>
              <w:ind w:left="107"/>
              <w:rPr>
                <w:sz w:val="26"/>
              </w:rPr>
            </w:pPr>
            <w:r>
              <w:rPr>
                <w:sz w:val="26"/>
              </w:rPr>
              <w:t>HT4</w:t>
            </w:r>
          </w:p>
        </w:tc>
        <w:tc>
          <w:tcPr>
            <w:tcW w:w="825" w:type="dxa"/>
          </w:tcPr>
          <w:p>
            <w:pPr>
              <w:pStyle w:val="TableParagraph"/>
              <w:spacing w:before="4"/>
              <w:ind w:left="105"/>
              <w:rPr>
                <w:sz w:val="26"/>
              </w:rPr>
            </w:pPr>
            <w:r>
              <w:rPr>
                <w:w w:val="99"/>
                <w:sz w:val="26"/>
              </w:rPr>
              <w:t>←</w:t>
            </w:r>
          </w:p>
        </w:tc>
        <w:tc>
          <w:tcPr>
            <w:tcW w:w="1730" w:type="dxa"/>
            <w:tcBorders>
              <w:right w:val="single" w:sz="6" w:space="0" w:color="000000"/>
            </w:tcBorders>
          </w:tcPr>
          <w:p>
            <w:pPr>
              <w:pStyle w:val="TableParagraph"/>
              <w:spacing w:before="4"/>
              <w:ind w:left="109"/>
              <w:rPr>
                <w:sz w:val="26"/>
              </w:rPr>
            </w:pPr>
            <w:r>
              <w:rPr>
                <w:sz w:val="26"/>
              </w:rPr>
              <w:t>HT</w:t>
            </w:r>
          </w:p>
        </w:tc>
        <w:tc>
          <w:tcPr>
            <w:tcW w:w="2692" w:type="dxa"/>
            <w:tcBorders>
              <w:left w:val="single" w:sz="6" w:space="0" w:color="000000"/>
            </w:tcBorders>
          </w:tcPr>
          <w:p>
            <w:pPr>
              <w:pStyle w:val="TableParagraph"/>
              <w:spacing w:before="26"/>
              <w:ind w:left="107"/>
              <w:rPr>
                <w:sz w:val="26"/>
              </w:rPr>
            </w:pPr>
            <w:r>
              <w:rPr>
                <w:sz w:val="26"/>
              </w:rPr>
              <w:t>0,997</w:t>
            </w:r>
          </w:p>
        </w:tc>
        <w:tc>
          <w:tcPr>
            <w:tcW w:w="2517" w:type="dxa"/>
          </w:tcPr>
          <w:p>
            <w:pPr>
              <w:pStyle w:val="TableParagraph"/>
              <w:spacing w:before="26"/>
              <w:ind w:left="110"/>
              <w:rPr>
                <w:sz w:val="26"/>
              </w:rPr>
            </w:pPr>
            <w:r>
              <w:rPr>
                <w:sz w:val="26"/>
              </w:rPr>
              <w:t>0,847</w:t>
            </w:r>
          </w:p>
        </w:tc>
      </w:tr>
      <w:tr>
        <w:trPr>
          <w:trHeight w:val="496" w:hRule="atLeast"/>
        </w:trPr>
        <w:tc>
          <w:tcPr>
            <w:tcW w:w="1447" w:type="dxa"/>
          </w:tcPr>
          <w:p>
            <w:pPr>
              <w:pStyle w:val="TableParagraph"/>
              <w:spacing w:before="2"/>
              <w:ind w:left="107"/>
              <w:rPr>
                <w:sz w:val="26"/>
              </w:rPr>
            </w:pPr>
            <w:r>
              <w:rPr>
                <w:sz w:val="26"/>
              </w:rPr>
              <w:t>HT6</w:t>
            </w:r>
          </w:p>
        </w:tc>
        <w:tc>
          <w:tcPr>
            <w:tcW w:w="825" w:type="dxa"/>
          </w:tcPr>
          <w:p>
            <w:pPr>
              <w:pStyle w:val="TableParagraph"/>
              <w:spacing w:before="2"/>
              <w:ind w:left="105"/>
              <w:rPr>
                <w:sz w:val="26"/>
              </w:rPr>
            </w:pPr>
            <w:r>
              <w:rPr>
                <w:w w:val="99"/>
                <w:sz w:val="26"/>
              </w:rPr>
              <w:t>←</w:t>
            </w:r>
          </w:p>
        </w:tc>
        <w:tc>
          <w:tcPr>
            <w:tcW w:w="1730" w:type="dxa"/>
            <w:tcBorders>
              <w:right w:val="single" w:sz="6" w:space="0" w:color="000000"/>
            </w:tcBorders>
          </w:tcPr>
          <w:p>
            <w:pPr>
              <w:pStyle w:val="TableParagraph"/>
              <w:spacing w:before="2"/>
              <w:ind w:left="109"/>
              <w:rPr>
                <w:sz w:val="26"/>
              </w:rPr>
            </w:pPr>
            <w:r>
              <w:rPr>
                <w:sz w:val="26"/>
              </w:rPr>
              <w:t>HT</w:t>
            </w:r>
          </w:p>
        </w:tc>
        <w:tc>
          <w:tcPr>
            <w:tcW w:w="2692" w:type="dxa"/>
            <w:tcBorders>
              <w:left w:val="single" w:sz="6" w:space="0" w:color="000000"/>
            </w:tcBorders>
          </w:tcPr>
          <w:p>
            <w:pPr>
              <w:pStyle w:val="TableParagraph"/>
              <w:spacing w:before="26"/>
              <w:ind w:left="107"/>
              <w:rPr>
                <w:sz w:val="26"/>
              </w:rPr>
            </w:pPr>
            <w:r>
              <w:rPr>
                <w:sz w:val="26"/>
              </w:rPr>
              <w:t>0,827</w:t>
            </w:r>
          </w:p>
        </w:tc>
        <w:tc>
          <w:tcPr>
            <w:tcW w:w="2517" w:type="dxa"/>
          </w:tcPr>
          <w:p>
            <w:pPr>
              <w:pStyle w:val="TableParagraph"/>
              <w:spacing w:before="26"/>
              <w:ind w:left="110"/>
              <w:rPr>
                <w:sz w:val="26"/>
              </w:rPr>
            </w:pPr>
            <w:r>
              <w:rPr>
                <w:sz w:val="26"/>
              </w:rPr>
              <w:t>0,752</w:t>
            </w:r>
          </w:p>
        </w:tc>
      </w:tr>
      <w:tr>
        <w:trPr>
          <w:trHeight w:val="497" w:hRule="atLeast"/>
        </w:trPr>
        <w:tc>
          <w:tcPr>
            <w:tcW w:w="1447" w:type="dxa"/>
          </w:tcPr>
          <w:p>
            <w:pPr>
              <w:pStyle w:val="TableParagraph"/>
              <w:spacing w:before="2"/>
              <w:ind w:left="107"/>
              <w:rPr>
                <w:sz w:val="26"/>
              </w:rPr>
            </w:pPr>
            <w:r>
              <w:rPr>
                <w:sz w:val="26"/>
              </w:rPr>
              <w:t>HT2</w:t>
            </w:r>
          </w:p>
        </w:tc>
        <w:tc>
          <w:tcPr>
            <w:tcW w:w="825" w:type="dxa"/>
          </w:tcPr>
          <w:p>
            <w:pPr>
              <w:pStyle w:val="TableParagraph"/>
              <w:spacing w:before="2"/>
              <w:ind w:left="105"/>
              <w:rPr>
                <w:sz w:val="26"/>
              </w:rPr>
            </w:pPr>
            <w:r>
              <w:rPr>
                <w:w w:val="99"/>
                <w:sz w:val="26"/>
              </w:rPr>
              <w:t>←</w:t>
            </w:r>
          </w:p>
        </w:tc>
        <w:tc>
          <w:tcPr>
            <w:tcW w:w="1730" w:type="dxa"/>
            <w:tcBorders>
              <w:right w:val="single" w:sz="6" w:space="0" w:color="000000"/>
            </w:tcBorders>
          </w:tcPr>
          <w:p>
            <w:pPr>
              <w:pStyle w:val="TableParagraph"/>
              <w:spacing w:before="2"/>
              <w:ind w:left="109"/>
              <w:rPr>
                <w:sz w:val="26"/>
              </w:rPr>
            </w:pPr>
            <w:r>
              <w:rPr>
                <w:sz w:val="26"/>
              </w:rPr>
              <w:t>HT</w:t>
            </w:r>
          </w:p>
        </w:tc>
        <w:tc>
          <w:tcPr>
            <w:tcW w:w="2692" w:type="dxa"/>
            <w:tcBorders>
              <w:left w:val="single" w:sz="6" w:space="0" w:color="000000"/>
            </w:tcBorders>
          </w:tcPr>
          <w:p>
            <w:pPr>
              <w:pStyle w:val="TableParagraph"/>
              <w:spacing w:before="26"/>
              <w:ind w:left="107"/>
              <w:rPr>
                <w:sz w:val="26"/>
              </w:rPr>
            </w:pPr>
            <w:r>
              <w:rPr>
                <w:sz w:val="26"/>
              </w:rPr>
              <w:t>0,631</w:t>
            </w:r>
          </w:p>
        </w:tc>
        <w:tc>
          <w:tcPr>
            <w:tcW w:w="2517" w:type="dxa"/>
          </w:tcPr>
          <w:p>
            <w:pPr>
              <w:pStyle w:val="TableParagraph"/>
              <w:spacing w:before="26"/>
              <w:ind w:left="110"/>
              <w:rPr>
                <w:sz w:val="26"/>
              </w:rPr>
            </w:pPr>
            <w:r>
              <w:rPr>
                <w:sz w:val="26"/>
              </w:rPr>
              <w:t>0,535</w:t>
            </w:r>
          </w:p>
        </w:tc>
      </w:tr>
      <w:tr>
        <w:trPr>
          <w:trHeight w:val="496" w:hRule="atLeast"/>
        </w:trPr>
        <w:tc>
          <w:tcPr>
            <w:tcW w:w="1447" w:type="dxa"/>
          </w:tcPr>
          <w:p>
            <w:pPr>
              <w:pStyle w:val="TableParagraph"/>
              <w:spacing w:before="2"/>
              <w:ind w:left="107"/>
              <w:rPr>
                <w:sz w:val="26"/>
              </w:rPr>
            </w:pPr>
            <w:r>
              <w:rPr>
                <w:sz w:val="26"/>
              </w:rPr>
              <w:t>HT1</w:t>
            </w:r>
          </w:p>
        </w:tc>
        <w:tc>
          <w:tcPr>
            <w:tcW w:w="825" w:type="dxa"/>
          </w:tcPr>
          <w:p>
            <w:pPr>
              <w:pStyle w:val="TableParagraph"/>
              <w:spacing w:before="2"/>
              <w:ind w:left="105"/>
              <w:rPr>
                <w:sz w:val="26"/>
              </w:rPr>
            </w:pPr>
            <w:r>
              <w:rPr>
                <w:w w:val="99"/>
                <w:sz w:val="26"/>
              </w:rPr>
              <w:t>←</w:t>
            </w:r>
          </w:p>
        </w:tc>
        <w:tc>
          <w:tcPr>
            <w:tcW w:w="1730" w:type="dxa"/>
            <w:tcBorders>
              <w:right w:val="single" w:sz="6" w:space="0" w:color="000000"/>
            </w:tcBorders>
          </w:tcPr>
          <w:p>
            <w:pPr>
              <w:pStyle w:val="TableParagraph"/>
              <w:spacing w:before="2"/>
              <w:ind w:left="109"/>
              <w:rPr>
                <w:sz w:val="26"/>
              </w:rPr>
            </w:pPr>
            <w:r>
              <w:rPr>
                <w:sz w:val="26"/>
              </w:rPr>
              <w:t>HT</w:t>
            </w:r>
          </w:p>
        </w:tc>
        <w:tc>
          <w:tcPr>
            <w:tcW w:w="2692" w:type="dxa"/>
            <w:tcBorders>
              <w:left w:val="single" w:sz="6" w:space="0" w:color="000000"/>
            </w:tcBorders>
          </w:tcPr>
          <w:p>
            <w:pPr>
              <w:pStyle w:val="TableParagraph"/>
              <w:spacing w:before="26"/>
              <w:ind w:left="107"/>
              <w:rPr>
                <w:sz w:val="26"/>
              </w:rPr>
            </w:pPr>
            <w:r>
              <w:rPr>
                <w:sz w:val="26"/>
              </w:rPr>
              <w:t>0,636</w:t>
            </w:r>
          </w:p>
        </w:tc>
        <w:tc>
          <w:tcPr>
            <w:tcW w:w="2517" w:type="dxa"/>
          </w:tcPr>
          <w:p>
            <w:pPr>
              <w:pStyle w:val="TableParagraph"/>
              <w:spacing w:before="26"/>
              <w:ind w:left="110"/>
              <w:rPr>
                <w:sz w:val="26"/>
              </w:rPr>
            </w:pPr>
            <w:r>
              <w:rPr>
                <w:sz w:val="26"/>
              </w:rPr>
              <w:t>0,564</w:t>
            </w:r>
          </w:p>
        </w:tc>
      </w:tr>
      <w:tr>
        <w:trPr>
          <w:trHeight w:val="496" w:hRule="atLeast"/>
        </w:trPr>
        <w:tc>
          <w:tcPr>
            <w:tcW w:w="1447" w:type="dxa"/>
          </w:tcPr>
          <w:p>
            <w:pPr>
              <w:pStyle w:val="TableParagraph"/>
              <w:spacing w:before="2"/>
              <w:ind w:left="107"/>
              <w:rPr>
                <w:sz w:val="26"/>
              </w:rPr>
            </w:pPr>
            <w:r>
              <w:rPr>
                <w:sz w:val="26"/>
              </w:rPr>
              <w:t>HT7</w:t>
            </w:r>
          </w:p>
        </w:tc>
        <w:tc>
          <w:tcPr>
            <w:tcW w:w="825" w:type="dxa"/>
          </w:tcPr>
          <w:p>
            <w:pPr>
              <w:pStyle w:val="TableParagraph"/>
              <w:spacing w:before="2"/>
              <w:ind w:left="105"/>
              <w:rPr>
                <w:sz w:val="26"/>
              </w:rPr>
            </w:pPr>
            <w:r>
              <w:rPr>
                <w:w w:val="99"/>
                <w:sz w:val="26"/>
              </w:rPr>
              <w:t>←</w:t>
            </w:r>
          </w:p>
        </w:tc>
        <w:tc>
          <w:tcPr>
            <w:tcW w:w="1730" w:type="dxa"/>
            <w:tcBorders>
              <w:right w:val="single" w:sz="6" w:space="0" w:color="000000"/>
            </w:tcBorders>
          </w:tcPr>
          <w:p>
            <w:pPr>
              <w:pStyle w:val="TableParagraph"/>
              <w:spacing w:before="2"/>
              <w:ind w:left="109"/>
              <w:rPr>
                <w:sz w:val="26"/>
              </w:rPr>
            </w:pPr>
            <w:r>
              <w:rPr>
                <w:sz w:val="26"/>
              </w:rPr>
              <w:t>HT</w:t>
            </w:r>
          </w:p>
        </w:tc>
        <w:tc>
          <w:tcPr>
            <w:tcW w:w="2692" w:type="dxa"/>
            <w:tcBorders>
              <w:left w:val="single" w:sz="6" w:space="0" w:color="000000"/>
            </w:tcBorders>
          </w:tcPr>
          <w:p>
            <w:pPr>
              <w:pStyle w:val="TableParagraph"/>
              <w:spacing w:before="26"/>
              <w:ind w:left="107"/>
              <w:rPr>
                <w:sz w:val="26"/>
              </w:rPr>
            </w:pPr>
            <w:r>
              <w:rPr>
                <w:sz w:val="26"/>
              </w:rPr>
              <w:t>0,537</w:t>
            </w:r>
          </w:p>
        </w:tc>
        <w:tc>
          <w:tcPr>
            <w:tcW w:w="2517" w:type="dxa"/>
          </w:tcPr>
          <w:p>
            <w:pPr>
              <w:pStyle w:val="TableParagraph"/>
              <w:spacing w:before="26"/>
              <w:ind w:left="110"/>
              <w:rPr>
                <w:sz w:val="26"/>
              </w:rPr>
            </w:pPr>
            <w:r>
              <w:rPr>
                <w:sz w:val="26"/>
              </w:rPr>
              <w:t>0,462</w:t>
            </w:r>
          </w:p>
        </w:tc>
      </w:tr>
      <w:tr>
        <w:trPr>
          <w:trHeight w:val="494" w:hRule="atLeast"/>
        </w:trPr>
        <w:tc>
          <w:tcPr>
            <w:tcW w:w="1447" w:type="dxa"/>
          </w:tcPr>
          <w:p>
            <w:pPr>
              <w:pStyle w:val="TableParagraph"/>
              <w:spacing w:before="2"/>
              <w:ind w:left="107"/>
              <w:rPr>
                <w:sz w:val="26"/>
              </w:rPr>
            </w:pPr>
            <w:r>
              <w:rPr>
                <w:sz w:val="26"/>
              </w:rPr>
              <w:t>ND1</w:t>
            </w:r>
          </w:p>
        </w:tc>
        <w:tc>
          <w:tcPr>
            <w:tcW w:w="825" w:type="dxa"/>
          </w:tcPr>
          <w:p>
            <w:pPr>
              <w:pStyle w:val="TableParagraph"/>
              <w:spacing w:before="2"/>
              <w:ind w:left="105"/>
              <w:rPr>
                <w:sz w:val="26"/>
              </w:rPr>
            </w:pPr>
            <w:r>
              <w:rPr>
                <w:w w:val="99"/>
                <w:sz w:val="26"/>
              </w:rPr>
              <w:t>←</w:t>
            </w:r>
          </w:p>
        </w:tc>
        <w:tc>
          <w:tcPr>
            <w:tcW w:w="1730" w:type="dxa"/>
            <w:tcBorders>
              <w:right w:val="single" w:sz="6" w:space="0" w:color="000000"/>
            </w:tcBorders>
          </w:tcPr>
          <w:p>
            <w:pPr>
              <w:pStyle w:val="TableParagraph"/>
              <w:spacing w:before="2"/>
              <w:ind w:left="109"/>
              <w:rPr>
                <w:sz w:val="26"/>
              </w:rPr>
            </w:pPr>
            <w:r>
              <w:rPr>
                <w:sz w:val="26"/>
              </w:rPr>
              <w:t>ND</w:t>
            </w:r>
          </w:p>
        </w:tc>
        <w:tc>
          <w:tcPr>
            <w:tcW w:w="2692" w:type="dxa"/>
            <w:tcBorders>
              <w:left w:val="single" w:sz="6" w:space="0" w:color="000000"/>
            </w:tcBorders>
          </w:tcPr>
          <w:p>
            <w:pPr>
              <w:pStyle w:val="TableParagraph"/>
              <w:spacing w:before="26"/>
              <w:ind w:left="107"/>
              <w:rPr>
                <w:sz w:val="26"/>
              </w:rPr>
            </w:pPr>
            <w:r>
              <w:rPr>
                <w:sz w:val="26"/>
              </w:rPr>
              <w:t>1,000</w:t>
            </w:r>
          </w:p>
        </w:tc>
        <w:tc>
          <w:tcPr>
            <w:tcW w:w="2517" w:type="dxa"/>
          </w:tcPr>
          <w:p>
            <w:pPr>
              <w:pStyle w:val="TableParagraph"/>
              <w:spacing w:before="26"/>
              <w:ind w:left="110"/>
              <w:rPr>
                <w:sz w:val="26"/>
              </w:rPr>
            </w:pPr>
            <w:r>
              <w:rPr>
                <w:sz w:val="26"/>
              </w:rPr>
              <w:t>0,781</w:t>
            </w:r>
          </w:p>
        </w:tc>
      </w:tr>
      <w:tr>
        <w:trPr>
          <w:trHeight w:val="496" w:hRule="atLeast"/>
        </w:trPr>
        <w:tc>
          <w:tcPr>
            <w:tcW w:w="1447" w:type="dxa"/>
          </w:tcPr>
          <w:p>
            <w:pPr>
              <w:pStyle w:val="TableParagraph"/>
              <w:spacing w:before="4"/>
              <w:ind w:left="107"/>
              <w:rPr>
                <w:sz w:val="26"/>
              </w:rPr>
            </w:pPr>
            <w:r>
              <w:rPr>
                <w:sz w:val="26"/>
              </w:rPr>
              <w:t>ND2</w:t>
            </w:r>
          </w:p>
        </w:tc>
        <w:tc>
          <w:tcPr>
            <w:tcW w:w="825" w:type="dxa"/>
          </w:tcPr>
          <w:p>
            <w:pPr>
              <w:pStyle w:val="TableParagraph"/>
              <w:spacing w:before="4"/>
              <w:ind w:left="105"/>
              <w:rPr>
                <w:sz w:val="26"/>
              </w:rPr>
            </w:pPr>
            <w:r>
              <w:rPr>
                <w:w w:val="99"/>
                <w:sz w:val="26"/>
              </w:rPr>
              <w:t>←</w:t>
            </w:r>
          </w:p>
        </w:tc>
        <w:tc>
          <w:tcPr>
            <w:tcW w:w="1730" w:type="dxa"/>
            <w:tcBorders>
              <w:right w:val="single" w:sz="6" w:space="0" w:color="000000"/>
            </w:tcBorders>
          </w:tcPr>
          <w:p>
            <w:pPr>
              <w:pStyle w:val="TableParagraph"/>
              <w:spacing w:before="4"/>
              <w:ind w:left="109"/>
              <w:rPr>
                <w:sz w:val="26"/>
              </w:rPr>
            </w:pPr>
            <w:r>
              <w:rPr>
                <w:sz w:val="26"/>
              </w:rPr>
              <w:t>ND</w:t>
            </w:r>
          </w:p>
        </w:tc>
        <w:tc>
          <w:tcPr>
            <w:tcW w:w="2692" w:type="dxa"/>
            <w:tcBorders>
              <w:left w:val="single" w:sz="6" w:space="0" w:color="000000"/>
            </w:tcBorders>
          </w:tcPr>
          <w:p>
            <w:pPr>
              <w:pStyle w:val="TableParagraph"/>
              <w:spacing w:before="26"/>
              <w:ind w:left="107"/>
              <w:rPr>
                <w:sz w:val="26"/>
              </w:rPr>
            </w:pPr>
            <w:r>
              <w:rPr>
                <w:sz w:val="26"/>
              </w:rPr>
              <w:t>0,881</w:t>
            </w:r>
          </w:p>
        </w:tc>
        <w:tc>
          <w:tcPr>
            <w:tcW w:w="2517" w:type="dxa"/>
          </w:tcPr>
          <w:p>
            <w:pPr>
              <w:pStyle w:val="TableParagraph"/>
              <w:spacing w:before="26"/>
              <w:ind w:left="110"/>
              <w:rPr>
                <w:sz w:val="26"/>
              </w:rPr>
            </w:pPr>
            <w:r>
              <w:rPr>
                <w:sz w:val="26"/>
              </w:rPr>
              <w:t>0,706</w:t>
            </w:r>
          </w:p>
        </w:tc>
      </w:tr>
      <w:tr>
        <w:trPr>
          <w:trHeight w:val="496" w:hRule="atLeast"/>
        </w:trPr>
        <w:tc>
          <w:tcPr>
            <w:tcW w:w="1447" w:type="dxa"/>
          </w:tcPr>
          <w:p>
            <w:pPr>
              <w:pStyle w:val="TableParagraph"/>
              <w:spacing w:before="2"/>
              <w:ind w:left="107"/>
              <w:rPr>
                <w:sz w:val="26"/>
              </w:rPr>
            </w:pPr>
            <w:r>
              <w:rPr>
                <w:sz w:val="26"/>
              </w:rPr>
              <w:t>ND5</w:t>
            </w:r>
          </w:p>
        </w:tc>
        <w:tc>
          <w:tcPr>
            <w:tcW w:w="825" w:type="dxa"/>
          </w:tcPr>
          <w:p>
            <w:pPr>
              <w:pStyle w:val="TableParagraph"/>
              <w:spacing w:before="2"/>
              <w:ind w:left="105"/>
              <w:rPr>
                <w:sz w:val="26"/>
              </w:rPr>
            </w:pPr>
            <w:r>
              <w:rPr>
                <w:w w:val="99"/>
                <w:sz w:val="26"/>
              </w:rPr>
              <w:t>←</w:t>
            </w:r>
          </w:p>
        </w:tc>
        <w:tc>
          <w:tcPr>
            <w:tcW w:w="1730" w:type="dxa"/>
            <w:tcBorders>
              <w:right w:val="single" w:sz="6" w:space="0" w:color="000000"/>
            </w:tcBorders>
          </w:tcPr>
          <w:p>
            <w:pPr>
              <w:pStyle w:val="TableParagraph"/>
              <w:spacing w:before="2"/>
              <w:ind w:left="109"/>
              <w:rPr>
                <w:sz w:val="26"/>
              </w:rPr>
            </w:pPr>
            <w:r>
              <w:rPr>
                <w:sz w:val="26"/>
              </w:rPr>
              <w:t>ND</w:t>
            </w:r>
          </w:p>
        </w:tc>
        <w:tc>
          <w:tcPr>
            <w:tcW w:w="2692" w:type="dxa"/>
            <w:tcBorders>
              <w:left w:val="single" w:sz="6" w:space="0" w:color="000000"/>
            </w:tcBorders>
          </w:tcPr>
          <w:p>
            <w:pPr>
              <w:pStyle w:val="TableParagraph"/>
              <w:spacing w:before="26"/>
              <w:ind w:left="107"/>
              <w:rPr>
                <w:sz w:val="26"/>
              </w:rPr>
            </w:pPr>
            <w:r>
              <w:rPr>
                <w:sz w:val="26"/>
              </w:rPr>
              <w:t>0,983</w:t>
            </w:r>
          </w:p>
        </w:tc>
        <w:tc>
          <w:tcPr>
            <w:tcW w:w="2517" w:type="dxa"/>
          </w:tcPr>
          <w:p>
            <w:pPr>
              <w:pStyle w:val="TableParagraph"/>
              <w:spacing w:before="26"/>
              <w:ind w:left="110"/>
              <w:rPr>
                <w:sz w:val="26"/>
              </w:rPr>
            </w:pPr>
            <w:r>
              <w:rPr>
                <w:sz w:val="26"/>
              </w:rPr>
              <w:t>0,722</w:t>
            </w:r>
          </w:p>
        </w:tc>
      </w:tr>
      <w:tr>
        <w:trPr>
          <w:trHeight w:val="496" w:hRule="atLeast"/>
        </w:trPr>
        <w:tc>
          <w:tcPr>
            <w:tcW w:w="1447" w:type="dxa"/>
          </w:tcPr>
          <w:p>
            <w:pPr>
              <w:pStyle w:val="TableParagraph"/>
              <w:spacing w:before="2"/>
              <w:ind w:left="107"/>
              <w:rPr>
                <w:sz w:val="26"/>
              </w:rPr>
            </w:pPr>
            <w:r>
              <w:rPr>
                <w:sz w:val="26"/>
              </w:rPr>
              <w:t>ND4</w:t>
            </w:r>
          </w:p>
        </w:tc>
        <w:tc>
          <w:tcPr>
            <w:tcW w:w="825" w:type="dxa"/>
          </w:tcPr>
          <w:p>
            <w:pPr>
              <w:pStyle w:val="TableParagraph"/>
              <w:spacing w:before="2"/>
              <w:ind w:left="105"/>
              <w:rPr>
                <w:sz w:val="26"/>
              </w:rPr>
            </w:pPr>
            <w:r>
              <w:rPr>
                <w:w w:val="99"/>
                <w:sz w:val="26"/>
              </w:rPr>
              <w:t>←</w:t>
            </w:r>
          </w:p>
        </w:tc>
        <w:tc>
          <w:tcPr>
            <w:tcW w:w="1730" w:type="dxa"/>
            <w:tcBorders>
              <w:right w:val="single" w:sz="6" w:space="0" w:color="000000"/>
            </w:tcBorders>
          </w:tcPr>
          <w:p>
            <w:pPr>
              <w:pStyle w:val="TableParagraph"/>
              <w:spacing w:before="2"/>
              <w:ind w:left="109"/>
              <w:rPr>
                <w:sz w:val="26"/>
              </w:rPr>
            </w:pPr>
            <w:r>
              <w:rPr>
                <w:sz w:val="26"/>
              </w:rPr>
              <w:t>ND</w:t>
            </w:r>
          </w:p>
        </w:tc>
        <w:tc>
          <w:tcPr>
            <w:tcW w:w="2692" w:type="dxa"/>
            <w:tcBorders>
              <w:left w:val="single" w:sz="6" w:space="0" w:color="000000"/>
            </w:tcBorders>
          </w:tcPr>
          <w:p>
            <w:pPr>
              <w:pStyle w:val="TableParagraph"/>
              <w:spacing w:before="26"/>
              <w:ind w:left="107"/>
              <w:rPr>
                <w:sz w:val="26"/>
              </w:rPr>
            </w:pPr>
            <w:r>
              <w:rPr>
                <w:sz w:val="26"/>
              </w:rPr>
              <w:t>1,013</w:t>
            </w:r>
          </w:p>
        </w:tc>
        <w:tc>
          <w:tcPr>
            <w:tcW w:w="2517" w:type="dxa"/>
          </w:tcPr>
          <w:p>
            <w:pPr>
              <w:pStyle w:val="TableParagraph"/>
              <w:spacing w:before="26"/>
              <w:ind w:left="110"/>
              <w:rPr>
                <w:sz w:val="26"/>
              </w:rPr>
            </w:pPr>
            <w:r>
              <w:rPr>
                <w:sz w:val="26"/>
              </w:rPr>
              <w:t>0,813</w:t>
            </w:r>
          </w:p>
        </w:tc>
      </w:tr>
      <w:tr>
        <w:trPr>
          <w:trHeight w:val="496" w:hRule="atLeast"/>
        </w:trPr>
        <w:tc>
          <w:tcPr>
            <w:tcW w:w="1447" w:type="dxa"/>
          </w:tcPr>
          <w:p>
            <w:pPr>
              <w:pStyle w:val="TableParagraph"/>
              <w:spacing w:before="2"/>
              <w:ind w:left="107"/>
              <w:rPr>
                <w:sz w:val="26"/>
              </w:rPr>
            </w:pPr>
            <w:r>
              <w:rPr>
                <w:sz w:val="26"/>
              </w:rPr>
              <w:t>ND3</w:t>
            </w:r>
          </w:p>
        </w:tc>
        <w:tc>
          <w:tcPr>
            <w:tcW w:w="825" w:type="dxa"/>
          </w:tcPr>
          <w:p>
            <w:pPr>
              <w:pStyle w:val="TableParagraph"/>
              <w:spacing w:before="2"/>
              <w:ind w:left="105"/>
              <w:rPr>
                <w:sz w:val="26"/>
              </w:rPr>
            </w:pPr>
            <w:r>
              <w:rPr>
                <w:w w:val="99"/>
                <w:sz w:val="26"/>
              </w:rPr>
              <w:t>←</w:t>
            </w:r>
          </w:p>
        </w:tc>
        <w:tc>
          <w:tcPr>
            <w:tcW w:w="1730" w:type="dxa"/>
            <w:tcBorders>
              <w:right w:val="single" w:sz="6" w:space="0" w:color="000000"/>
            </w:tcBorders>
          </w:tcPr>
          <w:p>
            <w:pPr>
              <w:pStyle w:val="TableParagraph"/>
              <w:spacing w:before="2"/>
              <w:ind w:left="109"/>
              <w:rPr>
                <w:sz w:val="26"/>
              </w:rPr>
            </w:pPr>
            <w:r>
              <w:rPr>
                <w:sz w:val="26"/>
              </w:rPr>
              <w:t>ND</w:t>
            </w:r>
          </w:p>
        </w:tc>
        <w:tc>
          <w:tcPr>
            <w:tcW w:w="2692" w:type="dxa"/>
            <w:tcBorders>
              <w:left w:val="single" w:sz="6" w:space="0" w:color="000000"/>
            </w:tcBorders>
          </w:tcPr>
          <w:p>
            <w:pPr>
              <w:pStyle w:val="TableParagraph"/>
              <w:spacing w:before="26"/>
              <w:ind w:left="107"/>
              <w:rPr>
                <w:sz w:val="26"/>
              </w:rPr>
            </w:pPr>
            <w:r>
              <w:rPr>
                <w:sz w:val="26"/>
              </w:rPr>
              <w:t>0,800</w:t>
            </w:r>
          </w:p>
        </w:tc>
        <w:tc>
          <w:tcPr>
            <w:tcW w:w="2517" w:type="dxa"/>
          </w:tcPr>
          <w:p>
            <w:pPr>
              <w:pStyle w:val="TableParagraph"/>
              <w:spacing w:before="26"/>
              <w:ind w:left="110"/>
              <w:rPr>
                <w:sz w:val="26"/>
              </w:rPr>
            </w:pPr>
            <w:r>
              <w:rPr>
                <w:sz w:val="26"/>
              </w:rPr>
              <w:t>0,684</w:t>
            </w:r>
          </w:p>
        </w:tc>
      </w:tr>
      <w:tr>
        <w:trPr>
          <w:trHeight w:val="496" w:hRule="atLeast"/>
        </w:trPr>
        <w:tc>
          <w:tcPr>
            <w:tcW w:w="1447" w:type="dxa"/>
          </w:tcPr>
          <w:p>
            <w:pPr>
              <w:pStyle w:val="TableParagraph"/>
              <w:spacing w:before="2"/>
              <w:ind w:left="107"/>
              <w:rPr>
                <w:sz w:val="26"/>
              </w:rPr>
            </w:pPr>
            <w:r>
              <w:rPr>
                <w:sz w:val="26"/>
              </w:rPr>
              <w:t>TC1</w:t>
            </w:r>
          </w:p>
        </w:tc>
        <w:tc>
          <w:tcPr>
            <w:tcW w:w="825" w:type="dxa"/>
          </w:tcPr>
          <w:p>
            <w:pPr>
              <w:pStyle w:val="TableParagraph"/>
              <w:spacing w:before="2"/>
              <w:ind w:left="105"/>
              <w:rPr>
                <w:sz w:val="26"/>
              </w:rPr>
            </w:pPr>
            <w:r>
              <w:rPr>
                <w:w w:val="99"/>
                <w:sz w:val="26"/>
              </w:rPr>
              <w:t>←</w:t>
            </w:r>
          </w:p>
        </w:tc>
        <w:tc>
          <w:tcPr>
            <w:tcW w:w="1730" w:type="dxa"/>
            <w:tcBorders>
              <w:right w:val="single" w:sz="6" w:space="0" w:color="000000"/>
            </w:tcBorders>
          </w:tcPr>
          <w:p>
            <w:pPr>
              <w:pStyle w:val="TableParagraph"/>
              <w:spacing w:before="2"/>
              <w:ind w:left="109"/>
              <w:rPr>
                <w:sz w:val="26"/>
              </w:rPr>
            </w:pPr>
            <w:r>
              <w:rPr>
                <w:sz w:val="26"/>
              </w:rPr>
              <w:t>TC</w:t>
            </w:r>
          </w:p>
        </w:tc>
        <w:tc>
          <w:tcPr>
            <w:tcW w:w="2692" w:type="dxa"/>
            <w:tcBorders>
              <w:left w:val="single" w:sz="6" w:space="0" w:color="000000"/>
            </w:tcBorders>
          </w:tcPr>
          <w:p>
            <w:pPr>
              <w:pStyle w:val="TableParagraph"/>
              <w:spacing w:before="26"/>
              <w:ind w:left="107"/>
              <w:rPr>
                <w:sz w:val="26"/>
              </w:rPr>
            </w:pPr>
            <w:r>
              <w:rPr>
                <w:sz w:val="26"/>
              </w:rPr>
              <w:t>1,000</w:t>
            </w:r>
          </w:p>
        </w:tc>
        <w:tc>
          <w:tcPr>
            <w:tcW w:w="2517" w:type="dxa"/>
          </w:tcPr>
          <w:p>
            <w:pPr>
              <w:pStyle w:val="TableParagraph"/>
              <w:spacing w:before="26"/>
              <w:ind w:left="110"/>
              <w:rPr>
                <w:sz w:val="26"/>
              </w:rPr>
            </w:pPr>
            <w:r>
              <w:rPr>
                <w:sz w:val="26"/>
              </w:rPr>
              <w:t>0,824</w:t>
            </w:r>
          </w:p>
        </w:tc>
      </w:tr>
      <w:tr>
        <w:trPr>
          <w:trHeight w:val="494" w:hRule="atLeast"/>
        </w:trPr>
        <w:tc>
          <w:tcPr>
            <w:tcW w:w="1447" w:type="dxa"/>
          </w:tcPr>
          <w:p>
            <w:pPr>
              <w:pStyle w:val="TableParagraph"/>
              <w:spacing w:before="2"/>
              <w:ind w:left="107"/>
              <w:rPr>
                <w:sz w:val="26"/>
              </w:rPr>
            </w:pPr>
            <w:r>
              <w:rPr>
                <w:sz w:val="26"/>
              </w:rPr>
              <w:t>TC4</w:t>
            </w:r>
          </w:p>
        </w:tc>
        <w:tc>
          <w:tcPr>
            <w:tcW w:w="825" w:type="dxa"/>
          </w:tcPr>
          <w:p>
            <w:pPr>
              <w:pStyle w:val="TableParagraph"/>
              <w:spacing w:before="2"/>
              <w:ind w:left="105"/>
              <w:rPr>
                <w:sz w:val="26"/>
              </w:rPr>
            </w:pPr>
            <w:r>
              <w:rPr>
                <w:w w:val="99"/>
                <w:sz w:val="26"/>
              </w:rPr>
              <w:t>←</w:t>
            </w:r>
          </w:p>
        </w:tc>
        <w:tc>
          <w:tcPr>
            <w:tcW w:w="1730" w:type="dxa"/>
            <w:tcBorders>
              <w:right w:val="single" w:sz="6" w:space="0" w:color="000000"/>
            </w:tcBorders>
          </w:tcPr>
          <w:p>
            <w:pPr>
              <w:pStyle w:val="TableParagraph"/>
              <w:spacing w:before="2"/>
              <w:ind w:left="109"/>
              <w:rPr>
                <w:sz w:val="26"/>
              </w:rPr>
            </w:pPr>
            <w:r>
              <w:rPr>
                <w:sz w:val="26"/>
              </w:rPr>
              <w:t>TC</w:t>
            </w:r>
          </w:p>
        </w:tc>
        <w:tc>
          <w:tcPr>
            <w:tcW w:w="2692" w:type="dxa"/>
            <w:tcBorders>
              <w:left w:val="single" w:sz="6" w:space="0" w:color="000000"/>
            </w:tcBorders>
          </w:tcPr>
          <w:p>
            <w:pPr>
              <w:pStyle w:val="TableParagraph"/>
              <w:spacing w:before="26"/>
              <w:ind w:left="107"/>
              <w:rPr>
                <w:sz w:val="26"/>
              </w:rPr>
            </w:pPr>
            <w:r>
              <w:rPr>
                <w:sz w:val="26"/>
              </w:rPr>
              <w:t>1,003</w:t>
            </w:r>
          </w:p>
        </w:tc>
        <w:tc>
          <w:tcPr>
            <w:tcW w:w="2517" w:type="dxa"/>
          </w:tcPr>
          <w:p>
            <w:pPr>
              <w:pStyle w:val="TableParagraph"/>
              <w:spacing w:before="26"/>
              <w:ind w:left="110"/>
              <w:rPr>
                <w:sz w:val="26"/>
              </w:rPr>
            </w:pPr>
            <w:r>
              <w:rPr>
                <w:sz w:val="26"/>
              </w:rPr>
              <w:t>0,819</w:t>
            </w:r>
          </w:p>
        </w:tc>
      </w:tr>
      <w:tr>
        <w:trPr>
          <w:trHeight w:val="496" w:hRule="atLeast"/>
        </w:trPr>
        <w:tc>
          <w:tcPr>
            <w:tcW w:w="1447" w:type="dxa"/>
          </w:tcPr>
          <w:p>
            <w:pPr>
              <w:pStyle w:val="TableParagraph"/>
              <w:spacing w:before="4"/>
              <w:ind w:left="107"/>
              <w:rPr>
                <w:sz w:val="26"/>
              </w:rPr>
            </w:pPr>
            <w:r>
              <w:rPr>
                <w:sz w:val="26"/>
              </w:rPr>
              <w:t>TC3</w:t>
            </w:r>
          </w:p>
        </w:tc>
        <w:tc>
          <w:tcPr>
            <w:tcW w:w="825" w:type="dxa"/>
          </w:tcPr>
          <w:p>
            <w:pPr>
              <w:pStyle w:val="TableParagraph"/>
              <w:spacing w:before="4"/>
              <w:ind w:left="105"/>
              <w:rPr>
                <w:sz w:val="26"/>
              </w:rPr>
            </w:pPr>
            <w:r>
              <w:rPr>
                <w:w w:val="99"/>
                <w:sz w:val="26"/>
              </w:rPr>
              <w:t>←</w:t>
            </w:r>
          </w:p>
        </w:tc>
        <w:tc>
          <w:tcPr>
            <w:tcW w:w="1730" w:type="dxa"/>
            <w:tcBorders>
              <w:right w:val="single" w:sz="6" w:space="0" w:color="000000"/>
            </w:tcBorders>
          </w:tcPr>
          <w:p>
            <w:pPr>
              <w:pStyle w:val="TableParagraph"/>
              <w:spacing w:before="4"/>
              <w:ind w:left="109"/>
              <w:rPr>
                <w:sz w:val="26"/>
              </w:rPr>
            </w:pPr>
            <w:r>
              <w:rPr>
                <w:sz w:val="26"/>
              </w:rPr>
              <w:t>TC</w:t>
            </w:r>
          </w:p>
        </w:tc>
        <w:tc>
          <w:tcPr>
            <w:tcW w:w="2692" w:type="dxa"/>
            <w:tcBorders>
              <w:left w:val="single" w:sz="6" w:space="0" w:color="000000"/>
            </w:tcBorders>
          </w:tcPr>
          <w:p>
            <w:pPr>
              <w:pStyle w:val="TableParagraph"/>
              <w:spacing w:before="26"/>
              <w:ind w:left="107"/>
              <w:rPr>
                <w:sz w:val="26"/>
              </w:rPr>
            </w:pPr>
            <w:r>
              <w:rPr>
                <w:sz w:val="26"/>
              </w:rPr>
              <w:t>0,896</w:t>
            </w:r>
          </w:p>
        </w:tc>
        <w:tc>
          <w:tcPr>
            <w:tcW w:w="2517" w:type="dxa"/>
          </w:tcPr>
          <w:p>
            <w:pPr>
              <w:pStyle w:val="TableParagraph"/>
              <w:spacing w:before="26"/>
              <w:ind w:left="110"/>
              <w:rPr>
                <w:sz w:val="26"/>
              </w:rPr>
            </w:pPr>
            <w:r>
              <w:rPr>
                <w:sz w:val="26"/>
              </w:rPr>
              <w:t>0,691</w:t>
            </w:r>
          </w:p>
        </w:tc>
      </w:tr>
      <w:tr>
        <w:trPr>
          <w:trHeight w:val="496" w:hRule="atLeast"/>
        </w:trPr>
        <w:tc>
          <w:tcPr>
            <w:tcW w:w="1447" w:type="dxa"/>
          </w:tcPr>
          <w:p>
            <w:pPr>
              <w:pStyle w:val="TableParagraph"/>
              <w:spacing w:before="2"/>
              <w:ind w:left="107"/>
              <w:rPr>
                <w:sz w:val="26"/>
              </w:rPr>
            </w:pPr>
            <w:r>
              <w:rPr>
                <w:sz w:val="26"/>
              </w:rPr>
              <w:t>TC2</w:t>
            </w:r>
          </w:p>
        </w:tc>
        <w:tc>
          <w:tcPr>
            <w:tcW w:w="825" w:type="dxa"/>
          </w:tcPr>
          <w:p>
            <w:pPr>
              <w:pStyle w:val="TableParagraph"/>
              <w:spacing w:before="2"/>
              <w:ind w:left="105"/>
              <w:rPr>
                <w:sz w:val="26"/>
              </w:rPr>
            </w:pPr>
            <w:r>
              <w:rPr>
                <w:w w:val="99"/>
                <w:sz w:val="26"/>
              </w:rPr>
              <w:t>←</w:t>
            </w:r>
          </w:p>
        </w:tc>
        <w:tc>
          <w:tcPr>
            <w:tcW w:w="1730" w:type="dxa"/>
            <w:tcBorders>
              <w:right w:val="single" w:sz="6" w:space="0" w:color="000000"/>
            </w:tcBorders>
          </w:tcPr>
          <w:p>
            <w:pPr>
              <w:pStyle w:val="TableParagraph"/>
              <w:spacing w:before="2"/>
              <w:ind w:left="109"/>
              <w:rPr>
                <w:sz w:val="26"/>
              </w:rPr>
            </w:pPr>
            <w:r>
              <w:rPr>
                <w:sz w:val="26"/>
              </w:rPr>
              <w:t>TC</w:t>
            </w:r>
          </w:p>
        </w:tc>
        <w:tc>
          <w:tcPr>
            <w:tcW w:w="2692" w:type="dxa"/>
            <w:tcBorders>
              <w:left w:val="single" w:sz="6" w:space="0" w:color="000000"/>
            </w:tcBorders>
          </w:tcPr>
          <w:p>
            <w:pPr>
              <w:pStyle w:val="TableParagraph"/>
              <w:spacing w:before="26"/>
              <w:ind w:left="107"/>
              <w:rPr>
                <w:sz w:val="26"/>
              </w:rPr>
            </w:pPr>
            <w:r>
              <w:rPr>
                <w:sz w:val="26"/>
              </w:rPr>
              <w:t>0,946</w:t>
            </w:r>
          </w:p>
        </w:tc>
        <w:tc>
          <w:tcPr>
            <w:tcW w:w="2517" w:type="dxa"/>
          </w:tcPr>
          <w:p>
            <w:pPr>
              <w:pStyle w:val="TableParagraph"/>
              <w:spacing w:before="26"/>
              <w:ind w:left="110"/>
              <w:rPr>
                <w:sz w:val="26"/>
              </w:rPr>
            </w:pPr>
            <w:r>
              <w:rPr>
                <w:sz w:val="26"/>
              </w:rPr>
              <w:t>0,716</w:t>
            </w:r>
          </w:p>
        </w:tc>
      </w:tr>
      <w:tr>
        <w:trPr>
          <w:trHeight w:val="496" w:hRule="atLeast"/>
        </w:trPr>
        <w:tc>
          <w:tcPr>
            <w:tcW w:w="1447" w:type="dxa"/>
          </w:tcPr>
          <w:p>
            <w:pPr>
              <w:pStyle w:val="TableParagraph"/>
              <w:spacing w:before="2"/>
              <w:ind w:left="107"/>
              <w:rPr>
                <w:sz w:val="26"/>
              </w:rPr>
            </w:pPr>
            <w:r>
              <w:rPr>
                <w:sz w:val="26"/>
              </w:rPr>
              <w:t>HL1</w:t>
            </w:r>
          </w:p>
        </w:tc>
        <w:tc>
          <w:tcPr>
            <w:tcW w:w="825" w:type="dxa"/>
          </w:tcPr>
          <w:p>
            <w:pPr>
              <w:pStyle w:val="TableParagraph"/>
              <w:spacing w:before="2"/>
              <w:ind w:left="105"/>
              <w:rPr>
                <w:sz w:val="26"/>
              </w:rPr>
            </w:pPr>
            <w:r>
              <w:rPr>
                <w:w w:val="99"/>
                <w:sz w:val="26"/>
              </w:rPr>
              <w:t>←</w:t>
            </w:r>
          </w:p>
        </w:tc>
        <w:tc>
          <w:tcPr>
            <w:tcW w:w="1730" w:type="dxa"/>
            <w:tcBorders>
              <w:right w:val="single" w:sz="6" w:space="0" w:color="000000"/>
            </w:tcBorders>
          </w:tcPr>
          <w:p>
            <w:pPr>
              <w:pStyle w:val="TableParagraph"/>
              <w:spacing w:before="2"/>
              <w:ind w:left="109"/>
              <w:rPr>
                <w:sz w:val="26"/>
              </w:rPr>
            </w:pPr>
            <w:r>
              <w:rPr>
                <w:sz w:val="26"/>
              </w:rPr>
              <w:t>HL</w:t>
            </w:r>
          </w:p>
        </w:tc>
        <w:tc>
          <w:tcPr>
            <w:tcW w:w="2692" w:type="dxa"/>
            <w:tcBorders>
              <w:left w:val="single" w:sz="6" w:space="0" w:color="000000"/>
            </w:tcBorders>
          </w:tcPr>
          <w:p>
            <w:pPr>
              <w:pStyle w:val="TableParagraph"/>
              <w:spacing w:before="26"/>
              <w:ind w:left="107"/>
              <w:rPr>
                <w:sz w:val="26"/>
              </w:rPr>
            </w:pPr>
            <w:r>
              <w:rPr>
                <w:sz w:val="26"/>
              </w:rPr>
              <w:t>1,000</w:t>
            </w:r>
          </w:p>
        </w:tc>
        <w:tc>
          <w:tcPr>
            <w:tcW w:w="2517" w:type="dxa"/>
          </w:tcPr>
          <w:p>
            <w:pPr>
              <w:pStyle w:val="TableParagraph"/>
              <w:spacing w:before="26"/>
              <w:ind w:left="110"/>
              <w:rPr>
                <w:sz w:val="26"/>
              </w:rPr>
            </w:pPr>
            <w:r>
              <w:rPr>
                <w:sz w:val="26"/>
              </w:rPr>
              <w:t>0,729</w:t>
            </w:r>
          </w:p>
        </w:tc>
      </w:tr>
      <w:tr>
        <w:trPr>
          <w:trHeight w:val="496" w:hRule="atLeast"/>
        </w:trPr>
        <w:tc>
          <w:tcPr>
            <w:tcW w:w="1447" w:type="dxa"/>
          </w:tcPr>
          <w:p>
            <w:pPr>
              <w:pStyle w:val="TableParagraph"/>
              <w:spacing w:before="2"/>
              <w:ind w:left="107"/>
              <w:rPr>
                <w:sz w:val="26"/>
              </w:rPr>
            </w:pPr>
            <w:r>
              <w:rPr>
                <w:sz w:val="26"/>
              </w:rPr>
              <w:t>HL3</w:t>
            </w:r>
          </w:p>
        </w:tc>
        <w:tc>
          <w:tcPr>
            <w:tcW w:w="825" w:type="dxa"/>
          </w:tcPr>
          <w:p>
            <w:pPr>
              <w:pStyle w:val="TableParagraph"/>
              <w:spacing w:before="2"/>
              <w:ind w:left="105"/>
              <w:rPr>
                <w:sz w:val="26"/>
              </w:rPr>
            </w:pPr>
            <w:r>
              <w:rPr>
                <w:w w:val="99"/>
                <w:sz w:val="26"/>
              </w:rPr>
              <w:t>←</w:t>
            </w:r>
          </w:p>
        </w:tc>
        <w:tc>
          <w:tcPr>
            <w:tcW w:w="1730" w:type="dxa"/>
            <w:tcBorders>
              <w:right w:val="single" w:sz="6" w:space="0" w:color="000000"/>
            </w:tcBorders>
          </w:tcPr>
          <w:p>
            <w:pPr>
              <w:pStyle w:val="TableParagraph"/>
              <w:spacing w:before="2"/>
              <w:ind w:left="109"/>
              <w:rPr>
                <w:sz w:val="26"/>
              </w:rPr>
            </w:pPr>
            <w:r>
              <w:rPr>
                <w:sz w:val="26"/>
              </w:rPr>
              <w:t>HL</w:t>
            </w:r>
          </w:p>
        </w:tc>
        <w:tc>
          <w:tcPr>
            <w:tcW w:w="2692" w:type="dxa"/>
            <w:tcBorders>
              <w:left w:val="single" w:sz="6" w:space="0" w:color="000000"/>
            </w:tcBorders>
          </w:tcPr>
          <w:p>
            <w:pPr>
              <w:pStyle w:val="TableParagraph"/>
              <w:spacing w:before="26"/>
              <w:ind w:left="107"/>
              <w:rPr>
                <w:sz w:val="26"/>
              </w:rPr>
            </w:pPr>
            <w:r>
              <w:rPr>
                <w:sz w:val="26"/>
              </w:rPr>
              <w:t>1,009</w:t>
            </w:r>
          </w:p>
        </w:tc>
        <w:tc>
          <w:tcPr>
            <w:tcW w:w="2517" w:type="dxa"/>
          </w:tcPr>
          <w:p>
            <w:pPr>
              <w:pStyle w:val="TableParagraph"/>
              <w:spacing w:before="26"/>
              <w:ind w:left="110"/>
              <w:rPr>
                <w:sz w:val="26"/>
              </w:rPr>
            </w:pPr>
            <w:r>
              <w:rPr>
                <w:sz w:val="26"/>
              </w:rPr>
              <w:t>0,735</w:t>
            </w:r>
          </w:p>
        </w:tc>
      </w:tr>
      <w:tr>
        <w:trPr>
          <w:trHeight w:val="496" w:hRule="atLeast"/>
        </w:trPr>
        <w:tc>
          <w:tcPr>
            <w:tcW w:w="1447" w:type="dxa"/>
          </w:tcPr>
          <w:p>
            <w:pPr>
              <w:pStyle w:val="TableParagraph"/>
              <w:spacing w:before="2"/>
              <w:ind w:left="107"/>
              <w:rPr>
                <w:sz w:val="26"/>
              </w:rPr>
            </w:pPr>
            <w:r>
              <w:rPr>
                <w:sz w:val="26"/>
              </w:rPr>
              <w:t>HL2</w:t>
            </w:r>
          </w:p>
        </w:tc>
        <w:tc>
          <w:tcPr>
            <w:tcW w:w="825" w:type="dxa"/>
          </w:tcPr>
          <w:p>
            <w:pPr>
              <w:pStyle w:val="TableParagraph"/>
              <w:spacing w:before="2"/>
              <w:ind w:left="105"/>
              <w:rPr>
                <w:sz w:val="26"/>
              </w:rPr>
            </w:pPr>
            <w:r>
              <w:rPr>
                <w:w w:val="99"/>
                <w:sz w:val="26"/>
              </w:rPr>
              <w:t>←</w:t>
            </w:r>
          </w:p>
        </w:tc>
        <w:tc>
          <w:tcPr>
            <w:tcW w:w="1730" w:type="dxa"/>
            <w:tcBorders>
              <w:right w:val="single" w:sz="6" w:space="0" w:color="000000"/>
            </w:tcBorders>
          </w:tcPr>
          <w:p>
            <w:pPr>
              <w:pStyle w:val="TableParagraph"/>
              <w:spacing w:before="2"/>
              <w:ind w:left="109"/>
              <w:rPr>
                <w:sz w:val="26"/>
              </w:rPr>
            </w:pPr>
            <w:r>
              <w:rPr>
                <w:sz w:val="26"/>
              </w:rPr>
              <w:t>HL</w:t>
            </w:r>
          </w:p>
        </w:tc>
        <w:tc>
          <w:tcPr>
            <w:tcW w:w="2692" w:type="dxa"/>
            <w:tcBorders>
              <w:left w:val="single" w:sz="6" w:space="0" w:color="000000"/>
            </w:tcBorders>
          </w:tcPr>
          <w:p>
            <w:pPr>
              <w:pStyle w:val="TableParagraph"/>
              <w:spacing w:before="26"/>
              <w:ind w:left="107"/>
              <w:rPr>
                <w:sz w:val="26"/>
              </w:rPr>
            </w:pPr>
            <w:r>
              <w:rPr>
                <w:sz w:val="26"/>
              </w:rPr>
              <w:t>0,965</w:t>
            </w:r>
          </w:p>
        </w:tc>
        <w:tc>
          <w:tcPr>
            <w:tcW w:w="2517" w:type="dxa"/>
          </w:tcPr>
          <w:p>
            <w:pPr>
              <w:pStyle w:val="TableParagraph"/>
              <w:spacing w:before="26"/>
              <w:ind w:left="110"/>
              <w:rPr>
                <w:sz w:val="26"/>
              </w:rPr>
            </w:pPr>
            <w:r>
              <w:rPr>
                <w:sz w:val="26"/>
              </w:rPr>
              <w:t>0,673</w:t>
            </w:r>
          </w:p>
        </w:tc>
      </w:tr>
      <w:tr>
        <w:trPr>
          <w:trHeight w:val="494" w:hRule="atLeast"/>
        </w:trPr>
        <w:tc>
          <w:tcPr>
            <w:tcW w:w="1447" w:type="dxa"/>
          </w:tcPr>
          <w:p>
            <w:pPr>
              <w:pStyle w:val="TableParagraph"/>
              <w:spacing w:before="2"/>
              <w:ind w:left="107"/>
              <w:rPr>
                <w:sz w:val="26"/>
              </w:rPr>
            </w:pPr>
            <w:r>
              <w:rPr>
                <w:sz w:val="26"/>
              </w:rPr>
              <w:t>LI3</w:t>
            </w:r>
          </w:p>
        </w:tc>
        <w:tc>
          <w:tcPr>
            <w:tcW w:w="825" w:type="dxa"/>
          </w:tcPr>
          <w:p>
            <w:pPr>
              <w:pStyle w:val="TableParagraph"/>
              <w:spacing w:before="2"/>
              <w:ind w:left="105"/>
              <w:rPr>
                <w:sz w:val="26"/>
              </w:rPr>
            </w:pPr>
            <w:r>
              <w:rPr>
                <w:w w:val="99"/>
                <w:sz w:val="26"/>
              </w:rPr>
              <w:t>←</w:t>
            </w:r>
          </w:p>
        </w:tc>
        <w:tc>
          <w:tcPr>
            <w:tcW w:w="1730" w:type="dxa"/>
            <w:tcBorders>
              <w:right w:val="single" w:sz="6" w:space="0" w:color="000000"/>
            </w:tcBorders>
          </w:tcPr>
          <w:p>
            <w:pPr>
              <w:pStyle w:val="TableParagraph"/>
              <w:spacing w:before="2"/>
              <w:ind w:left="109"/>
              <w:rPr>
                <w:sz w:val="26"/>
              </w:rPr>
            </w:pPr>
            <w:r>
              <w:rPr>
                <w:sz w:val="26"/>
              </w:rPr>
              <w:t>LI</w:t>
            </w:r>
          </w:p>
        </w:tc>
        <w:tc>
          <w:tcPr>
            <w:tcW w:w="2692" w:type="dxa"/>
            <w:tcBorders>
              <w:left w:val="single" w:sz="6" w:space="0" w:color="000000"/>
            </w:tcBorders>
          </w:tcPr>
          <w:p>
            <w:pPr>
              <w:pStyle w:val="TableParagraph"/>
              <w:spacing w:before="26"/>
              <w:ind w:left="107"/>
              <w:rPr>
                <w:sz w:val="26"/>
              </w:rPr>
            </w:pPr>
            <w:r>
              <w:rPr>
                <w:sz w:val="26"/>
              </w:rPr>
              <w:t>1,000</w:t>
            </w:r>
          </w:p>
        </w:tc>
        <w:tc>
          <w:tcPr>
            <w:tcW w:w="2517" w:type="dxa"/>
          </w:tcPr>
          <w:p>
            <w:pPr>
              <w:pStyle w:val="TableParagraph"/>
              <w:spacing w:before="26"/>
              <w:ind w:left="110"/>
              <w:rPr>
                <w:sz w:val="26"/>
              </w:rPr>
            </w:pPr>
            <w:r>
              <w:rPr>
                <w:sz w:val="26"/>
              </w:rPr>
              <w:t>0,736</w:t>
            </w:r>
          </w:p>
        </w:tc>
      </w:tr>
      <w:tr>
        <w:trPr>
          <w:trHeight w:val="496" w:hRule="atLeast"/>
        </w:trPr>
        <w:tc>
          <w:tcPr>
            <w:tcW w:w="1447" w:type="dxa"/>
          </w:tcPr>
          <w:p>
            <w:pPr>
              <w:pStyle w:val="TableParagraph"/>
              <w:spacing w:before="4"/>
              <w:ind w:left="107"/>
              <w:rPr>
                <w:sz w:val="26"/>
              </w:rPr>
            </w:pPr>
            <w:r>
              <w:rPr>
                <w:sz w:val="26"/>
              </w:rPr>
              <w:t>LI1</w:t>
            </w:r>
          </w:p>
        </w:tc>
        <w:tc>
          <w:tcPr>
            <w:tcW w:w="825" w:type="dxa"/>
          </w:tcPr>
          <w:p>
            <w:pPr>
              <w:pStyle w:val="TableParagraph"/>
              <w:spacing w:before="4"/>
              <w:ind w:left="105"/>
              <w:rPr>
                <w:sz w:val="26"/>
              </w:rPr>
            </w:pPr>
            <w:r>
              <w:rPr>
                <w:w w:val="99"/>
                <w:sz w:val="26"/>
              </w:rPr>
              <w:t>←</w:t>
            </w:r>
          </w:p>
        </w:tc>
        <w:tc>
          <w:tcPr>
            <w:tcW w:w="1730" w:type="dxa"/>
            <w:tcBorders>
              <w:right w:val="single" w:sz="6" w:space="0" w:color="000000"/>
            </w:tcBorders>
          </w:tcPr>
          <w:p>
            <w:pPr>
              <w:pStyle w:val="TableParagraph"/>
              <w:spacing w:before="4"/>
              <w:ind w:left="109"/>
              <w:rPr>
                <w:sz w:val="26"/>
              </w:rPr>
            </w:pPr>
            <w:r>
              <w:rPr>
                <w:sz w:val="26"/>
              </w:rPr>
              <w:t>LI</w:t>
            </w:r>
          </w:p>
        </w:tc>
        <w:tc>
          <w:tcPr>
            <w:tcW w:w="2692" w:type="dxa"/>
            <w:tcBorders>
              <w:left w:val="single" w:sz="6" w:space="0" w:color="000000"/>
            </w:tcBorders>
          </w:tcPr>
          <w:p>
            <w:pPr>
              <w:pStyle w:val="TableParagraph"/>
              <w:spacing w:before="26"/>
              <w:ind w:left="107"/>
              <w:rPr>
                <w:sz w:val="26"/>
              </w:rPr>
            </w:pPr>
            <w:r>
              <w:rPr>
                <w:sz w:val="26"/>
              </w:rPr>
              <w:t>0,896</w:t>
            </w:r>
          </w:p>
        </w:tc>
        <w:tc>
          <w:tcPr>
            <w:tcW w:w="2517" w:type="dxa"/>
          </w:tcPr>
          <w:p>
            <w:pPr>
              <w:pStyle w:val="TableParagraph"/>
              <w:spacing w:before="26"/>
              <w:ind w:left="110"/>
              <w:rPr>
                <w:sz w:val="26"/>
              </w:rPr>
            </w:pPr>
            <w:r>
              <w:rPr>
                <w:sz w:val="26"/>
              </w:rPr>
              <w:t>0,722</w:t>
            </w:r>
          </w:p>
        </w:tc>
      </w:tr>
      <w:tr>
        <w:trPr>
          <w:trHeight w:val="496" w:hRule="atLeast"/>
        </w:trPr>
        <w:tc>
          <w:tcPr>
            <w:tcW w:w="1447" w:type="dxa"/>
          </w:tcPr>
          <w:p>
            <w:pPr>
              <w:pStyle w:val="TableParagraph"/>
              <w:spacing w:before="2"/>
              <w:ind w:left="107"/>
              <w:rPr>
                <w:sz w:val="26"/>
              </w:rPr>
            </w:pPr>
            <w:r>
              <w:rPr>
                <w:sz w:val="26"/>
              </w:rPr>
              <w:t>LI2</w:t>
            </w:r>
          </w:p>
        </w:tc>
        <w:tc>
          <w:tcPr>
            <w:tcW w:w="825" w:type="dxa"/>
          </w:tcPr>
          <w:p>
            <w:pPr>
              <w:pStyle w:val="TableParagraph"/>
              <w:spacing w:before="2"/>
              <w:ind w:left="105"/>
              <w:rPr>
                <w:sz w:val="26"/>
              </w:rPr>
            </w:pPr>
            <w:r>
              <w:rPr>
                <w:w w:val="99"/>
                <w:sz w:val="26"/>
              </w:rPr>
              <w:t>←</w:t>
            </w:r>
          </w:p>
        </w:tc>
        <w:tc>
          <w:tcPr>
            <w:tcW w:w="1730" w:type="dxa"/>
            <w:tcBorders>
              <w:right w:val="single" w:sz="6" w:space="0" w:color="000000"/>
            </w:tcBorders>
          </w:tcPr>
          <w:p>
            <w:pPr>
              <w:pStyle w:val="TableParagraph"/>
              <w:spacing w:before="2"/>
              <w:ind w:left="109"/>
              <w:rPr>
                <w:sz w:val="26"/>
              </w:rPr>
            </w:pPr>
            <w:r>
              <w:rPr>
                <w:sz w:val="26"/>
              </w:rPr>
              <w:t>LI</w:t>
            </w:r>
          </w:p>
        </w:tc>
        <w:tc>
          <w:tcPr>
            <w:tcW w:w="2692" w:type="dxa"/>
            <w:tcBorders>
              <w:left w:val="single" w:sz="6" w:space="0" w:color="000000"/>
            </w:tcBorders>
          </w:tcPr>
          <w:p>
            <w:pPr>
              <w:pStyle w:val="TableParagraph"/>
              <w:spacing w:before="26"/>
              <w:ind w:left="107"/>
              <w:rPr>
                <w:sz w:val="26"/>
              </w:rPr>
            </w:pPr>
            <w:r>
              <w:rPr>
                <w:sz w:val="26"/>
              </w:rPr>
              <w:t>0,818</w:t>
            </w:r>
          </w:p>
        </w:tc>
        <w:tc>
          <w:tcPr>
            <w:tcW w:w="2517" w:type="dxa"/>
          </w:tcPr>
          <w:p>
            <w:pPr>
              <w:pStyle w:val="TableParagraph"/>
              <w:spacing w:before="26"/>
              <w:ind w:left="110"/>
              <w:rPr>
                <w:sz w:val="26"/>
              </w:rPr>
            </w:pPr>
            <w:r>
              <w:rPr>
                <w:sz w:val="26"/>
              </w:rPr>
              <w:t>0,611</w:t>
            </w:r>
          </w:p>
        </w:tc>
      </w:tr>
    </w:tbl>
    <w:p>
      <w:pPr>
        <w:spacing w:before="2"/>
        <w:ind w:left="6871" w:right="0" w:firstLine="0"/>
        <w:jc w:val="left"/>
        <w:rPr>
          <w:i/>
          <w:sz w:val="26"/>
        </w:rPr>
      </w:pPr>
      <w:r>
        <w:rPr>
          <w:i/>
          <w:sz w:val="26"/>
        </w:rPr>
        <w:t>Nguồn: Xử lý dữ liệu từ SPSS</w:t>
      </w:r>
    </w:p>
    <w:p>
      <w:pPr>
        <w:spacing w:after="0"/>
        <w:jc w:val="left"/>
        <w:rPr>
          <w:sz w:val="26"/>
        </w:rPr>
        <w:sectPr>
          <w:pgSz w:w="11910" w:h="16850"/>
          <w:pgMar w:header="751" w:footer="0" w:top="960" w:bottom="280" w:left="820" w:right="240"/>
        </w:sectPr>
      </w:pPr>
    </w:p>
    <w:p>
      <w:pPr>
        <w:pStyle w:val="BodyText"/>
        <w:rPr>
          <w:i/>
          <w:sz w:val="20"/>
        </w:rPr>
      </w:pPr>
    </w:p>
    <w:p>
      <w:pPr>
        <w:pStyle w:val="BodyText"/>
        <w:spacing w:before="7"/>
        <w:rPr>
          <w:i/>
          <w:sz w:val="23"/>
        </w:rPr>
      </w:pPr>
    </w:p>
    <w:p>
      <w:pPr>
        <w:pStyle w:val="Heading6"/>
        <w:numPr>
          <w:ilvl w:val="2"/>
          <w:numId w:val="24"/>
        </w:numPr>
        <w:tabs>
          <w:tab w:pos="1461" w:val="left" w:leader="none"/>
        </w:tabs>
        <w:spacing w:line="240" w:lineRule="auto" w:before="89" w:after="0"/>
        <w:ind w:left="1460" w:right="0" w:hanging="579"/>
        <w:jc w:val="both"/>
      </w:pPr>
      <w:r>
        <w:rPr/>
        <w:t>Tính đơn nguyên và giá trị phân</w:t>
      </w:r>
      <w:r>
        <w:rPr>
          <w:spacing w:val="-5"/>
        </w:rPr>
        <w:t> </w:t>
      </w:r>
      <w:r>
        <w:rPr/>
        <w:t>biệt</w:t>
      </w:r>
    </w:p>
    <w:p>
      <w:pPr>
        <w:spacing w:line="360" w:lineRule="auto" w:before="150"/>
        <w:ind w:left="882" w:right="888" w:firstLine="719"/>
        <w:jc w:val="both"/>
        <w:rPr>
          <w:sz w:val="26"/>
        </w:rPr>
      </w:pPr>
      <w:r>
        <w:rPr>
          <w:sz w:val="26"/>
        </w:rPr>
        <w:t>Theo Steenkamp and Van Trijp (1991) thì “</w:t>
      </w:r>
      <w:r>
        <w:rPr>
          <w:i/>
          <w:sz w:val="26"/>
        </w:rPr>
        <w:t>Mức độ phù hợp với mô hình với dữ </w:t>
      </w:r>
      <w:r>
        <w:rPr>
          <w:i/>
          <w:sz w:val="26"/>
        </w:rPr>
        <w:t>liệu nghiên cứu cho chúng ta điều kiện cần và đủ để cho tập biến quan sát đạt được tính đơn nguyên trừ trường hợp sai số của các biến quan sát có tương quan với nhau</w:t>
      </w:r>
      <w:r>
        <w:rPr>
          <w:sz w:val="26"/>
        </w:rPr>
        <w:t>”. Dựa trên kết quả thu được thì mô hình nghiên cứu được xem là phù hợp với dữ liệu nghiên cứu bên cạnh đó cũng không phát hiện có tương quan giữa các sai số trong đo lường nên có thể kết luận nó đạt tính đơn nguyên.</w:t>
      </w:r>
    </w:p>
    <w:p>
      <w:pPr>
        <w:pStyle w:val="BodyText"/>
        <w:spacing w:line="360" w:lineRule="auto"/>
        <w:ind w:left="882" w:right="889" w:firstLine="719"/>
        <w:jc w:val="both"/>
      </w:pPr>
      <w:r>
        <w:rPr/>
        <w:t>Theo Nguyễn Đình Thọ và Nguyễn Thị Mai Trang (2011) thì “giá trị phân biệt được đánh giá thông qua hai tiêu chí đó là hệ số tương quan giữa các nhân tố có sự khác biệt với 1 hay không và so sánh giá trị căn bậc hai của tổng phương sai rút trích (AVE) với các hệ số tương quan của một nhân tố với các nhân tố còn lại.”</w:t>
      </w:r>
    </w:p>
    <w:p>
      <w:pPr>
        <w:pStyle w:val="Heading6"/>
        <w:spacing w:line="360" w:lineRule="auto"/>
        <w:ind w:left="3798" w:right="958" w:hanging="2847"/>
      </w:pPr>
      <w:r>
        <w:rPr/>
        <w:t>Bảng 3.12 Kết quả kiểm định giá trị phân biệt giữa các thành phần thang đo ảnh hưởng đến lợi thế cạnh tranh</w:t>
      </w:r>
    </w:p>
    <w:tbl>
      <w:tblPr>
        <w:tblW w:w="0" w:type="auto"/>
        <w:jc w:val="left"/>
        <w:tblInd w:w="77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1450"/>
        <w:gridCol w:w="1256"/>
        <w:gridCol w:w="1440"/>
        <w:gridCol w:w="1282"/>
        <w:gridCol w:w="1282"/>
        <w:gridCol w:w="1292"/>
        <w:gridCol w:w="1294"/>
      </w:tblGrid>
      <w:tr>
        <w:trPr>
          <w:trHeight w:val="448" w:hRule="atLeast"/>
        </w:trPr>
        <w:tc>
          <w:tcPr>
            <w:tcW w:w="4146" w:type="dxa"/>
            <w:gridSpan w:val="3"/>
          </w:tcPr>
          <w:p>
            <w:pPr>
              <w:pStyle w:val="TableParagraph"/>
              <w:spacing w:line="298" w:lineRule="exact"/>
              <w:ind w:left="1242"/>
              <w:rPr>
                <w:b/>
                <w:sz w:val="26"/>
              </w:rPr>
            </w:pPr>
            <w:r>
              <w:rPr>
                <w:b/>
                <w:sz w:val="26"/>
              </w:rPr>
              <w:t>Sự tương quan</w:t>
            </w:r>
          </w:p>
        </w:tc>
        <w:tc>
          <w:tcPr>
            <w:tcW w:w="1282" w:type="dxa"/>
          </w:tcPr>
          <w:p>
            <w:pPr>
              <w:pStyle w:val="TableParagraph"/>
              <w:spacing w:line="298" w:lineRule="exact"/>
              <w:ind w:left="104"/>
              <w:rPr>
                <w:b/>
                <w:sz w:val="26"/>
              </w:rPr>
            </w:pPr>
            <w:r>
              <w:rPr>
                <w:b/>
                <w:w w:val="99"/>
                <w:sz w:val="26"/>
              </w:rPr>
              <w:t>r</w:t>
            </w:r>
          </w:p>
        </w:tc>
        <w:tc>
          <w:tcPr>
            <w:tcW w:w="1282" w:type="dxa"/>
          </w:tcPr>
          <w:p>
            <w:pPr>
              <w:pStyle w:val="TableParagraph"/>
              <w:spacing w:line="298" w:lineRule="exact"/>
              <w:ind w:left="104"/>
              <w:rPr>
                <w:b/>
                <w:sz w:val="26"/>
              </w:rPr>
            </w:pPr>
            <w:r>
              <w:rPr>
                <w:b/>
                <w:sz w:val="26"/>
              </w:rPr>
              <w:t>SE</w:t>
            </w:r>
          </w:p>
        </w:tc>
        <w:tc>
          <w:tcPr>
            <w:tcW w:w="1292" w:type="dxa"/>
          </w:tcPr>
          <w:p>
            <w:pPr>
              <w:pStyle w:val="TableParagraph"/>
              <w:spacing w:line="298" w:lineRule="exact"/>
              <w:ind w:left="106"/>
              <w:rPr>
                <w:b/>
                <w:sz w:val="26"/>
              </w:rPr>
            </w:pPr>
            <w:r>
              <w:rPr>
                <w:b/>
                <w:sz w:val="26"/>
              </w:rPr>
              <w:t>CR</w:t>
            </w:r>
          </w:p>
        </w:tc>
        <w:tc>
          <w:tcPr>
            <w:tcW w:w="1294" w:type="dxa"/>
          </w:tcPr>
          <w:p>
            <w:pPr>
              <w:pStyle w:val="TableParagraph"/>
              <w:spacing w:line="298" w:lineRule="exact"/>
              <w:ind w:left="106"/>
              <w:rPr>
                <w:b/>
                <w:sz w:val="26"/>
              </w:rPr>
            </w:pPr>
            <w:r>
              <w:rPr>
                <w:b/>
                <w:sz w:val="26"/>
              </w:rPr>
              <w:t>P-value</w:t>
            </w:r>
          </w:p>
        </w:tc>
      </w:tr>
      <w:tr>
        <w:trPr>
          <w:trHeight w:val="448" w:hRule="atLeast"/>
        </w:trPr>
        <w:tc>
          <w:tcPr>
            <w:tcW w:w="1450" w:type="dxa"/>
          </w:tcPr>
          <w:p>
            <w:pPr>
              <w:pStyle w:val="TableParagraph"/>
              <w:spacing w:line="298" w:lineRule="exact"/>
              <w:ind w:left="107"/>
              <w:rPr>
                <w:sz w:val="26"/>
              </w:rPr>
            </w:pPr>
            <w:r>
              <w:rPr>
                <w:sz w:val="26"/>
              </w:rPr>
              <w:t>CLDV</w:t>
            </w:r>
          </w:p>
        </w:tc>
        <w:tc>
          <w:tcPr>
            <w:tcW w:w="1256" w:type="dxa"/>
          </w:tcPr>
          <w:p>
            <w:pPr>
              <w:pStyle w:val="TableParagraph"/>
              <w:spacing w:line="298" w:lineRule="exact"/>
              <w:ind w:left="104"/>
              <w:rPr>
                <w:sz w:val="26"/>
              </w:rPr>
            </w:pPr>
            <w:r>
              <w:rPr>
                <w:sz w:val="26"/>
              </w:rPr>
              <w:t>&lt;--&gt;</w:t>
            </w:r>
          </w:p>
        </w:tc>
        <w:tc>
          <w:tcPr>
            <w:tcW w:w="1440" w:type="dxa"/>
          </w:tcPr>
          <w:p>
            <w:pPr>
              <w:pStyle w:val="TableParagraph"/>
              <w:spacing w:line="298" w:lineRule="exact"/>
              <w:ind w:left="104"/>
              <w:rPr>
                <w:sz w:val="26"/>
              </w:rPr>
            </w:pPr>
            <w:r>
              <w:rPr>
                <w:sz w:val="26"/>
              </w:rPr>
              <w:t>CP</w:t>
            </w:r>
          </w:p>
        </w:tc>
        <w:tc>
          <w:tcPr>
            <w:tcW w:w="1282" w:type="dxa"/>
          </w:tcPr>
          <w:p>
            <w:pPr>
              <w:pStyle w:val="TableParagraph"/>
              <w:spacing w:line="298" w:lineRule="exact"/>
              <w:ind w:left="104"/>
              <w:rPr>
                <w:sz w:val="26"/>
              </w:rPr>
            </w:pPr>
            <w:r>
              <w:rPr>
                <w:sz w:val="26"/>
              </w:rPr>
              <w:t>0,156</w:t>
            </w:r>
          </w:p>
        </w:tc>
        <w:tc>
          <w:tcPr>
            <w:tcW w:w="1282" w:type="dxa"/>
          </w:tcPr>
          <w:p>
            <w:pPr>
              <w:pStyle w:val="TableParagraph"/>
              <w:spacing w:line="298" w:lineRule="exact"/>
              <w:ind w:left="104"/>
              <w:rPr>
                <w:sz w:val="26"/>
              </w:rPr>
            </w:pPr>
            <w:r>
              <w:rPr>
                <w:sz w:val="26"/>
              </w:rPr>
              <w:t>0,036</w:t>
            </w:r>
          </w:p>
        </w:tc>
        <w:tc>
          <w:tcPr>
            <w:tcW w:w="1292" w:type="dxa"/>
          </w:tcPr>
          <w:p>
            <w:pPr>
              <w:pStyle w:val="TableParagraph"/>
              <w:spacing w:line="298" w:lineRule="exact"/>
              <w:ind w:left="106"/>
              <w:rPr>
                <w:sz w:val="26"/>
              </w:rPr>
            </w:pPr>
            <w:r>
              <w:rPr>
                <w:sz w:val="26"/>
              </w:rPr>
              <w:t>4,392</w:t>
            </w:r>
          </w:p>
        </w:tc>
        <w:tc>
          <w:tcPr>
            <w:tcW w:w="1294" w:type="dxa"/>
          </w:tcPr>
          <w:p>
            <w:pPr>
              <w:pStyle w:val="TableParagraph"/>
              <w:spacing w:line="298" w:lineRule="exact"/>
              <w:ind w:left="106"/>
              <w:rPr>
                <w:sz w:val="26"/>
              </w:rPr>
            </w:pPr>
            <w:r>
              <w:rPr>
                <w:sz w:val="26"/>
              </w:rPr>
              <w:t>***</w:t>
            </w:r>
          </w:p>
        </w:tc>
      </w:tr>
      <w:tr>
        <w:trPr>
          <w:trHeight w:val="448" w:hRule="atLeast"/>
        </w:trPr>
        <w:tc>
          <w:tcPr>
            <w:tcW w:w="1450" w:type="dxa"/>
          </w:tcPr>
          <w:p>
            <w:pPr>
              <w:pStyle w:val="TableParagraph"/>
              <w:spacing w:line="298" w:lineRule="exact"/>
              <w:ind w:left="107"/>
              <w:rPr>
                <w:sz w:val="26"/>
              </w:rPr>
            </w:pPr>
            <w:r>
              <w:rPr>
                <w:sz w:val="26"/>
              </w:rPr>
              <w:t>CLDV</w:t>
            </w:r>
          </w:p>
        </w:tc>
        <w:tc>
          <w:tcPr>
            <w:tcW w:w="1256" w:type="dxa"/>
          </w:tcPr>
          <w:p>
            <w:pPr>
              <w:pStyle w:val="TableParagraph"/>
              <w:spacing w:line="298" w:lineRule="exact"/>
              <w:ind w:left="104"/>
              <w:rPr>
                <w:sz w:val="26"/>
              </w:rPr>
            </w:pPr>
            <w:r>
              <w:rPr>
                <w:sz w:val="26"/>
              </w:rPr>
              <w:t>&lt;--&gt;</w:t>
            </w:r>
          </w:p>
        </w:tc>
        <w:tc>
          <w:tcPr>
            <w:tcW w:w="1440" w:type="dxa"/>
          </w:tcPr>
          <w:p>
            <w:pPr>
              <w:pStyle w:val="TableParagraph"/>
              <w:spacing w:line="298" w:lineRule="exact"/>
              <w:ind w:left="104"/>
              <w:rPr>
                <w:sz w:val="26"/>
              </w:rPr>
            </w:pPr>
            <w:r>
              <w:rPr>
                <w:sz w:val="26"/>
              </w:rPr>
              <w:t>VT</w:t>
            </w:r>
          </w:p>
        </w:tc>
        <w:tc>
          <w:tcPr>
            <w:tcW w:w="1282" w:type="dxa"/>
          </w:tcPr>
          <w:p>
            <w:pPr>
              <w:pStyle w:val="TableParagraph"/>
              <w:spacing w:line="298" w:lineRule="exact"/>
              <w:ind w:left="104"/>
              <w:rPr>
                <w:sz w:val="26"/>
              </w:rPr>
            </w:pPr>
            <w:r>
              <w:rPr>
                <w:sz w:val="26"/>
              </w:rPr>
              <w:t>0,166</w:t>
            </w:r>
          </w:p>
        </w:tc>
        <w:tc>
          <w:tcPr>
            <w:tcW w:w="1282" w:type="dxa"/>
          </w:tcPr>
          <w:p>
            <w:pPr>
              <w:pStyle w:val="TableParagraph"/>
              <w:spacing w:line="298" w:lineRule="exact"/>
              <w:ind w:left="104"/>
              <w:rPr>
                <w:sz w:val="26"/>
              </w:rPr>
            </w:pPr>
            <w:r>
              <w:rPr>
                <w:sz w:val="26"/>
              </w:rPr>
              <w:t>0,042</w:t>
            </w:r>
          </w:p>
        </w:tc>
        <w:tc>
          <w:tcPr>
            <w:tcW w:w="1292" w:type="dxa"/>
          </w:tcPr>
          <w:p>
            <w:pPr>
              <w:pStyle w:val="TableParagraph"/>
              <w:spacing w:line="298" w:lineRule="exact"/>
              <w:ind w:left="106"/>
              <w:rPr>
                <w:sz w:val="26"/>
              </w:rPr>
            </w:pPr>
            <w:r>
              <w:rPr>
                <w:sz w:val="26"/>
              </w:rPr>
              <w:t>3,899</w:t>
            </w:r>
          </w:p>
        </w:tc>
        <w:tc>
          <w:tcPr>
            <w:tcW w:w="1294" w:type="dxa"/>
          </w:tcPr>
          <w:p>
            <w:pPr>
              <w:pStyle w:val="TableParagraph"/>
              <w:spacing w:line="298" w:lineRule="exact"/>
              <w:ind w:left="106"/>
              <w:rPr>
                <w:sz w:val="26"/>
              </w:rPr>
            </w:pPr>
            <w:r>
              <w:rPr>
                <w:sz w:val="26"/>
              </w:rPr>
              <w:t>***</w:t>
            </w:r>
          </w:p>
        </w:tc>
      </w:tr>
      <w:tr>
        <w:trPr>
          <w:trHeight w:val="448" w:hRule="atLeast"/>
        </w:trPr>
        <w:tc>
          <w:tcPr>
            <w:tcW w:w="1450" w:type="dxa"/>
          </w:tcPr>
          <w:p>
            <w:pPr>
              <w:pStyle w:val="TableParagraph"/>
              <w:ind w:left="107"/>
              <w:rPr>
                <w:sz w:val="26"/>
              </w:rPr>
            </w:pPr>
            <w:r>
              <w:rPr>
                <w:sz w:val="26"/>
              </w:rPr>
              <w:t>CLDV</w:t>
            </w:r>
          </w:p>
        </w:tc>
        <w:tc>
          <w:tcPr>
            <w:tcW w:w="1256" w:type="dxa"/>
          </w:tcPr>
          <w:p>
            <w:pPr>
              <w:pStyle w:val="TableParagraph"/>
              <w:ind w:left="104"/>
              <w:rPr>
                <w:sz w:val="26"/>
              </w:rPr>
            </w:pPr>
            <w:r>
              <w:rPr>
                <w:sz w:val="26"/>
              </w:rPr>
              <w:t>&lt;--&gt;</w:t>
            </w:r>
          </w:p>
        </w:tc>
        <w:tc>
          <w:tcPr>
            <w:tcW w:w="1440" w:type="dxa"/>
          </w:tcPr>
          <w:p>
            <w:pPr>
              <w:pStyle w:val="TableParagraph"/>
              <w:ind w:left="104"/>
              <w:rPr>
                <w:sz w:val="26"/>
              </w:rPr>
            </w:pPr>
            <w:r>
              <w:rPr>
                <w:sz w:val="26"/>
              </w:rPr>
              <w:t>HT</w:t>
            </w:r>
          </w:p>
        </w:tc>
        <w:tc>
          <w:tcPr>
            <w:tcW w:w="1282" w:type="dxa"/>
          </w:tcPr>
          <w:p>
            <w:pPr>
              <w:pStyle w:val="TableParagraph"/>
              <w:ind w:left="104"/>
              <w:rPr>
                <w:sz w:val="26"/>
              </w:rPr>
            </w:pPr>
            <w:r>
              <w:rPr>
                <w:sz w:val="26"/>
              </w:rPr>
              <w:t>0,134</w:t>
            </w:r>
          </w:p>
        </w:tc>
        <w:tc>
          <w:tcPr>
            <w:tcW w:w="1282" w:type="dxa"/>
          </w:tcPr>
          <w:p>
            <w:pPr>
              <w:pStyle w:val="TableParagraph"/>
              <w:ind w:left="104"/>
              <w:rPr>
                <w:sz w:val="26"/>
              </w:rPr>
            </w:pPr>
            <w:r>
              <w:rPr>
                <w:sz w:val="26"/>
              </w:rPr>
              <w:t>0,041</w:t>
            </w:r>
          </w:p>
        </w:tc>
        <w:tc>
          <w:tcPr>
            <w:tcW w:w="1292" w:type="dxa"/>
          </w:tcPr>
          <w:p>
            <w:pPr>
              <w:pStyle w:val="TableParagraph"/>
              <w:ind w:left="106"/>
              <w:rPr>
                <w:sz w:val="26"/>
              </w:rPr>
            </w:pPr>
            <w:r>
              <w:rPr>
                <w:sz w:val="26"/>
              </w:rPr>
              <w:t>3,225</w:t>
            </w:r>
          </w:p>
        </w:tc>
        <w:tc>
          <w:tcPr>
            <w:tcW w:w="1294" w:type="dxa"/>
          </w:tcPr>
          <w:p>
            <w:pPr>
              <w:pStyle w:val="TableParagraph"/>
              <w:ind w:left="106"/>
              <w:rPr>
                <w:sz w:val="26"/>
              </w:rPr>
            </w:pPr>
            <w:r>
              <w:rPr>
                <w:sz w:val="26"/>
              </w:rPr>
              <w:t>0,001</w:t>
            </w:r>
          </w:p>
        </w:tc>
      </w:tr>
      <w:tr>
        <w:trPr>
          <w:trHeight w:val="448" w:hRule="atLeast"/>
        </w:trPr>
        <w:tc>
          <w:tcPr>
            <w:tcW w:w="1450" w:type="dxa"/>
          </w:tcPr>
          <w:p>
            <w:pPr>
              <w:pStyle w:val="TableParagraph"/>
              <w:spacing w:line="298" w:lineRule="exact"/>
              <w:ind w:left="107"/>
              <w:rPr>
                <w:sz w:val="26"/>
              </w:rPr>
            </w:pPr>
            <w:r>
              <w:rPr>
                <w:sz w:val="26"/>
              </w:rPr>
              <w:t>CLDV</w:t>
            </w:r>
          </w:p>
        </w:tc>
        <w:tc>
          <w:tcPr>
            <w:tcW w:w="1256" w:type="dxa"/>
          </w:tcPr>
          <w:p>
            <w:pPr>
              <w:pStyle w:val="TableParagraph"/>
              <w:spacing w:line="298" w:lineRule="exact"/>
              <w:ind w:left="104"/>
              <w:rPr>
                <w:sz w:val="26"/>
              </w:rPr>
            </w:pPr>
            <w:r>
              <w:rPr>
                <w:sz w:val="26"/>
              </w:rPr>
              <w:t>&lt;--&gt;</w:t>
            </w:r>
          </w:p>
        </w:tc>
        <w:tc>
          <w:tcPr>
            <w:tcW w:w="1440" w:type="dxa"/>
          </w:tcPr>
          <w:p>
            <w:pPr>
              <w:pStyle w:val="TableParagraph"/>
              <w:spacing w:line="298" w:lineRule="exact"/>
              <w:ind w:left="104"/>
              <w:rPr>
                <w:sz w:val="26"/>
              </w:rPr>
            </w:pPr>
            <w:r>
              <w:rPr>
                <w:sz w:val="26"/>
              </w:rPr>
              <w:t>ND</w:t>
            </w:r>
          </w:p>
        </w:tc>
        <w:tc>
          <w:tcPr>
            <w:tcW w:w="1282" w:type="dxa"/>
          </w:tcPr>
          <w:p>
            <w:pPr>
              <w:pStyle w:val="TableParagraph"/>
              <w:spacing w:line="298" w:lineRule="exact"/>
              <w:ind w:left="104"/>
              <w:rPr>
                <w:sz w:val="26"/>
              </w:rPr>
            </w:pPr>
            <w:r>
              <w:rPr>
                <w:sz w:val="26"/>
              </w:rPr>
              <w:t>0,119</w:t>
            </w:r>
          </w:p>
        </w:tc>
        <w:tc>
          <w:tcPr>
            <w:tcW w:w="1282" w:type="dxa"/>
          </w:tcPr>
          <w:p>
            <w:pPr>
              <w:pStyle w:val="TableParagraph"/>
              <w:spacing w:line="298" w:lineRule="exact"/>
              <w:ind w:left="104"/>
              <w:rPr>
                <w:sz w:val="26"/>
              </w:rPr>
            </w:pPr>
            <w:r>
              <w:rPr>
                <w:sz w:val="26"/>
              </w:rPr>
              <w:t>0,038</w:t>
            </w:r>
          </w:p>
        </w:tc>
        <w:tc>
          <w:tcPr>
            <w:tcW w:w="1292" w:type="dxa"/>
          </w:tcPr>
          <w:p>
            <w:pPr>
              <w:pStyle w:val="TableParagraph"/>
              <w:spacing w:line="298" w:lineRule="exact"/>
              <w:ind w:left="106"/>
              <w:rPr>
                <w:sz w:val="26"/>
              </w:rPr>
            </w:pPr>
            <w:r>
              <w:rPr>
                <w:sz w:val="26"/>
              </w:rPr>
              <w:t>3,110</w:t>
            </w:r>
          </w:p>
        </w:tc>
        <w:tc>
          <w:tcPr>
            <w:tcW w:w="1294" w:type="dxa"/>
          </w:tcPr>
          <w:p>
            <w:pPr>
              <w:pStyle w:val="TableParagraph"/>
              <w:spacing w:line="298" w:lineRule="exact"/>
              <w:ind w:left="106"/>
              <w:rPr>
                <w:sz w:val="26"/>
              </w:rPr>
            </w:pPr>
            <w:r>
              <w:rPr>
                <w:sz w:val="26"/>
              </w:rPr>
              <w:t>0,002</w:t>
            </w:r>
          </w:p>
        </w:tc>
      </w:tr>
      <w:tr>
        <w:trPr>
          <w:trHeight w:val="448" w:hRule="atLeast"/>
        </w:trPr>
        <w:tc>
          <w:tcPr>
            <w:tcW w:w="1450" w:type="dxa"/>
          </w:tcPr>
          <w:p>
            <w:pPr>
              <w:pStyle w:val="TableParagraph"/>
              <w:spacing w:line="298" w:lineRule="exact"/>
              <w:ind w:left="107"/>
              <w:rPr>
                <w:sz w:val="26"/>
              </w:rPr>
            </w:pPr>
            <w:r>
              <w:rPr>
                <w:sz w:val="26"/>
              </w:rPr>
              <w:t>CLDV</w:t>
            </w:r>
          </w:p>
        </w:tc>
        <w:tc>
          <w:tcPr>
            <w:tcW w:w="1256" w:type="dxa"/>
          </w:tcPr>
          <w:p>
            <w:pPr>
              <w:pStyle w:val="TableParagraph"/>
              <w:spacing w:line="298" w:lineRule="exact"/>
              <w:ind w:left="104"/>
              <w:rPr>
                <w:sz w:val="26"/>
              </w:rPr>
            </w:pPr>
            <w:r>
              <w:rPr>
                <w:sz w:val="26"/>
              </w:rPr>
              <w:t>&lt;--&gt;</w:t>
            </w:r>
          </w:p>
        </w:tc>
        <w:tc>
          <w:tcPr>
            <w:tcW w:w="1440" w:type="dxa"/>
          </w:tcPr>
          <w:p>
            <w:pPr>
              <w:pStyle w:val="TableParagraph"/>
              <w:spacing w:line="298" w:lineRule="exact"/>
              <w:ind w:left="104"/>
              <w:rPr>
                <w:sz w:val="26"/>
              </w:rPr>
            </w:pPr>
            <w:r>
              <w:rPr>
                <w:sz w:val="26"/>
              </w:rPr>
              <w:t>TC</w:t>
            </w:r>
          </w:p>
        </w:tc>
        <w:tc>
          <w:tcPr>
            <w:tcW w:w="1282" w:type="dxa"/>
          </w:tcPr>
          <w:p>
            <w:pPr>
              <w:pStyle w:val="TableParagraph"/>
              <w:spacing w:line="298" w:lineRule="exact"/>
              <w:ind w:left="104"/>
              <w:rPr>
                <w:sz w:val="26"/>
              </w:rPr>
            </w:pPr>
            <w:r>
              <w:rPr>
                <w:sz w:val="26"/>
              </w:rPr>
              <w:t>0,247</w:t>
            </w:r>
          </w:p>
        </w:tc>
        <w:tc>
          <w:tcPr>
            <w:tcW w:w="1282" w:type="dxa"/>
          </w:tcPr>
          <w:p>
            <w:pPr>
              <w:pStyle w:val="TableParagraph"/>
              <w:spacing w:line="298" w:lineRule="exact"/>
              <w:ind w:left="104"/>
              <w:rPr>
                <w:sz w:val="26"/>
              </w:rPr>
            </w:pPr>
            <w:r>
              <w:rPr>
                <w:sz w:val="26"/>
              </w:rPr>
              <w:t>0,043</w:t>
            </w:r>
          </w:p>
        </w:tc>
        <w:tc>
          <w:tcPr>
            <w:tcW w:w="1292" w:type="dxa"/>
          </w:tcPr>
          <w:p>
            <w:pPr>
              <w:pStyle w:val="TableParagraph"/>
              <w:spacing w:line="298" w:lineRule="exact"/>
              <w:ind w:left="106"/>
              <w:rPr>
                <w:sz w:val="26"/>
              </w:rPr>
            </w:pPr>
            <w:r>
              <w:rPr>
                <w:sz w:val="26"/>
              </w:rPr>
              <w:t>5,720</w:t>
            </w:r>
          </w:p>
        </w:tc>
        <w:tc>
          <w:tcPr>
            <w:tcW w:w="1294" w:type="dxa"/>
          </w:tcPr>
          <w:p>
            <w:pPr>
              <w:pStyle w:val="TableParagraph"/>
              <w:spacing w:line="298" w:lineRule="exact"/>
              <w:ind w:left="106"/>
              <w:rPr>
                <w:sz w:val="26"/>
              </w:rPr>
            </w:pPr>
            <w:r>
              <w:rPr>
                <w:sz w:val="26"/>
              </w:rPr>
              <w:t>***</w:t>
            </w:r>
          </w:p>
        </w:tc>
      </w:tr>
      <w:tr>
        <w:trPr>
          <w:trHeight w:val="448" w:hRule="atLeast"/>
        </w:trPr>
        <w:tc>
          <w:tcPr>
            <w:tcW w:w="1450" w:type="dxa"/>
          </w:tcPr>
          <w:p>
            <w:pPr>
              <w:pStyle w:val="TableParagraph"/>
              <w:spacing w:line="298" w:lineRule="exact"/>
              <w:ind w:left="107"/>
              <w:rPr>
                <w:sz w:val="26"/>
              </w:rPr>
            </w:pPr>
            <w:r>
              <w:rPr>
                <w:sz w:val="26"/>
              </w:rPr>
              <w:t>CP</w:t>
            </w:r>
          </w:p>
        </w:tc>
        <w:tc>
          <w:tcPr>
            <w:tcW w:w="1256" w:type="dxa"/>
          </w:tcPr>
          <w:p>
            <w:pPr>
              <w:pStyle w:val="TableParagraph"/>
              <w:spacing w:line="298" w:lineRule="exact"/>
              <w:ind w:left="104"/>
              <w:rPr>
                <w:sz w:val="26"/>
              </w:rPr>
            </w:pPr>
            <w:r>
              <w:rPr>
                <w:sz w:val="26"/>
              </w:rPr>
              <w:t>&lt;--&gt;</w:t>
            </w:r>
          </w:p>
        </w:tc>
        <w:tc>
          <w:tcPr>
            <w:tcW w:w="1440" w:type="dxa"/>
          </w:tcPr>
          <w:p>
            <w:pPr>
              <w:pStyle w:val="TableParagraph"/>
              <w:spacing w:line="298" w:lineRule="exact"/>
              <w:ind w:left="104"/>
              <w:rPr>
                <w:sz w:val="26"/>
              </w:rPr>
            </w:pPr>
            <w:r>
              <w:rPr>
                <w:sz w:val="26"/>
              </w:rPr>
              <w:t>VT</w:t>
            </w:r>
          </w:p>
        </w:tc>
        <w:tc>
          <w:tcPr>
            <w:tcW w:w="1282" w:type="dxa"/>
          </w:tcPr>
          <w:p>
            <w:pPr>
              <w:pStyle w:val="TableParagraph"/>
              <w:spacing w:line="298" w:lineRule="exact"/>
              <w:ind w:left="104"/>
              <w:rPr>
                <w:sz w:val="26"/>
              </w:rPr>
            </w:pPr>
            <w:r>
              <w:rPr>
                <w:sz w:val="26"/>
              </w:rPr>
              <w:t>0,057</w:t>
            </w:r>
          </w:p>
        </w:tc>
        <w:tc>
          <w:tcPr>
            <w:tcW w:w="1282" w:type="dxa"/>
          </w:tcPr>
          <w:p>
            <w:pPr>
              <w:pStyle w:val="TableParagraph"/>
              <w:spacing w:line="298" w:lineRule="exact"/>
              <w:ind w:left="104"/>
              <w:rPr>
                <w:sz w:val="26"/>
              </w:rPr>
            </w:pPr>
            <w:r>
              <w:rPr>
                <w:sz w:val="26"/>
              </w:rPr>
              <w:t>0,045</w:t>
            </w:r>
          </w:p>
        </w:tc>
        <w:tc>
          <w:tcPr>
            <w:tcW w:w="1292" w:type="dxa"/>
          </w:tcPr>
          <w:p>
            <w:pPr>
              <w:pStyle w:val="TableParagraph"/>
              <w:spacing w:line="298" w:lineRule="exact"/>
              <w:ind w:left="106"/>
              <w:rPr>
                <w:sz w:val="26"/>
              </w:rPr>
            </w:pPr>
            <w:r>
              <w:rPr>
                <w:sz w:val="26"/>
              </w:rPr>
              <w:t>1,268</w:t>
            </w:r>
          </w:p>
        </w:tc>
        <w:tc>
          <w:tcPr>
            <w:tcW w:w="1294" w:type="dxa"/>
          </w:tcPr>
          <w:p>
            <w:pPr>
              <w:pStyle w:val="TableParagraph"/>
              <w:spacing w:line="298" w:lineRule="exact"/>
              <w:ind w:left="106"/>
              <w:rPr>
                <w:sz w:val="26"/>
              </w:rPr>
            </w:pPr>
            <w:r>
              <w:rPr>
                <w:sz w:val="26"/>
              </w:rPr>
              <w:t>0,004</w:t>
            </w:r>
          </w:p>
        </w:tc>
      </w:tr>
      <w:tr>
        <w:trPr>
          <w:trHeight w:val="448" w:hRule="atLeast"/>
        </w:trPr>
        <w:tc>
          <w:tcPr>
            <w:tcW w:w="1450" w:type="dxa"/>
          </w:tcPr>
          <w:p>
            <w:pPr>
              <w:pStyle w:val="TableParagraph"/>
              <w:spacing w:line="298" w:lineRule="exact"/>
              <w:ind w:left="107"/>
              <w:rPr>
                <w:sz w:val="26"/>
              </w:rPr>
            </w:pPr>
            <w:r>
              <w:rPr>
                <w:sz w:val="26"/>
              </w:rPr>
              <w:t>CP</w:t>
            </w:r>
          </w:p>
        </w:tc>
        <w:tc>
          <w:tcPr>
            <w:tcW w:w="1256" w:type="dxa"/>
          </w:tcPr>
          <w:p>
            <w:pPr>
              <w:pStyle w:val="TableParagraph"/>
              <w:spacing w:line="298" w:lineRule="exact"/>
              <w:ind w:left="104"/>
              <w:rPr>
                <w:sz w:val="26"/>
              </w:rPr>
            </w:pPr>
            <w:r>
              <w:rPr>
                <w:sz w:val="26"/>
              </w:rPr>
              <w:t>&lt;--&gt;</w:t>
            </w:r>
          </w:p>
        </w:tc>
        <w:tc>
          <w:tcPr>
            <w:tcW w:w="1440" w:type="dxa"/>
          </w:tcPr>
          <w:p>
            <w:pPr>
              <w:pStyle w:val="TableParagraph"/>
              <w:spacing w:line="298" w:lineRule="exact"/>
              <w:ind w:left="104"/>
              <w:rPr>
                <w:sz w:val="26"/>
              </w:rPr>
            </w:pPr>
            <w:r>
              <w:rPr>
                <w:sz w:val="26"/>
              </w:rPr>
              <w:t>HT</w:t>
            </w:r>
          </w:p>
        </w:tc>
        <w:tc>
          <w:tcPr>
            <w:tcW w:w="1282" w:type="dxa"/>
          </w:tcPr>
          <w:p>
            <w:pPr>
              <w:pStyle w:val="TableParagraph"/>
              <w:spacing w:line="298" w:lineRule="exact"/>
              <w:ind w:left="104"/>
              <w:rPr>
                <w:sz w:val="26"/>
              </w:rPr>
            </w:pPr>
            <w:r>
              <w:rPr>
                <w:sz w:val="26"/>
              </w:rPr>
              <w:t>0,141</w:t>
            </w:r>
          </w:p>
        </w:tc>
        <w:tc>
          <w:tcPr>
            <w:tcW w:w="1282" w:type="dxa"/>
          </w:tcPr>
          <w:p>
            <w:pPr>
              <w:pStyle w:val="TableParagraph"/>
              <w:spacing w:line="298" w:lineRule="exact"/>
              <w:ind w:left="104"/>
              <w:rPr>
                <w:sz w:val="26"/>
              </w:rPr>
            </w:pPr>
            <w:r>
              <w:rPr>
                <w:sz w:val="26"/>
              </w:rPr>
              <w:t>0,045</w:t>
            </w:r>
          </w:p>
        </w:tc>
        <w:tc>
          <w:tcPr>
            <w:tcW w:w="1292" w:type="dxa"/>
          </w:tcPr>
          <w:p>
            <w:pPr>
              <w:pStyle w:val="TableParagraph"/>
              <w:spacing w:line="298" w:lineRule="exact"/>
              <w:ind w:left="106"/>
              <w:rPr>
                <w:sz w:val="26"/>
              </w:rPr>
            </w:pPr>
            <w:r>
              <w:rPr>
                <w:sz w:val="26"/>
              </w:rPr>
              <w:t>3,121</w:t>
            </w:r>
          </w:p>
        </w:tc>
        <w:tc>
          <w:tcPr>
            <w:tcW w:w="1294" w:type="dxa"/>
          </w:tcPr>
          <w:p>
            <w:pPr>
              <w:pStyle w:val="TableParagraph"/>
              <w:spacing w:line="298" w:lineRule="exact"/>
              <w:ind w:left="106"/>
              <w:rPr>
                <w:sz w:val="26"/>
              </w:rPr>
            </w:pPr>
            <w:r>
              <w:rPr>
                <w:sz w:val="26"/>
              </w:rPr>
              <w:t>0,002</w:t>
            </w:r>
          </w:p>
        </w:tc>
      </w:tr>
      <w:tr>
        <w:trPr>
          <w:trHeight w:val="448" w:hRule="atLeast"/>
        </w:trPr>
        <w:tc>
          <w:tcPr>
            <w:tcW w:w="1450" w:type="dxa"/>
          </w:tcPr>
          <w:p>
            <w:pPr>
              <w:pStyle w:val="TableParagraph"/>
              <w:spacing w:line="298" w:lineRule="exact"/>
              <w:ind w:left="107"/>
              <w:rPr>
                <w:sz w:val="26"/>
              </w:rPr>
            </w:pPr>
            <w:r>
              <w:rPr>
                <w:sz w:val="26"/>
              </w:rPr>
              <w:t>CP</w:t>
            </w:r>
          </w:p>
        </w:tc>
        <w:tc>
          <w:tcPr>
            <w:tcW w:w="1256" w:type="dxa"/>
          </w:tcPr>
          <w:p>
            <w:pPr>
              <w:pStyle w:val="TableParagraph"/>
              <w:spacing w:line="298" w:lineRule="exact"/>
              <w:ind w:left="104"/>
              <w:rPr>
                <w:sz w:val="26"/>
              </w:rPr>
            </w:pPr>
            <w:r>
              <w:rPr>
                <w:sz w:val="26"/>
              </w:rPr>
              <w:t>&lt;--&gt;</w:t>
            </w:r>
          </w:p>
        </w:tc>
        <w:tc>
          <w:tcPr>
            <w:tcW w:w="1440" w:type="dxa"/>
          </w:tcPr>
          <w:p>
            <w:pPr>
              <w:pStyle w:val="TableParagraph"/>
              <w:spacing w:line="298" w:lineRule="exact"/>
              <w:ind w:left="104"/>
              <w:rPr>
                <w:sz w:val="26"/>
              </w:rPr>
            </w:pPr>
            <w:r>
              <w:rPr>
                <w:sz w:val="26"/>
              </w:rPr>
              <w:t>ND</w:t>
            </w:r>
          </w:p>
        </w:tc>
        <w:tc>
          <w:tcPr>
            <w:tcW w:w="1282" w:type="dxa"/>
          </w:tcPr>
          <w:p>
            <w:pPr>
              <w:pStyle w:val="TableParagraph"/>
              <w:spacing w:line="298" w:lineRule="exact"/>
              <w:ind w:left="104"/>
              <w:rPr>
                <w:sz w:val="26"/>
              </w:rPr>
            </w:pPr>
            <w:r>
              <w:rPr>
                <w:sz w:val="26"/>
              </w:rPr>
              <w:t>0,103</w:t>
            </w:r>
          </w:p>
        </w:tc>
        <w:tc>
          <w:tcPr>
            <w:tcW w:w="1282" w:type="dxa"/>
          </w:tcPr>
          <w:p>
            <w:pPr>
              <w:pStyle w:val="TableParagraph"/>
              <w:spacing w:line="298" w:lineRule="exact"/>
              <w:ind w:left="104"/>
              <w:rPr>
                <w:sz w:val="26"/>
              </w:rPr>
            </w:pPr>
            <w:r>
              <w:rPr>
                <w:sz w:val="26"/>
              </w:rPr>
              <w:t>0,041</w:t>
            </w:r>
          </w:p>
        </w:tc>
        <w:tc>
          <w:tcPr>
            <w:tcW w:w="1292" w:type="dxa"/>
          </w:tcPr>
          <w:p>
            <w:pPr>
              <w:pStyle w:val="TableParagraph"/>
              <w:spacing w:line="298" w:lineRule="exact"/>
              <w:ind w:left="106"/>
              <w:rPr>
                <w:sz w:val="26"/>
              </w:rPr>
            </w:pPr>
            <w:r>
              <w:rPr>
                <w:sz w:val="26"/>
              </w:rPr>
              <w:t>2,491</w:t>
            </w:r>
          </w:p>
        </w:tc>
        <w:tc>
          <w:tcPr>
            <w:tcW w:w="1294" w:type="dxa"/>
          </w:tcPr>
          <w:p>
            <w:pPr>
              <w:pStyle w:val="TableParagraph"/>
              <w:spacing w:line="298" w:lineRule="exact"/>
              <w:ind w:left="106"/>
              <w:rPr>
                <w:sz w:val="26"/>
              </w:rPr>
            </w:pPr>
            <w:r>
              <w:rPr>
                <w:sz w:val="26"/>
              </w:rPr>
              <w:t>***</w:t>
            </w:r>
          </w:p>
        </w:tc>
      </w:tr>
      <w:tr>
        <w:trPr>
          <w:trHeight w:val="448" w:hRule="atLeast"/>
        </w:trPr>
        <w:tc>
          <w:tcPr>
            <w:tcW w:w="1450" w:type="dxa"/>
          </w:tcPr>
          <w:p>
            <w:pPr>
              <w:pStyle w:val="TableParagraph"/>
              <w:spacing w:line="298" w:lineRule="exact"/>
              <w:ind w:left="107"/>
              <w:rPr>
                <w:sz w:val="26"/>
              </w:rPr>
            </w:pPr>
            <w:r>
              <w:rPr>
                <w:sz w:val="26"/>
              </w:rPr>
              <w:t>CP</w:t>
            </w:r>
          </w:p>
        </w:tc>
        <w:tc>
          <w:tcPr>
            <w:tcW w:w="1256" w:type="dxa"/>
          </w:tcPr>
          <w:p>
            <w:pPr>
              <w:pStyle w:val="TableParagraph"/>
              <w:spacing w:line="298" w:lineRule="exact"/>
              <w:ind w:left="104"/>
              <w:rPr>
                <w:sz w:val="26"/>
              </w:rPr>
            </w:pPr>
            <w:r>
              <w:rPr>
                <w:sz w:val="26"/>
              </w:rPr>
              <w:t>&lt;--&gt;</w:t>
            </w:r>
          </w:p>
        </w:tc>
        <w:tc>
          <w:tcPr>
            <w:tcW w:w="1440" w:type="dxa"/>
          </w:tcPr>
          <w:p>
            <w:pPr>
              <w:pStyle w:val="TableParagraph"/>
              <w:spacing w:line="298" w:lineRule="exact"/>
              <w:ind w:left="104"/>
              <w:rPr>
                <w:sz w:val="26"/>
              </w:rPr>
            </w:pPr>
            <w:r>
              <w:rPr>
                <w:sz w:val="26"/>
              </w:rPr>
              <w:t>TC</w:t>
            </w:r>
          </w:p>
        </w:tc>
        <w:tc>
          <w:tcPr>
            <w:tcW w:w="1282" w:type="dxa"/>
          </w:tcPr>
          <w:p>
            <w:pPr>
              <w:pStyle w:val="TableParagraph"/>
              <w:spacing w:line="298" w:lineRule="exact"/>
              <w:ind w:left="104"/>
              <w:rPr>
                <w:sz w:val="26"/>
              </w:rPr>
            </w:pPr>
            <w:r>
              <w:rPr>
                <w:sz w:val="26"/>
              </w:rPr>
              <w:t>0,116</w:t>
            </w:r>
          </w:p>
        </w:tc>
        <w:tc>
          <w:tcPr>
            <w:tcW w:w="1282" w:type="dxa"/>
          </w:tcPr>
          <w:p>
            <w:pPr>
              <w:pStyle w:val="TableParagraph"/>
              <w:spacing w:line="298" w:lineRule="exact"/>
              <w:ind w:left="104"/>
              <w:rPr>
                <w:sz w:val="26"/>
              </w:rPr>
            </w:pPr>
            <w:r>
              <w:rPr>
                <w:sz w:val="26"/>
              </w:rPr>
              <w:t>0,045</w:t>
            </w:r>
          </w:p>
        </w:tc>
        <w:tc>
          <w:tcPr>
            <w:tcW w:w="1292" w:type="dxa"/>
          </w:tcPr>
          <w:p>
            <w:pPr>
              <w:pStyle w:val="TableParagraph"/>
              <w:spacing w:line="298" w:lineRule="exact"/>
              <w:ind w:left="106"/>
              <w:rPr>
                <w:sz w:val="26"/>
              </w:rPr>
            </w:pPr>
            <w:r>
              <w:rPr>
                <w:sz w:val="26"/>
              </w:rPr>
              <w:t>2,590</w:t>
            </w:r>
          </w:p>
        </w:tc>
        <w:tc>
          <w:tcPr>
            <w:tcW w:w="1294" w:type="dxa"/>
          </w:tcPr>
          <w:p>
            <w:pPr>
              <w:pStyle w:val="TableParagraph"/>
              <w:spacing w:line="298" w:lineRule="exact"/>
              <w:ind w:left="106"/>
              <w:rPr>
                <w:sz w:val="26"/>
              </w:rPr>
            </w:pPr>
            <w:r>
              <w:rPr>
                <w:sz w:val="26"/>
              </w:rPr>
              <w:t>***</w:t>
            </w:r>
          </w:p>
        </w:tc>
      </w:tr>
      <w:tr>
        <w:trPr>
          <w:trHeight w:val="448" w:hRule="atLeast"/>
        </w:trPr>
        <w:tc>
          <w:tcPr>
            <w:tcW w:w="1450" w:type="dxa"/>
          </w:tcPr>
          <w:p>
            <w:pPr>
              <w:pStyle w:val="TableParagraph"/>
              <w:spacing w:before="2"/>
              <w:ind w:left="107"/>
              <w:rPr>
                <w:sz w:val="26"/>
              </w:rPr>
            </w:pPr>
            <w:r>
              <w:rPr>
                <w:sz w:val="26"/>
              </w:rPr>
              <w:t>VT</w:t>
            </w:r>
          </w:p>
        </w:tc>
        <w:tc>
          <w:tcPr>
            <w:tcW w:w="1256" w:type="dxa"/>
          </w:tcPr>
          <w:p>
            <w:pPr>
              <w:pStyle w:val="TableParagraph"/>
              <w:spacing w:before="2"/>
              <w:ind w:left="104"/>
              <w:rPr>
                <w:sz w:val="26"/>
              </w:rPr>
            </w:pPr>
            <w:r>
              <w:rPr>
                <w:sz w:val="26"/>
              </w:rPr>
              <w:t>&lt;--&gt;</w:t>
            </w:r>
          </w:p>
        </w:tc>
        <w:tc>
          <w:tcPr>
            <w:tcW w:w="1440" w:type="dxa"/>
          </w:tcPr>
          <w:p>
            <w:pPr>
              <w:pStyle w:val="TableParagraph"/>
              <w:spacing w:before="2"/>
              <w:ind w:left="104"/>
              <w:rPr>
                <w:sz w:val="26"/>
              </w:rPr>
            </w:pPr>
            <w:r>
              <w:rPr>
                <w:sz w:val="26"/>
              </w:rPr>
              <w:t>HT</w:t>
            </w:r>
          </w:p>
        </w:tc>
        <w:tc>
          <w:tcPr>
            <w:tcW w:w="1282" w:type="dxa"/>
          </w:tcPr>
          <w:p>
            <w:pPr>
              <w:pStyle w:val="TableParagraph"/>
              <w:spacing w:before="2"/>
              <w:ind w:left="104"/>
              <w:rPr>
                <w:sz w:val="26"/>
              </w:rPr>
            </w:pPr>
            <w:r>
              <w:rPr>
                <w:sz w:val="26"/>
              </w:rPr>
              <w:t>0,024</w:t>
            </w:r>
          </w:p>
        </w:tc>
        <w:tc>
          <w:tcPr>
            <w:tcW w:w="1282" w:type="dxa"/>
          </w:tcPr>
          <w:p>
            <w:pPr>
              <w:pStyle w:val="TableParagraph"/>
              <w:spacing w:before="2"/>
              <w:ind w:left="104"/>
              <w:rPr>
                <w:sz w:val="26"/>
              </w:rPr>
            </w:pPr>
            <w:r>
              <w:rPr>
                <w:sz w:val="26"/>
              </w:rPr>
              <w:t>0,054</w:t>
            </w:r>
          </w:p>
        </w:tc>
        <w:tc>
          <w:tcPr>
            <w:tcW w:w="1292" w:type="dxa"/>
          </w:tcPr>
          <w:p>
            <w:pPr>
              <w:pStyle w:val="TableParagraph"/>
              <w:spacing w:before="2"/>
              <w:ind w:left="106"/>
              <w:rPr>
                <w:sz w:val="26"/>
              </w:rPr>
            </w:pPr>
            <w:r>
              <w:rPr>
                <w:sz w:val="26"/>
              </w:rPr>
              <w:t>0,454</w:t>
            </w:r>
          </w:p>
        </w:tc>
        <w:tc>
          <w:tcPr>
            <w:tcW w:w="1294" w:type="dxa"/>
          </w:tcPr>
          <w:p>
            <w:pPr>
              <w:pStyle w:val="TableParagraph"/>
              <w:spacing w:before="2"/>
              <w:ind w:left="106"/>
              <w:rPr>
                <w:sz w:val="26"/>
              </w:rPr>
            </w:pPr>
            <w:r>
              <w:rPr>
                <w:sz w:val="26"/>
              </w:rPr>
              <w:t>***</w:t>
            </w:r>
          </w:p>
        </w:tc>
      </w:tr>
      <w:tr>
        <w:trPr>
          <w:trHeight w:val="448" w:hRule="atLeast"/>
        </w:trPr>
        <w:tc>
          <w:tcPr>
            <w:tcW w:w="1450" w:type="dxa"/>
          </w:tcPr>
          <w:p>
            <w:pPr>
              <w:pStyle w:val="TableParagraph"/>
              <w:spacing w:before="2"/>
              <w:ind w:left="107"/>
              <w:rPr>
                <w:sz w:val="26"/>
              </w:rPr>
            </w:pPr>
            <w:r>
              <w:rPr>
                <w:sz w:val="26"/>
              </w:rPr>
              <w:t>VT</w:t>
            </w:r>
          </w:p>
        </w:tc>
        <w:tc>
          <w:tcPr>
            <w:tcW w:w="1256" w:type="dxa"/>
          </w:tcPr>
          <w:p>
            <w:pPr>
              <w:pStyle w:val="TableParagraph"/>
              <w:spacing w:before="2"/>
              <w:ind w:left="104"/>
              <w:rPr>
                <w:sz w:val="26"/>
              </w:rPr>
            </w:pPr>
            <w:r>
              <w:rPr>
                <w:sz w:val="26"/>
              </w:rPr>
              <w:t>&lt;--&gt;</w:t>
            </w:r>
          </w:p>
        </w:tc>
        <w:tc>
          <w:tcPr>
            <w:tcW w:w="1440" w:type="dxa"/>
          </w:tcPr>
          <w:p>
            <w:pPr>
              <w:pStyle w:val="TableParagraph"/>
              <w:spacing w:before="2"/>
              <w:ind w:left="104"/>
              <w:rPr>
                <w:sz w:val="26"/>
              </w:rPr>
            </w:pPr>
            <w:r>
              <w:rPr>
                <w:sz w:val="26"/>
              </w:rPr>
              <w:t>ND</w:t>
            </w:r>
          </w:p>
        </w:tc>
        <w:tc>
          <w:tcPr>
            <w:tcW w:w="1282" w:type="dxa"/>
          </w:tcPr>
          <w:p>
            <w:pPr>
              <w:pStyle w:val="TableParagraph"/>
              <w:spacing w:before="2"/>
              <w:ind w:left="104"/>
              <w:rPr>
                <w:sz w:val="26"/>
              </w:rPr>
            </w:pPr>
            <w:r>
              <w:rPr>
                <w:sz w:val="26"/>
              </w:rPr>
              <w:t>0,146</w:t>
            </w:r>
          </w:p>
        </w:tc>
        <w:tc>
          <w:tcPr>
            <w:tcW w:w="1282" w:type="dxa"/>
          </w:tcPr>
          <w:p>
            <w:pPr>
              <w:pStyle w:val="TableParagraph"/>
              <w:spacing w:before="2"/>
              <w:ind w:left="104"/>
              <w:rPr>
                <w:sz w:val="26"/>
              </w:rPr>
            </w:pPr>
            <w:r>
              <w:rPr>
                <w:sz w:val="26"/>
              </w:rPr>
              <w:t>0,050</w:t>
            </w:r>
          </w:p>
        </w:tc>
        <w:tc>
          <w:tcPr>
            <w:tcW w:w="1292" w:type="dxa"/>
          </w:tcPr>
          <w:p>
            <w:pPr>
              <w:pStyle w:val="TableParagraph"/>
              <w:spacing w:before="2"/>
              <w:ind w:left="106"/>
              <w:rPr>
                <w:sz w:val="26"/>
              </w:rPr>
            </w:pPr>
            <w:r>
              <w:rPr>
                <w:sz w:val="26"/>
              </w:rPr>
              <w:t>2,905</w:t>
            </w:r>
          </w:p>
        </w:tc>
        <w:tc>
          <w:tcPr>
            <w:tcW w:w="1294" w:type="dxa"/>
          </w:tcPr>
          <w:p>
            <w:pPr>
              <w:pStyle w:val="TableParagraph"/>
              <w:spacing w:before="2"/>
              <w:ind w:left="106"/>
              <w:rPr>
                <w:sz w:val="26"/>
              </w:rPr>
            </w:pPr>
            <w:r>
              <w:rPr>
                <w:sz w:val="26"/>
              </w:rPr>
              <w:t>0,004</w:t>
            </w:r>
          </w:p>
        </w:tc>
      </w:tr>
      <w:tr>
        <w:trPr>
          <w:trHeight w:val="448" w:hRule="atLeast"/>
        </w:trPr>
        <w:tc>
          <w:tcPr>
            <w:tcW w:w="1450" w:type="dxa"/>
          </w:tcPr>
          <w:p>
            <w:pPr>
              <w:pStyle w:val="TableParagraph"/>
              <w:spacing w:before="2"/>
              <w:ind w:left="107"/>
              <w:rPr>
                <w:sz w:val="26"/>
              </w:rPr>
            </w:pPr>
            <w:r>
              <w:rPr>
                <w:sz w:val="26"/>
              </w:rPr>
              <w:t>VT</w:t>
            </w:r>
          </w:p>
        </w:tc>
        <w:tc>
          <w:tcPr>
            <w:tcW w:w="1256" w:type="dxa"/>
          </w:tcPr>
          <w:p>
            <w:pPr>
              <w:pStyle w:val="TableParagraph"/>
              <w:spacing w:before="2"/>
              <w:ind w:left="104"/>
              <w:rPr>
                <w:sz w:val="26"/>
              </w:rPr>
            </w:pPr>
            <w:r>
              <w:rPr>
                <w:sz w:val="26"/>
              </w:rPr>
              <w:t>&lt;--&gt;</w:t>
            </w:r>
          </w:p>
        </w:tc>
        <w:tc>
          <w:tcPr>
            <w:tcW w:w="1440" w:type="dxa"/>
          </w:tcPr>
          <w:p>
            <w:pPr>
              <w:pStyle w:val="TableParagraph"/>
              <w:spacing w:before="2"/>
              <w:ind w:left="104"/>
              <w:rPr>
                <w:sz w:val="26"/>
              </w:rPr>
            </w:pPr>
            <w:r>
              <w:rPr>
                <w:sz w:val="26"/>
              </w:rPr>
              <w:t>TC</w:t>
            </w:r>
          </w:p>
        </w:tc>
        <w:tc>
          <w:tcPr>
            <w:tcW w:w="1282" w:type="dxa"/>
          </w:tcPr>
          <w:p>
            <w:pPr>
              <w:pStyle w:val="TableParagraph"/>
              <w:spacing w:before="2"/>
              <w:ind w:left="104"/>
              <w:rPr>
                <w:sz w:val="26"/>
              </w:rPr>
            </w:pPr>
            <w:r>
              <w:rPr>
                <w:sz w:val="26"/>
              </w:rPr>
              <w:t>0,149</w:t>
            </w:r>
          </w:p>
        </w:tc>
        <w:tc>
          <w:tcPr>
            <w:tcW w:w="1282" w:type="dxa"/>
          </w:tcPr>
          <w:p>
            <w:pPr>
              <w:pStyle w:val="TableParagraph"/>
              <w:spacing w:before="2"/>
              <w:ind w:left="104"/>
              <w:rPr>
                <w:sz w:val="26"/>
              </w:rPr>
            </w:pPr>
            <w:r>
              <w:rPr>
                <w:sz w:val="26"/>
              </w:rPr>
              <w:t>0,054</w:t>
            </w:r>
          </w:p>
        </w:tc>
        <w:tc>
          <w:tcPr>
            <w:tcW w:w="1292" w:type="dxa"/>
          </w:tcPr>
          <w:p>
            <w:pPr>
              <w:pStyle w:val="TableParagraph"/>
              <w:spacing w:before="2"/>
              <w:ind w:left="106"/>
              <w:rPr>
                <w:sz w:val="26"/>
              </w:rPr>
            </w:pPr>
            <w:r>
              <w:rPr>
                <w:sz w:val="26"/>
              </w:rPr>
              <w:t>2,761</w:t>
            </w:r>
          </w:p>
        </w:tc>
        <w:tc>
          <w:tcPr>
            <w:tcW w:w="1294" w:type="dxa"/>
          </w:tcPr>
          <w:p>
            <w:pPr>
              <w:pStyle w:val="TableParagraph"/>
              <w:spacing w:before="2"/>
              <w:ind w:left="106"/>
              <w:rPr>
                <w:sz w:val="26"/>
              </w:rPr>
            </w:pPr>
            <w:r>
              <w:rPr>
                <w:sz w:val="26"/>
              </w:rPr>
              <w:t>***</w:t>
            </w:r>
          </w:p>
        </w:tc>
      </w:tr>
      <w:tr>
        <w:trPr>
          <w:trHeight w:val="448" w:hRule="atLeast"/>
        </w:trPr>
        <w:tc>
          <w:tcPr>
            <w:tcW w:w="1450" w:type="dxa"/>
          </w:tcPr>
          <w:p>
            <w:pPr>
              <w:pStyle w:val="TableParagraph"/>
              <w:spacing w:before="2"/>
              <w:ind w:left="107"/>
              <w:rPr>
                <w:sz w:val="26"/>
              </w:rPr>
            </w:pPr>
            <w:r>
              <w:rPr>
                <w:sz w:val="26"/>
              </w:rPr>
              <w:t>HT</w:t>
            </w:r>
          </w:p>
        </w:tc>
        <w:tc>
          <w:tcPr>
            <w:tcW w:w="1256" w:type="dxa"/>
          </w:tcPr>
          <w:p>
            <w:pPr>
              <w:pStyle w:val="TableParagraph"/>
              <w:spacing w:before="2"/>
              <w:ind w:left="104"/>
              <w:rPr>
                <w:sz w:val="26"/>
              </w:rPr>
            </w:pPr>
            <w:r>
              <w:rPr>
                <w:sz w:val="26"/>
              </w:rPr>
              <w:t>&lt;--&gt;</w:t>
            </w:r>
          </w:p>
        </w:tc>
        <w:tc>
          <w:tcPr>
            <w:tcW w:w="1440" w:type="dxa"/>
          </w:tcPr>
          <w:p>
            <w:pPr>
              <w:pStyle w:val="TableParagraph"/>
              <w:spacing w:before="2"/>
              <w:ind w:left="104"/>
              <w:rPr>
                <w:sz w:val="26"/>
              </w:rPr>
            </w:pPr>
            <w:r>
              <w:rPr>
                <w:sz w:val="26"/>
              </w:rPr>
              <w:t>ND</w:t>
            </w:r>
          </w:p>
        </w:tc>
        <w:tc>
          <w:tcPr>
            <w:tcW w:w="1282" w:type="dxa"/>
          </w:tcPr>
          <w:p>
            <w:pPr>
              <w:pStyle w:val="TableParagraph"/>
              <w:spacing w:before="2"/>
              <w:ind w:left="104"/>
              <w:rPr>
                <w:sz w:val="26"/>
              </w:rPr>
            </w:pPr>
            <w:r>
              <w:rPr>
                <w:sz w:val="26"/>
              </w:rPr>
              <w:t>0,031</w:t>
            </w:r>
          </w:p>
        </w:tc>
        <w:tc>
          <w:tcPr>
            <w:tcW w:w="1282" w:type="dxa"/>
          </w:tcPr>
          <w:p>
            <w:pPr>
              <w:pStyle w:val="TableParagraph"/>
              <w:spacing w:before="2"/>
              <w:ind w:left="104"/>
              <w:rPr>
                <w:sz w:val="26"/>
              </w:rPr>
            </w:pPr>
            <w:r>
              <w:rPr>
                <w:sz w:val="26"/>
              </w:rPr>
              <w:t>0,049</w:t>
            </w:r>
          </w:p>
        </w:tc>
        <w:tc>
          <w:tcPr>
            <w:tcW w:w="1292" w:type="dxa"/>
          </w:tcPr>
          <w:p>
            <w:pPr>
              <w:pStyle w:val="TableParagraph"/>
              <w:spacing w:before="2"/>
              <w:ind w:left="106"/>
              <w:rPr>
                <w:sz w:val="26"/>
              </w:rPr>
            </w:pPr>
            <w:r>
              <w:rPr>
                <w:sz w:val="26"/>
              </w:rPr>
              <w:t>0,643</w:t>
            </w:r>
          </w:p>
        </w:tc>
        <w:tc>
          <w:tcPr>
            <w:tcW w:w="1294" w:type="dxa"/>
          </w:tcPr>
          <w:p>
            <w:pPr>
              <w:pStyle w:val="TableParagraph"/>
              <w:spacing w:before="2"/>
              <w:ind w:left="106"/>
              <w:rPr>
                <w:sz w:val="26"/>
              </w:rPr>
            </w:pPr>
            <w:r>
              <w:rPr>
                <w:sz w:val="26"/>
              </w:rPr>
              <w:t>***</w:t>
            </w:r>
          </w:p>
        </w:tc>
      </w:tr>
      <w:tr>
        <w:trPr>
          <w:trHeight w:val="448" w:hRule="atLeast"/>
        </w:trPr>
        <w:tc>
          <w:tcPr>
            <w:tcW w:w="1450" w:type="dxa"/>
          </w:tcPr>
          <w:p>
            <w:pPr>
              <w:pStyle w:val="TableParagraph"/>
              <w:spacing w:before="2"/>
              <w:ind w:left="107"/>
              <w:rPr>
                <w:sz w:val="26"/>
              </w:rPr>
            </w:pPr>
            <w:r>
              <w:rPr>
                <w:sz w:val="26"/>
              </w:rPr>
              <w:t>HT</w:t>
            </w:r>
          </w:p>
        </w:tc>
        <w:tc>
          <w:tcPr>
            <w:tcW w:w="1256" w:type="dxa"/>
          </w:tcPr>
          <w:p>
            <w:pPr>
              <w:pStyle w:val="TableParagraph"/>
              <w:spacing w:before="2"/>
              <w:ind w:left="104"/>
              <w:rPr>
                <w:sz w:val="26"/>
              </w:rPr>
            </w:pPr>
            <w:r>
              <w:rPr>
                <w:sz w:val="26"/>
              </w:rPr>
              <w:t>&lt;--&gt;</w:t>
            </w:r>
          </w:p>
        </w:tc>
        <w:tc>
          <w:tcPr>
            <w:tcW w:w="1440" w:type="dxa"/>
          </w:tcPr>
          <w:p>
            <w:pPr>
              <w:pStyle w:val="TableParagraph"/>
              <w:spacing w:before="2"/>
              <w:ind w:left="104"/>
              <w:rPr>
                <w:sz w:val="26"/>
              </w:rPr>
            </w:pPr>
            <w:r>
              <w:rPr>
                <w:sz w:val="26"/>
              </w:rPr>
              <w:t>TC</w:t>
            </w:r>
          </w:p>
        </w:tc>
        <w:tc>
          <w:tcPr>
            <w:tcW w:w="1282" w:type="dxa"/>
          </w:tcPr>
          <w:p>
            <w:pPr>
              <w:pStyle w:val="TableParagraph"/>
              <w:spacing w:before="2"/>
              <w:ind w:left="104"/>
              <w:rPr>
                <w:sz w:val="26"/>
              </w:rPr>
            </w:pPr>
            <w:r>
              <w:rPr>
                <w:sz w:val="26"/>
              </w:rPr>
              <w:t>0,098</w:t>
            </w:r>
          </w:p>
        </w:tc>
        <w:tc>
          <w:tcPr>
            <w:tcW w:w="1282" w:type="dxa"/>
          </w:tcPr>
          <w:p>
            <w:pPr>
              <w:pStyle w:val="TableParagraph"/>
              <w:spacing w:before="2"/>
              <w:ind w:left="104"/>
              <w:rPr>
                <w:sz w:val="26"/>
              </w:rPr>
            </w:pPr>
            <w:r>
              <w:rPr>
                <w:sz w:val="26"/>
              </w:rPr>
              <w:t>0,053</w:t>
            </w:r>
          </w:p>
        </w:tc>
        <w:tc>
          <w:tcPr>
            <w:tcW w:w="1292" w:type="dxa"/>
          </w:tcPr>
          <w:p>
            <w:pPr>
              <w:pStyle w:val="TableParagraph"/>
              <w:spacing w:before="2"/>
              <w:ind w:left="106"/>
              <w:rPr>
                <w:sz w:val="26"/>
              </w:rPr>
            </w:pPr>
            <w:r>
              <w:rPr>
                <w:sz w:val="26"/>
              </w:rPr>
              <w:t>1,864</w:t>
            </w:r>
          </w:p>
        </w:tc>
        <w:tc>
          <w:tcPr>
            <w:tcW w:w="1294" w:type="dxa"/>
          </w:tcPr>
          <w:p>
            <w:pPr>
              <w:pStyle w:val="TableParagraph"/>
              <w:spacing w:before="2"/>
              <w:ind w:left="106"/>
              <w:rPr>
                <w:sz w:val="26"/>
              </w:rPr>
            </w:pPr>
            <w:r>
              <w:rPr>
                <w:sz w:val="26"/>
              </w:rPr>
              <w:t>***</w:t>
            </w:r>
          </w:p>
        </w:tc>
      </w:tr>
      <w:tr>
        <w:trPr>
          <w:trHeight w:val="450" w:hRule="atLeast"/>
        </w:trPr>
        <w:tc>
          <w:tcPr>
            <w:tcW w:w="1450" w:type="dxa"/>
          </w:tcPr>
          <w:p>
            <w:pPr>
              <w:pStyle w:val="TableParagraph"/>
              <w:spacing w:before="2"/>
              <w:ind w:left="107"/>
              <w:rPr>
                <w:sz w:val="26"/>
              </w:rPr>
            </w:pPr>
            <w:r>
              <w:rPr>
                <w:sz w:val="26"/>
              </w:rPr>
              <w:t>ND</w:t>
            </w:r>
          </w:p>
        </w:tc>
        <w:tc>
          <w:tcPr>
            <w:tcW w:w="1256" w:type="dxa"/>
          </w:tcPr>
          <w:p>
            <w:pPr>
              <w:pStyle w:val="TableParagraph"/>
              <w:spacing w:before="2"/>
              <w:ind w:left="104"/>
              <w:rPr>
                <w:sz w:val="26"/>
              </w:rPr>
            </w:pPr>
            <w:r>
              <w:rPr>
                <w:sz w:val="26"/>
              </w:rPr>
              <w:t>&lt;--&gt;</w:t>
            </w:r>
          </w:p>
        </w:tc>
        <w:tc>
          <w:tcPr>
            <w:tcW w:w="1440" w:type="dxa"/>
          </w:tcPr>
          <w:p>
            <w:pPr>
              <w:pStyle w:val="TableParagraph"/>
              <w:spacing w:before="2"/>
              <w:ind w:left="104"/>
              <w:rPr>
                <w:sz w:val="26"/>
              </w:rPr>
            </w:pPr>
            <w:r>
              <w:rPr>
                <w:sz w:val="26"/>
              </w:rPr>
              <w:t>TC</w:t>
            </w:r>
          </w:p>
        </w:tc>
        <w:tc>
          <w:tcPr>
            <w:tcW w:w="1282" w:type="dxa"/>
          </w:tcPr>
          <w:p>
            <w:pPr>
              <w:pStyle w:val="TableParagraph"/>
              <w:spacing w:before="2"/>
              <w:ind w:left="104"/>
              <w:rPr>
                <w:sz w:val="26"/>
              </w:rPr>
            </w:pPr>
            <w:r>
              <w:rPr>
                <w:sz w:val="26"/>
              </w:rPr>
              <w:t>.156</w:t>
            </w:r>
          </w:p>
        </w:tc>
        <w:tc>
          <w:tcPr>
            <w:tcW w:w="1282" w:type="dxa"/>
          </w:tcPr>
          <w:p>
            <w:pPr>
              <w:pStyle w:val="TableParagraph"/>
              <w:spacing w:before="2"/>
              <w:ind w:left="104"/>
              <w:rPr>
                <w:sz w:val="26"/>
              </w:rPr>
            </w:pPr>
            <w:r>
              <w:rPr>
                <w:sz w:val="26"/>
              </w:rPr>
              <w:t>0,036</w:t>
            </w:r>
          </w:p>
        </w:tc>
        <w:tc>
          <w:tcPr>
            <w:tcW w:w="1292" w:type="dxa"/>
          </w:tcPr>
          <w:p>
            <w:pPr>
              <w:pStyle w:val="TableParagraph"/>
              <w:spacing w:before="2"/>
              <w:ind w:left="106"/>
              <w:rPr>
                <w:sz w:val="26"/>
              </w:rPr>
            </w:pPr>
            <w:r>
              <w:rPr>
                <w:sz w:val="26"/>
              </w:rPr>
              <w:t>4,392</w:t>
            </w:r>
          </w:p>
        </w:tc>
        <w:tc>
          <w:tcPr>
            <w:tcW w:w="1294" w:type="dxa"/>
          </w:tcPr>
          <w:p>
            <w:pPr>
              <w:pStyle w:val="TableParagraph"/>
              <w:spacing w:before="2"/>
              <w:ind w:left="106"/>
              <w:rPr>
                <w:sz w:val="26"/>
              </w:rPr>
            </w:pPr>
            <w:r>
              <w:rPr>
                <w:sz w:val="26"/>
              </w:rPr>
              <w:t>***</w:t>
            </w:r>
          </w:p>
        </w:tc>
      </w:tr>
    </w:tbl>
    <w:p>
      <w:pPr>
        <w:spacing w:before="0"/>
        <w:ind w:left="6871" w:right="0" w:firstLine="0"/>
        <w:jc w:val="left"/>
        <w:rPr>
          <w:i/>
          <w:sz w:val="26"/>
        </w:rPr>
      </w:pPr>
      <w:r>
        <w:rPr>
          <w:i/>
          <w:sz w:val="26"/>
        </w:rPr>
        <w:t>Nguồn: Xử lý dữ liệu từ SPSS</w:t>
      </w:r>
    </w:p>
    <w:p>
      <w:pPr>
        <w:spacing w:after="0"/>
        <w:jc w:val="left"/>
        <w:rPr>
          <w:sz w:val="26"/>
        </w:rPr>
        <w:sectPr>
          <w:pgSz w:w="11910" w:h="16850"/>
          <w:pgMar w:header="751" w:footer="0" w:top="960" w:bottom="280" w:left="820" w:right="240"/>
        </w:sectPr>
      </w:pPr>
    </w:p>
    <w:p>
      <w:pPr>
        <w:pStyle w:val="BodyText"/>
        <w:rPr>
          <w:i/>
          <w:sz w:val="20"/>
        </w:rPr>
      </w:pPr>
    </w:p>
    <w:p>
      <w:pPr>
        <w:pStyle w:val="BodyText"/>
        <w:spacing w:before="7"/>
        <w:rPr>
          <w:i/>
          <w:sz w:val="23"/>
        </w:rPr>
      </w:pPr>
    </w:p>
    <w:p>
      <w:pPr>
        <w:pStyle w:val="Heading6"/>
        <w:spacing w:before="89"/>
        <w:ind w:left="941" w:right="952"/>
        <w:jc w:val="center"/>
      </w:pPr>
      <w:r>
        <w:rPr/>
        <w:t>Bảng 3.13 Tổng phương sai rút trích (AVE) của các nhân tố</w:t>
      </w:r>
    </w:p>
    <w:p>
      <w:pPr>
        <w:pStyle w:val="BodyText"/>
        <w:spacing w:before="9"/>
        <w:rPr>
          <w:b/>
          <w:sz w:val="12"/>
        </w:rPr>
      </w:pPr>
    </w:p>
    <w:tbl>
      <w:tblPr>
        <w:tblW w:w="0" w:type="auto"/>
        <w:jc w:val="left"/>
        <w:tblInd w:w="78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998"/>
        <w:gridCol w:w="936"/>
        <w:gridCol w:w="1078"/>
        <w:gridCol w:w="1075"/>
        <w:gridCol w:w="1080"/>
        <w:gridCol w:w="1077"/>
        <w:gridCol w:w="1077"/>
        <w:gridCol w:w="1078"/>
        <w:gridCol w:w="876"/>
      </w:tblGrid>
      <w:tr>
        <w:trPr>
          <w:trHeight w:val="506" w:hRule="atLeast"/>
        </w:trPr>
        <w:tc>
          <w:tcPr>
            <w:tcW w:w="998" w:type="dxa"/>
            <w:shd w:val="clear" w:color="auto" w:fill="E4E4E4"/>
          </w:tcPr>
          <w:p>
            <w:pPr>
              <w:pStyle w:val="TableParagraph"/>
              <w:rPr>
                <w:sz w:val="24"/>
              </w:rPr>
            </w:pPr>
          </w:p>
        </w:tc>
        <w:tc>
          <w:tcPr>
            <w:tcW w:w="936" w:type="dxa"/>
            <w:shd w:val="clear" w:color="auto" w:fill="E4E4E4"/>
          </w:tcPr>
          <w:p>
            <w:pPr>
              <w:pStyle w:val="TableParagraph"/>
              <w:spacing w:before="2"/>
              <w:ind w:left="108"/>
              <w:rPr>
                <w:sz w:val="26"/>
              </w:rPr>
            </w:pPr>
            <w:r>
              <w:rPr>
                <w:sz w:val="26"/>
              </w:rPr>
              <w:t>CLDV</w:t>
            </w:r>
          </w:p>
        </w:tc>
        <w:tc>
          <w:tcPr>
            <w:tcW w:w="1078" w:type="dxa"/>
            <w:shd w:val="clear" w:color="auto" w:fill="E4E4E4"/>
          </w:tcPr>
          <w:p>
            <w:pPr>
              <w:pStyle w:val="TableParagraph"/>
              <w:spacing w:before="2"/>
              <w:ind w:left="105"/>
              <w:rPr>
                <w:sz w:val="26"/>
              </w:rPr>
            </w:pPr>
            <w:r>
              <w:rPr>
                <w:sz w:val="26"/>
              </w:rPr>
              <w:t>CP</w:t>
            </w:r>
          </w:p>
        </w:tc>
        <w:tc>
          <w:tcPr>
            <w:tcW w:w="1075" w:type="dxa"/>
            <w:shd w:val="clear" w:color="auto" w:fill="E4E4E4"/>
          </w:tcPr>
          <w:p>
            <w:pPr>
              <w:pStyle w:val="TableParagraph"/>
              <w:spacing w:before="2"/>
              <w:ind w:left="105"/>
              <w:rPr>
                <w:sz w:val="26"/>
              </w:rPr>
            </w:pPr>
            <w:r>
              <w:rPr>
                <w:sz w:val="26"/>
              </w:rPr>
              <w:t>VT</w:t>
            </w:r>
          </w:p>
        </w:tc>
        <w:tc>
          <w:tcPr>
            <w:tcW w:w="1080" w:type="dxa"/>
            <w:shd w:val="clear" w:color="auto" w:fill="E4E4E4"/>
          </w:tcPr>
          <w:p>
            <w:pPr>
              <w:pStyle w:val="TableParagraph"/>
              <w:spacing w:before="2"/>
              <w:ind w:left="108"/>
              <w:rPr>
                <w:sz w:val="26"/>
              </w:rPr>
            </w:pPr>
            <w:r>
              <w:rPr>
                <w:sz w:val="26"/>
              </w:rPr>
              <w:t>HT</w:t>
            </w:r>
          </w:p>
        </w:tc>
        <w:tc>
          <w:tcPr>
            <w:tcW w:w="1077" w:type="dxa"/>
            <w:shd w:val="clear" w:color="auto" w:fill="E4E4E4"/>
          </w:tcPr>
          <w:p>
            <w:pPr>
              <w:pStyle w:val="TableParagraph"/>
              <w:spacing w:before="2"/>
              <w:ind w:left="106"/>
              <w:rPr>
                <w:sz w:val="26"/>
              </w:rPr>
            </w:pPr>
            <w:r>
              <w:rPr>
                <w:sz w:val="26"/>
              </w:rPr>
              <w:t>ND</w:t>
            </w:r>
          </w:p>
        </w:tc>
        <w:tc>
          <w:tcPr>
            <w:tcW w:w="1077" w:type="dxa"/>
            <w:shd w:val="clear" w:color="auto" w:fill="E4E4E4"/>
          </w:tcPr>
          <w:p>
            <w:pPr>
              <w:pStyle w:val="TableParagraph"/>
              <w:spacing w:before="2"/>
              <w:ind w:left="109"/>
              <w:rPr>
                <w:sz w:val="26"/>
              </w:rPr>
            </w:pPr>
            <w:r>
              <w:rPr>
                <w:sz w:val="26"/>
              </w:rPr>
              <w:t>TC</w:t>
            </w:r>
          </w:p>
        </w:tc>
        <w:tc>
          <w:tcPr>
            <w:tcW w:w="1078" w:type="dxa"/>
            <w:shd w:val="clear" w:color="auto" w:fill="E4E4E4"/>
          </w:tcPr>
          <w:p>
            <w:pPr>
              <w:pStyle w:val="TableParagraph"/>
              <w:spacing w:before="2"/>
              <w:ind w:left="110"/>
              <w:rPr>
                <w:sz w:val="26"/>
              </w:rPr>
            </w:pPr>
            <w:r>
              <w:rPr>
                <w:sz w:val="26"/>
              </w:rPr>
              <w:t>HL</w:t>
            </w:r>
          </w:p>
        </w:tc>
        <w:tc>
          <w:tcPr>
            <w:tcW w:w="876" w:type="dxa"/>
            <w:shd w:val="clear" w:color="auto" w:fill="E4E4E4"/>
          </w:tcPr>
          <w:p>
            <w:pPr>
              <w:pStyle w:val="TableParagraph"/>
              <w:spacing w:before="2"/>
              <w:ind w:left="107"/>
              <w:rPr>
                <w:sz w:val="26"/>
              </w:rPr>
            </w:pPr>
            <w:r>
              <w:rPr>
                <w:sz w:val="26"/>
              </w:rPr>
              <w:t>LI</w:t>
            </w:r>
          </w:p>
        </w:tc>
      </w:tr>
      <w:tr>
        <w:trPr>
          <w:trHeight w:val="448" w:hRule="atLeast"/>
        </w:trPr>
        <w:tc>
          <w:tcPr>
            <w:tcW w:w="998" w:type="dxa"/>
          </w:tcPr>
          <w:p>
            <w:pPr>
              <w:pStyle w:val="TableParagraph"/>
              <w:spacing w:before="2"/>
              <w:ind w:left="107"/>
              <w:rPr>
                <w:b/>
                <w:sz w:val="26"/>
              </w:rPr>
            </w:pPr>
            <w:r>
              <w:rPr>
                <w:b/>
                <w:sz w:val="26"/>
              </w:rPr>
              <w:t>AVE</w:t>
            </w:r>
          </w:p>
        </w:tc>
        <w:tc>
          <w:tcPr>
            <w:tcW w:w="936" w:type="dxa"/>
          </w:tcPr>
          <w:p>
            <w:pPr>
              <w:pStyle w:val="TableParagraph"/>
              <w:spacing w:before="2"/>
              <w:ind w:left="108"/>
              <w:rPr>
                <w:sz w:val="26"/>
              </w:rPr>
            </w:pPr>
            <w:r>
              <w:rPr>
                <w:sz w:val="26"/>
              </w:rPr>
              <w:t>0,504</w:t>
            </w:r>
          </w:p>
        </w:tc>
        <w:tc>
          <w:tcPr>
            <w:tcW w:w="1078" w:type="dxa"/>
          </w:tcPr>
          <w:p>
            <w:pPr>
              <w:pStyle w:val="TableParagraph"/>
              <w:spacing w:before="2"/>
              <w:ind w:left="105"/>
              <w:rPr>
                <w:sz w:val="26"/>
              </w:rPr>
            </w:pPr>
            <w:r>
              <w:rPr>
                <w:sz w:val="26"/>
              </w:rPr>
              <w:t>0,517</w:t>
            </w:r>
          </w:p>
        </w:tc>
        <w:tc>
          <w:tcPr>
            <w:tcW w:w="1075" w:type="dxa"/>
          </w:tcPr>
          <w:p>
            <w:pPr>
              <w:pStyle w:val="TableParagraph"/>
              <w:spacing w:before="2"/>
              <w:ind w:left="105"/>
              <w:rPr>
                <w:sz w:val="26"/>
              </w:rPr>
            </w:pPr>
            <w:r>
              <w:rPr>
                <w:sz w:val="26"/>
              </w:rPr>
              <w:t>0,524</w:t>
            </w:r>
          </w:p>
        </w:tc>
        <w:tc>
          <w:tcPr>
            <w:tcW w:w="1080" w:type="dxa"/>
          </w:tcPr>
          <w:p>
            <w:pPr>
              <w:pStyle w:val="TableParagraph"/>
              <w:spacing w:before="2"/>
              <w:ind w:left="108"/>
              <w:rPr>
                <w:sz w:val="26"/>
              </w:rPr>
            </w:pPr>
            <w:r>
              <w:rPr>
                <w:sz w:val="26"/>
              </w:rPr>
              <w:t>0,511</w:t>
            </w:r>
          </w:p>
        </w:tc>
        <w:tc>
          <w:tcPr>
            <w:tcW w:w="1077" w:type="dxa"/>
          </w:tcPr>
          <w:p>
            <w:pPr>
              <w:pStyle w:val="TableParagraph"/>
              <w:spacing w:before="2"/>
              <w:ind w:left="106"/>
              <w:rPr>
                <w:sz w:val="26"/>
              </w:rPr>
            </w:pPr>
            <w:r>
              <w:rPr>
                <w:sz w:val="26"/>
              </w:rPr>
              <w:t>0,552</w:t>
            </w:r>
          </w:p>
        </w:tc>
        <w:tc>
          <w:tcPr>
            <w:tcW w:w="1077" w:type="dxa"/>
          </w:tcPr>
          <w:p>
            <w:pPr>
              <w:pStyle w:val="TableParagraph"/>
              <w:spacing w:before="2"/>
              <w:ind w:left="109"/>
              <w:rPr>
                <w:sz w:val="26"/>
              </w:rPr>
            </w:pPr>
            <w:r>
              <w:rPr>
                <w:sz w:val="26"/>
              </w:rPr>
              <w:t>0,585</w:t>
            </w:r>
          </w:p>
        </w:tc>
        <w:tc>
          <w:tcPr>
            <w:tcW w:w="1078" w:type="dxa"/>
          </w:tcPr>
          <w:p>
            <w:pPr>
              <w:pStyle w:val="TableParagraph"/>
              <w:spacing w:before="2"/>
              <w:ind w:left="110"/>
              <w:rPr>
                <w:sz w:val="26"/>
              </w:rPr>
            </w:pPr>
            <w:r>
              <w:rPr>
                <w:sz w:val="26"/>
              </w:rPr>
              <w:t>0,508</w:t>
            </w:r>
          </w:p>
        </w:tc>
        <w:tc>
          <w:tcPr>
            <w:tcW w:w="876" w:type="dxa"/>
          </w:tcPr>
          <w:p>
            <w:pPr>
              <w:pStyle w:val="TableParagraph"/>
              <w:spacing w:before="2"/>
              <w:ind w:left="107"/>
              <w:rPr>
                <w:sz w:val="26"/>
              </w:rPr>
            </w:pPr>
            <w:r>
              <w:rPr>
                <w:sz w:val="26"/>
              </w:rPr>
              <w:t>0,519</w:t>
            </w:r>
          </w:p>
        </w:tc>
      </w:tr>
      <w:tr>
        <w:trPr>
          <w:trHeight w:val="448" w:hRule="atLeast"/>
        </w:trPr>
        <w:tc>
          <w:tcPr>
            <w:tcW w:w="998" w:type="dxa"/>
          </w:tcPr>
          <w:p>
            <w:pPr>
              <w:pStyle w:val="TableParagraph"/>
              <w:spacing w:line="151" w:lineRule="auto" w:before="51"/>
              <w:ind w:left="107"/>
              <w:rPr>
                <w:b/>
                <w:sz w:val="17"/>
              </w:rPr>
            </w:pPr>
            <w:r>
              <w:rPr>
                <w:b/>
                <w:position w:val="-8"/>
                <w:sz w:val="26"/>
              </w:rPr>
              <w:t>AVE</w:t>
            </w:r>
            <w:r>
              <w:rPr>
                <w:b/>
                <w:sz w:val="17"/>
              </w:rPr>
              <w:t>1/2</w:t>
            </w:r>
          </w:p>
        </w:tc>
        <w:tc>
          <w:tcPr>
            <w:tcW w:w="936" w:type="dxa"/>
          </w:tcPr>
          <w:p>
            <w:pPr>
              <w:pStyle w:val="TableParagraph"/>
              <w:spacing w:before="2"/>
              <w:ind w:left="108"/>
              <w:rPr>
                <w:sz w:val="26"/>
              </w:rPr>
            </w:pPr>
            <w:r>
              <w:rPr>
                <w:sz w:val="26"/>
              </w:rPr>
              <w:t>0,710</w:t>
            </w:r>
          </w:p>
        </w:tc>
        <w:tc>
          <w:tcPr>
            <w:tcW w:w="1078" w:type="dxa"/>
          </w:tcPr>
          <w:p>
            <w:pPr>
              <w:pStyle w:val="TableParagraph"/>
              <w:spacing w:before="2"/>
              <w:ind w:left="105"/>
              <w:rPr>
                <w:sz w:val="26"/>
              </w:rPr>
            </w:pPr>
            <w:r>
              <w:rPr>
                <w:sz w:val="26"/>
              </w:rPr>
              <w:t>0,719</w:t>
            </w:r>
          </w:p>
        </w:tc>
        <w:tc>
          <w:tcPr>
            <w:tcW w:w="1075" w:type="dxa"/>
          </w:tcPr>
          <w:p>
            <w:pPr>
              <w:pStyle w:val="TableParagraph"/>
              <w:spacing w:before="2"/>
              <w:ind w:left="105"/>
              <w:rPr>
                <w:sz w:val="26"/>
              </w:rPr>
            </w:pPr>
            <w:r>
              <w:rPr>
                <w:sz w:val="26"/>
              </w:rPr>
              <w:t>0,724</w:t>
            </w:r>
          </w:p>
        </w:tc>
        <w:tc>
          <w:tcPr>
            <w:tcW w:w="1080" w:type="dxa"/>
          </w:tcPr>
          <w:p>
            <w:pPr>
              <w:pStyle w:val="TableParagraph"/>
              <w:spacing w:before="2"/>
              <w:ind w:left="108"/>
              <w:rPr>
                <w:sz w:val="26"/>
              </w:rPr>
            </w:pPr>
            <w:r>
              <w:rPr>
                <w:sz w:val="26"/>
              </w:rPr>
              <w:t>0,715</w:t>
            </w:r>
          </w:p>
        </w:tc>
        <w:tc>
          <w:tcPr>
            <w:tcW w:w="1077" w:type="dxa"/>
          </w:tcPr>
          <w:p>
            <w:pPr>
              <w:pStyle w:val="TableParagraph"/>
              <w:spacing w:before="2"/>
              <w:ind w:left="106"/>
              <w:rPr>
                <w:sz w:val="26"/>
              </w:rPr>
            </w:pPr>
            <w:r>
              <w:rPr>
                <w:sz w:val="26"/>
              </w:rPr>
              <w:t>0,743</w:t>
            </w:r>
          </w:p>
        </w:tc>
        <w:tc>
          <w:tcPr>
            <w:tcW w:w="1077" w:type="dxa"/>
          </w:tcPr>
          <w:p>
            <w:pPr>
              <w:pStyle w:val="TableParagraph"/>
              <w:spacing w:before="2"/>
              <w:ind w:left="109"/>
              <w:rPr>
                <w:sz w:val="26"/>
              </w:rPr>
            </w:pPr>
            <w:r>
              <w:rPr>
                <w:sz w:val="26"/>
              </w:rPr>
              <w:t>0,765</w:t>
            </w:r>
          </w:p>
        </w:tc>
        <w:tc>
          <w:tcPr>
            <w:tcW w:w="1078" w:type="dxa"/>
          </w:tcPr>
          <w:p>
            <w:pPr>
              <w:pStyle w:val="TableParagraph"/>
              <w:spacing w:before="2"/>
              <w:ind w:left="110"/>
              <w:rPr>
                <w:sz w:val="26"/>
              </w:rPr>
            </w:pPr>
            <w:r>
              <w:rPr>
                <w:sz w:val="26"/>
              </w:rPr>
              <w:t>0,713</w:t>
            </w:r>
          </w:p>
        </w:tc>
        <w:tc>
          <w:tcPr>
            <w:tcW w:w="876" w:type="dxa"/>
          </w:tcPr>
          <w:p>
            <w:pPr>
              <w:pStyle w:val="TableParagraph"/>
              <w:spacing w:before="2"/>
              <w:ind w:left="107"/>
              <w:rPr>
                <w:sz w:val="26"/>
              </w:rPr>
            </w:pPr>
            <w:r>
              <w:rPr>
                <w:sz w:val="26"/>
              </w:rPr>
              <w:t>0,720</w:t>
            </w:r>
          </w:p>
        </w:tc>
      </w:tr>
    </w:tbl>
    <w:p>
      <w:pPr>
        <w:pStyle w:val="BodyText"/>
        <w:spacing w:line="360" w:lineRule="auto"/>
        <w:ind w:left="882" w:right="888" w:firstLine="6226"/>
        <w:jc w:val="both"/>
      </w:pPr>
      <w:r>
        <w:rPr>
          <w:i/>
          <w:sz w:val="24"/>
        </w:rPr>
        <w:t>Nguồn: Xử lý dữ liệu từ </w:t>
      </w:r>
      <w:r>
        <w:rPr>
          <w:i/>
          <w:spacing w:val="-4"/>
          <w:sz w:val="24"/>
        </w:rPr>
        <w:t>SPSS </w:t>
      </w:r>
      <w:r>
        <w:rPr/>
        <w:t>Từ kết quả có được nhận thấy hệ số tương quan giữa các cặp nhân tố nghiên cứu đều có các giá trị P-value nhỏ hơn 0,05 nên có thể kết luận hệ số tương quan của từng cặp khái niệm là khác biệt so với 1 ở độ tin cậy 95%. Qua so sánh giá trị căn bậc hai của các tổng phương sai rút trích (AVE) ở bảng 3.13 trên so với các hệ số tương quan giữa các khái niệm, ta có thể thấy tổng phương sai rút trích (AVE) của từng khái niệm lớn hơn bình phương các hệ số tương quan giữa khái niệm đó với các khái niệm còn lại khác. Do đó có thể khẳng định rằng các khái niệm hay thang đo khái niệm đạt giá trị phân biệt. Phụ lục 6 mục</w:t>
      </w:r>
      <w:r>
        <w:rPr>
          <w:spacing w:val="1"/>
        </w:rPr>
        <w:t> </w:t>
      </w:r>
      <w:r>
        <w:rPr/>
        <w:t>IV</w:t>
      </w:r>
    </w:p>
    <w:p>
      <w:pPr>
        <w:pStyle w:val="Heading6"/>
        <w:spacing w:before="5"/>
        <w:ind w:left="2624"/>
      </w:pPr>
      <w:r>
        <w:rPr/>
        <w:t>Bảng 3.14 Ma trận tương quan giữa các khái niệm</w:t>
      </w:r>
    </w:p>
    <w:p>
      <w:pPr>
        <w:pStyle w:val="BodyText"/>
        <w:spacing w:before="9" w:after="1"/>
        <w:rPr>
          <w:b/>
          <w:sz w:val="12"/>
        </w:rPr>
      </w:pPr>
    </w:p>
    <w:tbl>
      <w:tblPr>
        <w:tblW w:w="0" w:type="auto"/>
        <w:jc w:val="left"/>
        <w:tblInd w:w="77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1560"/>
        <w:gridCol w:w="925"/>
        <w:gridCol w:w="992"/>
        <w:gridCol w:w="994"/>
        <w:gridCol w:w="992"/>
        <w:gridCol w:w="980"/>
        <w:gridCol w:w="1006"/>
        <w:gridCol w:w="992"/>
        <w:gridCol w:w="852"/>
      </w:tblGrid>
      <w:tr>
        <w:trPr>
          <w:trHeight w:val="412" w:hRule="atLeast"/>
        </w:trPr>
        <w:tc>
          <w:tcPr>
            <w:tcW w:w="1560" w:type="dxa"/>
            <w:shd w:val="clear" w:color="auto" w:fill="E4E4E4"/>
          </w:tcPr>
          <w:p>
            <w:pPr>
              <w:pStyle w:val="TableParagraph"/>
              <w:rPr>
                <w:sz w:val="24"/>
              </w:rPr>
            </w:pPr>
          </w:p>
        </w:tc>
        <w:tc>
          <w:tcPr>
            <w:tcW w:w="925" w:type="dxa"/>
            <w:shd w:val="clear" w:color="auto" w:fill="E4E4E4"/>
          </w:tcPr>
          <w:p>
            <w:pPr>
              <w:pStyle w:val="TableParagraph"/>
              <w:spacing w:before="2"/>
              <w:ind w:left="107"/>
              <w:rPr>
                <w:sz w:val="26"/>
              </w:rPr>
            </w:pPr>
            <w:r>
              <w:rPr>
                <w:sz w:val="26"/>
              </w:rPr>
              <w:t>CLDV</w:t>
            </w:r>
          </w:p>
        </w:tc>
        <w:tc>
          <w:tcPr>
            <w:tcW w:w="992" w:type="dxa"/>
            <w:shd w:val="clear" w:color="auto" w:fill="E4E4E4"/>
          </w:tcPr>
          <w:p>
            <w:pPr>
              <w:pStyle w:val="TableParagraph"/>
              <w:spacing w:before="2"/>
              <w:ind w:left="107"/>
              <w:rPr>
                <w:sz w:val="26"/>
              </w:rPr>
            </w:pPr>
            <w:r>
              <w:rPr>
                <w:sz w:val="26"/>
              </w:rPr>
              <w:t>CP</w:t>
            </w:r>
          </w:p>
        </w:tc>
        <w:tc>
          <w:tcPr>
            <w:tcW w:w="994" w:type="dxa"/>
            <w:shd w:val="clear" w:color="auto" w:fill="E4E4E4"/>
          </w:tcPr>
          <w:p>
            <w:pPr>
              <w:pStyle w:val="TableParagraph"/>
              <w:spacing w:before="2"/>
              <w:ind w:left="106"/>
              <w:rPr>
                <w:sz w:val="26"/>
              </w:rPr>
            </w:pPr>
            <w:r>
              <w:rPr>
                <w:sz w:val="26"/>
              </w:rPr>
              <w:t>VT</w:t>
            </w:r>
          </w:p>
        </w:tc>
        <w:tc>
          <w:tcPr>
            <w:tcW w:w="992" w:type="dxa"/>
            <w:shd w:val="clear" w:color="auto" w:fill="E4E4E4"/>
          </w:tcPr>
          <w:p>
            <w:pPr>
              <w:pStyle w:val="TableParagraph"/>
              <w:spacing w:before="2"/>
              <w:ind w:left="103"/>
              <w:rPr>
                <w:sz w:val="26"/>
              </w:rPr>
            </w:pPr>
            <w:r>
              <w:rPr>
                <w:sz w:val="26"/>
              </w:rPr>
              <w:t>HT</w:t>
            </w:r>
          </w:p>
        </w:tc>
        <w:tc>
          <w:tcPr>
            <w:tcW w:w="980" w:type="dxa"/>
            <w:shd w:val="clear" w:color="auto" w:fill="E4E4E4"/>
          </w:tcPr>
          <w:p>
            <w:pPr>
              <w:pStyle w:val="TableParagraph"/>
              <w:spacing w:before="2"/>
              <w:ind w:left="105"/>
              <w:rPr>
                <w:sz w:val="26"/>
              </w:rPr>
            </w:pPr>
            <w:r>
              <w:rPr>
                <w:sz w:val="26"/>
              </w:rPr>
              <w:t>ND</w:t>
            </w:r>
          </w:p>
        </w:tc>
        <w:tc>
          <w:tcPr>
            <w:tcW w:w="1006" w:type="dxa"/>
            <w:shd w:val="clear" w:color="auto" w:fill="E4E4E4"/>
          </w:tcPr>
          <w:p>
            <w:pPr>
              <w:pStyle w:val="TableParagraph"/>
              <w:spacing w:before="2"/>
              <w:ind w:left="104"/>
              <w:rPr>
                <w:sz w:val="26"/>
              </w:rPr>
            </w:pPr>
            <w:r>
              <w:rPr>
                <w:sz w:val="26"/>
              </w:rPr>
              <w:t>TC</w:t>
            </w:r>
          </w:p>
        </w:tc>
        <w:tc>
          <w:tcPr>
            <w:tcW w:w="992" w:type="dxa"/>
            <w:shd w:val="clear" w:color="auto" w:fill="E4E4E4"/>
          </w:tcPr>
          <w:p>
            <w:pPr>
              <w:pStyle w:val="TableParagraph"/>
              <w:spacing w:before="2"/>
              <w:ind w:left="102"/>
              <w:rPr>
                <w:sz w:val="26"/>
              </w:rPr>
            </w:pPr>
            <w:r>
              <w:rPr>
                <w:sz w:val="26"/>
              </w:rPr>
              <w:t>HL</w:t>
            </w:r>
          </w:p>
        </w:tc>
        <w:tc>
          <w:tcPr>
            <w:tcW w:w="852" w:type="dxa"/>
            <w:shd w:val="clear" w:color="auto" w:fill="E4E4E4"/>
          </w:tcPr>
          <w:p>
            <w:pPr>
              <w:pStyle w:val="TableParagraph"/>
              <w:spacing w:before="2"/>
              <w:ind w:left="104"/>
              <w:rPr>
                <w:sz w:val="26"/>
              </w:rPr>
            </w:pPr>
            <w:r>
              <w:rPr>
                <w:sz w:val="26"/>
              </w:rPr>
              <w:t>LI</w:t>
            </w:r>
          </w:p>
        </w:tc>
      </w:tr>
      <w:tr>
        <w:trPr>
          <w:trHeight w:val="448" w:hRule="atLeast"/>
        </w:trPr>
        <w:tc>
          <w:tcPr>
            <w:tcW w:w="1560" w:type="dxa"/>
          </w:tcPr>
          <w:p>
            <w:pPr>
              <w:pStyle w:val="TableParagraph"/>
              <w:spacing w:before="2"/>
              <w:ind w:left="107"/>
              <w:rPr>
                <w:sz w:val="26"/>
              </w:rPr>
            </w:pPr>
            <w:r>
              <w:rPr>
                <w:sz w:val="26"/>
              </w:rPr>
              <w:t>CLDV</w:t>
            </w:r>
          </w:p>
        </w:tc>
        <w:tc>
          <w:tcPr>
            <w:tcW w:w="925" w:type="dxa"/>
          </w:tcPr>
          <w:p>
            <w:pPr>
              <w:pStyle w:val="TableParagraph"/>
              <w:spacing w:before="2"/>
              <w:ind w:left="107"/>
              <w:rPr>
                <w:b/>
                <w:sz w:val="26"/>
              </w:rPr>
            </w:pPr>
            <w:r>
              <w:rPr>
                <w:b/>
                <w:w w:val="99"/>
                <w:sz w:val="26"/>
              </w:rPr>
              <w:t>1</w:t>
            </w:r>
          </w:p>
        </w:tc>
        <w:tc>
          <w:tcPr>
            <w:tcW w:w="992" w:type="dxa"/>
          </w:tcPr>
          <w:p>
            <w:pPr>
              <w:pStyle w:val="TableParagraph"/>
              <w:rPr>
                <w:sz w:val="24"/>
              </w:rPr>
            </w:pPr>
          </w:p>
        </w:tc>
        <w:tc>
          <w:tcPr>
            <w:tcW w:w="994" w:type="dxa"/>
          </w:tcPr>
          <w:p>
            <w:pPr>
              <w:pStyle w:val="TableParagraph"/>
              <w:rPr>
                <w:sz w:val="24"/>
              </w:rPr>
            </w:pPr>
          </w:p>
        </w:tc>
        <w:tc>
          <w:tcPr>
            <w:tcW w:w="992" w:type="dxa"/>
          </w:tcPr>
          <w:p>
            <w:pPr>
              <w:pStyle w:val="TableParagraph"/>
              <w:rPr>
                <w:sz w:val="24"/>
              </w:rPr>
            </w:pPr>
          </w:p>
        </w:tc>
        <w:tc>
          <w:tcPr>
            <w:tcW w:w="980" w:type="dxa"/>
          </w:tcPr>
          <w:p>
            <w:pPr>
              <w:pStyle w:val="TableParagraph"/>
              <w:rPr>
                <w:sz w:val="24"/>
              </w:rPr>
            </w:pPr>
          </w:p>
        </w:tc>
        <w:tc>
          <w:tcPr>
            <w:tcW w:w="1006" w:type="dxa"/>
          </w:tcPr>
          <w:p>
            <w:pPr>
              <w:pStyle w:val="TableParagraph"/>
              <w:rPr>
                <w:sz w:val="24"/>
              </w:rPr>
            </w:pPr>
          </w:p>
        </w:tc>
        <w:tc>
          <w:tcPr>
            <w:tcW w:w="992" w:type="dxa"/>
          </w:tcPr>
          <w:p>
            <w:pPr>
              <w:pStyle w:val="TableParagraph"/>
              <w:rPr>
                <w:sz w:val="24"/>
              </w:rPr>
            </w:pPr>
          </w:p>
        </w:tc>
        <w:tc>
          <w:tcPr>
            <w:tcW w:w="852" w:type="dxa"/>
          </w:tcPr>
          <w:p>
            <w:pPr>
              <w:pStyle w:val="TableParagraph"/>
              <w:rPr>
                <w:sz w:val="24"/>
              </w:rPr>
            </w:pPr>
          </w:p>
        </w:tc>
      </w:tr>
      <w:tr>
        <w:trPr>
          <w:trHeight w:val="448" w:hRule="atLeast"/>
        </w:trPr>
        <w:tc>
          <w:tcPr>
            <w:tcW w:w="1560" w:type="dxa"/>
          </w:tcPr>
          <w:p>
            <w:pPr>
              <w:pStyle w:val="TableParagraph"/>
              <w:spacing w:before="2"/>
              <w:ind w:left="107"/>
              <w:rPr>
                <w:sz w:val="26"/>
              </w:rPr>
            </w:pPr>
            <w:r>
              <w:rPr>
                <w:sz w:val="26"/>
              </w:rPr>
              <w:t>CP</w:t>
            </w:r>
          </w:p>
        </w:tc>
        <w:tc>
          <w:tcPr>
            <w:tcW w:w="925" w:type="dxa"/>
          </w:tcPr>
          <w:p>
            <w:pPr>
              <w:pStyle w:val="TableParagraph"/>
              <w:spacing w:before="2"/>
              <w:ind w:left="107"/>
              <w:rPr>
                <w:sz w:val="26"/>
              </w:rPr>
            </w:pPr>
            <w:r>
              <w:rPr>
                <w:sz w:val="26"/>
              </w:rPr>
              <w:t>0,235</w:t>
            </w:r>
          </w:p>
        </w:tc>
        <w:tc>
          <w:tcPr>
            <w:tcW w:w="992" w:type="dxa"/>
          </w:tcPr>
          <w:p>
            <w:pPr>
              <w:pStyle w:val="TableParagraph"/>
              <w:spacing w:before="2"/>
              <w:ind w:left="107"/>
              <w:rPr>
                <w:b/>
                <w:sz w:val="26"/>
              </w:rPr>
            </w:pPr>
            <w:r>
              <w:rPr>
                <w:b/>
                <w:w w:val="99"/>
                <w:sz w:val="26"/>
              </w:rPr>
              <w:t>1</w:t>
            </w:r>
          </w:p>
        </w:tc>
        <w:tc>
          <w:tcPr>
            <w:tcW w:w="994" w:type="dxa"/>
          </w:tcPr>
          <w:p>
            <w:pPr>
              <w:pStyle w:val="TableParagraph"/>
              <w:rPr>
                <w:sz w:val="24"/>
              </w:rPr>
            </w:pPr>
          </w:p>
        </w:tc>
        <w:tc>
          <w:tcPr>
            <w:tcW w:w="992" w:type="dxa"/>
          </w:tcPr>
          <w:p>
            <w:pPr>
              <w:pStyle w:val="TableParagraph"/>
              <w:rPr>
                <w:sz w:val="24"/>
              </w:rPr>
            </w:pPr>
          </w:p>
        </w:tc>
        <w:tc>
          <w:tcPr>
            <w:tcW w:w="980" w:type="dxa"/>
          </w:tcPr>
          <w:p>
            <w:pPr>
              <w:pStyle w:val="TableParagraph"/>
              <w:rPr>
                <w:sz w:val="24"/>
              </w:rPr>
            </w:pPr>
          </w:p>
        </w:tc>
        <w:tc>
          <w:tcPr>
            <w:tcW w:w="1006" w:type="dxa"/>
          </w:tcPr>
          <w:p>
            <w:pPr>
              <w:pStyle w:val="TableParagraph"/>
              <w:rPr>
                <w:sz w:val="24"/>
              </w:rPr>
            </w:pPr>
          </w:p>
        </w:tc>
        <w:tc>
          <w:tcPr>
            <w:tcW w:w="992" w:type="dxa"/>
          </w:tcPr>
          <w:p>
            <w:pPr>
              <w:pStyle w:val="TableParagraph"/>
              <w:rPr>
                <w:sz w:val="24"/>
              </w:rPr>
            </w:pPr>
          </w:p>
        </w:tc>
        <w:tc>
          <w:tcPr>
            <w:tcW w:w="852" w:type="dxa"/>
          </w:tcPr>
          <w:p>
            <w:pPr>
              <w:pStyle w:val="TableParagraph"/>
              <w:rPr>
                <w:sz w:val="24"/>
              </w:rPr>
            </w:pPr>
          </w:p>
        </w:tc>
      </w:tr>
      <w:tr>
        <w:trPr>
          <w:trHeight w:val="472" w:hRule="atLeast"/>
        </w:trPr>
        <w:tc>
          <w:tcPr>
            <w:tcW w:w="1560" w:type="dxa"/>
          </w:tcPr>
          <w:p>
            <w:pPr>
              <w:pStyle w:val="TableParagraph"/>
              <w:spacing w:before="2"/>
              <w:ind w:left="107"/>
              <w:rPr>
                <w:sz w:val="26"/>
              </w:rPr>
            </w:pPr>
            <w:r>
              <w:rPr>
                <w:sz w:val="26"/>
              </w:rPr>
              <w:t>VT</w:t>
            </w:r>
          </w:p>
        </w:tc>
        <w:tc>
          <w:tcPr>
            <w:tcW w:w="925" w:type="dxa"/>
          </w:tcPr>
          <w:p>
            <w:pPr>
              <w:pStyle w:val="TableParagraph"/>
              <w:spacing w:before="14"/>
              <w:ind w:left="107"/>
              <w:rPr>
                <w:sz w:val="26"/>
              </w:rPr>
            </w:pPr>
            <w:r>
              <w:rPr>
                <w:sz w:val="26"/>
              </w:rPr>
              <w:t>0,188</w:t>
            </w:r>
          </w:p>
        </w:tc>
        <w:tc>
          <w:tcPr>
            <w:tcW w:w="992" w:type="dxa"/>
          </w:tcPr>
          <w:p>
            <w:pPr>
              <w:pStyle w:val="TableParagraph"/>
              <w:spacing w:before="14"/>
              <w:ind w:left="107"/>
              <w:rPr>
                <w:sz w:val="26"/>
              </w:rPr>
            </w:pPr>
            <w:r>
              <w:rPr>
                <w:sz w:val="26"/>
              </w:rPr>
              <w:t>0,057</w:t>
            </w:r>
          </w:p>
        </w:tc>
        <w:tc>
          <w:tcPr>
            <w:tcW w:w="994" w:type="dxa"/>
          </w:tcPr>
          <w:p>
            <w:pPr>
              <w:pStyle w:val="TableParagraph"/>
              <w:spacing w:before="14"/>
              <w:ind w:left="106"/>
              <w:rPr>
                <w:b/>
                <w:sz w:val="26"/>
              </w:rPr>
            </w:pPr>
            <w:r>
              <w:rPr>
                <w:b/>
                <w:w w:val="99"/>
                <w:sz w:val="26"/>
              </w:rPr>
              <w:t>1</w:t>
            </w:r>
          </w:p>
        </w:tc>
        <w:tc>
          <w:tcPr>
            <w:tcW w:w="992" w:type="dxa"/>
          </w:tcPr>
          <w:p>
            <w:pPr>
              <w:pStyle w:val="TableParagraph"/>
              <w:rPr>
                <w:sz w:val="24"/>
              </w:rPr>
            </w:pPr>
          </w:p>
        </w:tc>
        <w:tc>
          <w:tcPr>
            <w:tcW w:w="980" w:type="dxa"/>
          </w:tcPr>
          <w:p>
            <w:pPr>
              <w:pStyle w:val="TableParagraph"/>
              <w:rPr>
                <w:sz w:val="24"/>
              </w:rPr>
            </w:pPr>
          </w:p>
        </w:tc>
        <w:tc>
          <w:tcPr>
            <w:tcW w:w="1006" w:type="dxa"/>
          </w:tcPr>
          <w:p>
            <w:pPr>
              <w:pStyle w:val="TableParagraph"/>
              <w:rPr>
                <w:sz w:val="24"/>
              </w:rPr>
            </w:pPr>
          </w:p>
        </w:tc>
        <w:tc>
          <w:tcPr>
            <w:tcW w:w="992" w:type="dxa"/>
          </w:tcPr>
          <w:p>
            <w:pPr>
              <w:pStyle w:val="TableParagraph"/>
              <w:rPr>
                <w:sz w:val="24"/>
              </w:rPr>
            </w:pPr>
          </w:p>
        </w:tc>
        <w:tc>
          <w:tcPr>
            <w:tcW w:w="852" w:type="dxa"/>
          </w:tcPr>
          <w:p>
            <w:pPr>
              <w:pStyle w:val="TableParagraph"/>
              <w:rPr>
                <w:sz w:val="24"/>
              </w:rPr>
            </w:pPr>
          </w:p>
        </w:tc>
      </w:tr>
      <w:tr>
        <w:trPr>
          <w:trHeight w:val="448" w:hRule="atLeast"/>
        </w:trPr>
        <w:tc>
          <w:tcPr>
            <w:tcW w:w="1560" w:type="dxa"/>
          </w:tcPr>
          <w:p>
            <w:pPr>
              <w:pStyle w:val="TableParagraph"/>
              <w:spacing w:before="2"/>
              <w:ind w:left="107"/>
              <w:rPr>
                <w:sz w:val="26"/>
              </w:rPr>
            </w:pPr>
            <w:r>
              <w:rPr>
                <w:sz w:val="26"/>
              </w:rPr>
              <w:t>HT</w:t>
            </w:r>
          </w:p>
        </w:tc>
        <w:tc>
          <w:tcPr>
            <w:tcW w:w="925" w:type="dxa"/>
          </w:tcPr>
          <w:p>
            <w:pPr>
              <w:pStyle w:val="TableParagraph"/>
              <w:spacing w:before="2"/>
              <w:ind w:left="107"/>
              <w:rPr>
                <w:sz w:val="26"/>
              </w:rPr>
            </w:pPr>
            <w:r>
              <w:rPr>
                <w:sz w:val="26"/>
              </w:rPr>
              <w:t>0,148</w:t>
            </w:r>
          </w:p>
        </w:tc>
        <w:tc>
          <w:tcPr>
            <w:tcW w:w="992" w:type="dxa"/>
          </w:tcPr>
          <w:p>
            <w:pPr>
              <w:pStyle w:val="TableParagraph"/>
              <w:spacing w:before="2"/>
              <w:ind w:left="107"/>
              <w:rPr>
                <w:sz w:val="26"/>
              </w:rPr>
            </w:pPr>
            <w:r>
              <w:rPr>
                <w:sz w:val="26"/>
              </w:rPr>
              <w:t>0,169</w:t>
            </w:r>
          </w:p>
        </w:tc>
        <w:tc>
          <w:tcPr>
            <w:tcW w:w="994" w:type="dxa"/>
          </w:tcPr>
          <w:p>
            <w:pPr>
              <w:pStyle w:val="TableParagraph"/>
              <w:spacing w:before="2"/>
              <w:ind w:left="106"/>
              <w:rPr>
                <w:sz w:val="26"/>
              </w:rPr>
            </w:pPr>
            <w:r>
              <w:rPr>
                <w:sz w:val="26"/>
              </w:rPr>
              <w:t>-0,011</w:t>
            </w:r>
          </w:p>
        </w:tc>
        <w:tc>
          <w:tcPr>
            <w:tcW w:w="992" w:type="dxa"/>
          </w:tcPr>
          <w:p>
            <w:pPr>
              <w:pStyle w:val="TableParagraph"/>
              <w:spacing w:before="2"/>
              <w:ind w:left="103"/>
              <w:rPr>
                <w:b/>
                <w:sz w:val="26"/>
              </w:rPr>
            </w:pPr>
            <w:r>
              <w:rPr>
                <w:b/>
                <w:w w:val="99"/>
                <w:sz w:val="26"/>
              </w:rPr>
              <w:t>1</w:t>
            </w:r>
          </w:p>
        </w:tc>
        <w:tc>
          <w:tcPr>
            <w:tcW w:w="980" w:type="dxa"/>
          </w:tcPr>
          <w:p>
            <w:pPr>
              <w:pStyle w:val="TableParagraph"/>
              <w:rPr>
                <w:sz w:val="24"/>
              </w:rPr>
            </w:pPr>
          </w:p>
        </w:tc>
        <w:tc>
          <w:tcPr>
            <w:tcW w:w="1006" w:type="dxa"/>
          </w:tcPr>
          <w:p>
            <w:pPr>
              <w:pStyle w:val="TableParagraph"/>
              <w:rPr>
                <w:sz w:val="24"/>
              </w:rPr>
            </w:pPr>
          </w:p>
        </w:tc>
        <w:tc>
          <w:tcPr>
            <w:tcW w:w="992" w:type="dxa"/>
          </w:tcPr>
          <w:p>
            <w:pPr>
              <w:pStyle w:val="TableParagraph"/>
              <w:rPr>
                <w:sz w:val="24"/>
              </w:rPr>
            </w:pPr>
          </w:p>
        </w:tc>
        <w:tc>
          <w:tcPr>
            <w:tcW w:w="852" w:type="dxa"/>
          </w:tcPr>
          <w:p>
            <w:pPr>
              <w:pStyle w:val="TableParagraph"/>
              <w:rPr>
                <w:sz w:val="24"/>
              </w:rPr>
            </w:pPr>
          </w:p>
        </w:tc>
      </w:tr>
      <w:tr>
        <w:trPr>
          <w:trHeight w:val="448" w:hRule="atLeast"/>
        </w:trPr>
        <w:tc>
          <w:tcPr>
            <w:tcW w:w="1560" w:type="dxa"/>
          </w:tcPr>
          <w:p>
            <w:pPr>
              <w:pStyle w:val="TableParagraph"/>
              <w:spacing w:before="2"/>
              <w:ind w:left="107"/>
              <w:rPr>
                <w:sz w:val="26"/>
              </w:rPr>
            </w:pPr>
            <w:r>
              <w:rPr>
                <w:sz w:val="26"/>
              </w:rPr>
              <w:t>ND</w:t>
            </w:r>
          </w:p>
        </w:tc>
        <w:tc>
          <w:tcPr>
            <w:tcW w:w="925" w:type="dxa"/>
          </w:tcPr>
          <w:p>
            <w:pPr>
              <w:pStyle w:val="TableParagraph"/>
              <w:spacing w:before="2"/>
              <w:ind w:left="107"/>
              <w:rPr>
                <w:sz w:val="26"/>
              </w:rPr>
            </w:pPr>
            <w:r>
              <w:rPr>
                <w:sz w:val="26"/>
              </w:rPr>
              <w:t>0,154</w:t>
            </w:r>
          </w:p>
        </w:tc>
        <w:tc>
          <w:tcPr>
            <w:tcW w:w="992" w:type="dxa"/>
          </w:tcPr>
          <w:p>
            <w:pPr>
              <w:pStyle w:val="TableParagraph"/>
              <w:spacing w:before="2"/>
              <w:ind w:left="107"/>
              <w:rPr>
                <w:sz w:val="26"/>
              </w:rPr>
            </w:pPr>
            <w:r>
              <w:rPr>
                <w:sz w:val="26"/>
              </w:rPr>
              <w:t>0,111</w:t>
            </w:r>
          </w:p>
        </w:tc>
        <w:tc>
          <w:tcPr>
            <w:tcW w:w="994" w:type="dxa"/>
          </w:tcPr>
          <w:p>
            <w:pPr>
              <w:pStyle w:val="TableParagraph"/>
              <w:spacing w:before="2"/>
              <w:ind w:left="106"/>
              <w:rPr>
                <w:sz w:val="26"/>
              </w:rPr>
            </w:pPr>
            <w:r>
              <w:rPr>
                <w:sz w:val="26"/>
              </w:rPr>
              <w:t>0,147</w:t>
            </w:r>
          </w:p>
        </w:tc>
        <w:tc>
          <w:tcPr>
            <w:tcW w:w="992" w:type="dxa"/>
          </w:tcPr>
          <w:p>
            <w:pPr>
              <w:pStyle w:val="TableParagraph"/>
              <w:spacing w:before="2"/>
              <w:ind w:left="103"/>
              <w:rPr>
                <w:sz w:val="26"/>
              </w:rPr>
            </w:pPr>
            <w:r>
              <w:rPr>
                <w:sz w:val="26"/>
              </w:rPr>
              <w:t>0,027</w:t>
            </w:r>
          </w:p>
        </w:tc>
        <w:tc>
          <w:tcPr>
            <w:tcW w:w="980" w:type="dxa"/>
          </w:tcPr>
          <w:p>
            <w:pPr>
              <w:pStyle w:val="TableParagraph"/>
              <w:spacing w:before="2"/>
              <w:ind w:left="105"/>
              <w:rPr>
                <w:b/>
                <w:sz w:val="26"/>
              </w:rPr>
            </w:pPr>
            <w:r>
              <w:rPr>
                <w:b/>
                <w:w w:val="99"/>
                <w:sz w:val="26"/>
              </w:rPr>
              <w:t>1</w:t>
            </w:r>
          </w:p>
        </w:tc>
        <w:tc>
          <w:tcPr>
            <w:tcW w:w="1006" w:type="dxa"/>
          </w:tcPr>
          <w:p>
            <w:pPr>
              <w:pStyle w:val="TableParagraph"/>
              <w:rPr>
                <w:sz w:val="24"/>
              </w:rPr>
            </w:pPr>
          </w:p>
        </w:tc>
        <w:tc>
          <w:tcPr>
            <w:tcW w:w="992" w:type="dxa"/>
          </w:tcPr>
          <w:p>
            <w:pPr>
              <w:pStyle w:val="TableParagraph"/>
              <w:rPr>
                <w:sz w:val="24"/>
              </w:rPr>
            </w:pPr>
          </w:p>
        </w:tc>
        <w:tc>
          <w:tcPr>
            <w:tcW w:w="852" w:type="dxa"/>
          </w:tcPr>
          <w:p>
            <w:pPr>
              <w:pStyle w:val="TableParagraph"/>
              <w:rPr>
                <w:sz w:val="24"/>
              </w:rPr>
            </w:pPr>
          </w:p>
        </w:tc>
      </w:tr>
      <w:tr>
        <w:trPr>
          <w:trHeight w:val="448" w:hRule="atLeast"/>
        </w:trPr>
        <w:tc>
          <w:tcPr>
            <w:tcW w:w="1560" w:type="dxa"/>
          </w:tcPr>
          <w:p>
            <w:pPr>
              <w:pStyle w:val="TableParagraph"/>
              <w:spacing w:before="2"/>
              <w:ind w:left="107"/>
              <w:rPr>
                <w:sz w:val="26"/>
              </w:rPr>
            </w:pPr>
            <w:r>
              <w:rPr>
                <w:sz w:val="26"/>
              </w:rPr>
              <w:t>TC</w:t>
            </w:r>
          </w:p>
        </w:tc>
        <w:tc>
          <w:tcPr>
            <w:tcW w:w="925" w:type="dxa"/>
          </w:tcPr>
          <w:p>
            <w:pPr>
              <w:pStyle w:val="TableParagraph"/>
              <w:spacing w:before="2"/>
              <w:ind w:left="107"/>
              <w:rPr>
                <w:sz w:val="26"/>
              </w:rPr>
            </w:pPr>
            <w:r>
              <w:rPr>
                <w:sz w:val="26"/>
              </w:rPr>
              <w:t>0,301</w:t>
            </w:r>
          </w:p>
        </w:tc>
        <w:tc>
          <w:tcPr>
            <w:tcW w:w="992" w:type="dxa"/>
          </w:tcPr>
          <w:p>
            <w:pPr>
              <w:pStyle w:val="TableParagraph"/>
              <w:spacing w:before="2"/>
              <w:ind w:left="107"/>
              <w:rPr>
                <w:sz w:val="26"/>
              </w:rPr>
            </w:pPr>
            <w:r>
              <w:rPr>
                <w:sz w:val="26"/>
              </w:rPr>
              <w:t>0,139</w:t>
            </w:r>
          </w:p>
        </w:tc>
        <w:tc>
          <w:tcPr>
            <w:tcW w:w="994" w:type="dxa"/>
          </w:tcPr>
          <w:p>
            <w:pPr>
              <w:pStyle w:val="TableParagraph"/>
              <w:spacing w:before="2"/>
              <w:ind w:left="106"/>
              <w:rPr>
                <w:sz w:val="26"/>
              </w:rPr>
            </w:pPr>
            <w:r>
              <w:rPr>
                <w:sz w:val="26"/>
              </w:rPr>
              <w:t>0,14</w:t>
            </w:r>
          </w:p>
        </w:tc>
        <w:tc>
          <w:tcPr>
            <w:tcW w:w="992" w:type="dxa"/>
          </w:tcPr>
          <w:p>
            <w:pPr>
              <w:pStyle w:val="TableParagraph"/>
              <w:spacing w:before="2"/>
              <w:ind w:left="103"/>
              <w:rPr>
                <w:sz w:val="26"/>
              </w:rPr>
            </w:pPr>
            <w:r>
              <w:rPr>
                <w:sz w:val="26"/>
              </w:rPr>
              <w:t>0,088</w:t>
            </w:r>
          </w:p>
        </w:tc>
        <w:tc>
          <w:tcPr>
            <w:tcW w:w="980" w:type="dxa"/>
          </w:tcPr>
          <w:p>
            <w:pPr>
              <w:pStyle w:val="TableParagraph"/>
              <w:spacing w:before="2"/>
              <w:ind w:left="105"/>
              <w:rPr>
                <w:sz w:val="26"/>
              </w:rPr>
            </w:pPr>
            <w:r>
              <w:rPr>
                <w:sz w:val="26"/>
              </w:rPr>
              <w:t>0,312</w:t>
            </w:r>
          </w:p>
        </w:tc>
        <w:tc>
          <w:tcPr>
            <w:tcW w:w="1006" w:type="dxa"/>
          </w:tcPr>
          <w:p>
            <w:pPr>
              <w:pStyle w:val="TableParagraph"/>
              <w:spacing w:before="2"/>
              <w:ind w:left="104"/>
              <w:rPr>
                <w:b/>
                <w:sz w:val="26"/>
              </w:rPr>
            </w:pPr>
            <w:r>
              <w:rPr>
                <w:b/>
                <w:w w:val="99"/>
                <w:sz w:val="26"/>
              </w:rPr>
              <w:t>1</w:t>
            </w:r>
          </w:p>
        </w:tc>
        <w:tc>
          <w:tcPr>
            <w:tcW w:w="992" w:type="dxa"/>
          </w:tcPr>
          <w:p>
            <w:pPr>
              <w:pStyle w:val="TableParagraph"/>
              <w:rPr>
                <w:sz w:val="24"/>
              </w:rPr>
            </w:pPr>
          </w:p>
        </w:tc>
        <w:tc>
          <w:tcPr>
            <w:tcW w:w="852" w:type="dxa"/>
          </w:tcPr>
          <w:p>
            <w:pPr>
              <w:pStyle w:val="TableParagraph"/>
              <w:rPr>
                <w:sz w:val="24"/>
              </w:rPr>
            </w:pPr>
          </w:p>
        </w:tc>
      </w:tr>
      <w:tr>
        <w:trPr>
          <w:trHeight w:val="448" w:hRule="atLeast"/>
        </w:trPr>
        <w:tc>
          <w:tcPr>
            <w:tcW w:w="1560" w:type="dxa"/>
          </w:tcPr>
          <w:p>
            <w:pPr>
              <w:pStyle w:val="TableParagraph"/>
              <w:spacing w:before="2"/>
              <w:ind w:left="107"/>
              <w:rPr>
                <w:sz w:val="26"/>
              </w:rPr>
            </w:pPr>
            <w:r>
              <w:rPr>
                <w:sz w:val="26"/>
              </w:rPr>
              <w:t>HL</w:t>
            </w:r>
          </w:p>
        </w:tc>
        <w:tc>
          <w:tcPr>
            <w:tcW w:w="925" w:type="dxa"/>
          </w:tcPr>
          <w:p>
            <w:pPr>
              <w:pStyle w:val="TableParagraph"/>
              <w:spacing w:before="2"/>
              <w:ind w:left="107"/>
              <w:rPr>
                <w:sz w:val="26"/>
              </w:rPr>
            </w:pPr>
            <w:r>
              <w:rPr>
                <w:sz w:val="26"/>
              </w:rPr>
              <w:t>0,319</w:t>
            </w:r>
          </w:p>
        </w:tc>
        <w:tc>
          <w:tcPr>
            <w:tcW w:w="992" w:type="dxa"/>
          </w:tcPr>
          <w:p>
            <w:pPr>
              <w:pStyle w:val="TableParagraph"/>
              <w:spacing w:before="2"/>
              <w:ind w:left="107"/>
              <w:rPr>
                <w:sz w:val="26"/>
              </w:rPr>
            </w:pPr>
            <w:r>
              <w:rPr>
                <w:sz w:val="26"/>
              </w:rPr>
              <w:t>0,368</w:t>
            </w:r>
          </w:p>
        </w:tc>
        <w:tc>
          <w:tcPr>
            <w:tcW w:w="994" w:type="dxa"/>
          </w:tcPr>
          <w:p>
            <w:pPr>
              <w:pStyle w:val="TableParagraph"/>
              <w:spacing w:before="2"/>
              <w:ind w:left="106"/>
              <w:rPr>
                <w:sz w:val="26"/>
              </w:rPr>
            </w:pPr>
            <w:r>
              <w:rPr>
                <w:sz w:val="26"/>
              </w:rPr>
              <w:t>0,195</w:t>
            </w:r>
          </w:p>
        </w:tc>
        <w:tc>
          <w:tcPr>
            <w:tcW w:w="992" w:type="dxa"/>
          </w:tcPr>
          <w:p>
            <w:pPr>
              <w:pStyle w:val="TableParagraph"/>
              <w:spacing w:before="2"/>
              <w:ind w:left="103"/>
              <w:rPr>
                <w:sz w:val="26"/>
              </w:rPr>
            </w:pPr>
            <w:r>
              <w:rPr>
                <w:sz w:val="26"/>
              </w:rPr>
              <w:t>0,2</w:t>
            </w:r>
          </w:p>
        </w:tc>
        <w:tc>
          <w:tcPr>
            <w:tcW w:w="980" w:type="dxa"/>
          </w:tcPr>
          <w:p>
            <w:pPr>
              <w:pStyle w:val="TableParagraph"/>
              <w:spacing w:before="2"/>
              <w:ind w:left="105"/>
              <w:rPr>
                <w:sz w:val="26"/>
              </w:rPr>
            </w:pPr>
            <w:r>
              <w:rPr>
                <w:sz w:val="26"/>
              </w:rPr>
              <w:t>0,139</w:t>
            </w:r>
          </w:p>
        </w:tc>
        <w:tc>
          <w:tcPr>
            <w:tcW w:w="1006" w:type="dxa"/>
          </w:tcPr>
          <w:p>
            <w:pPr>
              <w:pStyle w:val="TableParagraph"/>
              <w:spacing w:before="2"/>
              <w:ind w:left="104"/>
              <w:rPr>
                <w:sz w:val="26"/>
              </w:rPr>
            </w:pPr>
            <w:r>
              <w:rPr>
                <w:sz w:val="26"/>
              </w:rPr>
              <w:t>0,312</w:t>
            </w:r>
          </w:p>
        </w:tc>
        <w:tc>
          <w:tcPr>
            <w:tcW w:w="992" w:type="dxa"/>
          </w:tcPr>
          <w:p>
            <w:pPr>
              <w:pStyle w:val="TableParagraph"/>
              <w:spacing w:before="2"/>
              <w:ind w:left="102"/>
              <w:rPr>
                <w:b/>
                <w:sz w:val="26"/>
              </w:rPr>
            </w:pPr>
            <w:r>
              <w:rPr>
                <w:b/>
                <w:w w:val="99"/>
                <w:sz w:val="26"/>
              </w:rPr>
              <w:t>1</w:t>
            </w:r>
          </w:p>
        </w:tc>
        <w:tc>
          <w:tcPr>
            <w:tcW w:w="852" w:type="dxa"/>
          </w:tcPr>
          <w:p>
            <w:pPr>
              <w:pStyle w:val="TableParagraph"/>
              <w:rPr>
                <w:sz w:val="24"/>
              </w:rPr>
            </w:pPr>
          </w:p>
        </w:tc>
      </w:tr>
      <w:tr>
        <w:trPr>
          <w:trHeight w:val="448" w:hRule="atLeast"/>
        </w:trPr>
        <w:tc>
          <w:tcPr>
            <w:tcW w:w="1560" w:type="dxa"/>
          </w:tcPr>
          <w:p>
            <w:pPr>
              <w:pStyle w:val="TableParagraph"/>
              <w:spacing w:before="2"/>
              <w:ind w:left="107"/>
              <w:rPr>
                <w:sz w:val="26"/>
              </w:rPr>
            </w:pPr>
            <w:r>
              <w:rPr>
                <w:sz w:val="26"/>
              </w:rPr>
              <w:t>HI</w:t>
            </w:r>
          </w:p>
        </w:tc>
        <w:tc>
          <w:tcPr>
            <w:tcW w:w="925" w:type="dxa"/>
          </w:tcPr>
          <w:p>
            <w:pPr>
              <w:pStyle w:val="TableParagraph"/>
              <w:spacing w:before="2"/>
              <w:ind w:left="107"/>
              <w:rPr>
                <w:sz w:val="26"/>
              </w:rPr>
            </w:pPr>
            <w:r>
              <w:rPr>
                <w:sz w:val="26"/>
              </w:rPr>
              <w:t>0,181</w:t>
            </w:r>
          </w:p>
        </w:tc>
        <w:tc>
          <w:tcPr>
            <w:tcW w:w="992" w:type="dxa"/>
          </w:tcPr>
          <w:p>
            <w:pPr>
              <w:pStyle w:val="TableParagraph"/>
              <w:spacing w:before="2"/>
              <w:ind w:left="107"/>
              <w:rPr>
                <w:sz w:val="26"/>
              </w:rPr>
            </w:pPr>
            <w:r>
              <w:rPr>
                <w:sz w:val="26"/>
              </w:rPr>
              <w:t>0,165</w:t>
            </w:r>
          </w:p>
        </w:tc>
        <w:tc>
          <w:tcPr>
            <w:tcW w:w="994" w:type="dxa"/>
          </w:tcPr>
          <w:p>
            <w:pPr>
              <w:pStyle w:val="TableParagraph"/>
              <w:spacing w:before="2"/>
              <w:ind w:left="106"/>
              <w:rPr>
                <w:sz w:val="26"/>
              </w:rPr>
            </w:pPr>
            <w:r>
              <w:rPr>
                <w:sz w:val="26"/>
              </w:rPr>
              <w:t>0,172</w:t>
            </w:r>
          </w:p>
        </w:tc>
        <w:tc>
          <w:tcPr>
            <w:tcW w:w="992" w:type="dxa"/>
          </w:tcPr>
          <w:p>
            <w:pPr>
              <w:pStyle w:val="TableParagraph"/>
              <w:spacing w:before="2"/>
              <w:ind w:left="103"/>
              <w:rPr>
                <w:sz w:val="26"/>
              </w:rPr>
            </w:pPr>
            <w:r>
              <w:rPr>
                <w:sz w:val="26"/>
              </w:rPr>
              <w:t>0,078</w:t>
            </w:r>
          </w:p>
        </w:tc>
        <w:tc>
          <w:tcPr>
            <w:tcW w:w="980" w:type="dxa"/>
          </w:tcPr>
          <w:p>
            <w:pPr>
              <w:pStyle w:val="TableParagraph"/>
              <w:spacing w:before="2"/>
              <w:ind w:left="105"/>
              <w:rPr>
                <w:sz w:val="26"/>
              </w:rPr>
            </w:pPr>
            <w:r>
              <w:rPr>
                <w:sz w:val="26"/>
              </w:rPr>
              <w:t>0,121</w:t>
            </w:r>
          </w:p>
        </w:tc>
        <w:tc>
          <w:tcPr>
            <w:tcW w:w="1006" w:type="dxa"/>
          </w:tcPr>
          <w:p>
            <w:pPr>
              <w:pStyle w:val="TableParagraph"/>
              <w:spacing w:before="2"/>
              <w:ind w:left="104"/>
              <w:rPr>
                <w:sz w:val="26"/>
              </w:rPr>
            </w:pPr>
            <w:r>
              <w:rPr>
                <w:sz w:val="26"/>
              </w:rPr>
              <w:t>0,139</w:t>
            </w:r>
          </w:p>
        </w:tc>
        <w:tc>
          <w:tcPr>
            <w:tcW w:w="992" w:type="dxa"/>
          </w:tcPr>
          <w:p>
            <w:pPr>
              <w:pStyle w:val="TableParagraph"/>
              <w:spacing w:before="2"/>
              <w:ind w:left="102"/>
              <w:rPr>
                <w:sz w:val="26"/>
              </w:rPr>
            </w:pPr>
            <w:r>
              <w:rPr>
                <w:sz w:val="26"/>
              </w:rPr>
              <w:t>0,241</w:t>
            </w:r>
          </w:p>
        </w:tc>
        <w:tc>
          <w:tcPr>
            <w:tcW w:w="852" w:type="dxa"/>
          </w:tcPr>
          <w:p>
            <w:pPr>
              <w:pStyle w:val="TableParagraph"/>
              <w:spacing w:before="2"/>
              <w:ind w:left="104"/>
              <w:rPr>
                <w:b/>
                <w:sz w:val="26"/>
              </w:rPr>
            </w:pPr>
            <w:r>
              <w:rPr>
                <w:b/>
                <w:w w:val="99"/>
                <w:sz w:val="26"/>
              </w:rPr>
              <w:t>1</w:t>
            </w:r>
          </w:p>
        </w:tc>
      </w:tr>
    </w:tbl>
    <w:p>
      <w:pPr>
        <w:spacing w:before="2"/>
        <w:ind w:left="943" w:right="952" w:firstLine="0"/>
        <w:jc w:val="center"/>
        <w:rPr>
          <w:i/>
          <w:sz w:val="26"/>
        </w:rPr>
      </w:pPr>
      <w:r>
        <w:rPr>
          <w:i/>
          <w:sz w:val="26"/>
        </w:rPr>
        <w:t>(Nguồn: Kết quả xử lý số liệu trên Amos 20 và tính toán trên Excel)</w:t>
      </w:r>
    </w:p>
    <w:p>
      <w:pPr>
        <w:pStyle w:val="Heading7"/>
        <w:numPr>
          <w:ilvl w:val="2"/>
          <w:numId w:val="24"/>
        </w:numPr>
        <w:tabs>
          <w:tab w:pos="1466" w:val="left" w:leader="none"/>
        </w:tabs>
        <w:spacing w:line="240" w:lineRule="auto" w:before="150" w:after="0"/>
        <w:ind w:left="1465" w:right="0" w:hanging="584"/>
        <w:jc w:val="both"/>
        <w:rPr>
          <w:i/>
        </w:rPr>
      </w:pPr>
      <w:r>
        <w:rPr>
          <w:i/>
        </w:rPr>
        <w:t>Kiểm định thang đo bằng</w:t>
      </w:r>
      <w:r>
        <w:rPr>
          <w:i/>
          <w:spacing w:val="3"/>
        </w:rPr>
        <w:t> </w:t>
      </w:r>
      <w:r>
        <w:rPr>
          <w:i/>
        </w:rPr>
        <w:t>CFA</w:t>
      </w:r>
    </w:p>
    <w:p>
      <w:pPr>
        <w:pStyle w:val="BodyText"/>
        <w:spacing w:line="360" w:lineRule="auto" w:before="150"/>
        <w:ind w:left="882" w:right="888" w:firstLine="719"/>
        <w:jc w:val="both"/>
      </w:pPr>
      <w:r>
        <w:rPr/>
        <w:t>Kết quả CFA thành phần tạo lợi thế cạnh tranh cho cảng container thang đo được</w:t>
      </w:r>
      <w:r>
        <w:rPr>
          <w:spacing w:val="6"/>
        </w:rPr>
        <w:t> </w:t>
      </w:r>
      <w:r>
        <w:rPr/>
        <w:t>thể</w:t>
      </w:r>
      <w:r>
        <w:rPr>
          <w:spacing w:val="5"/>
        </w:rPr>
        <w:t> </w:t>
      </w:r>
      <w:r>
        <w:rPr/>
        <w:t>hiện</w:t>
      </w:r>
      <w:r>
        <w:rPr>
          <w:spacing w:val="6"/>
        </w:rPr>
        <w:t> </w:t>
      </w:r>
      <w:r>
        <w:rPr/>
        <w:t>ở</w:t>
      </w:r>
      <w:r>
        <w:rPr>
          <w:spacing w:val="7"/>
        </w:rPr>
        <w:t> </w:t>
      </w:r>
      <w:r>
        <w:rPr/>
        <w:t>hình</w:t>
      </w:r>
      <w:r>
        <w:rPr>
          <w:spacing w:val="8"/>
        </w:rPr>
        <w:t> </w:t>
      </w:r>
      <w:r>
        <w:rPr/>
        <w:t>2</w:t>
      </w:r>
      <w:r>
        <w:rPr>
          <w:spacing w:val="8"/>
        </w:rPr>
        <w:t> </w:t>
      </w:r>
      <w:r>
        <w:rPr/>
        <w:t>Kết</w:t>
      </w:r>
      <w:r>
        <w:rPr>
          <w:spacing w:val="6"/>
        </w:rPr>
        <w:t> </w:t>
      </w:r>
      <w:r>
        <w:rPr/>
        <w:t>quả</w:t>
      </w:r>
      <w:r>
        <w:rPr>
          <w:spacing w:val="8"/>
        </w:rPr>
        <w:t> </w:t>
      </w:r>
      <w:r>
        <w:rPr/>
        <w:t>cho</w:t>
      </w:r>
      <w:r>
        <w:rPr>
          <w:spacing w:val="5"/>
        </w:rPr>
        <w:t> </w:t>
      </w:r>
      <w:r>
        <w:rPr/>
        <w:t>thấy</w:t>
      </w:r>
      <w:r>
        <w:rPr>
          <w:spacing w:val="6"/>
        </w:rPr>
        <w:t> </w:t>
      </w:r>
      <w:r>
        <w:rPr/>
        <w:t>Chi</w:t>
      </w:r>
      <w:r>
        <w:rPr>
          <w:spacing w:val="10"/>
        </w:rPr>
        <w:t> </w:t>
      </w:r>
      <w:r>
        <w:rPr/>
        <w:t>-</w:t>
      </w:r>
      <w:r>
        <w:rPr>
          <w:spacing w:val="9"/>
        </w:rPr>
        <w:t> </w:t>
      </w:r>
      <w:r>
        <w:rPr/>
        <w:t>bình</w:t>
      </w:r>
      <w:r>
        <w:rPr>
          <w:spacing w:val="5"/>
        </w:rPr>
        <w:t> </w:t>
      </w:r>
      <w:r>
        <w:rPr/>
        <w:t>phương</w:t>
      </w:r>
      <w:r>
        <w:rPr>
          <w:spacing w:val="5"/>
        </w:rPr>
        <w:t> </w:t>
      </w:r>
      <w:r>
        <w:rPr/>
        <w:t>=</w:t>
      </w:r>
      <w:r>
        <w:rPr>
          <w:spacing w:val="10"/>
        </w:rPr>
        <w:t> </w:t>
      </w:r>
      <w:r>
        <w:rPr/>
        <w:t>1104,959</w:t>
      </w:r>
      <w:r>
        <w:rPr>
          <w:spacing w:val="6"/>
        </w:rPr>
        <w:t> </w:t>
      </w:r>
      <w:r>
        <w:rPr/>
        <w:t>với</w:t>
      </w:r>
      <w:r>
        <w:rPr>
          <w:spacing w:val="8"/>
        </w:rPr>
        <w:t> </w:t>
      </w:r>
      <w:r>
        <w:rPr/>
        <w:t>giá</w:t>
      </w:r>
      <w:r>
        <w:rPr>
          <w:spacing w:val="5"/>
        </w:rPr>
        <w:t> </w:t>
      </w:r>
      <w:r>
        <w:rPr/>
        <w:t>trị</w:t>
      </w:r>
      <w:r>
        <w:rPr>
          <w:spacing w:val="6"/>
        </w:rPr>
        <w:t> </w:t>
      </w:r>
      <w:r>
        <w:rPr/>
        <w:t>P</w:t>
      </w:r>
      <w:r>
        <w:rPr>
          <w:spacing w:val="5"/>
        </w:rPr>
        <w:t> </w:t>
      </w:r>
      <w:r>
        <w:rPr/>
        <w:t>=</w:t>
      </w:r>
    </w:p>
    <w:p>
      <w:pPr>
        <w:pStyle w:val="BodyText"/>
        <w:spacing w:before="1"/>
        <w:ind w:left="882"/>
        <w:jc w:val="both"/>
      </w:pPr>
      <w:r>
        <w:rPr/>
        <w:t>.000,</w:t>
      </w:r>
      <w:r>
        <w:rPr>
          <w:spacing w:val="32"/>
        </w:rPr>
        <w:t> </w:t>
      </w:r>
      <w:r>
        <w:rPr/>
        <w:t>df</w:t>
      </w:r>
      <w:r>
        <w:rPr>
          <w:spacing w:val="34"/>
        </w:rPr>
        <w:t> </w:t>
      </w:r>
      <w:r>
        <w:rPr/>
        <w:t>=</w:t>
      </w:r>
      <w:r>
        <w:rPr>
          <w:spacing w:val="33"/>
        </w:rPr>
        <w:t> </w:t>
      </w:r>
      <w:r>
        <w:rPr/>
        <w:t>512,</w:t>
      </w:r>
      <w:r>
        <w:rPr>
          <w:spacing w:val="35"/>
        </w:rPr>
        <w:t> </w:t>
      </w:r>
      <w:r>
        <w:rPr/>
        <w:t>Chi-square/df</w:t>
      </w:r>
      <w:r>
        <w:rPr>
          <w:spacing w:val="32"/>
        </w:rPr>
        <w:t> </w:t>
      </w:r>
      <w:r>
        <w:rPr/>
        <w:t>=2,158;</w:t>
      </w:r>
      <w:r>
        <w:rPr>
          <w:spacing w:val="34"/>
        </w:rPr>
        <w:t> </w:t>
      </w:r>
      <w:r>
        <w:rPr/>
        <w:t>CFI</w:t>
      </w:r>
      <w:r>
        <w:rPr>
          <w:spacing w:val="35"/>
        </w:rPr>
        <w:t> </w:t>
      </w:r>
      <w:r>
        <w:rPr/>
        <w:t>=</w:t>
      </w:r>
      <w:r>
        <w:rPr>
          <w:spacing w:val="34"/>
        </w:rPr>
        <w:t> </w:t>
      </w:r>
      <w:r>
        <w:rPr/>
        <w:t>0.928;</w:t>
      </w:r>
      <w:r>
        <w:rPr>
          <w:spacing w:val="34"/>
        </w:rPr>
        <w:t> </w:t>
      </w:r>
      <w:r>
        <w:rPr/>
        <w:t>TLI</w:t>
      </w:r>
      <w:r>
        <w:rPr>
          <w:spacing w:val="34"/>
        </w:rPr>
        <w:t> </w:t>
      </w:r>
      <w:r>
        <w:rPr/>
        <w:t>=</w:t>
      </w:r>
      <w:r>
        <w:rPr>
          <w:spacing w:val="33"/>
        </w:rPr>
        <w:t> </w:t>
      </w:r>
      <w:r>
        <w:rPr/>
        <w:t>0,921;</w:t>
      </w:r>
      <w:r>
        <w:rPr>
          <w:spacing w:val="34"/>
        </w:rPr>
        <w:t> </w:t>
      </w:r>
      <w:r>
        <w:rPr/>
        <w:t>RMSEA</w:t>
      </w:r>
      <w:r>
        <w:rPr>
          <w:spacing w:val="34"/>
        </w:rPr>
        <w:t> </w:t>
      </w:r>
      <w:r>
        <w:rPr/>
        <w:t>=</w:t>
      </w:r>
      <w:r>
        <w:rPr>
          <w:spacing w:val="33"/>
        </w:rPr>
        <w:t> </w:t>
      </w:r>
      <w:r>
        <w:rPr/>
        <w:t>0,047.</w:t>
      </w:r>
    </w:p>
    <w:p>
      <w:pPr>
        <w:pStyle w:val="BodyText"/>
        <w:spacing w:line="360" w:lineRule="auto" w:before="150"/>
        <w:ind w:left="882" w:right="898"/>
        <w:jc w:val="both"/>
      </w:pPr>
      <w:r>
        <w:rPr/>
        <w:t>Nên tương thích với dữ liệu thị trường mà không cần giải pháp điều chỉnh, do đó thang đo các thành phần đạt tính đơn hướng. Các trọng số chuẩn hóa của các biến &gt; 0,5, nhỏ nhất bằng 0,622 nên thang đo các thành phần đạt giá trị hội tụ.</w:t>
      </w:r>
    </w:p>
    <w:p>
      <w:pPr>
        <w:spacing w:after="0" w:line="360" w:lineRule="auto"/>
        <w:jc w:val="both"/>
        <w:sectPr>
          <w:pgSz w:w="11910" w:h="16850"/>
          <w:pgMar w:header="751" w:footer="0" w:top="960" w:bottom="280" w:left="820" w:right="240"/>
        </w:sectPr>
      </w:pPr>
    </w:p>
    <w:p>
      <w:pPr>
        <w:pStyle w:val="BodyText"/>
        <w:rPr>
          <w:sz w:val="20"/>
        </w:rPr>
      </w:pPr>
    </w:p>
    <w:p>
      <w:pPr>
        <w:pStyle w:val="BodyText"/>
        <w:spacing w:before="10"/>
        <w:rPr>
          <w:sz w:val="13"/>
        </w:rPr>
      </w:pPr>
    </w:p>
    <w:p>
      <w:pPr>
        <w:pStyle w:val="BodyText"/>
        <w:ind w:left="2355"/>
        <w:rPr>
          <w:sz w:val="20"/>
        </w:rPr>
      </w:pPr>
      <w:r>
        <w:rPr>
          <w:sz w:val="20"/>
        </w:rPr>
        <w:drawing>
          <wp:inline distT="0" distB="0" distL="0" distR="0">
            <wp:extent cx="4187306" cy="4061460"/>
            <wp:effectExtent l="0" t="0" r="0" b="0"/>
            <wp:docPr id="9" name="image15.jpeg"/>
            <wp:cNvGraphicFramePr>
              <a:graphicFrameLocks noChangeAspect="1"/>
            </wp:cNvGraphicFramePr>
            <a:graphic>
              <a:graphicData uri="http://schemas.openxmlformats.org/drawingml/2006/picture">
                <pic:pic>
                  <pic:nvPicPr>
                    <pic:cNvPr id="10" name="image15.jpeg"/>
                    <pic:cNvPicPr/>
                  </pic:nvPicPr>
                  <pic:blipFill>
                    <a:blip r:embed="rId24" cstate="print"/>
                    <a:stretch>
                      <a:fillRect/>
                    </a:stretch>
                  </pic:blipFill>
                  <pic:spPr>
                    <a:xfrm>
                      <a:off x="0" y="0"/>
                      <a:ext cx="4187306" cy="4061460"/>
                    </a:xfrm>
                    <a:prstGeom prst="rect">
                      <a:avLst/>
                    </a:prstGeom>
                  </pic:spPr>
                </pic:pic>
              </a:graphicData>
            </a:graphic>
          </wp:inline>
        </w:drawing>
      </w:r>
      <w:r>
        <w:rPr>
          <w:sz w:val="20"/>
        </w:rPr>
      </w:r>
    </w:p>
    <w:p>
      <w:pPr>
        <w:pStyle w:val="Heading6"/>
        <w:spacing w:before="117"/>
        <w:ind w:left="2787"/>
      </w:pPr>
      <w:r>
        <w:rPr/>
        <w:t>Hình 3.5: Kết quả CFA thang đo các khái niệm</w:t>
      </w:r>
    </w:p>
    <w:p>
      <w:pPr>
        <w:pStyle w:val="ListParagraph"/>
        <w:numPr>
          <w:ilvl w:val="2"/>
          <w:numId w:val="24"/>
        </w:numPr>
        <w:tabs>
          <w:tab w:pos="1466" w:val="left" w:leader="none"/>
        </w:tabs>
        <w:spacing w:line="240" w:lineRule="auto" w:before="116" w:after="0"/>
        <w:ind w:left="1465" w:right="0" w:hanging="584"/>
        <w:jc w:val="both"/>
        <w:rPr>
          <w:b/>
          <w:sz w:val="26"/>
        </w:rPr>
      </w:pPr>
      <w:r>
        <w:rPr>
          <w:b/>
          <w:sz w:val="26"/>
        </w:rPr>
        <w:t>Kiểm định mô hình và giả thuyết nghiên cứu bằng</w:t>
      </w:r>
      <w:r>
        <w:rPr>
          <w:b/>
          <w:spacing w:val="-3"/>
          <w:sz w:val="26"/>
        </w:rPr>
        <w:t> </w:t>
      </w:r>
      <w:r>
        <w:rPr>
          <w:b/>
          <w:sz w:val="26"/>
        </w:rPr>
        <w:t>SEM</w:t>
      </w:r>
    </w:p>
    <w:p>
      <w:pPr>
        <w:pStyle w:val="BodyText"/>
        <w:spacing w:line="360" w:lineRule="auto" w:before="151"/>
        <w:ind w:left="882" w:right="888" w:firstLine="357"/>
        <w:jc w:val="both"/>
      </w:pPr>
      <w:r>
        <w:rPr/>
        <w:t>Sau khi đã phân tích nhân tố khẳng định (CFA), tiếp theo nghiên cứu sử dụng mô hình cấu trúc tuyến tính (SEM) nhằm để xác định mối quan hệ nhân tố và mức độ ảnh hưởng của từng nhân tố thuộc đặc tính cảng đến hiệu quả khai thác cảng container. Phân tích mô hình cấu trúc tuyến tính (SEM) được tiến hành phân tích từ mô hình nghiên cứu đề xuất ban đầu, tiếp sau đó tiến hành điều chỉnh để có được mô hình tốt hơn.</w:t>
      </w:r>
    </w:p>
    <w:p>
      <w:pPr>
        <w:pStyle w:val="BodyText"/>
        <w:spacing w:line="360" w:lineRule="auto"/>
        <w:ind w:left="882" w:right="888" w:firstLine="357"/>
        <w:jc w:val="both"/>
      </w:pPr>
      <w:r>
        <w:rPr/>
        <w:t>Cũng theo Nguyễn Đình Thọ và Nguyễn Thị Mai Trang (2011) thì “Trong kiểm định giả thiết và mô hình nghiên cứu thi mô hình cấu trúc tuyến tính SEM có nhiều ưu điểm hơn các phương pháp phân tích đa biến truyền thống như hồi quy bội, hồi quy đa biến vì nó có thể tính được sai số đo lường, phương pháp phân tích mô hình cấu trúc tuyến tính này còn cho phép chúng ta kết hợp được các khái niệm tiềm ẩn với việc đo lường và có thể xem xét các đo lường độc lập từng phần hay kết hợp chung với mô hình lý thuyết cùng một lúc.”</w:t>
      </w:r>
    </w:p>
    <w:p>
      <w:pPr>
        <w:pStyle w:val="BodyText"/>
        <w:spacing w:line="360" w:lineRule="auto"/>
        <w:ind w:left="882" w:right="890" w:firstLine="357"/>
        <w:jc w:val="both"/>
      </w:pPr>
      <w:r>
        <w:rPr/>
        <w:t>Kết quả phân tích cấu trúc tuyến tính (SEM) cho thấy Chi - bình phương = 1257,210 với giá trị P = .000, df = 726, Chi-square/df = 1,732; CFI = 0.940; TLI =</w:t>
      </w:r>
    </w:p>
    <w:p>
      <w:pPr>
        <w:spacing w:after="0" w:line="360" w:lineRule="auto"/>
        <w:jc w:val="both"/>
        <w:sectPr>
          <w:pgSz w:w="11910" w:h="16850"/>
          <w:pgMar w:header="751" w:footer="0" w:top="960" w:bottom="280" w:left="820" w:right="240"/>
        </w:sectPr>
      </w:pPr>
    </w:p>
    <w:p>
      <w:pPr>
        <w:pStyle w:val="BodyText"/>
        <w:rPr>
          <w:sz w:val="20"/>
        </w:rPr>
      </w:pPr>
    </w:p>
    <w:p>
      <w:pPr>
        <w:pStyle w:val="BodyText"/>
        <w:spacing w:before="7"/>
        <w:rPr>
          <w:sz w:val="23"/>
        </w:rPr>
      </w:pPr>
    </w:p>
    <w:p>
      <w:pPr>
        <w:pStyle w:val="BodyText"/>
        <w:spacing w:line="360" w:lineRule="auto" w:before="89"/>
        <w:ind w:left="882" w:right="893"/>
        <w:jc w:val="both"/>
      </w:pPr>
      <w:r>
        <w:rPr/>
        <w:t>0,955; RMSEA = 0,038 nên tương thích với dữ liệu thu thập từ thị trường. kết quả ước lượng cũng cho thấy các mối quan hệ có ý nghĩa thống kê vì P &lt;0,05 được thể hiện ở bảng 3.15 nên tương thích với dữ liệu thu thập của thị trường.</w:t>
      </w:r>
    </w:p>
    <w:p>
      <w:pPr>
        <w:pStyle w:val="Heading6"/>
        <w:spacing w:line="298" w:lineRule="exact"/>
        <w:ind w:left="1426"/>
      </w:pPr>
      <w:r>
        <w:rPr/>
        <w:t>Bảng 3.15 kết quả ước lượng thang đo lợi thế cạnh tranh cảng container</w:t>
      </w:r>
    </w:p>
    <w:p>
      <w:pPr>
        <w:pStyle w:val="BodyText"/>
        <w:spacing w:before="9"/>
        <w:rPr>
          <w:b/>
          <w:sz w:val="12"/>
        </w:rPr>
      </w:pPr>
    </w:p>
    <w:tbl>
      <w:tblPr>
        <w:tblW w:w="0" w:type="auto"/>
        <w:jc w:val="left"/>
        <w:tblInd w:w="77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1301"/>
        <w:gridCol w:w="903"/>
        <w:gridCol w:w="1396"/>
        <w:gridCol w:w="906"/>
        <w:gridCol w:w="995"/>
        <w:gridCol w:w="992"/>
        <w:gridCol w:w="992"/>
        <w:gridCol w:w="1420"/>
      </w:tblGrid>
      <w:tr>
        <w:trPr>
          <w:trHeight w:val="448" w:hRule="atLeast"/>
        </w:trPr>
        <w:tc>
          <w:tcPr>
            <w:tcW w:w="3600" w:type="dxa"/>
            <w:gridSpan w:val="3"/>
            <w:vMerge w:val="restart"/>
          </w:tcPr>
          <w:p>
            <w:pPr>
              <w:pStyle w:val="TableParagraph"/>
              <w:spacing w:before="4"/>
              <w:ind w:left="1096"/>
              <w:rPr>
                <w:b/>
                <w:sz w:val="26"/>
              </w:rPr>
            </w:pPr>
            <w:r>
              <w:rPr>
                <w:b/>
                <w:sz w:val="26"/>
              </w:rPr>
              <w:t>Mối quan hệ</w:t>
            </w:r>
          </w:p>
        </w:tc>
        <w:tc>
          <w:tcPr>
            <w:tcW w:w="3885" w:type="dxa"/>
            <w:gridSpan w:val="4"/>
          </w:tcPr>
          <w:p>
            <w:pPr>
              <w:pStyle w:val="TableParagraph"/>
              <w:spacing w:before="4"/>
              <w:ind w:left="1022"/>
              <w:rPr>
                <w:b/>
                <w:sz w:val="26"/>
              </w:rPr>
            </w:pPr>
            <w:r>
              <w:rPr>
                <w:b/>
                <w:sz w:val="26"/>
              </w:rPr>
              <w:t>Chưa chuẩn hóa</w:t>
            </w:r>
          </w:p>
        </w:tc>
        <w:tc>
          <w:tcPr>
            <w:tcW w:w="1420" w:type="dxa"/>
            <w:vMerge w:val="restart"/>
          </w:tcPr>
          <w:p>
            <w:pPr>
              <w:pStyle w:val="TableParagraph"/>
              <w:spacing w:before="4"/>
              <w:ind w:left="151" w:right="153"/>
              <w:jc w:val="center"/>
              <w:rPr>
                <w:b/>
                <w:sz w:val="26"/>
              </w:rPr>
            </w:pPr>
            <w:r>
              <w:rPr>
                <w:b/>
                <w:sz w:val="26"/>
              </w:rPr>
              <w:t>Chuẩn</w:t>
            </w:r>
          </w:p>
          <w:p>
            <w:pPr>
              <w:pStyle w:val="TableParagraph"/>
              <w:spacing w:before="147"/>
              <w:ind w:left="151" w:right="157"/>
              <w:jc w:val="center"/>
              <w:rPr>
                <w:b/>
                <w:sz w:val="26"/>
              </w:rPr>
            </w:pPr>
            <w:r>
              <w:rPr>
                <w:b/>
                <w:sz w:val="26"/>
              </w:rPr>
              <w:t>hóa (ML)</w:t>
            </w:r>
          </w:p>
        </w:tc>
      </w:tr>
      <w:tr>
        <w:trPr>
          <w:trHeight w:val="448" w:hRule="atLeast"/>
        </w:trPr>
        <w:tc>
          <w:tcPr>
            <w:tcW w:w="3600" w:type="dxa"/>
            <w:gridSpan w:val="3"/>
            <w:vMerge/>
            <w:tcBorders>
              <w:top w:val="nil"/>
            </w:tcBorders>
          </w:tcPr>
          <w:p>
            <w:pPr>
              <w:rPr>
                <w:sz w:val="2"/>
                <w:szCs w:val="2"/>
              </w:rPr>
            </w:pPr>
          </w:p>
        </w:tc>
        <w:tc>
          <w:tcPr>
            <w:tcW w:w="906" w:type="dxa"/>
          </w:tcPr>
          <w:p>
            <w:pPr>
              <w:pStyle w:val="TableParagraph"/>
              <w:spacing w:before="4"/>
              <w:ind w:left="105"/>
              <w:rPr>
                <w:b/>
                <w:sz w:val="26"/>
              </w:rPr>
            </w:pPr>
            <w:r>
              <w:rPr>
                <w:b/>
                <w:sz w:val="26"/>
              </w:rPr>
              <w:t>ML</w:t>
            </w:r>
          </w:p>
        </w:tc>
        <w:tc>
          <w:tcPr>
            <w:tcW w:w="995" w:type="dxa"/>
          </w:tcPr>
          <w:p>
            <w:pPr>
              <w:pStyle w:val="TableParagraph"/>
              <w:spacing w:before="4"/>
              <w:ind w:left="104"/>
              <w:rPr>
                <w:b/>
                <w:sz w:val="26"/>
              </w:rPr>
            </w:pPr>
            <w:r>
              <w:rPr>
                <w:b/>
                <w:sz w:val="26"/>
              </w:rPr>
              <w:t>S. E</w:t>
            </w:r>
          </w:p>
        </w:tc>
        <w:tc>
          <w:tcPr>
            <w:tcW w:w="992" w:type="dxa"/>
          </w:tcPr>
          <w:p>
            <w:pPr>
              <w:pStyle w:val="TableParagraph"/>
              <w:spacing w:before="4"/>
              <w:ind w:left="101"/>
              <w:rPr>
                <w:b/>
                <w:sz w:val="26"/>
              </w:rPr>
            </w:pPr>
            <w:r>
              <w:rPr>
                <w:b/>
                <w:sz w:val="26"/>
              </w:rPr>
              <w:t>C.R</w:t>
            </w:r>
          </w:p>
        </w:tc>
        <w:tc>
          <w:tcPr>
            <w:tcW w:w="992" w:type="dxa"/>
          </w:tcPr>
          <w:p>
            <w:pPr>
              <w:pStyle w:val="TableParagraph"/>
              <w:spacing w:before="4"/>
              <w:ind w:left="102"/>
              <w:rPr>
                <w:b/>
                <w:sz w:val="26"/>
              </w:rPr>
            </w:pPr>
            <w:r>
              <w:rPr>
                <w:b/>
                <w:w w:val="99"/>
                <w:sz w:val="26"/>
              </w:rPr>
              <w:t>P</w:t>
            </w:r>
          </w:p>
        </w:tc>
        <w:tc>
          <w:tcPr>
            <w:tcW w:w="1420" w:type="dxa"/>
            <w:vMerge/>
            <w:tcBorders>
              <w:top w:val="nil"/>
            </w:tcBorders>
          </w:tcPr>
          <w:p>
            <w:pPr>
              <w:rPr>
                <w:sz w:val="2"/>
                <w:szCs w:val="2"/>
              </w:rPr>
            </w:pPr>
          </w:p>
        </w:tc>
      </w:tr>
      <w:tr>
        <w:trPr>
          <w:trHeight w:val="448" w:hRule="atLeast"/>
        </w:trPr>
        <w:tc>
          <w:tcPr>
            <w:tcW w:w="1301" w:type="dxa"/>
          </w:tcPr>
          <w:p>
            <w:pPr>
              <w:pStyle w:val="TableParagraph"/>
              <w:spacing w:before="4"/>
              <w:ind w:left="107"/>
              <w:rPr>
                <w:sz w:val="26"/>
              </w:rPr>
            </w:pPr>
            <w:r>
              <w:rPr>
                <w:sz w:val="26"/>
              </w:rPr>
              <w:t>CLDV</w:t>
            </w:r>
          </w:p>
        </w:tc>
        <w:tc>
          <w:tcPr>
            <w:tcW w:w="903" w:type="dxa"/>
          </w:tcPr>
          <w:p>
            <w:pPr>
              <w:pStyle w:val="TableParagraph"/>
              <w:spacing w:before="4"/>
              <w:ind w:left="105"/>
              <w:rPr>
                <w:sz w:val="26"/>
              </w:rPr>
            </w:pPr>
            <w:r>
              <w:rPr>
                <w:sz w:val="26"/>
              </w:rPr>
              <w:t>&lt;---</w:t>
            </w:r>
          </w:p>
        </w:tc>
        <w:tc>
          <w:tcPr>
            <w:tcW w:w="1396" w:type="dxa"/>
          </w:tcPr>
          <w:p>
            <w:pPr>
              <w:pStyle w:val="TableParagraph"/>
              <w:spacing w:before="4"/>
              <w:ind w:left="104"/>
              <w:rPr>
                <w:sz w:val="26"/>
              </w:rPr>
            </w:pPr>
            <w:r>
              <w:rPr>
                <w:sz w:val="26"/>
              </w:rPr>
              <w:t>LTCT</w:t>
            </w:r>
          </w:p>
        </w:tc>
        <w:tc>
          <w:tcPr>
            <w:tcW w:w="906" w:type="dxa"/>
          </w:tcPr>
          <w:p>
            <w:pPr>
              <w:pStyle w:val="TableParagraph"/>
              <w:spacing w:before="4"/>
              <w:ind w:right="101"/>
              <w:jc w:val="right"/>
              <w:rPr>
                <w:sz w:val="26"/>
              </w:rPr>
            </w:pPr>
            <w:r>
              <w:rPr>
                <w:w w:val="95"/>
                <w:sz w:val="26"/>
              </w:rPr>
              <w:t>0,500</w:t>
            </w:r>
          </w:p>
        </w:tc>
        <w:tc>
          <w:tcPr>
            <w:tcW w:w="995" w:type="dxa"/>
          </w:tcPr>
          <w:p>
            <w:pPr>
              <w:pStyle w:val="TableParagraph"/>
              <w:spacing w:before="4"/>
              <w:ind w:right="105"/>
              <w:jc w:val="right"/>
              <w:rPr>
                <w:sz w:val="26"/>
              </w:rPr>
            </w:pPr>
            <w:r>
              <w:rPr>
                <w:w w:val="95"/>
                <w:sz w:val="26"/>
              </w:rPr>
              <w:t>0,071</w:t>
            </w:r>
          </w:p>
        </w:tc>
        <w:tc>
          <w:tcPr>
            <w:tcW w:w="992" w:type="dxa"/>
          </w:tcPr>
          <w:p>
            <w:pPr>
              <w:pStyle w:val="TableParagraph"/>
              <w:spacing w:before="4"/>
              <w:ind w:right="105"/>
              <w:jc w:val="right"/>
              <w:rPr>
                <w:sz w:val="26"/>
              </w:rPr>
            </w:pPr>
            <w:r>
              <w:rPr>
                <w:w w:val="95"/>
                <w:sz w:val="26"/>
              </w:rPr>
              <w:t>3,111</w:t>
            </w:r>
          </w:p>
        </w:tc>
        <w:tc>
          <w:tcPr>
            <w:tcW w:w="992" w:type="dxa"/>
          </w:tcPr>
          <w:p>
            <w:pPr>
              <w:pStyle w:val="TableParagraph"/>
              <w:spacing w:before="4"/>
              <w:ind w:right="104"/>
              <w:jc w:val="right"/>
              <w:rPr>
                <w:sz w:val="26"/>
              </w:rPr>
            </w:pPr>
            <w:r>
              <w:rPr>
                <w:w w:val="95"/>
                <w:sz w:val="26"/>
              </w:rPr>
              <w:t>***</w:t>
            </w:r>
          </w:p>
        </w:tc>
        <w:tc>
          <w:tcPr>
            <w:tcW w:w="1420" w:type="dxa"/>
          </w:tcPr>
          <w:p>
            <w:pPr>
              <w:pStyle w:val="TableParagraph"/>
              <w:spacing w:before="4"/>
              <w:ind w:left="102"/>
              <w:rPr>
                <w:sz w:val="26"/>
              </w:rPr>
            </w:pPr>
            <w:r>
              <w:rPr>
                <w:sz w:val="26"/>
              </w:rPr>
              <w:t>0,387</w:t>
            </w:r>
          </w:p>
        </w:tc>
      </w:tr>
      <w:tr>
        <w:trPr>
          <w:trHeight w:val="448" w:hRule="atLeast"/>
        </w:trPr>
        <w:tc>
          <w:tcPr>
            <w:tcW w:w="1301" w:type="dxa"/>
          </w:tcPr>
          <w:p>
            <w:pPr>
              <w:pStyle w:val="TableParagraph"/>
              <w:spacing w:before="4"/>
              <w:ind w:left="107"/>
              <w:rPr>
                <w:sz w:val="26"/>
              </w:rPr>
            </w:pPr>
            <w:r>
              <w:rPr>
                <w:sz w:val="26"/>
              </w:rPr>
              <w:t>CP</w:t>
            </w:r>
          </w:p>
        </w:tc>
        <w:tc>
          <w:tcPr>
            <w:tcW w:w="903" w:type="dxa"/>
          </w:tcPr>
          <w:p>
            <w:pPr>
              <w:pStyle w:val="TableParagraph"/>
              <w:spacing w:before="4"/>
              <w:ind w:left="105"/>
              <w:rPr>
                <w:sz w:val="26"/>
              </w:rPr>
            </w:pPr>
            <w:r>
              <w:rPr>
                <w:sz w:val="26"/>
              </w:rPr>
              <w:t>&lt;---</w:t>
            </w:r>
          </w:p>
        </w:tc>
        <w:tc>
          <w:tcPr>
            <w:tcW w:w="1396" w:type="dxa"/>
          </w:tcPr>
          <w:p>
            <w:pPr>
              <w:pStyle w:val="TableParagraph"/>
              <w:spacing w:before="4"/>
              <w:ind w:left="104"/>
              <w:rPr>
                <w:sz w:val="26"/>
              </w:rPr>
            </w:pPr>
            <w:r>
              <w:rPr>
                <w:sz w:val="26"/>
              </w:rPr>
              <w:t>LTCT</w:t>
            </w:r>
          </w:p>
        </w:tc>
        <w:tc>
          <w:tcPr>
            <w:tcW w:w="906" w:type="dxa"/>
          </w:tcPr>
          <w:p>
            <w:pPr>
              <w:pStyle w:val="TableParagraph"/>
              <w:spacing w:before="4"/>
              <w:ind w:right="101"/>
              <w:jc w:val="right"/>
              <w:rPr>
                <w:sz w:val="26"/>
              </w:rPr>
            </w:pPr>
            <w:r>
              <w:rPr>
                <w:w w:val="95"/>
                <w:sz w:val="26"/>
              </w:rPr>
              <w:t>0,418</w:t>
            </w:r>
          </w:p>
        </w:tc>
        <w:tc>
          <w:tcPr>
            <w:tcW w:w="995" w:type="dxa"/>
          </w:tcPr>
          <w:p>
            <w:pPr>
              <w:pStyle w:val="TableParagraph"/>
              <w:spacing w:before="4"/>
              <w:ind w:right="105"/>
              <w:jc w:val="right"/>
              <w:rPr>
                <w:sz w:val="26"/>
              </w:rPr>
            </w:pPr>
            <w:r>
              <w:rPr>
                <w:w w:val="95"/>
                <w:sz w:val="26"/>
              </w:rPr>
              <w:t>0,075</w:t>
            </w:r>
          </w:p>
        </w:tc>
        <w:tc>
          <w:tcPr>
            <w:tcW w:w="992" w:type="dxa"/>
          </w:tcPr>
          <w:p>
            <w:pPr>
              <w:pStyle w:val="TableParagraph"/>
              <w:spacing w:before="4"/>
              <w:ind w:right="105"/>
              <w:jc w:val="right"/>
              <w:rPr>
                <w:sz w:val="26"/>
              </w:rPr>
            </w:pPr>
            <w:r>
              <w:rPr>
                <w:w w:val="95"/>
                <w:sz w:val="26"/>
              </w:rPr>
              <w:t>5,579</w:t>
            </w:r>
          </w:p>
        </w:tc>
        <w:tc>
          <w:tcPr>
            <w:tcW w:w="992" w:type="dxa"/>
          </w:tcPr>
          <w:p>
            <w:pPr>
              <w:pStyle w:val="TableParagraph"/>
              <w:spacing w:before="4"/>
              <w:ind w:right="104"/>
              <w:jc w:val="right"/>
              <w:rPr>
                <w:sz w:val="26"/>
              </w:rPr>
            </w:pPr>
            <w:r>
              <w:rPr>
                <w:w w:val="95"/>
                <w:sz w:val="26"/>
              </w:rPr>
              <w:t>***</w:t>
            </w:r>
          </w:p>
        </w:tc>
        <w:tc>
          <w:tcPr>
            <w:tcW w:w="1420" w:type="dxa"/>
          </w:tcPr>
          <w:p>
            <w:pPr>
              <w:pStyle w:val="TableParagraph"/>
              <w:spacing w:before="4"/>
              <w:ind w:left="102"/>
              <w:rPr>
                <w:sz w:val="26"/>
              </w:rPr>
            </w:pPr>
            <w:r>
              <w:rPr>
                <w:sz w:val="26"/>
              </w:rPr>
              <w:t>0,628</w:t>
            </w:r>
          </w:p>
        </w:tc>
      </w:tr>
      <w:tr>
        <w:trPr>
          <w:trHeight w:val="449" w:hRule="atLeast"/>
        </w:trPr>
        <w:tc>
          <w:tcPr>
            <w:tcW w:w="1301" w:type="dxa"/>
          </w:tcPr>
          <w:p>
            <w:pPr>
              <w:pStyle w:val="TableParagraph"/>
              <w:spacing w:before="5"/>
              <w:ind w:left="107"/>
              <w:rPr>
                <w:sz w:val="26"/>
              </w:rPr>
            </w:pPr>
            <w:r>
              <w:rPr>
                <w:sz w:val="26"/>
              </w:rPr>
              <w:t>VT</w:t>
            </w:r>
          </w:p>
        </w:tc>
        <w:tc>
          <w:tcPr>
            <w:tcW w:w="903" w:type="dxa"/>
          </w:tcPr>
          <w:p>
            <w:pPr>
              <w:pStyle w:val="TableParagraph"/>
              <w:spacing w:before="5"/>
              <w:ind w:left="105"/>
              <w:rPr>
                <w:sz w:val="26"/>
              </w:rPr>
            </w:pPr>
            <w:r>
              <w:rPr>
                <w:sz w:val="26"/>
              </w:rPr>
              <w:t>&lt;---</w:t>
            </w:r>
          </w:p>
        </w:tc>
        <w:tc>
          <w:tcPr>
            <w:tcW w:w="1396" w:type="dxa"/>
          </w:tcPr>
          <w:p>
            <w:pPr>
              <w:pStyle w:val="TableParagraph"/>
              <w:spacing w:before="5"/>
              <w:ind w:left="104"/>
              <w:rPr>
                <w:sz w:val="26"/>
              </w:rPr>
            </w:pPr>
            <w:r>
              <w:rPr>
                <w:sz w:val="26"/>
              </w:rPr>
              <w:t>LTCT</w:t>
            </w:r>
          </w:p>
        </w:tc>
        <w:tc>
          <w:tcPr>
            <w:tcW w:w="906" w:type="dxa"/>
          </w:tcPr>
          <w:p>
            <w:pPr>
              <w:pStyle w:val="TableParagraph"/>
              <w:spacing w:before="5"/>
              <w:ind w:right="101"/>
              <w:jc w:val="right"/>
              <w:rPr>
                <w:sz w:val="26"/>
              </w:rPr>
            </w:pPr>
            <w:r>
              <w:rPr>
                <w:w w:val="95"/>
                <w:sz w:val="26"/>
              </w:rPr>
              <w:t>0,383</w:t>
            </w:r>
          </w:p>
        </w:tc>
        <w:tc>
          <w:tcPr>
            <w:tcW w:w="995" w:type="dxa"/>
          </w:tcPr>
          <w:p>
            <w:pPr>
              <w:pStyle w:val="TableParagraph"/>
              <w:spacing w:before="5"/>
              <w:ind w:right="105"/>
              <w:jc w:val="right"/>
              <w:rPr>
                <w:sz w:val="26"/>
              </w:rPr>
            </w:pPr>
            <w:r>
              <w:rPr>
                <w:w w:val="95"/>
                <w:sz w:val="26"/>
              </w:rPr>
              <w:t>0,087</w:t>
            </w:r>
          </w:p>
        </w:tc>
        <w:tc>
          <w:tcPr>
            <w:tcW w:w="992" w:type="dxa"/>
          </w:tcPr>
          <w:p>
            <w:pPr>
              <w:pStyle w:val="TableParagraph"/>
              <w:spacing w:before="5"/>
              <w:ind w:right="105"/>
              <w:jc w:val="right"/>
              <w:rPr>
                <w:sz w:val="26"/>
              </w:rPr>
            </w:pPr>
            <w:r>
              <w:rPr>
                <w:w w:val="95"/>
                <w:sz w:val="26"/>
              </w:rPr>
              <w:t>4,394</w:t>
            </w:r>
          </w:p>
        </w:tc>
        <w:tc>
          <w:tcPr>
            <w:tcW w:w="992" w:type="dxa"/>
          </w:tcPr>
          <w:p>
            <w:pPr>
              <w:pStyle w:val="TableParagraph"/>
              <w:spacing w:before="5"/>
              <w:ind w:right="104"/>
              <w:jc w:val="right"/>
              <w:rPr>
                <w:sz w:val="26"/>
              </w:rPr>
            </w:pPr>
            <w:r>
              <w:rPr>
                <w:w w:val="95"/>
                <w:sz w:val="26"/>
              </w:rPr>
              <w:t>***</w:t>
            </w:r>
          </w:p>
        </w:tc>
        <w:tc>
          <w:tcPr>
            <w:tcW w:w="1420" w:type="dxa"/>
          </w:tcPr>
          <w:p>
            <w:pPr>
              <w:pStyle w:val="TableParagraph"/>
              <w:spacing w:before="5"/>
              <w:ind w:left="102"/>
              <w:rPr>
                <w:sz w:val="26"/>
              </w:rPr>
            </w:pPr>
            <w:r>
              <w:rPr>
                <w:sz w:val="26"/>
              </w:rPr>
              <w:t>0,242</w:t>
            </w:r>
          </w:p>
        </w:tc>
      </w:tr>
      <w:tr>
        <w:trPr>
          <w:trHeight w:val="450" w:hRule="atLeast"/>
        </w:trPr>
        <w:tc>
          <w:tcPr>
            <w:tcW w:w="1301" w:type="dxa"/>
          </w:tcPr>
          <w:p>
            <w:pPr>
              <w:pStyle w:val="TableParagraph"/>
              <w:spacing w:before="4"/>
              <w:ind w:left="107"/>
              <w:rPr>
                <w:sz w:val="26"/>
              </w:rPr>
            </w:pPr>
            <w:r>
              <w:rPr>
                <w:sz w:val="26"/>
              </w:rPr>
              <w:t>HT</w:t>
            </w:r>
          </w:p>
        </w:tc>
        <w:tc>
          <w:tcPr>
            <w:tcW w:w="903" w:type="dxa"/>
          </w:tcPr>
          <w:p>
            <w:pPr>
              <w:pStyle w:val="TableParagraph"/>
              <w:spacing w:before="4"/>
              <w:ind w:left="105"/>
              <w:rPr>
                <w:sz w:val="26"/>
              </w:rPr>
            </w:pPr>
            <w:r>
              <w:rPr>
                <w:sz w:val="26"/>
              </w:rPr>
              <w:t>&lt;---</w:t>
            </w:r>
          </w:p>
        </w:tc>
        <w:tc>
          <w:tcPr>
            <w:tcW w:w="1396" w:type="dxa"/>
          </w:tcPr>
          <w:p>
            <w:pPr>
              <w:pStyle w:val="TableParagraph"/>
              <w:spacing w:before="4"/>
              <w:ind w:left="104"/>
              <w:rPr>
                <w:sz w:val="26"/>
              </w:rPr>
            </w:pPr>
            <w:r>
              <w:rPr>
                <w:sz w:val="26"/>
              </w:rPr>
              <w:t>LTCT</w:t>
            </w:r>
          </w:p>
        </w:tc>
        <w:tc>
          <w:tcPr>
            <w:tcW w:w="906" w:type="dxa"/>
          </w:tcPr>
          <w:p>
            <w:pPr>
              <w:pStyle w:val="TableParagraph"/>
              <w:spacing w:before="4"/>
              <w:ind w:right="101"/>
              <w:jc w:val="right"/>
              <w:rPr>
                <w:sz w:val="26"/>
              </w:rPr>
            </w:pPr>
            <w:r>
              <w:rPr>
                <w:w w:val="95"/>
                <w:sz w:val="26"/>
              </w:rPr>
              <w:t>0,307</w:t>
            </w:r>
          </w:p>
        </w:tc>
        <w:tc>
          <w:tcPr>
            <w:tcW w:w="995" w:type="dxa"/>
          </w:tcPr>
          <w:p>
            <w:pPr>
              <w:pStyle w:val="TableParagraph"/>
              <w:spacing w:before="4"/>
              <w:ind w:right="105"/>
              <w:jc w:val="right"/>
              <w:rPr>
                <w:sz w:val="26"/>
              </w:rPr>
            </w:pPr>
            <w:r>
              <w:rPr>
                <w:w w:val="95"/>
                <w:sz w:val="26"/>
              </w:rPr>
              <w:t>0,080</w:t>
            </w:r>
          </w:p>
        </w:tc>
        <w:tc>
          <w:tcPr>
            <w:tcW w:w="992" w:type="dxa"/>
          </w:tcPr>
          <w:p>
            <w:pPr>
              <w:pStyle w:val="TableParagraph"/>
              <w:spacing w:before="4"/>
              <w:ind w:right="105"/>
              <w:jc w:val="right"/>
              <w:rPr>
                <w:sz w:val="26"/>
              </w:rPr>
            </w:pPr>
            <w:r>
              <w:rPr>
                <w:w w:val="95"/>
                <w:sz w:val="26"/>
              </w:rPr>
              <w:t>3,828</w:t>
            </w:r>
          </w:p>
        </w:tc>
        <w:tc>
          <w:tcPr>
            <w:tcW w:w="992" w:type="dxa"/>
          </w:tcPr>
          <w:p>
            <w:pPr>
              <w:pStyle w:val="TableParagraph"/>
              <w:spacing w:before="4"/>
              <w:ind w:right="104"/>
              <w:jc w:val="right"/>
              <w:rPr>
                <w:sz w:val="26"/>
              </w:rPr>
            </w:pPr>
            <w:r>
              <w:rPr>
                <w:w w:val="95"/>
                <w:sz w:val="26"/>
              </w:rPr>
              <w:t>***</w:t>
            </w:r>
          </w:p>
        </w:tc>
        <w:tc>
          <w:tcPr>
            <w:tcW w:w="1420" w:type="dxa"/>
          </w:tcPr>
          <w:p>
            <w:pPr>
              <w:pStyle w:val="TableParagraph"/>
              <w:spacing w:before="4"/>
              <w:ind w:left="102"/>
              <w:rPr>
                <w:sz w:val="26"/>
              </w:rPr>
            </w:pPr>
            <w:r>
              <w:rPr>
                <w:sz w:val="26"/>
              </w:rPr>
              <w:t>0,205</w:t>
            </w:r>
          </w:p>
        </w:tc>
      </w:tr>
      <w:tr>
        <w:trPr>
          <w:trHeight w:val="448" w:hRule="atLeast"/>
        </w:trPr>
        <w:tc>
          <w:tcPr>
            <w:tcW w:w="1301" w:type="dxa"/>
          </w:tcPr>
          <w:p>
            <w:pPr>
              <w:pStyle w:val="TableParagraph"/>
              <w:spacing w:before="2"/>
              <w:ind w:left="107"/>
              <w:rPr>
                <w:sz w:val="26"/>
              </w:rPr>
            </w:pPr>
            <w:r>
              <w:rPr>
                <w:sz w:val="26"/>
              </w:rPr>
              <w:t>ND</w:t>
            </w:r>
          </w:p>
        </w:tc>
        <w:tc>
          <w:tcPr>
            <w:tcW w:w="903" w:type="dxa"/>
          </w:tcPr>
          <w:p>
            <w:pPr>
              <w:pStyle w:val="TableParagraph"/>
              <w:spacing w:before="2"/>
              <w:ind w:left="105"/>
              <w:rPr>
                <w:sz w:val="26"/>
              </w:rPr>
            </w:pPr>
            <w:r>
              <w:rPr>
                <w:sz w:val="26"/>
              </w:rPr>
              <w:t>&lt;---</w:t>
            </w:r>
          </w:p>
        </w:tc>
        <w:tc>
          <w:tcPr>
            <w:tcW w:w="1396" w:type="dxa"/>
          </w:tcPr>
          <w:p>
            <w:pPr>
              <w:pStyle w:val="TableParagraph"/>
              <w:spacing w:before="2"/>
              <w:ind w:left="104"/>
              <w:rPr>
                <w:sz w:val="26"/>
              </w:rPr>
            </w:pPr>
            <w:r>
              <w:rPr>
                <w:sz w:val="26"/>
              </w:rPr>
              <w:t>LTCT</w:t>
            </w:r>
          </w:p>
        </w:tc>
        <w:tc>
          <w:tcPr>
            <w:tcW w:w="906" w:type="dxa"/>
          </w:tcPr>
          <w:p>
            <w:pPr>
              <w:pStyle w:val="TableParagraph"/>
              <w:spacing w:before="2"/>
              <w:ind w:right="101"/>
              <w:jc w:val="right"/>
              <w:rPr>
                <w:sz w:val="26"/>
              </w:rPr>
            </w:pPr>
            <w:r>
              <w:rPr>
                <w:w w:val="95"/>
                <w:sz w:val="26"/>
              </w:rPr>
              <w:t>0,293</w:t>
            </w:r>
          </w:p>
        </w:tc>
        <w:tc>
          <w:tcPr>
            <w:tcW w:w="995" w:type="dxa"/>
          </w:tcPr>
          <w:p>
            <w:pPr>
              <w:pStyle w:val="TableParagraph"/>
              <w:spacing w:before="2"/>
              <w:ind w:right="105"/>
              <w:jc w:val="right"/>
              <w:rPr>
                <w:sz w:val="26"/>
              </w:rPr>
            </w:pPr>
            <w:r>
              <w:rPr>
                <w:w w:val="95"/>
                <w:sz w:val="26"/>
              </w:rPr>
              <w:t>0,075</w:t>
            </w:r>
          </w:p>
        </w:tc>
        <w:tc>
          <w:tcPr>
            <w:tcW w:w="992" w:type="dxa"/>
          </w:tcPr>
          <w:p>
            <w:pPr>
              <w:pStyle w:val="TableParagraph"/>
              <w:spacing w:before="2"/>
              <w:ind w:right="105"/>
              <w:jc w:val="right"/>
              <w:rPr>
                <w:sz w:val="26"/>
              </w:rPr>
            </w:pPr>
            <w:r>
              <w:rPr>
                <w:w w:val="95"/>
                <w:sz w:val="26"/>
              </w:rPr>
              <w:t>3,884</w:t>
            </w:r>
          </w:p>
        </w:tc>
        <w:tc>
          <w:tcPr>
            <w:tcW w:w="992" w:type="dxa"/>
          </w:tcPr>
          <w:p>
            <w:pPr>
              <w:pStyle w:val="TableParagraph"/>
              <w:spacing w:before="2"/>
              <w:ind w:right="104"/>
              <w:jc w:val="right"/>
              <w:rPr>
                <w:sz w:val="26"/>
              </w:rPr>
            </w:pPr>
            <w:r>
              <w:rPr>
                <w:w w:val="95"/>
                <w:sz w:val="26"/>
              </w:rPr>
              <w:t>***</w:t>
            </w:r>
          </w:p>
        </w:tc>
        <w:tc>
          <w:tcPr>
            <w:tcW w:w="1420" w:type="dxa"/>
          </w:tcPr>
          <w:p>
            <w:pPr>
              <w:pStyle w:val="TableParagraph"/>
              <w:spacing w:before="2"/>
              <w:ind w:left="102"/>
              <w:rPr>
                <w:sz w:val="26"/>
              </w:rPr>
            </w:pPr>
            <w:r>
              <w:rPr>
                <w:sz w:val="26"/>
              </w:rPr>
              <w:t>0,151</w:t>
            </w:r>
          </w:p>
        </w:tc>
      </w:tr>
      <w:tr>
        <w:trPr>
          <w:trHeight w:val="448" w:hRule="atLeast"/>
        </w:trPr>
        <w:tc>
          <w:tcPr>
            <w:tcW w:w="1301" w:type="dxa"/>
          </w:tcPr>
          <w:p>
            <w:pPr>
              <w:pStyle w:val="TableParagraph"/>
              <w:spacing w:before="2"/>
              <w:ind w:left="107"/>
              <w:rPr>
                <w:sz w:val="26"/>
              </w:rPr>
            </w:pPr>
            <w:r>
              <w:rPr>
                <w:sz w:val="26"/>
              </w:rPr>
              <w:t>TC</w:t>
            </w:r>
          </w:p>
        </w:tc>
        <w:tc>
          <w:tcPr>
            <w:tcW w:w="903" w:type="dxa"/>
          </w:tcPr>
          <w:p>
            <w:pPr>
              <w:pStyle w:val="TableParagraph"/>
              <w:spacing w:before="2"/>
              <w:ind w:left="105"/>
              <w:rPr>
                <w:sz w:val="26"/>
              </w:rPr>
            </w:pPr>
            <w:r>
              <w:rPr>
                <w:sz w:val="26"/>
              </w:rPr>
              <w:t>&lt;---</w:t>
            </w:r>
          </w:p>
        </w:tc>
        <w:tc>
          <w:tcPr>
            <w:tcW w:w="1396" w:type="dxa"/>
          </w:tcPr>
          <w:p>
            <w:pPr>
              <w:pStyle w:val="TableParagraph"/>
              <w:spacing w:before="2"/>
              <w:ind w:left="104"/>
              <w:rPr>
                <w:sz w:val="26"/>
              </w:rPr>
            </w:pPr>
            <w:r>
              <w:rPr>
                <w:sz w:val="26"/>
              </w:rPr>
              <w:t>LTCT</w:t>
            </w:r>
          </w:p>
        </w:tc>
        <w:tc>
          <w:tcPr>
            <w:tcW w:w="906" w:type="dxa"/>
          </w:tcPr>
          <w:p>
            <w:pPr>
              <w:pStyle w:val="TableParagraph"/>
              <w:spacing w:before="2"/>
              <w:ind w:right="101"/>
              <w:jc w:val="right"/>
              <w:rPr>
                <w:sz w:val="26"/>
              </w:rPr>
            </w:pPr>
            <w:r>
              <w:rPr>
                <w:w w:val="95"/>
                <w:sz w:val="26"/>
              </w:rPr>
              <w:t>0,529</w:t>
            </w:r>
          </w:p>
        </w:tc>
        <w:tc>
          <w:tcPr>
            <w:tcW w:w="995" w:type="dxa"/>
          </w:tcPr>
          <w:p>
            <w:pPr>
              <w:pStyle w:val="TableParagraph"/>
              <w:spacing w:before="2"/>
              <w:ind w:right="105"/>
              <w:jc w:val="right"/>
              <w:rPr>
                <w:sz w:val="26"/>
              </w:rPr>
            </w:pPr>
            <w:r>
              <w:rPr>
                <w:w w:val="95"/>
                <w:sz w:val="26"/>
              </w:rPr>
              <w:t>0,093</w:t>
            </w:r>
          </w:p>
        </w:tc>
        <w:tc>
          <w:tcPr>
            <w:tcW w:w="992" w:type="dxa"/>
          </w:tcPr>
          <w:p>
            <w:pPr>
              <w:pStyle w:val="TableParagraph"/>
              <w:spacing w:before="2"/>
              <w:ind w:right="105"/>
              <w:jc w:val="right"/>
              <w:rPr>
                <w:sz w:val="26"/>
              </w:rPr>
            </w:pPr>
            <w:r>
              <w:rPr>
                <w:w w:val="95"/>
                <w:sz w:val="26"/>
              </w:rPr>
              <w:t>5,693</w:t>
            </w:r>
          </w:p>
        </w:tc>
        <w:tc>
          <w:tcPr>
            <w:tcW w:w="992" w:type="dxa"/>
          </w:tcPr>
          <w:p>
            <w:pPr>
              <w:pStyle w:val="TableParagraph"/>
              <w:spacing w:before="2"/>
              <w:ind w:right="104"/>
              <w:jc w:val="right"/>
              <w:rPr>
                <w:sz w:val="26"/>
              </w:rPr>
            </w:pPr>
            <w:r>
              <w:rPr>
                <w:w w:val="95"/>
                <w:sz w:val="26"/>
              </w:rPr>
              <w:t>***</w:t>
            </w:r>
          </w:p>
        </w:tc>
        <w:tc>
          <w:tcPr>
            <w:tcW w:w="1420" w:type="dxa"/>
          </w:tcPr>
          <w:p>
            <w:pPr>
              <w:pStyle w:val="TableParagraph"/>
              <w:spacing w:before="2"/>
              <w:ind w:left="102"/>
              <w:rPr>
                <w:sz w:val="26"/>
              </w:rPr>
            </w:pPr>
            <w:r>
              <w:rPr>
                <w:sz w:val="26"/>
              </w:rPr>
              <w:t>0,360</w:t>
            </w:r>
          </w:p>
        </w:tc>
      </w:tr>
      <w:tr>
        <w:trPr>
          <w:trHeight w:val="448" w:hRule="atLeast"/>
        </w:trPr>
        <w:tc>
          <w:tcPr>
            <w:tcW w:w="1301" w:type="dxa"/>
          </w:tcPr>
          <w:p>
            <w:pPr>
              <w:pStyle w:val="TableParagraph"/>
              <w:spacing w:before="2"/>
              <w:ind w:left="107"/>
              <w:rPr>
                <w:sz w:val="26"/>
              </w:rPr>
            </w:pPr>
            <w:r>
              <w:rPr>
                <w:sz w:val="26"/>
              </w:rPr>
              <w:t>LTCT</w:t>
            </w:r>
          </w:p>
        </w:tc>
        <w:tc>
          <w:tcPr>
            <w:tcW w:w="903" w:type="dxa"/>
          </w:tcPr>
          <w:p>
            <w:pPr>
              <w:pStyle w:val="TableParagraph"/>
              <w:spacing w:before="2"/>
              <w:ind w:left="105"/>
              <w:rPr>
                <w:sz w:val="26"/>
              </w:rPr>
            </w:pPr>
            <w:r>
              <w:rPr>
                <w:sz w:val="26"/>
              </w:rPr>
              <w:t>&lt;---</w:t>
            </w:r>
          </w:p>
        </w:tc>
        <w:tc>
          <w:tcPr>
            <w:tcW w:w="1396" w:type="dxa"/>
          </w:tcPr>
          <w:p>
            <w:pPr>
              <w:pStyle w:val="TableParagraph"/>
              <w:spacing w:before="2"/>
              <w:ind w:left="104"/>
              <w:rPr>
                <w:sz w:val="26"/>
              </w:rPr>
            </w:pPr>
            <w:r>
              <w:rPr>
                <w:sz w:val="26"/>
              </w:rPr>
              <w:t>HL</w:t>
            </w:r>
          </w:p>
        </w:tc>
        <w:tc>
          <w:tcPr>
            <w:tcW w:w="906" w:type="dxa"/>
          </w:tcPr>
          <w:p>
            <w:pPr>
              <w:pStyle w:val="TableParagraph"/>
              <w:spacing w:before="2"/>
              <w:ind w:right="101"/>
              <w:jc w:val="right"/>
              <w:rPr>
                <w:sz w:val="26"/>
              </w:rPr>
            </w:pPr>
            <w:r>
              <w:rPr>
                <w:w w:val="95"/>
                <w:sz w:val="26"/>
              </w:rPr>
              <w:t>0,501</w:t>
            </w:r>
          </w:p>
        </w:tc>
        <w:tc>
          <w:tcPr>
            <w:tcW w:w="995" w:type="dxa"/>
          </w:tcPr>
          <w:p>
            <w:pPr>
              <w:pStyle w:val="TableParagraph"/>
              <w:spacing w:before="2"/>
              <w:ind w:right="105"/>
              <w:jc w:val="right"/>
              <w:rPr>
                <w:sz w:val="26"/>
              </w:rPr>
            </w:pPr>
            <w:r>
              <w:rPr>
                <w:w w:val="95"/>
                <w:sz w:val="26"/>
              </w:rPr>
              <w:t>0,043</w:t>
            </w:r>
          </w:p>
        </w:tc>
        <w:tc>
          <w:tcPr>
            <w:tcW w:w="992" w:type="dxa"/>
          </w:tcPr>
          <w:p>
            <w:pPr>
              <w:pStyle w:val="TableParagraph"/>
              <w:spacing w:before="2"/>
              <w:ind w:right="105"/>
              <w:jc w:val="right"/>
              <w:rPr>
                <w:sz w:val="26"/>
              </w:rPr>
            </w:pPr>
            <w:r>
              <w:rPr>
                <w:w w:val="95"/>
                <w:sz w:val="26"/>
              </w:rPr>
              <w:t>3,111</w:t>
            </w:r>
          </w:p>
        </w:tc>
        <w:tc>
          <w:tcPr>
            <w:tcW w:w="992" w:type="dxa"/>
          </w:tcPr>
          <w:p>
            <w:pPr>
              <w:pStyle w:val="TableParagraph"/>
              <w:spacing w:before="2"/>
              <w:ind w:right="104"/>
              <w:jc w:val="right"/>
              <w:rPr>
                <w:sz w:val="26"/>
              </w:rPr>
            </w:pPr>
            <w:r>
              <w:rPr>
                <w:w w:val="95"/>
                <w:sz w:val="26"/>
              </w:rPr>
              <w:t>***</w:t>
            </w:r>
          </w:p>
        </w:tc>
        <w:tc>
          <w:tcPr>
            <w:tcW w:w="1420" w:type="dxa"/>
          </w:tcPr>
          <w:p>
            <w:pPr>
              <w:pStyle w:val="TableParagraph"/>
              <w:spacing w:before="2"/>
              <w:ind w:left="102"/>
              <w:rPr>
                <w:sz w:val="26"/>
              </w:rPr>
            </w:pPr>
            <w:r>
              <w:rPr>
                <w:sz w:val="26"/>
              </w:rPr>
              <w:t>0,450</w:t>
            </w:r>
          </w:p>
        </w:tc>
      </w:tr>
      <w:tr>
        <w:trPr>
          <w:trHeight w:val="448" w:hRule="atLeast"/>
        </w:trPr>
        <w:tc>
          <w:tcPr>
            <w:tcW w:w="1301" w:type="dxa"/>
          </w:tcPr>
          <w:p>
            <w:pPr>
              <w:pStyle w:val="TableParagraph"/>
              <w:spacing w:before="2"/>
              <w:ind w:left="107"/>
              <w:rPr>
                <w:sz w:val="26"/>
              </w:rPr>
            </w:pPr>
            <w:r>
              <w:rPr>
                <w:sz w:val="26"/>
              </w:rPr>
              <w:t>LTCT</w:t>
            </w:r>
          </w:p>
        </w:tc>
        <w:tc>
          <w:tcPr>
            <w:tcW w:w="903" w:type="dxa"/>
          </w:tcPr>
          <w:p>
            <w:pPr>
              <w:pStyle w:val="TableParagraph"/>
              <w:spacing w:before="2"/>
              <w:ind w:left="105"/>
              <w:rPr>
                <w:sz w:val="26"/>
              </w:rPr>
            </w:pPr>
            <w:r>
              <w:rPr>
                <w:sz w:val="26"/>
              </w:rPr>
              <w:t>&lt;---</w:t>
            </w:r>
          </w:p>
        </w:tc>
        <w:tc>
          <w:tcPr>
            <w:tcW w:w="1396" w:type="dxa"/>
          </w:tcPr>
          <w:p>
            <w:pPr>
              <w:pStyle w:val="TableParagraph"/>
              <w:spacing w:before="2"/>
              <w:ind w:left="104"/>
              <w:rPr>
                <w:sz w:val="26"/>
              </w:rPr>
            </w:pPr>
            <w:r>
              <w:rPr>
                <w:sz w:val="26"/>
              </w:rPr>
              <w:t>LI</w:t>
            </w:r>
          </w:p>
        </w:tc>
        <w:tc>
          <w:tcPr>
            <w:tcW w:w="906" w:type="dxa"/>
          </w:tcPr>
          <w:p>
            <w:pPr>
              <w:pStyle w:val="TableParagraph"/>
              <w:spacing w:before="2"/>
              <w:ind w:right="101"/>
              <w:jc w:val="right"/>
              <w:rPr>
                <w:sz w:val="26"/>
              </w:rPr>
            </w:pPr>
            <w:r>
              <w:rPr>
                <w:w w:val="95"/>
                <w:sz w:val="26"/>
              </w:rPr>
              <w:t>0,261</w:t>
            </w:r>
          </w:p>
        </w:tc>
        <w:tc>
          <w:tcPr>
            <w:tcW w:w="995" w:type="dxa"/>
          </w:tcPr>
          <w:p>
            <w:pPr>
              <w:pStyle w:val="TableParagraph"/>
              <w:spacing w:before="2"/>
              <w:ind w:right="105"/>
              <w:jc w:val="right"/>
              <w:rPr>
                <w:sz w:val="26"/>
              </w:rPr>
            </w:pPr>
            <w:r>
              <w:rPr>
                <w:w w:val="95"/>
                <w:sz w:val="26"/>
              </w:rPr>
              <w:t>0,055</w:t>
            </w:r>
          </w:p>
        </w:tc>
        <w:tc>
          <w:tcPr>
            <w:tcW w:w="992" w:type="dxa"/>
          </w:tcPr>
          <w:p>
            <w:pPr>
              <w:pStyle w:val="TableParagraph"/>
              <w:spacing w:before="2"/>
              <w:ind w:right="105"/>
              <w:jc w:val="right"/>
              <w:rPr>
                <w:sz w:val="26"/>
              </w:rPr>
            </w:pPr>
            <w:r>
              <w:rPr>
                <w:w w:val="95"/>
                <w:sz w:val="26"/>
              </w:rPr>
              <w:t>4,757</w:t>
            </w:r>
          </w:p>
        </w:tc>
        <w:tc>
          <w:tcPr>
            <w:tcW w:w="992" w:type="dxa"/>
          </w:tcPr>
          <w:p>
            <w:pPr>
              <w:pStyle w:val="TableParagraph"/>
              <w:spacing w:before="2"/>
              <w:ind w:right="104"/>
              <w:jc w:val="right"/>
              <w:rPr>
                <w:sz w:val="26"/>
              </w:rPr>
            </w:pPr>
            <w:r>
              <w:rPr>
                <w:w w:val="95"/>
                <w:sz w:val="26"/>
              </w:rPr>
              <w:t>***</w:t>
            </w:r>
          </w:p>
        </w:tc>
        <w:tc>
          <w:tcPr>
            <w:tcW w:w="1420" w:type="dxa"/>
          </w:tcPr>
          <w:p>
            <w:pPr>
              <w:pStyle w:val="TableParagraph"/>
              <w:spacing w:before="2"/>
              <w:ind w:left="102"/>
              <w:rPr>
                <w:sz w:val="26"/>
              </w:rPr>
            </w:pPr>
            <w:r>
              <w:rPr>
                <w:sz w:val="26"/>
              </w:rPr>
              <w:t>0,249</w:t>
            </w:r>
          </w:p>
        </w:tc>
      </w:tr>
    </w:tbl>
    <w:p>
      <w:pPr>
        <w:spacing w:before="0"/>
        <w:ind w:left="6842" w:right="0" w:firstLine="0"/>
        <w:jc w:val="left"/>
        <w:rPr>
          <w:i/>
          <w:sz w:val="24"/>
        </w:rPr>
      </w:pPr>
      <w:r>
        <w:rPr>
          <w:i/>
          <w:sz w:val="24"/>
        </w:rPr>
        <w:t>Nguồn: Xử lý dữ liệu từ Amos23</w:t>
      </w:r>
    </w:p>
    <w:p>
      <w:pPr>
        <w:pStyle w:val="BodyText"/>
        <w:spacing w:line="360" w:lineRule="auto" w:before="139"/>
        <w:ind w:left="882" w:right="903" w:firstLine="427"/>
      </w:pPr>
      <w:r>
        <w:rPr/>
        <w:drawing>
          <wp:anchor distT="0" distB="0" distL="0" distR="0" allowOverlap="1" layoutInCell="1" locked="0" behindDoc="0" simplePos="0" relativeHeight="82">
            <wp:simplePos x="0" y="0"/>
            <wp:positionH relativeFrom="page">
              <wp:posOffset>792480</wp:posOffset>
            </wp:positionH>
            <wp:positionV relativeFrom="paragraph">
              <wp:posOffset>706967</wp:posOffset>
            </wp:positionV>
            <wp:extent cx="5979609" cy="3764279"/>
            <wp:effectExtent l="0" t="0" r="0" b="0"/>
            <wp:wrapTopAndBottom/>
            <wp:docPr id="11" name="image16.jpeg"/>
            <wp:cNvGraphicFramePr>
              <a:graphicFrameLocks noChangeAspect="1"/>
            </wp:cNvGraphicFramePr>
            <a:graphic>
              <a:graphicData uri="http://schemas.openxmlformats.org/drawingml/2006/picture">
                <pic:pic>
                  <pic:nvPicPr>
                    <pic:cNvPr id="12" name="image16.jpeg"/>
                    <pic:cNvPicPr/>
                  </pic:nvPicPr>
                  <pic:blipFill>
                    <a:blip r:embed="rId25" cstate="print"/>
                    <a:stretch>
                      <a:fillRect/>
                    </a:stretch>
                  </pic:blipFill>
                  <pic:spPr>
                    <a:xfrm>
                      <a:off x="0" y="0"/>
                      <a:ext cx="5979609" cy="3764279"/>
                    </a:xfrm>
                    <a:prstGeom prst="rect">
                      <a:avLst/>
                    </a:prstGeom>
                  </pic:spPr>
                </pic:pic>
              </a:graphicData>
            </a:graphic>
          </wp:anchor>
        </w:drawing>
      </w:r>
      <w:r>
        <w:rPr/>
        <w:t>Kết quả ước lượng của mô hình lý thuyết chính thức được trình bày ở hình 3.3 bên dưới và phụ lục 6 mục V</w:t>
      </w:r>
    </w:p>
    <w:p>
      <w:pPr>
        <w:pStyle w:val="Heading6"/>
        <w:spacing w:before="36"/>
        <w:ind w:left="858"/>
      </w:pPr>
      <w:r>
        <w:rPr/>
        <w:t>Hình 3.6: Kết quả SEM của mô hình lý thuyết chuẩn hóa lợi thế cạnh tranh cảng</w:t>
      </w:r>
    </w:p>
    <w:p>
      <w:pPr>
        <w:spacing w:after="0"/>
        <w:sectPr>
          <w:pgSz w:w="11910" w:h="16850"/>
          <w:pgMar w:header="751" w:footer="0" w:top="960" w:bottom="280" w:left="820" w:right="240"/>
        </w:sectPr>
      </w:pPr>
    </w:p>
    <w:p>
      <w:pPr>
        <w:pStyle w:val="BodyText"/>
        <w:rPr>
          <w:b/>
          <w:sz w:val="20"/>
        </w:rPr>
      </w:pPr>
    </w:p>
    <w:p>
      <w:pPr>
        <w:pStyle w:val="BodyText"/>
        <w:spacing w:before="7"/>
        <w:rPr>
          <w:b/>
          <w:sz w:val="23"/>
        </w:rPr>
      </w:pPr>
    </w:p>
    <w:p>
      <w:pPr>
        <w:pStyle w:val="ListParagraph"/>
        <w:numPr>
          <w:ilvl w:val="2"/>
          <w:numId w:val="24"/>
        </w:numPr>
        <w:tabs>
          <w:tab w:pos="1595" w:val="left" w:leader="none"/>
        </w:tabs>
        <w:spacing w:line="240" w:lineRule="auto" w:before="89" w:after="0"/>
        <w:ind w:left="1594" w:right="0" w:hanging="713"/>
        <w:jc w:val="both"/>
        <w:rPr>
          <w:b/>
          <w:sz w:val="26"/>
        </w:rPr>
      </w:pPr>
      <w:r>
        <w:rPr>
          <w:b/>
          <w:sz w:val="26"/>
        </w:rPr>
        <w:t>Kiểm định ước lượng mô hình bằng</w:t>
      </w:r>
      <w:r>
        <w:rPr>
          <w:b/>
          <w:spacing w:val="-1"/>
          <w:sz w:val="26"/>
        </w:rPr>
        <w:t> </w:t>
      </w:r>
      <w:r>
        <w:rPr>
          <w:b/>
          <w:sz w:val="26"/>
        </w:rPr>
        <w:t>Boottrap</w:t>
      </w:r>
    </w:p>
    <w:p>
      <w:pPr>
        <w:pStyle w:val="BodyText"/>
        <w:spacing w:line="360" w:lineRule="auto" w:before="150"/>
        <w:ind w:left="882" w:right="891" w:firstLine="719"/>
        <w:jc w:val="both"/>
      </w:pPr>
      <w:r>
        <w:rPr/>
        <w:t>Kiểm định tính bền vững của mô hình bằng phương pháp Bootstrap với số lượng mẫu lặp lại N = 1000. Kết quả ước lượng từ 1000 mẫu được tính trung bình kèm theo độ chệch được trình bày trong bảng 3.16. Theo kết quả nhận thấy rằng độ chệch xuất hiện nhưng không nhiều và lớn vì vậy có thể kết luận là các ước lượng trong mô hình có thể tin cậy được.</w:t>
      </w:r>
    </w:p>
    <w:p>
      <w:pPr>
        <w:pStyle w:val="Heading6"/>
        <w:spacing w:line="298" w:lineRule="exact"/>
        <w:ind w:left="2682"/>
      </w:pPr>
      <w:r>
        <w:rPr/>
        <w:t>Bảng 3.16 Kết quả ước lượng bằng Bootstrap với N = 1000</w:t>
      </w:r>
    </w:p>
    <w:p>
      <w:pPr>
        <w:pStyle w:val="BodyText"/>
        <w:spacing w:before="9"/>
        <w:rPr>
          <w:b/>
          <w:sz w:val="12"/>
        </w:rPr>
      </w:pPr>
    </w:p>
    <w:tbl>
      <w:tblPr>
        <w:tblW w:w="0" w:type="auto"/>
        <w:jc w:val="left"/>
        <w:tblInd w:w="77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1243"/>
        <w:gridCol w:w="849"/>
        <w:gridCol w:w="1277"/>
        <w:gridCol w:w="849"/>
        <w:gridCol w:w="991"/>
        <w:gridCol w:w="993"/>
        <w:gridCol w:w="849"/>
        <w:gridCol w:w="1135"/>
        <w:gridCol w:w="849"/>
      </w:tblGrid>
      <w:tr>
        <w:trPr>
          <w:trHeight w:val="448" w:hRule="atLeast"/>
        </w:trPr>
        <w:tc>
          <w:tcPr>
            <w:tcW w:w="3369" w:type="dxa"/>
            <w:gridSpan w:val="3"/>
          </w:tcPr>
          <w:p>
            <w:pPr>
              <w:pStyle w:val="TableParagraph"/>
              <w:spacing w:before="2"/>
              <w:ind w:left="990"/>
              <w:rPr>
                <w:b/>
                <w:sz w:val="26"/>
              </w:rPr>
            </w:pPr>
            <w:r>
              <w:rPr>
                <w:b/>
                <w:sz w:val="26"/>
              </w:rPr>
              <w:t>Các quan hệ</w:t>
            </w:r>
          </w:p>
        </w:tc>
        <w:tc>
          <w:tcPr>
            <w:tcW w:w="5666" w:type="dxa"/>
            <w:gridSpan w:val="6"/>
          </w:tcPr>
          <w:p>
            <w:pPr>
              <w:pStyle w:val="TableParagraph"/>
              <w:spacing w:before="2"/>
              <w:ind w:left="1613"/>
              <w:rPr>
                <w:b/>
                <w:sz w:val="26"/>
              </w:rPr>
            </w:pPr>
            <w:r>
              <w:rPr>
                <w:b/>
                <w:sz w:val="26"/>
              </w:rPr>
              <w:t>Ước Lượng Bootstrap</w:t>
            </w:r>
          </w:p>
        </w:tc>
      </w:tr>
      <w:tr>
        <w:trPr>
          <w:trHeight w:val="897" w:hRule="atLeast"/>
        </w:trPr>
        <w:tc>
          <w:tcPr>
            <w:tcW w:w="1243" w:type="dxa"/>
          </w:tcPr>
          <w:p>
            <w:pPr>
              <w:pStyle w:val="TableParagraph"/>
              <w:spacing w:before="2"/>
              <w:ind w:left="242"/>
              <w:rPr>
                <w:sz w:val="26"/>
              </w:rPr>
            </w:pPr>
            <w:r>
              <w:rPr>
                <w:sz w:val="26"/>
              </w:rPr>
              <w:t>Biến bị</w:t>
            </w:r>
          </w:p>
          <w:p>
            <w:pPr>
              <w:pStyle w:val="TableParagraph"/>
              <w:spacing w:before="150"/>
              <w:ind w:left="177"/>
              <w:rPr>
                <w:sz w:val="26"/>
              </w:rPr>
            </w:pPr>
            <w:r>
              <w:rPr>
                <w:sz w:val="26"/>
              </w:rPr>
              <w:t>tác động</w:t>
            </w:r>
          </w:p>
        </w:tc>
        <w:tc>
          <w:tcPr>
            <w:tcW w:w="849" w:type="dxa"/>
          </w:tcPr>
          <w:p>
            <w:pPr>
              <w:pStyle w:val="TableParagraph"/>
              <w:rPr>
                <w:sz w:val="24"/>
              </w:rPr>
            </w:pPr>
          </w:p>
        </w:tc>
        <w:tc>
          <w:tcPr>
            <w:tcW w:w="1277" w:type="dxa"/>
          </w:tcPr>
          <w:p>
            <w:pPr>
              <w:pStyle w:val="TableParagraph"/>
              <w:spacing w:before="2"/>
              <w:ind w:left="187" w:right="179"/>
              <w:jc w:val="center"/>
              <w:rPr>
                <w:sz w:val="26"/>
              </w:rPr>
            </w:pPr>
            <w:r>
              <w:rPr>
                <w:sz w:val="26"/>
              </w:rPr>
              <w:t>Biến tác</w:t>
            </w:r>
          </w:p>
          <w:p>
            <w:pPr>
              <w:pStyle w:val="TableParagraph"/>
              <w:spacing w:before="150"/>
              <w:ind w:left="186" w:right="179"/>
              <w:jc w:val="center"/>
              <w:rPr>
                <w:sz w:val="26"/>
              </w:rPr>
            </w:pPr>
            <w:r>
              <w:rPr>
                <w:sz w:val="26"/>
              </w:rPr>
              <w:t>động</w:t>
            </w:r>
          </w:p>
        </w:tc>
        <w:tc>
          <w:tcPr>
            <w:tcW w:w="849" w:type="dxa"/>
          </w:tcPr>
          <w:p>
            <w:pPr>
              <w:pStyle w:val="TableParagraph"/>
              <w:spacing w:before="228"/>
              <w:ind w:left="108"/>
              <w:rPr>
                <w:sz w:val="26"/>
              </w:rPr>
            </w:pPr>
            <w:r>
              <w:rPr>
                <w:sz w:val="26"/>
              </w:rPr>
              <w:t>SE</w:t>
            </w:r>
          </w:p>
        </w:tc>
        <w:tc>
          <w:tcPr>
            <w:tcW w:w="991" w:type="dxa"/>
          </w:tcPr>
          <w:p>
            <w:pPr>
              <w:pStyle w:val="TableParagraph"/>
              <w:spacing w:before="228"/>
              <w:ind w:left="109"/>
              <w:rPr>
                <w:sz w:val="26"/>
              </w:rPr>
            </w:pPr>
            <w:r>
              <w:rPr>
                <w:sz w:val="26"/>
              </w:rPr>
              <w:t>SE-SE</w:t>
            </w:r>
          </w:p>
        </w:tc>
        <w:tc>
          <w:tcPr>
            <w:tcW w:w="993" w:type="dxa"/>
          </w:tcPr>
          <w:p>
            <w:pPr>
              <w:pStyle w:val="TableParagraph"/>
              <w:spacing w:before="228"/>
              <w:ind w:left="110"/>
              <w:rPr>
                <w:sz w:val="26"/>
              </w:rPr>
            </w:pPr>
            <w:r>
              <w:rPr>
                <w:sz w:val="26"/>
              </w:rPr>
              <w:t>Mean</w:t>
            </w:r>
          </w:p>
        </w:tc>
        <w:tc>
          <w:tcPr>
            <w:tcW w:w="849" w:type="dxa"/>
          </w:tcPr>
          <w:p>
            <w:pPr>
              <w:pStyle w:val="TableParagraph"/>
              <w:spacing w:before="228"/>
              <w:ind w:left="91" w:right="245"/>
              <w:jc w:val="center"/>
              <w:rPr>
                <w:sz w:val="26"/>
              </w:rPr>
            </w:pPr>
            <w:r>
              <w:rPr>
                <w:sz w:val="26"/>
              </w:rPr>
              <w:t>Bias</w:t>
            </w:r>
          </w:p>
        </w:tc>
        <w:tc>
          <w:tcPr>
            <w:tcW w:w="1135" w:type="dxa"/>
          </w:tcPr>
          <w:p>
            <w:pPr>
              <w:pStyle w:val="TableParagraph"/>
              <w:spacing w:before="228"/>
              <w:ind w:left="111"/>
              <w:rPr>
                <w:sz w:val="26"/>
              </w:rPr>
            </w:pPr>
            <w:r>
              <w:rPr>
                <w:sz w:val="26"/>
              </w:rPr>
              <w:t>SE-Bias</w:t>
            </w:r>
          </w:p>
        </w:tc>
        <w:tc>
          <w:tcPr>
            <w:tcW w:w="849" w:type="dxa"/>
          </w:tcPr>
          <w:p>
            <w:pPr>
              <w:pStyle w:val="TableParagraph"/>
              <w:spacing w:before="2"/>
              <w:ind w:left="109"/>
              <w:rPr>
                <w:sz w:val="26"/>
              </w:rPr>
            </w:pPr>
            <w:r>
              <w:rPr>
                <w:sz w:val="26"/>
              </w:rPr>
              <w:t>CR</w:t>
            </w:r>
          </w:p>
        </w:tc>
      </w:tr>
      <w:tr>
        <w:trPr>
          <w:trHeight w:val="448" w:hRule="atLeast"/>
        </w:trPr>
        <w:tc>
          <w:tcPr>
            <w:tcW w:w="1243" w:type="dxa"/>
          </w:tcPr>
          <w:p>
            <w:pPr>
              <w:pStyle w:val="TableParagraph"/>
              <w:spacing w:before="2"/>
              <w:ind w:left="107"/>
              <w:rPr>
                <w:sz w:val="26"/>
              </w:rPr>
            </w:pPr>
            <w:r>
              <w:rPr>
                <w:sz w:val="26"/>
              </w:rPr>
              <w:t>CLDV</w:t>
            </w:r>
          </w:p>
        </w:tc>
        <w:tc>
          <w:tcPr>
            <w:tcW w:w="849" w:type="dxa"/>
          </w:tcPr>
          <w:p>
            <w:pPr>
              <w:pStyle w:val="TableParagraph"/>
              <w:spacing w:before="2"/>
              <w:ind w:left="105"/>
              <w:rPr>
                <w:sz w:val="26"/>
              </w:rPr>
            </w:pPr>
            <w:r>
              <w:rPr>
                <w:sz w:val="26"/>
              </w:rPr>
              <w:t>&lt;---</w:t>
            </w:r>
          </w:p>
        </w:tc>
        <w:tc>
          <w:tcPr>
            <w:tcW w:w="1277" w:type="dxa"/>
          </w:tcPr>
          <w:p>
            <w:pPr>
              <w:pStyle w:val="TableParagraph"/>
              <w:spacing w:before="2"/>
              <w:ind w:left="108"/>
              <w:rPr>
                <w:sz w:val="26"/>
              </w:rPr>
            </w:pPr>
            <w:r>
              <w:rPr>
                <w:sz w:val="26"/>
              </w:rPr>
              <w:t>LTCT</w:t>
            </w:r>
          </w:p>
        </w:tc>
        <w:tc>
          <w:tcPr>
            <w:tcW w:w="849" w:type="dxa"/>
          </w:tcPr>
          <w:p>
            <w:pPr>
              <w:pStyle w:val="TableParagraph"/>
              <w:spacing w:before="2"/>
              <w:ind w:left="108"/>
              <w:rPr>
                <w:sz w:val="26"/>
              </w:rPr>
            </w:pPr>
            <w:r>
              <w:rPr>
                <w:sz w:val="26"/>
              </w:rPr>
              <w:t>0,043</w:t>
            </w:r>
          </w:p>
        </w:tc>
        <w:tc>
          <w:tcPr>
            <w:tcW w:w="991" w:type="dxa"/>
          </w:tcPr>
          <w:p>
            <w:pPr>
              <w:pStyle w:val="TableParagraph"/>
              <w:spacing w:before="2"/>
              <w:ind w:left="109"/>
              <w:rPr>
                <w:sz w:val="26"/>
              </w:rPr>
            </w:pPr>
            <w:r>
              <w:rPr>
                <w:sz w:val="26"/>
              </w:rPr>
              <w:t>0,001</w:t>
            </w:r>
          </w:p>
        </w:tc>
        <w:tc>
          <w:tcPr>
            <w:tcW w:w="993" w:type="dxa"/>
          </w:tcPr>
          <w:p>
            <w:pPr>
              <w:pStyle w:val="TableParagraph"/>
              <w:spacing w:before="2"/>
              <w:ind w:left="110"/>
              <w:rPr>
                <w:sz w:val="26"/>
              </w:rPr>
            </w:pPr>
            <w:r>
              <w:rPr>
                <w:sz w:val="26"/>
              </w:rPr>
              <w:t>0,500</w:t>
            </w:r>
          </w:p>
        </w:tc>
        <w:tc>
          <w:tcPr>
            <w:tcW w:w="849" w:type="dxa"/>
          </w:tcPr>
          <w:p>
            <w:pPr>
              <w:pStyle w:val="TableParagraph"/>
              <w:spacing w:before="2"/>
              <w:ind w:left="91" w:right="123"/>
              <w:jc w:val="center"/>
              <w:rPr>
                <w:sz w:val="26"/>
              </w:rPr>
            </w:pPr>
            <w:r>
              <w:rPr>
                <w:sz w:val="26"/>
              </w:rPr>
              <w:t>0,000</w:t>
            </w:r>
          </w:p>
        </w:tc>
        <w:tc>
          <w:tcPr>
            <w:tcW w:w="1135" w:type="dxa"/>
          </w:tcPr>
          <w:p>
            <w:pPr>
              <w:pStyle w:val="TableParagraph"/>
              <w:spacing w:before="2"/>
              <w:ind w:left="111"/>
              <w:rPr>
                <w:sz w:val="26"/>
              </w:rPr>
            </w:pPr>
            <w:r>
              <w:rPr>
                <w:sz w:val="26"/>
              </w:rPr>
              <w:t>0,000</w:t>
            </w:r>
          </w:p>
        </w:tc>
        <w:tc>
          <w:tcPr>
            <w:tcW w:w="849" w:type="dxa"/>
          </w:tcPr>
          <w:p>
            <w:pPr>
              <w:pStyle w:val="TableParagraph"/>
              <w:spacing w:before="2"/>
              <w:ind w:left="109"/>
              <w:rPr>
                <w:sz w:val="26"/>
              </w:rPr>
            </w:pPr>
            <w:r>
              <w:rPr>
                <w:sz w:val="26"/>
              </w:rPr>
              <w:t>0,00</w:t>
            </w:r>
          </w:p>
        </w:tc>
      </w:tr>
      <w:tr>
        <w:trPr>
          <w:trHeight w:val="448" w:hRule="atLeast"/>
        </w:trPr>
        <w:tc>
          <w:tcPr>
            <w:tcW w:w="1243" w:type="dxa"/>
          </w:tcPr>
          <w:p>
            <w:pPr>
              <w:pStyle w:val="TableParagraph"/>
              <w:spacing w:before="2"/>
              <w:ind w:left="107"/>
              <w:rPr>
                <w:sz w:val="26"/>
              </w:rPr>
            </w:pPr>
            <w:r>
              <w:rPr>
                <w:sz w:val="26"/>
              </w:rPr>
              <w:t>CP</w:t>
            </w:r>
          </w:p>
        </w:tc>
        <w:tc>
          <w:tcPr>
            <w:tcW w:w="849" w:type="dxa"/>
          </w:tcPr>
          <w:p>
            <w:pPr>
              <w:pStyle w:val="TableParagraph"/>
              <w:spacing w:before="2"/>
              <w:ind w:left="105"/>
              <w:rPr>
                <w:sz w:val="26"/>
              </w:rPr>
            </w:pPr>
            <w:r>
              <w:rPr>
                <w:sz w:val="26"/>
              </w:rPr>
              <w:t>&lt;---</w:t>
            </w:r>
          </w:p>
        </w:tc>
        <w:tc>
          <w:tcPr>
            <w:tcW w:w="1277" w:type="dxa"/>
          </w:tcPr>
          <w:p>
            <w:pPr>
              <w:pStyle w:val="TableParagraph"/>
              <w:spacing w:before="2"/>
              <w:ind w:left="108"/>
              <w:rPr>
                <w:sz w:val="26"/>
              </w:rPr>
            </w:pPr>
            <w:r>
              <w:rPr>
                <w:sz w:val="26"/>
              </w:rPr>
              <w:t>LTCT</w:t>
            </w:r>
          </w:p>
        </w:tc>
        <w:tc>
          <w:tcPr>
            <w:tcW w:w="849" w:type="dxa"/>
          </w:tcPr>
          <w:p>
            <w:pPr>
              <w:pStyle w:val="TableParagraph"/>
              <w:spacing w:before="2"/>
              <w:ind w:left="108"/>
              <w:rPr>
                <w:sz w:val="26"/>
              </w:rPr>
            </w:pPr>
            <w:r>
              <w:rPr>
                <w:sz w:val="26"/>
              </w:rPr>
              <w:t>0,083</w:t>
            </w:r>
          </w:p>
        </w:tc>
        <w:tc>
          <w:tcPr>
            <w:tcW w:w="991" w:type="dxa"/>
          </w:tcPr>
          <w:p>
            <w:pPr>
              <w:pStyle w:val="TableParagraph"/>
              <w:spacing w:before="2"/>
              <w:ind w:left="109"/>
              <w:rPr>
                <w:sz w:val="26"/>
              </w:rPr>
            </w:pPr>
            <w:r>
              <w:rPr>
                <w:sz w:val="26"/>
              </w:rPr>
              <w:t>0,004</w:t>
            </w:r>
          </w:p>
        </w:tc>
        <w:tc>
          <w:tcPr>
            <w:tcW w:w="993" w:type="dxa"/>
          </w:tcPr>
          <w:p>
            <w:pPr>
              <w:pStyle w:val="TableParagraph"/>
              <w:spacing w:before="2"/>
              <w:ind w:left="110"/>
              <w:rPr>
                <w:sz w:val="26"/>
              </w:rPr>
            </w:pPr>
            <w:r>
              <w:rPr>
                <w:sz w:val="26"/>
              </w:rPr>
              <w:t>0,419</w:t>
            </w:r>
          </w:p>
        </w:tc>
        <w:tc>
          <w:tcPr>
            <w:tcW w:w="849" w:type="dxa"/>
          </w:tcPr>
          <w:p>
            <w:pPr>
              <w:pStyle w:val="TableParagraph"/>
              <w:spacing w:before="2"/>
              <w:ind w:left="91" w:right="123"/>
              <w:jc w:val="center"/>
              <w:rPr>
                <w:sz w:val="26"/>
              </w:rPr>
            </w:pPr>
            <w:r>
              <w:rPr>
                <w:sz w:val="26"/>
              </w:rPr>
              <w:t>0,002</w:t>
            </w:r>
          </w:p>
        </w:tc>
        <w:tc>
          <w:tcPr>
            <w:tcW w:w="1135" w:type="dxa"/>
          </w:tcPr>
          <w:p>
            <w:pPr>
              <w:pStyle w:val="TableParagraph"/>
              <w:spacing w:before="2"/>
              <w:ind w:left="111"/>
              <w:rPr>
                <w:sz w:val="26"/>
              </w:rPr>
            </w:pPr>
            <w:r>
              <w:rPr>
                <w:sz w:val="26"/>
              </w:rPr>
              <w:t>0,006</w:t>
            </w:r>
          </w:p>
        </w:tc>
        <w:tc>
          <w:tcPr>
            <w:tcW w:w="849" w:type="dxa"/>
          </w:tcPr>
          <w:p>
            <w:pPr>
              <w:pStyle w:val="TableParagraph"/>
              <w:spacing w:before="2"/>
              <w:ind w:left="109"/>
              <w:rPr>
                <w:sz w:val="26"/>
              </w:rPr>
            </w:pPr>
            <w:r>
              <w:rPr>
                <w:sz w:val="26"/>
              </w:rPr>
              <w:t>0,33</w:t>
            </w:r>
          </w:p>
        </w:tc>
      </w:tr>
      <w:tr>
        <w:trPr>
          <w:trHeight w:val="448" w:hRule="atLeast"/>
        </w:trPr>
        <w:tc>
          <w:tcPr>
            <w:tcW w:w="1243" w:type="dxa"/>
          </w:tcPr>
          <w:p>
            <w:pPr>
              <w:pStyle w:val="TableParagraph"/>
              <w:spacing w:before="2"/>
              <w:ind w:left="107"/>
              <w:rPr>
                <w:sz w:val="26"/>
              </w:rPr>
            </w:pPr>
            <w:r>
              <w:rPr>
                <w:sz w:val="26"/>
              </w:rPr>
              <w:t>VT</w:t>
            </w:r>
          </w:p>
        </w:tc>
        <w:tc>
          <w:tcPr>
            <w:tcW w:w="849" w:type="dxa"/>
          </w:tcPr>
          <w:p>
            <w:pPr>
              <w:pStyle w:val="TableParagraph"/>
              <w:spacing w:before="2"/>
              <w:ind w:left="105"/>
              <w:rPr>
                <w:sz w:val="26"/>
              </w:rPr>
            </w:pPr>
            <w:r>
              <w:rPr>
                <w:sz w:val="26"/>
              </w:rPr>
              <w:t>&lt;---</w:t>
            </w:r>
          </w:p>
        </w:tc>
        <w:tc>
          <w:tcPr>
            <w:tcW w:w="1277" w:type="dxa"/>
          </w:tcPr>
          <w:p>
            <w:pPr>
              <w:pStyle w:val="TableParagraph"/>
              <w:spacing w:before="2"/>
              <w:ind w:left="108"/>
              <w:rPr>
                <w:sz w:val="26"/>
              </w:rPr>
            </w:pPr>
            <w:r>
              <w:rPr>
                <w:sz w:val="26"/>
              </w:rPr>
              <w:t>LTCT</w:t>
            </w:r>
          </w:p>
        </w:tc>
        <w:tc>
          <w:tcPr>
            <w:tcW w:w="849" w:type="dxa"/>
          </w:tcPr>
          <w:p>
            <w:pPr>
              <w:pStyle w:val="TableParagraph"/>
              <w:spacing w:before="2"/>
              <w:ind w:left="108"/>
              <w:rPr>
                <w:sz w:val="26"/>
              </w:rPr>
            </w:pPr>
            <w:r>
              <w:rPr>
                <w:sz w:val="26"/>
              </w:rPr>
              <w:t>0,101</w:t>
            </w:r>
          </w:p>
        </w:tc>
        <w:tc>
          <w:tcPr>
            <w:tcW w:w="991" w:type="dxa"/>
          </w:tcPr>
          <w:p>
            <w:pPr>
              <w:pStyle w:val="TableParagraph"/>
              <w:spacing w:before="2"/>
              <w:ind w:left="109"/>
              <w:rPr>
                <w:sz w:val="26"/>
              </w:rPr>
            </w:pPr>
            <w:r>
              <w:rPr>
                <w:sz w:val="26"/>
              </w:rPr>
              <w:t>0,005</w:t>
            </w:r>
          </w:p>
        </w:tc>
        <w:tc>
          <w:tcPr>
            <w:tcW w:w="993" w:type="dxa"/>
          </w:tcPr>
          <w:p>
            <w:pPr>
              <w:pStyle w:val="TableParagraph"/>
              <w:spacing w:before="2"/>
              <w:ind w:left="110"/>
              <w:rPr>
                <w:sz w:val="26"/>
              </w:rPr>
            </w:pPr>
            <w:r>
              <w:rPr>
                <w:sz w:val="26"/>
              </w:rPr>
              <w:t>0,385</w:t>
            </w:r>
          </w:p>
        </w:tc>
        <w:tc>
          <w:tcPr>
            <w:tcW w:w="849" w:type="dxa"/>
          </w:tcPr>
          <w:p>
            <w:pPr>
              <w:pStyle w:val="TableParagraph"/>
              <w:spacing w:before="2"/>
              <w:ind w:left="91" w:right="123"/>
              <w:jc w:val="center"/>
              <w:rPr>
                <w:sz w:val="26"/>
              </w:rPr>
            </w:pPr>
            <w:r>
              <w:rPr>
                <w:sz w:val="26"/>
              </w:rPr>
              <w:t>0,002</w:t>
            </w:r>
          </w:p>
        </w:tc>
        <w:tc>
          <w:tcPr>
            <w:tcW w:w="1135" w:type="dxa"/>
          </w:tcPr>
          <w:p>
            <w:pPr>
              <w:pStyle w:val="TableParagraph"/>
              <w:spacing w:before="2"/>
              <w:ind w:left="111"/>
              <w:rPr>
                <w:sz w:val="26"/>
              </w:rPr>
            </w:pPr>
            <w:r>
              <w:rPr>
                <w:sz w:val="26"/>
              </w:rPr>
              <w:t>0,007</w:t>
            </w:r>
          </w:p>
        </w:tc>
        <w:tc>
          <w:tcPr>
            <w:tcW w:w="849" w:type="dxa"/>
          </w:tcPr>
          <w:p>
            <w:pPr>
              <w:pStyle w:val="TableParagraph"/>
              <w:spacing w:before="2"/>
              <w:ind w:left="109"/>
              <w:rPr>
                <w:sz w:val="26"/>
              </w:rPr>
            </w:pPr>
            <w:r>
              <w:rPr>
                <w:sz w:val="26"/>
              </w:rPr>
              <w:t>0,28</w:t>
            </w:r>
          </w:p>
        </w:tc>
      </w:tr>
      <w:tr>
        <w:trPr>
          <w:trHeight w:val="448" w:hRule="atLeast"/>
        </w:trPr>
        <w:tc>
          <w:tcPr>
            <w:tcW w:w="1243" w:type="dxa"/>
          </w:tcPr>
          <w:p>
            <w:pPr>
              <w:pStyle w:val="TableParagraph"/>
              <w:spacing w:before="2"/>
              <w:ind w:left="107"/>
              <w:rPr>
                <w:sz w:val="26"/>
              </w:rPr>
            </w:pPr>
            <w:r>
              <w:rPr>
                <w:sz w:val="26"/>
              </w:rPr>
              <w:t>HT</w:t>
            </w:r>
          </w:p>
        </w:tc>
        <w:tc>
          <w:tcPr>
            <w:tcW w:w="849" w:type="dxa"/>
          </w:tcPr>
          <w:p>
            <w:pPr>
              <w:pStyle w:val="TableParagraph"/>
              <w:spacing w:before="2"/>
              <w:ind w:left="105"/>
              <w:rPr>
                <w:sz w:val="26"/>
              </w:rPr>
            </w:pPr>
            <w:r>
              <w:rPr>
                <w:sz w:val="26"/>
              </w:rPr>
              <w:t>&lt;---</w:t>
            </w:r>
          </w:p>
        </w:tc>
        <w:tc>
          <w:tcPr>
            <w:tcW w:w="1277" w:type="dxa"/>
          </w:tcPr>
          <w:p>
            <w:pPr>
              <w:pStyle w:val="TableParagraph"/>
              <w:spacing w:before="2"/>
              <w:ind w:left="108"/>
              <w:rPr>
                <w:sz w:val="26"/>
              </w:rPr>
            </w:pPr>
            <w:r>
              <w:rPr>
                <w:sz w:val="26"/>
              </w:rPr>
              <w:t>LTCT</w:t>
            </w:r>
          </w:p>
        </w:tc>
        <w:tc>
          <w:tcPr>
            <w:tcW w:w="849" w:type="dxa"/>
          </w:tcPr>
          <w:p>
            <w:pPr>
              <w:pStyle w:val="TableParagraph"/>
              <w:spacing w:before="2"/>
              <w:ind w:left="108"/>
              <w:rPr>
                <w:sz w:val="26"/>
              </w:rPr>
            </w:pPr>
            <w:r>
              <w:rPr>
                <w:sz w:val="26"/>
              </w:rPr>
              <w:t>0,103</w:t>
            </w:r>
          </w:p>
        </w:tc>
        <w:tc>
          <w:tcPr>
            <w:tcW w:w="991" w:type="dxa"/>
          </w:tcPr>
          <w:p>
            <w:pPr>
              <w:pStyle w:val="TableParagraph"/>
              <w:spacing w:before="2"/>
              <w:ind w:left="109"/>
              <w:rPr>
                <w:sz w:val="26"/>
              </w:rPr>
            </w:pPr>
            <w:r>
              <w:rPr>
                <w:sz w:val="26"/>
              </w:rPr>
              <w:t>0,005</w:t>
            </w:r>
          </w:p>
        </w:tc>
        <w:tc>
          <w:tcPr>
            <w:tcW w:w="993" w:type="dxa"/>
          </w:tcPr>
          <w:p>
            <w:pPr>
              <w:pStyle w:val="TableParagraph"/>
              <w:spacing w:before="2"/>
              <w:ind w:left="110"/>
              <w:rPr>
                <w:sz w:val="26"/>
              </w:rPr>
            </w:pPr>
            <w:r>
              <w:rPr>
                <w:sz w:val="26"/>
              </w:rPr>
              <w:t>0,314</w:t>
            </w:r>
          </w:p>
        </w:tc>
        <w:tc>
          <w:tcPr>
            <w:tcW w:w="849" w:type="dxa"/>
          </w:tcPr>
          <w:p>
            <w:pPr>
              <w:pStyle w:val="TableParagraph"/>
              <w:spacing w:before="2"/>
              <w:ind w:left="91" w:right="123"/>
              <w:jc w:val="center"/>
              <w:rPr>
                <w:sz w:val="26"/>
              </w:rPr>
            </w:pPr>
            <w:r>
              <w:rPr>
                <w:sz w:val="26"/>
              </w:rPr>
              <w:t>0,007</w:t>
            </w:r>
          </w:p>
        </w:tc>
        <w:tc>
          <w:tcPr>
            <w:tcW w:w="1135" w:type="dxa"/>
          </w:tcPr>
          <w:p>
            <w:pPr>
              <w:pStyle w:val="TableParagraph"/>
              <w:spacing w:before="2"/>
              <w:ind w:left="111"/>
              <w:rPr>
                <w:sz w:val="26"/>
              </w:rPr>
            </w:pPr>
            <w:r>
              <w:rPr>
                <w:sz w:val="26"/>
              </w:rPr>
              <w:t>0,007</w:t>
            </w:r>
          </w:p>
        </w:tc>
        <w:tc>
          <w:tcPr>
            <w:tcW w:w="849" w:type="dxa"/>
          </w:tcPr>
          <w:p>
            <w:pPr>
              <w:pStyle w:val="TableParagraph"/>
              <w:spacing w:before="2"/>
              <w:ind w:left="109"/>
              <w:rPr>
                <w:sz w:val="26"/>
              </w:rPr>
            </w:pPr>
            <w:r>
              <w:rPr>
                <w:sz w:val="26"/>
              </w:rPr>
              <w:t>1,00</w:t>
            </w:r>
          </w:p>
        </w:tc>
      </w:tr>
      <w:tr>
        <w:trPr>
          <w:trHeight w:val="448" w:hRule="atLeast"/>
        </w:trPr>
        <w:tc>
          <w:tcPr>
            <w:tcW w:w="1243" w:type="dxa"/>
          </w:tcPr>
          <w:p>
            <w:pPr>
              <w:pStyle w:val="TableParagraph"/>
              <w:spacing w:before="2"/>
              <w:ind w:left="107"/>
              <w:rPr>
                <w:sz w:val="26"/>
              </w:rPr>
            </w:pPr>
            <w:r>
              <w:rPr>
                <w:sz w:val="26"/>
              </w:rPr>
              <w:t>ND</w:t>
            </w:r>
          </w:p>
        </w:tc>
        <w:tc>
          <w:tcPr>
            <w:tcW w:w="849" w:type="dxa"/>
          </w:tcPr>
          <w:p>
            <w:pPr>
              <w:pStyle w:val="TableParagraph"/>
              <w:spacing w:before="2"/>
              <w:ind w:left="105"/>
              <w:rPr>
                <w:sz w:val="26"/>
              </w:rPr>
            </w:pPr>
            <w:r>
              <w:rPr>
                <w:sz w:val="26"/>
              </w:rPr>
              <w:t>&lt;---</w:t>
            </w:r>
          </w:p>
        </w:tc>
        <w:tc>
          <w:tcPr>
            <w:tcW w:w="1277" w:type="dxa"/>
          </w:tcPr>
          <w:p>
            <w:pPr>
              <w:pStyle w:val="TableParagraph"/>
              <w:spacing w:before="2"/>
              <w:ind w:left="108"/>
              <w:rPr>
                <w:sz w:val="26"/>
              </w:rPr>
            </w:pPr>
            <w:r>
              <w:rPr>
                <w:sz w:val="26"/>
              </w:rPr>
              <w:t>LTCT</w:t>
            </w:r>
          </w:p>
        </w:tc>
        <w:tc>
          <w:tcPr>
            <w:tcW w:w="849" w:type="dxa"/>
          </w:tcPr>
          <w:p>
            <w:pPr>
              <w:pStyle w:val="TableParagraph"/>
              <w:spacing w:before="2"/>
              <w:ind w:left="108"/>
              <w:rPr>
                <w:sz w:val="26"/>
              </w:rPr>
            </w:pPr>
            <w:r>
              <w:rPr>
                <w:sz w:val="26"/>
              </w:rPr>
              <w:t>0,087</w:t>
            </w:r>
          </w:p>
        </w:tc>
        <w:tc>
          <w:tcPr>
            <w:tcW w:w="991" w:type="dxa"/>
          </w:tcPr>
          <w:p>
            <w:pPr>
              <w:pStyle w:val="TableParagraph"/>
              <w:spacing w:before="2"/>
              <w:ind w:left="109"/>
              <w:rPr>
                <w:sz w:val="26"/>
              </w:rPr>
            </w:pPr>
            <w:r>
              <w:rPr>
                <w:sz w:val="26"/>
              </w:rPr>
              <w:t>0,004</w:t>
            </w:r>
          </w:p>
        </w:tc>
        <w:tc>
          <w:tcPr>
            <w:tcW w:w="993" w:type="dxa"/>
          </w:tcPr>
          <w:p>
            <w:pPr>
              <w:pStyle w:val="TableParagraph"/>
              <w:spacing w:before="2"/>
              <w:ind w:left="110"/>
              <w:rPr>
                <w:sz w:val="26"/>
              </w:rPr>
            </w:pPr>
            <w:r>
              <w:rPr>
                <w:sz w:val="26"/>
              </w:rPr>
              <w:t>0,304</w:t>
            </w:r>
          </w:p>
        </w:tc>
        <w:tc>
          <w:tcPr>
            <w:tcW w:w="849" w:type="dxa"/>
          </w:tcPr>
          <w:p>
            <w:pPr>
              <w:pStyle w:val="TableParagraph"/>
              <w:spacing w:before="2"/>
              <w:ind w:left="91" w:right="123"/>
              <w:jc w:val="center"/>
              <w:rPr>
                <w:sz w:val="26"/>
              </w:rPr>
            </w:pPr>
            <w:r>
              <w:rPr>
                <w:sz w:val="26"/>
              </w:rPr>
              <w:t>0,011</w:t>
            </w:r>
          </w:p>
        </w:tc>
        <w:tc>
          <w:tcPr>
            <w:tcW w:w="1135" w:type="dxa"/>
          </w:tcPr>
          <w:p>
            <w:pPr>
              <w:pStyle w:val="TableParagraph"/>
              <w:spacing w:before="2"/>
              <w:ind w:left="111"/>
              <w:rPr>
                <w:sz w:val="26"/>
              </w:rPr>
            </w:pPr>
            <w:r>
              <w:rPr>
                <w:sz w:val="26"/>
              </w:rPr>
              <w:t>0,006</w:t>
            </w:r>
          </w:p>
        </w:tc>
        <w:tc>
          <w:tcPr>
            <w:tcW w:w="849" w:type="dxa"/>
          </w:tcPr>
          <w:p>
            <w:pPr>
              <w:pStyle w:val="TableParagraph"/>
              <w:spacing w:before="2"/>
              <w:ind w:left="109"/>
              <w:rPr>
                <w:sz w:val="26"/>
              </w:rPr>
            </w:pPr>
            <w:r>
              <w:rPr>
                <w:sz w:val="26"/>
              </w:rPr>
              <w:t>1,83</w:t>
            </w:r>
          </w:p>
        </w:tc>
      </w:tr>
      <w:tr>
        <w:trPr>
          <w:trHeight w:val="448" w:hRule="atLeast"/>
        </w:trPr>
        <w:tc>
          <w:tcPr>
            <w:tcW w:w="1243" w:type="dxa"/>
          </w:tcPr>
          <w:p>
            <w:pPr>
              <w:pStyle w:val="TableParagraph"/>
              <w:spacing w:before="2"/>
              <w:ind w:left="107"/>
              <w:rPr>
                <w:sz w:val="26"/>
              </w:rPr>
            </w:pPr>
            <w:r>
              <w:rPr>
                <w:sz w:val="26"/>
              </w:rPr>
              <w:t>TC</w:t>
            </w:r>
          </w:p>
        </w:tc>
        <w:tc>
          <w:tcPr>
            <w:tcW w:w="849" w:type="dxa"/>
          </w:tcPr>
          <w:p>
            <w:pPr>
              <w:pStyle w:val="TableParagraph"/>
              <w:spacing w:before="2"/>
              <w:ind w:left="105"/>
              <w:rPr>
                <w:sz w:val="26"/>
              </w:rPr>
            </w:pPr>
            <w:r>
              <w:rPr>
                <w:sz w:val="26"/>
              </w:rPr>
              <w:t>&lt;---</w:t>
            </w:r>
          </w:p>
        </w:tc>
        <w:tc>
          <w:tcPr>
            <w:tcW w:w="1277" w:type="dxa"/>
          </w:tcPr>
          <w:p>
            <w:pPr>
              <w:pStyle w:val="TableParagraph"/>
              <w:spacing w:before="2"/>
              <w:ind w:left="108"/>
              <w:rPr>
                <w:sz w:val="26"/>
              </w:rPr>
            </w:pPr>
            <w:r>
              <w:rPr>
                <w:sz w:val="26"/>
              </w:rPr>
              <w:t>LTCT</w:t>
            </w:r>
          </w:p>
        </w:tc>
        <w:tc>
          <w:tcPr>
            <w:tcW w:w="849" w:type="dxa"/>
          </w:tcPr>
          <w:p>
            <w:pPr>
              <w:pStyle w:val="TableParagraph"/>
              <w:spacing w:before="2"/>
              <w:ind w:left="108"/>
              <w:rPr>
                <w:sz w:val="26"/>
              </w:rPr>
            </w:pPr>
            <w:r>
              <w:rPr>
                <w:sz w:val="26"/>
              </w:rPr>
              <w:t>0,099</w:t>
            </w:r>
          </w:p>
        </w:tc>
        <w:tc>
          <w:tcPr>
            <w:tcW w:w="991" w:type="dxa"/>
          </w:tcPr>
          <w:p>
            <w:pPr>
              <w:pStyle w:val="TableParagraph"/>
              <w:spacing w:before="2"/>
              <w:ind w:left="109"/>
              <w:rPr>
                <w:sz w:val="26"/>
              </w:rPr>
            </w:pPr>
            <w:r>
              <w:rPr>
                <w:sz w:val="26"/>
              </w:rPr>
              <w:t>0,005</w:t>
            </w:r>
          </w:p>
        </w:tc>
        <w:tc>
          <w:tcPr>
            <w:tcW w:w="993" w:type="dxa"/>
          </w:tcPr>
          <w:p>
            <w:pPr>
              <w:pStyle w:val="TableParagraph"/>
              <w:spacing w:before="2"/>
              <w:ind w:left="110"/>
              <w:rPr>
                <w:sz w:val="26"/>
              </w:rPr>
            </w:pPr>
            <w:r>
              <w:rPr>
                <w:sz w:val="26"/>
              </w:rPr>
              <w:t>0,527</w:t>
            </w:r>
          </w:p>
        </w:tc>
        <w:tc>
          <w:tcPr>
            <w:tcW w:w="849" w:type="dxa"/>
          </w:tcPr>
          <w:p>
            <w:pPr>
              <w:pStyle w:val="TableParagraph"/>
              <w:spacing w:before="2"/>
              <w:ind w:left="91" w:right="123"/>
              <w:jc w:val="center"/>
              <w:rPr>
                <w:sz w:val="26"/>
              </w:rPr>
            </w:pPr>
            <w:r>
              <w:rPr>
                <w:sz w:val="26"/>
              </w:rPr>
              <w:t>0,003</w:t>
            </w:r>
          </w:p>
        </w:tc>
        <w:tc>
          <w:tcPr>
            <w:tcW w:w="1135" w:type="dxa"/>
          </w:tcPr>
          <w:p>
            <w:pPr>
              <w:pStyle w:val="TableParagraph"/>
              <w:spacing w:before="2"/>
              <w:ind w:left="111"/>
              <w:rPr>
                <w:sz w:val="26"/>
              </w:rPr>
            </w:pPr>
            <w:r>
              <w:rPr>
                <w:sz w:val="26"/>
              </w:rPr>
              <w:t>0,007</w:t>
            </w:r>
          </w:p>
        </w:tc>
        <w:tc>
          <w:tcPr>
            <w:tcW w:w="849" w:type="dxa"/>
          </w:tcPr>
          <w:p>
            <w:pPr>
              <w:pStyle w:val="TableParagraph"/>
              <w:spacing w:before="2"/>
              <w:ind w:left="109"/>
              <w:rPr>
                <w:sz w:val="26"/>
              </w:rPr>
            </w:pPr>
            <w:r>
              <w:rPr>
                <w:sz w:val="26"/>
              </w:rPr>
              <w:t>0,42</w:t>
            </w:r>
          </w:p>
        </w:tc>
      </w:tr>
      <w:tr>
        <w:trPr>
          <w:trHeight w:val="448" w:hRule="atLeast"/>
        </w:trPr>
        <w:tc>
          <w:tcPr>
            <w:tcW w:w="1243" w:type="dxa"/>
          </w:tcPr>
          <w:p>
            <w:pPr>
              <w:pStyle w:val="TableParagraph"/>
              <w:spacing w:before="2"/>
              <w:ind w:left="107"/>
              <w:rPr>
                <w:sz w:val="26"/>
              </w:rPr>
            </w:pPr>
            <w:r>
              <w:rPr>
                <w:sz w:val="26"/>
              </w:rPr>
              <w:t>LTCT</w:t>
            </w:r>
          </w:p>
        </w:tc>
        <w:tc>
          <w:tcPr>
            <w:tcW w:w="849" w:type="dxa"/>
          </w:tcPr>
          <w:p>
            <w:pPr>
              <w:pStyle w:val="TableParagraph"/>
              <w:spacing w:before="2"/>
              <w:ind w:left="105"/>
              <w:rPr>
                <w:sz w:val="26"/>
              </w:rPr>
            </w:pPr>
            <w:r>
              <w:rPr>
                <w:sz w:val="26"/>
              </w:rPr>
              <w:t>&lt;---</w:t>
            </w:r>
          </w:p>
        </w:tc>
        <w:tc>
          <w:tcPr>
            <w:tcW w:w="1277" w:type="dxa"/>
          </w:tcPr>
          <w:p>
            <w:pPr>
              <w:pStyle w:val="TableParagraph"/>
              <w:spacing w:before="2"/>
              <w:ind w:left="108"/>
              <w:rPr>
                <w:sz w:val="26"/>
              </w:rPr>
            </w:pPr>
            <w:r>
              <w:rPr>
                <w:sz w:val="26"/>
              </w:rPr>
              <w:t>HL</w:t>
            </w:r>
          </w:p>
        </w:tc>
        <w:tc>
          <w:tcPr>
            <w:tcW w:w="849" w:type="dxa"/>
          </w:tcPr>
          <w:p>
            <w:pPr>
              <w:pStyle w:val="TableParagraph"/>
              <w:spacing w:before="2"/>
              <w:ind w:left="108"/>
              <w:rPr>
                <w:sz w:val="26"/>
              </w:rPr>
            </w:pPr>
            <w:r>
              <w:rPr>
                <w:sz w:val="26"/>
              </w:rPr>
              <w:t>0,070</w:t>
            </w:r>
          </w:p>
        </w:tc>
        <w:tc>
          <w:tcPr>
            <w:tcW w:w="991" w:type="dxa"/>
          </w:tcPr>
          <w:p>
            <w:pPr>
              <w:pStyle w:val="TableParagraph"/>
              <w:spacing w:before="2"/>
              <w:ind w:left="109"/>
              <w:rPr>
                <w:sz w:val="26"/>
              </w:rPr>
            </w:pPr>
            <w:r>
              <w:rPr>
                <w:sz w:val="26"/>
              </w:rPr>
              <w:t>0,002</w:t>
            </w:r>
          </w:p>
        </w:tc>
        <w:tc>
          <w:tcPr>
            <w:tcW w:w="993" w:type="dxa"/>
          </w:tcPr>
          <w:p>
            <w:pPr>
              <w:pStyle w:val="TableParagraph"/>
              <w:spacing w:before="2"/>
              <w:ind w:left="110"/>
              <w:rPr>
                <w:sz w:val="26"/>
              </w:rPr>
            </w:pPr>
            <w:r>
              <w:rPr>
                <w:sz w:val="26"/>
              </w:rPr>
              <w:t>0,500</w:t>
            </w:r>
          </w:p>
        </w:tc>
        <w:tc>
          <w:tcPr>
            <w:tcW w:w="849" w:type="dxa"/>
          </w:tcPr>
          <w:p>
            <w:pPr>
              <w:pStyle w:val="TableParagraph"/>
              <w:spacing w:before="2"/>
              <w:ind w:left="91" w:right="123"/>
              <w:jc w:val="center"/>
              <w:rPr>
                <w:sz w:val="26"/>
              </w:rPr>
            </w:pPr>
            <w:r>
              <w:rPr>
                <w:sz w:val="26"/>
              </w:rPr>
              <w:t>0,000</w:t>
            </w:r>
          </w:p>
        </w:tc>
        <w:tc>
          <w:tcPr>
            <w:tcW w:w="1135" w:type="dxa"/>
          </w:tcPr>
          <w:p>
            <w:pPr>
              <w:pStyle w:val="TableParagraph"/>
              <w:spacing w:before="2"/>
              <w:ind w:left="111"/>
              <w:rPr>
                <w:sz w:val="26"/>
              </w:rPr>
            </w:pPr>
            <w:r>
              <w:rPr>
                <w:sz w:val="26"/>
              </w:rPr>
              <w:t>0,002</w:t>
            </w:r>
          </w:p>
        </w:tc>
        <w:tc>
          <w:tcPr>
            <w:tcW w:w="849" w:type="dxa"/>
          </w:tcPr>
          <w:p>
            <w:pPr>
              <w:pStyle w:val="TableParagraph"/>
              <w:spacing w:before="2"/>
              <w:ind w:left="109"/>
              <w:rPr>
                <w:sz w:val="26"/>
              </w:rPr>
            </w:pPr>
            <w:r>
              <w:rPr>
                <w:sz w:val="26"/>
              </w:rPr>
              <w:t>0,00</w:t>
            </w:r>
          </w:p>
        </w:tc>
      </w:tr>
      <w:tr>
        <w:trPr>
          <w:trHeight w:val="448" w:hRule="atLeast"/>
        </w:trPr>
        <w:tc>
          <w:tcPr>
            <w:tcW w:w="1243" w:type="dxa"/>
          </w:tcPr>
          <w:p>
            <w:pPr>
              <w:pStyle w:val="TableParagraph"/>
              <w:spacing w:before="2"/>
              <w:ind w:left="107"/>
              <w:rPr>
                <w:sz w:val="26"/>
              </w:rPr>
            </w:pPr>
            <w:r>
              <w:rPr>
                <w:sz w:val="26"/>
              </w:rPr>
              <w:t>LTCT</w:t>
            </w:r>
          </w:p>
        </w:tc>
        <w:tc>
          <w:tcPr>
            <w:tcW w:w="849" w:type="dxa"/>
          </w:tcPr>
          <w:p>
            <w:pPr>
              <w:pStyle w:val="TableParagraph"/>
              <w:spacing w:before="2"/>
              <w:ind w:left="105"/>
              <w:rPr>
                <w:sz w:val="26"/>
              </w:rPr>
            </w:pPr>
            <w:r>
              <w:rPr>
                <w:sz w:val="26"/>
              </w:rPr>
              <w:t>&lt;---</w:t>
            </w:r>
          </w:p>
        </w:tc>
        <w:tc>
          <w:tcPr>
            <w:tcW w:w="1277" w:type="dxa"/>
          </w:tcPr>
          <w:p>
            <w:pPr>
              <w:pStyle w:val="TableParagraph"/>
              <w:spacing w:before="2"/>
              <w:ind w:left="108"/>
              <w:rPr>
                <w:sz w:val="26"/>
              </w:rPr>
            </w:pPr>
            <w:r>
              <w:rPr>
                <w:sz w:val="26"/>
              </w:rPr>
              <w:t>LI</w:t>
            </w:r>
          </w:p>
        </w:tc>
        <w:tc>
          <w:tcPr>
            <w:tcW w:w="849" w:type="dxa"/>
          </w:tcPr>
          <w:p>
            <w:pPr>
              <w:pStyle w:val="TableParagraph"/>
              <w:spacing w:before="2"/>
              <w:ind w:left="108"/>
              <w:rPr>
                <w:sz w:val="26"/>
              </w:rPr>
            </w:pPr>
            <w:r>
              <w:rPr>
                <w:sz w:val="26"/>
              </w:rPr>
              <w:t>0,066</w:t>
            </w:r>
          </w:p>
        </w:tc>
        <w:tc>
          <w:tcPr>
            <w:tcW w:w="991" w:type="dxa"/>
          </w:tcPr>
          <w:p>
            <w:pPr>
              <w:pStyle w:val="TableParagraph"/>
              <w:spacing w:before="2"/>
              <w:ind w:left="109"/>
              <w:rPr>
                <w:sz w:val="26"/>
              </w:rPr>
            </w:pPr>
            <w:r>
              <w:rPr>
                <w:sz w:val="26"/>
              </w:rPr>
              <w:t>0,003</w:t>
            </w:r>
          </w:p>
        </w:tc>
        <w:tc>
          <w:tcPr>
            <w:tcW w:w="993" w:type="dxa"/>
          </w:tcPr>
          <w:p>
            <w:pPr>
              <w:pStyle w:val="TableParagraph"/>
              <w:spacing w:before="2"/>
              <w:ind w:left="110"/>
              <w:rPr>
                <w:sz w:val="26"/>
              </w:rPr>
            </w:pPr>
            <w:r>
              <w:rPr>
                <w:sz w:val="26"/>
              </w:rPr>
              <w:t>0,264</w:t>
            </w:r>
          </w:p>
        </w:tc>
        <w:tc>
          <w:tcPr>
            <w:tcW w:w="849" w:type="dxa"/>
          </w:tcPr>
          <w:p>
            <w:pPr>
              <w:pStyle w:val="TableParagraph"/>
              <w:spacing w:before="2"/>
              <w:ind w:left="91" w:right="123"/>
              <w:jc w:val="center"/>
              <w:rPr>
                <w:sz w:val="26"/>
              </w:rPr>
            </w:pPr>
            <w:r>
              <w:rPr>
                <w:sz w:val="26"/>
              </w:rPr>
              <w:t>0,003</w:t>
            </w:r>
          </w:p>
        </w:tc>
        <w:tc>
          <w:tcPr>
            <w:tcW w:w="1135" w:type="dxa"/>
          </w:tcPr>
          <w:p>
            <w:pPr>
              <w:pStyle w:val="TableParagraph"/>
              <w:spacing w:before="2"/>
              <w:ind w:left="111"/>
              <w:rPr>
                <w:sz w:val="26"/>
              </w:rPr>
            </w:pPr>
            <w:r>
              <w:rPr>
                <w:sz w:val="26"/>
              </w:rPr>
              <w:t>0,005</w:t>
            </w:r>
          </w:p>
        </w:tc>
        <w:tc>
          <w:tcPr>
            <w:tcW w:w="849" w:type="dxa"/>
          </w:tcPr>
          <w:p>
            <w:pPr>
              <w:pStyle w:val="TableParagraph"/>
              <w:spacing w:before="2"/>
              <w:ind w:left="109"/>
              <w:rPr>
                <w:sz w:val="26"/>
              </w:rPr>
            </w:pPr>
            <w:r>
              <w:rPr>
                <w:sz w:val="26"/>
              </w:rPr>
              <w:t>0,60</w:t>
            </w:r>
          </w:p>
        </w:tc>
      </w:tr>
    </w:tbl>
    <w:p>
      <w:pPr>
        <w:spacing w:line="275" w:lineRule="exact" w:before="0"/>
        <w:ind w:left="6842" w:right="0" w:firstLine="0"/>
        <w:jc w:val="left"/>
        <w:rPr>
          <w:i/>
          <w:sz w:val="24"/>
        </w:rPr>
      </w:pPr>
      <w:r>
        <w:rPr>
          <w:i/>
          <w:sz w:val="24"/>
        </w:rPr>
        <w:t>Nguồn: Xử lý dữ liệu từ Amos23</w:t>
      </w:r>
    </w:p>
    <w:p>
      <w:pPr>
        <w:pStyle w:val="Heading6"/>
        <w:numPr>
          <w:ilvl w:val="2"/>
          <w:numId w:val="24"/>
        </w:numPr>
        <w:tabs>
          <w:tab w:pos="1595" w:val="left" w:leader="none"/>
        </w:tabs>
        <w:spacing w:line="240" w:lineRule="auto" w:before="142" w:after="0"/>
        <w:ind w:left="1594" w:right="0" w:hanging="713"/>
        <w:jc w:val="left"/>
      </w:pPr>
      <w:r>
        <w:rPr/>
        <w:t>Kiểm định giả thuyết nghiên</w:t>
      </w:r>
      <w:r>
        <w:rPr>
          <w:spacing w:val="-3"/>
        </w:rPr>
        <w:t> </w:t>
      </w:r>
      <w:r>
        <w:rPr/>
        <w:t>cứu</w:t>
      </w:r>
    </w:p>
    <w:p>
      <w:pPr>
        <w:pStyle w:val="BodyText"/>
        <w:spacing w:before="150"/>
        <w:ind w:left="1309"/>
        <w:jc w:val="both"/>
      </w:pPr>
      <w:r>
        <w:rPr/>
        <w:t>Nghiên cứu có 8 giả thuyết, với kết quả kiểm định bằng công cụ SEM như sau:</w:t>
      </w:r>
    </w:p>
    <w:p>
      <w:pPr>
        <w:pStyle w:val="BodyText"/>
        <w:spacing w:line="360" w:lineRule="auto" w:before="147"/>
        <w:ind w:left="882" w:right="888" w:firstLine="427"/>
        <w:jc w:val="both"/>
      </w:pPr>
      <w:r>
        <w:rPr/>
        <w:t>Giả thuyết H1 với phát biểu “Vị trí cảng tác động tích cực đến lợi thế cạnh tranh cảng container”. Giả thuyết này có nghĩa là nếu một cảng container có vị trí cảng tốt, thích hợp và thuận lợi thì sẽ làm tăng lợi thế cạnh tranh. Kết quả kiểm định cho thấy với mức sai lệch chuẩn (SE) = 0,087, giá trị P = 0,000 &lt; 0,05 nên có ý nghĩa thống kê xét ở độ tin cậy 95% như vậy giả thuyết này được chấp nhận và điều này có nghĩa là vị trí của cảng container có tác động tích cực làm tăng lợi thế cạnh tranh cảng container. Với mức ước lượng đạt 0,242 có thể nói rằng vị trí cảng là một yếu tố quan trọng tác động làm tăng lợi thế cạnh tranh cảng container Việt Nam.</w:t>
      </w:r>
    </w:p>
    <w:p>
      <w:pPr>
        <w:pStyle w:val="BodyText"/>
        <w:spacing w:line="360" w:lineRule="auto" w:before="1"/>
        <w:ind w:left="882" w:right="891" w:firstLine="427"/>
        <w:jc w:val="both"/>
      </w:pPr>
      <w:r>
        <w:rPr/>
        <w:t>Giả thuyết H2 với phát biểu “Cơ sở vật chất hạ tầng cảng có tác động tích cực đến lợi thế cạnh tranh cảng container”. Giả thuyết này có nghĩa là nếu một cảng container</w:t>
      </w:r>
    </w:p>
    <w:p>
      <w:pPr>
        <w:spacing w:after="0" w:line="360" w:lineRule="auto"/>
        <w:jc w:val="both"/>
        <w:sectPr>
          <w:pgSz w:w="11910" w:h="16850"/>
          <w:pgMar w:header="751" w:footer="0" w:top="960" w:bottom="280" w:left="820" w:right="240"/>
        </w:sectPr>
      </w:pPr>
    </w:p>
    <w:p>
      <w:pPr>
        <w:pStyle w:val="BodyText"/>
        <w:rPr>
          <w:sz w:val="20"/>
        </w:rPr>
      </w:pPr>
    </w:p>
    <w:p>
      <w:pPr>
        <w:pStyle w:val="BodyText"/>
        <w:spacing w:before="7"/>
        <w:rPr>
          <w:sz w:val="23"/>
        </w:rPr>
      </w:pPr>
    </w:p>
    <w:p>
      <w:pPr>
        <w:pStyle w:val="BodyText"/>
        <w:spacing w:line="360" w:lineRule="auto" w:before="89"/>
        <w:ind w:left="882" w:right="888"/>
        <w:jc w:val="both"/>
      </w:pPr>
      <w:r>
        <w:rPr/>
        <w:t>có cơ sở vật chất hạ tầng đầy đủ, thích hợp và hiện đại thì sẽ làm tăng lợi thế cạnh tranh cảng container. Kết quả kiểm định cho thấy với mức sai lệch chuẩn (SE) = 0,080, giá trị P = 0,000 &lt; 0,05 nên có ý nghĩa thống kê xét ở độ tin cậy 95% như vậy giả thuyết này được chấp nhận và điều này có nghĩa là cơ </w:t>
      </w:r>
      <w:r>
        <w:rPr>
          <w:spacing w:val="3"/>
        </w:rPr>
        <w:t>sở </w:t>
      </w:r>
      <w:r>
        <w:rPr/>
        <w:t>vật chất hạ tầng của cảng container có tác động tích cực làm tăng lơi thế cạnh tranh cảng container. Với mức  ước lượng đạt 0,205 có thể nói rằng cảng container muốn nâng cao lợi thế cạnh tranh thì nhất thiết phải đầu tư phát triển hệ thống cơ sở vật chất hạ</w:t>
      </w:r>
      <w:r>
        <w:rPr>
          <w:spacing w:val="-18"/>
        </w:rPr>
        <w:t> </w:t>
      </w:r>
      <w:r>
        <w:rPr/>
        <w:t>tầng.</w:t>
      </w:r>
    </w:p>
    <w:p>
      <w:pPr>
        <w:pStyle w:val="BodyText"/>
        <w:spacing w:line="360" w:lineRule="auto"/>
        <w:ind w:left="882" w:right="889" w:firstLine="427"/>
        <w:jc w:val="both"/>
      </w:pPr>
      <w:r>
        <w:rPr/>
        <w:t>Giả thuyết H3 với phát biểu “Chất lượng dịch vụ Logistics của cảng container có tác động tích cực đến hiệu lợi thế cạnh tranh cảng container”. Giả thuyết này có nghĩa là nếu một cảng container có chất lượng dịch vụ tốt sẽ làm tăng lợi thế cạnh tranh cho cảng. Kết quả kiểm định cho thấy với mức sai lệch chuẩn (SE) = 0,071, giá trị P = 0,000 &lt; 0,05 nên có ý nghĩa thống kê xét ở độ tin cậy 95% như vậy giả thuyết này được chấp nhận và điều này có nghĩa là chất lượng dịch vụ Logistics có tác động tích cực làm nâng cao lợi thế cạnh tranh cảng container. Với mức ước lượng đạt 0,387 có thể nói rằng cảng container muốn nâng cao lợi thế cạnh tranh thì nhất thiết phải nâng cao chất lượng dịch vụ CLDVsitics</w:t>
      </w:r>
      <w:r>
        <w:rPr>
          <w:spacing w:val="2"/>
        </w:rPr>
        <w:t> </w:t>
      </w:r>
      <w:r>
        <w:rPr/>
        <w:t>cảng.</w:t>
      </w:r>
    </w:p>
    <w:p>
      <w:pPr>
        <w:pStyle w:val="BodyText"/>
        <w:spacing w:line="360" w:lineRule="auto" w:before="1"/>
        <w:ind w:left="882" w:right="888" w:firstLine="427"/>
        <w:jc w:val="both"/>
      </w:pPr>
      <w:r>
        <w:rPr/>
        <w:t>Giả thuyết H4 với phát biểu “Chi phí Logistics có tác động tích cực đến lợi thế cạnh tranh cảng container”. Giả thuyết này có nghĩa là nếu một cảng container có chi phí tốt thì sẽ làm tăng lợi thế cạnh tranh của cảng. Kết quả kiểm định cho thấy với mức sai lệch chuẩn (SE) = 0,075, giá trị P = 0,000 &lt; 0,05 nên có ý nghĩa thống kê xét ở độ tin cậy 95% như vậy giả thuyết này được chấp nhận và điều này có nghĩa là chi phí CLDVsitics có tác động tích cực làm nâng cao lợi thế cạnh tranh cảng container. Với mức ước lượng đạt 0,628 là cao nhất nên có thể nói rằng cảng container muốn nâng cao lợi thế cạnh tranh thì phải đặt cạnh tranh về chi phí CLDVsitics lên hàng</w:t>
      </w:r>
      <w:r>
        <w:rPr>
          <w:spacing w:val="-17"/>
        </w:rPr>
        <w:t> </w:t>
      </w:r>
      <w:r>
        <w:rPr/>
        <w:t>đầu.</w:t>
      </w:r>
    </w:p>
    <w:p>
      <w:pPr>
        <w:pStyle w:val="BodyText"/>
        <w:spacing w:line="360" w:lineRule="auto" w:before="1"/>
        <w:ind w:left="882" w:right="889" w:firstLine="427"/>
        <w:jc w:val="both"/>
      </w:pPr>
      <w:r>
        <w:rPr/>
        <w:t>Giả thuyết H5 với phát biểu “Năng lực kết nối nội địa cảng container có tác động tích cực đến lợi thế cạnh tranh cảng container”. Giả thuyết này có nghĩa là nếu một cảng container có khả năng kết nối nội địa cao thì sẽ nâng cao lợi thế cạnh tranh cho cảng. Kết quả kiểm định cho thấy với mức sai lệch chuẩn (SE) = 0,075, giá trị P = 0,000 &lt; 0,05 nên có ý nghĩa thống kê xét ở độ tin cậy 95% như vậy giả thuyết này được chấp nhận và điều này có nghĩa là năng lực kết nối nội địa của cảng container có tác</w:t>
      </w:r>
      <w:r>
        <w:rPr>
          <w:spacing w:val="25"/>
        </w:rPr>
        <w:t> </w:t>
      </w:r>
      <w:r>
        <w:rPr/>
        <w:t>động</w:t>
      </w:r>
      <w:r>
        <w:rPr>
          <w:spacing w:val="24"/>
        </w:rPr>
        <w:t> </w:t>
      </w:r>
      <w:r>
        <w:rPr/>
        <w:t>tích</w:t>
      </w:r>
      <w:r>
        <w:rPr>
          <w:spacing w:val="25"/>
        </w:rPr>
        <w:t> </w:t>
      </w:r>
      <w:r>
        <w:rPr/>
        <w:t>cực</w:t>
      </w:r>
      <w:r>
        <w:rPr>
          <w:spacing w:val="25"/>
        </w:rPr>
        <w:t> </w:t>
      </w:r>
      <w:r>
        <w:rPr/>
        <w:t>làm</w:t>
      </w:r>
      <w:r>
        <w:rPr>
          <w:spacing w:val="29"/>
        </w:rPr>
        <w:t> </w:t>
      </w:r>
      <w:r>
        <w:rPr/>
        <w:t>nâng</w:t>
      </w:r>
      <w:r>
        <w:rPr>
          <w:spacing w:val="24"/>
        </w:rPr>
        <w:t> </w:t>
      </w:r>
      <w:r>
        <w:rPr/>
        <w:t>cao</w:t>
      </w:r>
      <w:r>
        <w:rPr>
          <w:spacing w:val="25"/>
        </w:rPr>
        <w:t> </w:t>
      </w:r>
      <w:r>
        <w:rPr/>
        <w:t>lợi</w:t>
      </w:r>
      <w:r>
        <w:rPr>
          <w:spacing w:val="24"/>
        </w:rPr>
        <w:t> </w:t>
      </w:r>
      <w:r>
        <w:rPr/>
        <w:t>thế</w:t>
      </w:r>
      <w:r>
        <w:rPr>
          <w:spacing w:val="25"/>
        </w:rPr>
        <w:t> </w:t>
      </w:r>
      <w:r>
        <w:rPr/>
        <w:t>cạnh</w:t>
      </w:r>
      <w:r>
        <w:rPr>
          <w:spacing w:val="27"/>
        </w:rPr>
        <w:t> </w:t>
      </w:r>
      <w:r>
        <w:rPr/>
        <w:t>tranh</w:t>
      </w:r>
      <w:r>
        <w:rPr>
          <w:spacing w:val="25"/>
        </w:rPr>
        <w:t> </w:t>
      </w:r>
      <w:r>
        <w:rPr/>
        <w:t>cho</w:t>
      </w:r>
      <w:r>
        <w:rPr>
          <w:spacing w:val="25"/>
        </w:rPr>
        <w:t> </w:t>
      </w:r>
      <w:r>
        <w:rPr/>
        <w:t>cảng</w:t>
      </w:r>
      <w:r>
        <w:rPr>
          <w:spacing w:val="24"/>
        </w:rPr>
        <w:t> </w:t>
      </w:r>
      <w:r>
        <w:rPr/>
        <w:t>container.</w:t>
      </w:r>
      <w:r>
        <w:rPr>
          <w:spacing w:val="25"/>
        </w:rPr>
        <w:t> </w:t>
      </w:r>
      <w:r>
        <w:rPr/>
        <w:t>Với</w:t>
      </w:r>
      <w:r>
        <w:rPr>
          <w:spacing w:val="24"/>
        </w:rPr>
        <w:t> </w:t>
      </w:r>
      <w:r>
        <w:rPr/>
        <w:t>mức</w:t>
      </w:r>
      <w:r>
        <w:rPr>
          <w:spacing w:val="25"/>
        </w:rPr>
        <w:t> </w:t>
      </w:r>
      <w:r>
        <w:rPr/>
        <w:t>ước</w:t>
      </w:r>
    </w:p>
    <w:p>
      <w:pPr>
        <w:spacing w:after="0" w:line="360" w:lineRule="auto"/>
        <w:jc w:val="both"/>
        <w:sectPr>
          <w:pgSz w:w="11910" w:h="16850"/>
          <w:pgMar w:header="751" w:footer="0" w:top="960" w:bottom="280" w:left="820" w:right="240"/>
        </w:sectPr>
      </w:pPr>
    </w:p>
    <w:p>
      <w:pPr>
        <w:pStyle w:val="BodyText"/>
        <w:rPr>
          <w:sz w:val="20"/>
        </w:rPr>
      </w:pPr>
    </w:p>
    <w:p>
      <w:pPr>
        <w:pStyle w:val="BodyText"/>
        <w:spacing w:before="7"/>
        <w:rPr>
          <w:sz w:val="23"/>
        </w:rPr>
      </w:pPr>
    </w:p>
    <w:p>
      <w:pPr>
        <w:pStyle w:val="BodyText"/>
        <w:spacing w:line="360" w:lineRule="auto" w:before="89"/>
        <w:ind w:left="882" w:right="924"/>
      </w:pPr>
      <w:r>
        <w:rPr/>
        <w:t>lượng đạt 0,151 có thể nói rằng cảng container muốn nâng cao lợi thế cạnh tranh thì nhất thiết phải đầu tư, mở rộng nâng cấp năng lực kết nối nội địa.</w:t>
      </w:r>
    </w:p>
    <w:p>
      <w:pPr>
        <w:pStyle w:val="BodyText"/>
        <w:spacing w:before="4"/>
        <w:rPr>
          <w:sz w:val="12"/>
        </w:rPr>
      </w:pPr>
      <w:r>
        <w:rPr/>
        <w:pict>
          <v:group style="position:absolute;margin-left:81.025002pt;margin-top:9.105908pt;width:101.25pt;height:66.25pt;mso-position-horizontal-relative:page;mso-position-vertical-relative:paragraph;z-index:-15685632;mso-wrap-distance-left:0;mso-wrap-distance-right:0" coordorigin="1621,182" coordsize="2025,1325">
            <v:shape style="position:absolute;left:1633;top:194;width:2000;height:1300" coordorigin="1633,195" coordsize="2000,1300" path="m2633,195l2542,197,2453,205,2367,218,2284,235,2204,257,2128,283,2056,314,1989,347,1926,385,1868,426,1816,470,1770,517,1729,566,1696,618,1669,672,1637,785,1633,845,1637,904,1669,1017,1696,1071,1729,1123,1770,1173,1816,1219,1868,1263,1926,1304,1989,1342,2056,1376,2128,1406,2204,1432,2284,1454,2367,1471,2453,1484,2542,1492,2633,1495,2724,1492,2813,1484,2899,1471,2982,1454,3062,1432,3138,1406,3210,1376,3277,1342,3340,1304,3398,1263,3450,1219,3496,1173,3537,1123,3570,1071,3597,1017,3629,904,3633,845,3629,785,3597,672,3570,618,3537,566,3496,517,3450,470,3398,426,3340,385,3277,347,3210,314,3138,283,3062,257,2982,235,2899,218,2813,205,2724,197,2633,195xe" filled="false" stroked="true" strokeweight="1.25pt" strokecolor="#000000">
              <v:path arrowok="t"/>
              <v:stroke dashstyle="solid"/>
            </v:shape>
            <v:shape style="position:absolute;left:1620;top:182;width:2025;height:1325" type="#_x0000_t202" filled="false" stroked="false">
              <v:textbox inset="0,0,0,0">
                <w:txbxContent>
                  <w:p>
                    <w:pPr>
                      <w:spacing w:line="240" w:lineRule="auto" w:before="10"/>
                      <w:rPr>
                        <w:sz w:val="22"/>
                      </w:rPr>
                    </w:pPr>
                  </w:p>
                  <w:p>
                    <w:pPr>
                      <w:spacing w:before="0"/>
                      <w:ind w:left="607" w:right="538" w:hanging="51"/>
                      <w:jc w:val="left"/>
                      <w:rPr>
                        <w:b/>
                        <w:sz w:val="20"/>
                      </w:rPr>
                    </w:pPr>
                    <w:r>
                      <w:rPr>
                        <w:b/>
                        <w:sz w:val="20"/>
                      </w:rPr>
                      <w:t>Vị trí cảng container</w:t>
                    </w:r>
                  </w:p>
                </w:txbxContent>
              </v:textbox>
              <w10:wrap type="none"/>
            </v:shape>
            <w10:wrap type="topAndBottom"/>
          </v:group>
        </w:pict>
      </w:r>
      <w:r>
        <w:rPr/>
        <w:pict>
          <v:group style="position:absolute;margin-left:80.025002pt;margin-top:84.005905pt;width:101.35pt;height:45.05pt;mso-position-horizontal-relative:page;mso-position-vertical-relative:paragraph;z-index:-15684608;mso-wrap-distance-left:0;mso-wrap-distance-right:0" coordorigin="1601,1680" coordsize="2027,901">
            <v:shape style="position:absolute;left:1613;top:1692;width:2002;height:876" coordorigin="1613,1693" coordsize="2002,876" path="m2614,1693l2512,1695,2412,1702,2316,1712,2224,1727,2137,1745,2054,1767,1977,1793,1906,1821,1842,1852,1784,1886,1734,1922,1658,2000,1618,2086,1613,2131,1618,2175,1658,2261,1734,2339,1784,2376,1842,2409,1906,2440,1977,2469,2054,2494,2137,2516,2224,2534,2316,2549,2412,2560,2512,2566,2614,2569,2716,2566,2816,2560,2912,2549,3004,2534,3091,2516,3174,2494,3251,2469,3322,2440,3386,2409,3444,2376,3494,2339,3570,2261,3610,2175,3615,2131,3610,2086,3570,2000,3494,1922,3444,1886,3386,1852,3322,1821,3251,1793,3174,1767,3091,1745,3004,1727,2912,1712,2816,1702,2716,1695,2614,1693xe" filled="false" stroked="true" strokeweight="1.25pt" strokecolor="#000000">
              <v:path arrowok="t"/>
              <v:stroke dashstyle="solid"/>
            </v:shape>
            <v:shape style="position:absolute;left:1600;top:1680;width:2027;height:901" type="#_x0000_t202" filled="false" stroked="false">
              <v:textbox inset="0,0,0,0">
                <w:txbxContent>
                  <w:p>
                    <w:pPr>
                      <w:spacing w:line="240" w:lineRule="auto" w:before="7"/>
                      <w:rPr>
                        <w:sz w:val="17"/>
                      </w:rPr>
                    </w:pPr>
                  </w:p>
                  <w:p>
                    <w:pPr>
                      <w:spacing w:before="0"/>
                      <w:ind w:left="432" w:right="402" w:hanging="10"/>
                      <w:jc w:val="left"/>
                      <w:rPr>
                        <w:b/>
                        <w:sz w:val="20"/>
                      </w:rPr>
                    </w:pPr>
                    <w:r>
                      <w:rPr>
                        <w:b/>
                        <w:sz w:val="20"/>
                      </w:rPr>
                      <w:t>Cơ sở hạ tầng cảng continer</w:t>
                    </w:r>
                  </w:p>
                </w:txbxContent>
              </v:textbox>
              <w10:wrap type="none"/>
            </v:shape>
            <w10:wrap type="topAndBottom"/>
          </v:group>
        </w:pict>
      </w:r>
    </w:p>
    <w:p>
      <w:pPr>
        <w:pStyle w:val="BodyText"/>
        <w:rPr>
          <w:sz w:val="9"/>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4"/>
        </w:rPr>
      </w:pPr>
    </w:p>
    <w:p>
      <w:pPr>
        <w:spacing w:before="91"/>
        <w:ind w:left="1222" w:right="8532" w:firstLine="0"/>
        <w:jc w:val="center"/>
        <w:rPr>
          <w:b/>
          <w:sz w:val="20"/>
        </w:rPr>
      </w:pPr>
      <w:r>
        <w:rPr/>
        <w:pict>
          <v:group style="position:absolute;margin-left:80.925003pt;margin-top:-134.179062pt;width:101.35pt;height:47.05pt;mso-position-horizontal-relative:page;mso-position-vertical-relative:paragraph;z-index:-30432256" coordorigin="1619,-2684" coordsize="2027,941">
            <v:shape style="position:absolute;left:1631;top:-2672;width:2002;height:916" coordorigin="1631,-2671" coordsize="2002,916" path="m2632,-2671l2530,-2669,2430,-2662,2334,-2650,2242,-2635,2155,-2616,2072,-2593,1995,-2567,1924,-2537,1860,-2504,1802,-2469,1752,-2431,1676,-2349,1636,-2260,1631,-2213,1636,-2166,1676,-2077,1752,-1995,1802,-1957,1860,-1922,1924,-1889,1995,-1860,2072,-1833,2155,-1810,2242,-1791,2334,-1776,2430,-1764,2530,-1757,2632,-1755,2734,-1757,2834,-1764,2930,-1776,3022,-1791,3109,-1810,3192,-1833,3269,-1860,3340,-1889,3404,-1922,3462,-1957,3512,-1995,3588,-2077,3628,-2166,3633,-2213,3628,-2260,3588,-2349,3512,-2431,3462,-2469,3404,-2504,3340,-2537,3269,-2567,3192,-2593,3109,-2616,3022,-2635,2930,-2650,2834,-2662,2734,-2669,2632,-2671xe" filled="false" stroked="true" strokeweight="1.25pt" strokecolor="#000000">
              <v:path arrowok="t"/>
              <v:stroke dashstyle="solid"/>
            </v:shape>
            <v:shape style="position:absolute;left:1618;top:-2684;width:2027;height:941" type="#_x0000_t202" filled="false" stroked="false">
              <v:textbox inset="0,0,0,0">
                <w:txbxContent>
                  <w:p>
                    <w:pPr>
                      <w:spacing w:line="240" w:lineRule="auto" w:before="2"/>
                      <w:rPr>
                        <w:sz w:val="18"/>
                      </w:rPr>
                    </w:pPr>
                  </w:p>
                  <w:p>
                    <w:pPr>
                      <w:spacing w:before="0"/>
                      <w:ind w:left="429" w:right="429" w:firstLine="0"/>
                      <w:jc w:val="center"/>
                      <w:rPr>
                        <w:b/>
                        <w:sz w:val="20"/>
                      </w:rPr>
                    </w:pPr>
                    <w:r>
                      <w:rPr>
                        <w:b/>
                        <w:sz w:val="20"/>
                      </w:rPr>
                      <w:t>CLDV</w:t>
                    </w:r>
                  </w:p>
                  <w:p>
                    <w:pPr>
                      <w:spacing w:before="0"/>
                      <w:ind w:left="429" w:right="430" w:firstLine="0"/>
                      <w:jc w:val="center"/>
                      <w:rPr>
                        <w:b/>
                        <w:sz w:val="20"/>
                      </w:rPr>
                    </w:pPr>
                    <w:r>
                      <w:rPr>
                        <w:b/>
                        <w:sz w:val="20"/>
                      </w:rPr>
                      <w:t>logistics cảng</w:t>
                    </w:r>
                  </w:p>
                </w:txbxContent>
              </v:textbox>
              <w10:wrap type="none"/>
            </v:shape>
            <w10:wrap type="none"/>
          </v:group>
        </w:pict>
      </w:r>
      <w:r>
        <w:rPr/>
        <w:pict>
          <v:group style="position:absolute;margin-left:82.474998pt;margin-top:-80.479057pt;width:101.25pt;height:62pt;mso-position-horizontal-relative:page;mso-position-vertical-relative:paragraph;z-index:-30431232" coordorigin="1649,-1610" coordsize="2025,1240">
            <v:shape style="position:absolute;left:1662;top:-1598;width:2000;height:1215" coordorigin="1662,-1597" coordsize="2000,1215" path="m2662,-1597l2571,-1595,2482,-1587,2396,-1575,2313,-1559,2233,-1539,2157,-1514,2085,-1486,2018,-1454,1955,-1419,1897,-1381,1845,-1340,1799,-1296,1758,-1250,1698,-1151,1666,-1045,1662,-990,1666,-934,1698,-828,1758,-729,1799,-683,1845,-639,1897,-598,1955,-560,2018,-525,2085,-493,2157,-465,2233,-441,2313,-420,2396,-404,2482,-392,2571,-385,2662,-382,2753,-385,2842,-392,2928,-404,3011,-420,3091,-441,3167,-465,3239,-493,3306,-525,3369,-560,3427,-598,3479,-639,3525,-683,3566,-729,3626,-828,3658,-934,3662,-990,3658,-1045,3626,-1151,3566,-1250,3525,-1296,3479,-1340,3427,-1381,3369,-1419,3306,-1454,3239,-1486,3167,-1514,3091,-1539,3011,-1559,2928,-1575,2842,-1587,2753,-1595,2662,-1597xe" filled="false" stroked="true" strokeweight="1.25pt" strokecolor="#000000">
              <v:path arrowok="t"/>
              <v:stroke dashstyle="solid"/>
            </v:shape>
            <v:shape style="position:absolute;left:1649;top:-1610;width:2025;height:1240" type="#_x0000_t202" filled="false" stroked="false">
              <v:textbox inset="0,0,0,0">
                <w:txbxContent>
                  <w:p>
                    <w:pPr>
                      <w:spacing w:line="240" w:lineRule="auto" w:before="9"/>
                      <w:rPr>
                        <w:sz w:val="21"/>
                      </w:rPr>
                    </w:pPr>
                  </w:p>
                  <w:p>
                    <w:pPr>
                      <w:spacing w:before="0"/>
                      <w:ind w:left="448" w:right="447" w:firstLine="3"/>
                      <w:jc w:val="center"/>
                      <w:rPr>
                        <w:b/>
                        <w:sz w:val="20"/>
                      </w:rPr>
                    </w:pPr>
                    <w:r>
                      <w:rPr>
                        <w:b/>
                        <w:sz w:val="20"/>
                      </w:rPr>
                      <w:t>Chi phí logistics cảng container</w:t>
                    </w:r>
                  </w:p>
                </w:txbxContent>
              </v:textbox>
              <w10:wrap type="none"/>
            </v:shape>
            <w10:wrap type="none"/>
          </v:group>
        </w:pict>
      </w:r>
      <w:r>
        <w:rPr/>
        <w:pict>
          <v:shape style="position:absolute;margin-left:79.400002pt;margin-top:-8.854056pt;width:100pt;height:70.150pt;mso-position-horizontal-relative:page;mso-position-vertical-relative:paragraph;z-index:-30430720" coordorigin="1588,-177" coordsize="2000,1403" path="m2588,-177l2502,-175,2417,-167,2336,-155,2256,-138,2180,-116,2107,-91,2037,-61,1972,-28,1910,9,1853,49,1800,92,1753,138,1711,187,1675,238,1644,292,1620,347,1602,405,1592,464,1588,525,1592,585,1602,644,1620,702,1644,757,1675,811,1711,862,1753,911,1800,957,1853,1000,1910,1040,1972,1077,2037,1110,2107,1140,2180,1165,2256,1186,2336,1203,2417,1216,2502,1223,2588,1226,2674,1223,2759,1216,2840,1203,2920,1186,2996,1165,3069,1140,3139,1110,3204,1077,3266,1040,3323,1000,3376,957,3423,911,3465,862,3501,811,3532,757,3556,702,3574,644,3584,585,3588,525,3584,464,3574,405,3556,347,3532,292,3501,238,3465,187,3423,138,3376,92,3323,49,3266,9,3204,-28,3139,-61,3069,-91,2996,-116,2920,-138,2840,-155,2759,-167,2674,-175,2588,-177xe" filled="false" stroked="true" strokeweight="1.25pt" strokecolor="#000000">
            <v:path arrowok="t"/>
            <v:stroke dashstyle="solid"/>
            <w10:wrap type="none"/>
          </v:shape>
        </w:pict>
      </w:r>
      <w:r>
        <w:rPr/>
        <w:pict>
          <v:group style="position:absolute;margin-left:261.475006pt;margin-top:-93.829056pt;width:119.3pt;height:61.8pt;mso-position-horizontal-relative:page;mso-position-vertical-relative:paragraph;z-index:-30429696" coordorigin="5230,-1877" coordsize="2386,1236">
            <v:shape style="position:absolute;left:5242;top:-1865;width:2361;height:1211" coordorigin="5242,-1864" coordsize="2361,1211" path="m6423,-1864l6326,-1862,6231,-1856,6139,-1846,6049,-1833,5963,-1817,5880,-1797,5801,-1773,5725,-1747,5654,-1718,5588,-1687,5526,-1653,5470,-1616,5419,-1578,5374,-1537,5302,-1450,5257,-1357,5242,-1258,5246,-1209,5276,-1113,5335,-1023,5419,-940,5470,-901,5526,-864,5588,-830,5654,-799,5725,-770,5801,-744,5880,-721,5963,-701,6049,-684,6139,-671,6231,-661,6326,-655,6423,-653,6519,-655,6614,-661,6706,-671,6796,-684,6882,-701,6965,-721,7044,-744,7120,-770,7191,-799,7257,-830,7319,-864,7375,-901,7426,-940,7471,-980,7543,-1067,7588,-1160,7603,-1258,7599,-1308,7569,-1404,7510,-1494,7426,-1578,7375,-1616,7319,-1653,7257,-1687,7191,-1718,7120,-1747,7044,-1773,6965,-1797,6882,-1817,6796,-1833,6706,-1846,6614,-1856,6519,-1862,6423,-1864xe" filled="false" stroked="true" strokeweight="1.25pt" strokecolor="#000000">
              <v:path arrowok="t"/>
              <v:stroke dashstyle="solid"/>
            </v:shape>
            <v:shape style="position:absolute;left:5229;top:-1877;width:2386;height:1236" type="#_x0000_t202" filled="false" stroked="false">
              <v:textbox inset="0,0,0,0">
                <w:txbxContent>
                  <w:p>
                    <w:pPr>
                      <w:spacing w:line="240" w:lineRule="auto" w:before="10"/>
                      <w:rPr>
                        <w:sz w:val="21"/>
                      </w:rPr>
                    </w:pPr>
                  </w:p>
                  <w:p>
                    <w:pPr>
                      <w:spacing w:before="0"/>
                      <w:ind w:left="656" w:right="651" w:firstLine="0"/>
                      <w:jc w:val="center"/>
                      <w:rPr>
                        <w:b/>
                        <w:sz w:val="20"/>
                      </w:rPr>
                    </w:pPr>
                    <w:r>
                      <w:rPr>
                        <w:b/>
                        <w:sz w:val="20"/>
                      </w:rPr>
                      <w:t>Lợi thế cạnh tranh cảng container</w:t>
                    </w:r>
                  </w:p>
                </w:txbxContent>
              </v:textbox>
              <w10:wrap type="none"/>
            </v:shape>
            <w10:wrap type="none"/>
          </v:group>
        </w:pict>
      </w:r>
      <w:r>
        <w:rPr/>
        <w:pict>
          <v:group style="position:absolute;margin-left:433.325012pt;margin-top:-37.879055pt;width:116.5pt;height:62.4pt;mso-position-horizontal-relative:page;mso-position-vertical-relative:paragraph;z-index:15778304" coordorigin="8667,-758" coordsize="2330,1248">
            <v:shape style="position:absolute;left:8679;top:-746;width:2305;height:1223" coordorigin="8679,-745" coordsize="2305,1223" path="m9832,-745l9732,-743,9635,-736,9541,-725,9449,-711,9361,-692,9277,-670,9197,-644,9121,-615,9050,-583,8984,-548,8924,-510,8869,-470,8821,-428,8779,-383,8716,-288,8683,-186,8679,-133,8683,-81,8716,21,8779,116,8821,161,8869,203,8924,243,8984,281,9050,316,9121,348,9197,377,9277,403,9361,425,9449,443,9541,458,9635,469,9732,476,9832,478,9931,476,10028,469,10122,458,10214,443,10302,425,10386,403,10466,377,10542,348,10613,316,10679,281,10739,243,10794,203,10842,161,10884,116,10947,21,10980,-81,10984,-133,10980,-186,10947,-288,10884,-383,10842,-428,10794,-470,10739,-510,10679,-548,10613,-583,10542,-615,10466,-644,10386,-670,10302,-692,10214,-711,10122,-725,10028,-736,9931,-743,9832,-745xe" filled="false" stroked="true" strokeweight="1.25pt" strokecolor="#000000">
              <v:path arrowok="t"/>
              <v:stroke dashstyle="solid"/>
            </v:shape>
            <v:shape style="position:absolute;left:8666;top:-758;width:2330;height:1248" type="#_x0000_t202" filled="false" stroked="false">
              <v:textbox inset="0,0,0,0">
                <w:txbxContent>
                  <w:p>
                    <w:pPr>
                      <w:spacing w:line="240" w:lineRule="auto" w:before="0"/>
                      <w:rPr>
                        <w:sz w:val="22"/>
                      </w:rPr>
                    </w:pPr>
                  </w:p>
                  <w:p>
                    <w:pPr>
                      <w:spacing w:before="0"/>
                      <w:ind w:left="514" w:right="510" w:firstLine="0"/>
                      <w:jc w:val="center"/>
                      <w:rPr>
                        <w:b/>
                        <w:sz w:val="20"/>
                      </w:rPr>
                    </w:pPr>
                    <w:r>
                      <w:rPr>
                        <w:b/>
                        <w:sz w:val="20"/>
                      </w:rPr>
                      <w:t>Hài lòng khách hàng cảng conatiner</w:t>
                    </w:r>
                  </w:p>
                </w:txbxContent>
              </v:textbox>
              <w10:wrap type="none"/>
            </v:shape>
            <w10:wrap type="none"/>
          </v:group>
        </w:pict>
      </w:r>
      <w:r>
        <w:rPr/>
        <w:pict>
          <v:group style="position:absolute;margin-left:435.075012pt;margin-top:-157.029053pt;width:114pt;height:62.45pt;mso-position-horizontal-relative:page;mso-position-vertical-relative:paragraph;z-index:15779328" coordorigin="8702,-3141" coordsize="2280,1249">
            <v:shape style="position:absolute;left:8714;top:-3129;width:2255;height:1224" coordorigin="8714,-3128" coordsize="2255,1224" path="m9841,-3128l9744,-3126,9649,-3119,9557,-3108,9467,-3094,9381,-3075,9299,-3053,9221,-3027,9146,-2998,9077,-2966,9013,-2931,8954,-2893,8900,-2853,8853,-2811,8812,-2766,8750,-2671,8718,-2569,8714,-2516,8718,-2463,8750,-2362,8812,-2266,8853,-2222,8900,-2179,8954,-2139,9013,-2101,9077,-2066,9146,-2034,9221,-2005,9299,-1979,9381,-1957,9467,-1939,9557,-1924,9649,-1913,9744,-1906,9841,-1904,9939,-1906,10034,-1913,10126,-1924,10215,-1939,10302,-1957,10384,-1979,10462,-2005,10536,-2034,10606,-2066,10670,-2101,10729,-2139,10783,-2179,10830,-2222,10871,-2266,10933,-2362,10965,-2463,10969,-2516,10965,-2569,10933,-2671,10871,-2766,10830,-2811,10783,-2853,10729,-2893,10670,-2931,10606,-2966,10536,-2998,10462,-3027,10384,-3053,10302,-3075,10215,-3094,10126,-3108,10034,-3119,9939,-3126,9841,-3128xe" filled="false" stroked="true" strokeweight="1.25pt" strokecolor="#000000">
              <v:path arrowok="t"/>
              <v:stroke dashstyle="solid"/>
            </v:shape>
            <v:shape style="position:absolute;left:8701;top:-3141;width:2280;height:1249" type="#_x0000_t202" filled="false" stroked="false">
              <v:textbox inset="0,0,0,0">
                <w:txbxContent>
                  <w:p>
                    <w:pPr>
                      <w:spacing w:line="240" w:lineRule="auto" w:before="11"/>
                      <w:rPr>
                        <w:sz w:val="21"/>
                      </w:rPr>
                    </w:pPr>
                  </w:p>
                  <w:p>
                    <w:pPr>
                      <w:spacing w:before="0"/>
                      <w:ind w:left="496" w:right="474" w:firstLine="57"/>
                      <w:jc w:val="left"/>
                      <w:rPr>
                        <w:b/>
                        <w:sz w:val="20"/>
                      </w:rPr>
                    </w:pPr>
                    <w:r>
                      <w:rPr>
                        <w:b/>
                        <w:sz w:val="20"/>
                      </w:rPr>
                      <w:t>Lợi ích khách hàng cảng cont</w:t>
                    </w:r>
                  </w:p>
                </w:txbxContent>
              </v:textbox>
              <w10:wrap type="none"/>
            </v:shape>
            <w10:wrap type="none"/>
          </v:group>
        </w:pict>
      </w:r>
      <w:r>
        <w:rPr/>
        <w:pict>
          <v:group style="position:absolute;margin-left:177.449997pt;margin-top:-220.924057pt;width:86.6pt;height:315.4pt;mso-position-horizontal-relative:page;mso-position-vertical-relative:paragraph;z-index:15782912" coordorigin="3549,-4418" coordsize="1732,6308">
            <v:shape style="position:absolute;left:4064;top:995;width:560;height:266" type="#_x0000_t202" filled="false" stroked="false">
              <v:textbox inset="0,0,0,0">
                <w:txbxContent>
                  <w:p>
                    <w:pPr>
                      <w:spacing w:line="266" w:lineRule="exact" w:before="0"/>
                      <w:ind w:left="0" w:right="0" w:firstLine="0"/>
                      <w:jc w:val="left"/>
                      <w:rPr>
                        <w:b/>
                        <w:sz w:val="24"/>
                      </w:rPr>
                    </w:pPr>
                    <w:r>
                      <w:rPr>
                        <w:b/>
                        <w:sz w:val="24"/>
                      </w:rPr>
                      <w:t>0,360</w:t>
                    </w:r>
                  </w:p>
                </w:txbxContent>
              </v:textbox>
              <w10:wrap type="none"/>
            </v:shape>
            <v:shape style="position:absolute;left:3576;top:-301;width:560;height:266" type="#_x0000_t202" filled="false" stroked="false">
              <v:textbox inset="0,0,0,0">
                <w:txbxContent>
                  <w:p>
                    <w:pPr>
                      <w:spacing w:line="266" w:lineRule="exact" w:before="0"/>
                      <w:ind w:left="0" w:right="0" w:firstLine="0"/>
                      <w:jc w:val="left"/>
                      <w:rPr>
                        <w:b/>
                        <w:sz w:val="24"/>
                      </w:rPr>
                    </w:pPr>
                    <w:r>
                      <w:rPr>
                        <w:b/>
                        <w:sz w:val="24"/>
                      </w:rPr>
                      <w:t>0,151</w:t>
                    </w:r>
                  </w:p>
                </w:txbxContent>
              </v:textbox>
              <w10:wrap type="none"/>
            </v:shape>
            <v:shape style="position:absolute;left:3775;top:-1518;width:561;height:266" type="#_x0000_t202" filled="false" stroked="false">
              <v:textbox inset="0,0,0,0">
                <w:txbxContent>
                  <w:p>
                    <w:pPr>
                      <w:spacing w:line="266" w:lineRule="exact" w:before="0"/>
                      <w:ind w:left="0" w:right="0" w:firstLine="0"/>
                      <w:jc w:val="left"/>
                      <w:rPr>
                        <w:b/>
                        <w:sz w:val="24"/>
                      </w:rPr>
                    </w:pPr>
                    <w:r>
                      <w:rPr>
                        <w:b/>
                        <w:sz w:val="24"/>
                      </w:rPr>
                      <w:t>0,628</w:t>
                    </w:r>
                  </w:p>
                </w:txbxContent>
              </v:textbox>
              <w10:wrap type="none"/>
            </v:shape>
            <v:shape style="position:absolute;left:3758;top:-2399;width:560;height:266" type="#_x0000_t202" filled="false" stroked="false">
              <v:textbox inset="0,0,0,0">
                <w:txbxContent>
                  <w:p>
                    <w:pPr>
                      <w:spacing w:line="266" w:lineRule="exact" w:before="0"/>
                      <w:ind w:left="0" w:right="0" w:firstLine="0"/>
                      <w:jc w:val="left"/>
                      <w:rPr>
                        <w:b/>
                        <w:sz w:val="24"/>
                      </w:rPr>
                    </w:pPr>
                    <w:r>
                      <w:rPr>
                        <w:b/>
                        <w:sz w:val="24"/>
                      </w:rPr>
                      <w:t>0,387</w:t>
                    </w:r>
                  </w:p>
                </w:txbxContent>
              </v:textbox>
              <w10:wrap type="none"/>
            </v:shape>
            <v:shape style="position:absolute;left:3638;top:-3232;width:560;height:266" type="#_x0000_t202" filled="false" stroked="false">
              <v:textbox inset="0,0,0,0">
                <w:txbxContent>
                  <w:p>
                    <w:pPr>
                      <w:spacing w:line="266" w:lineRule="exact" w:before="0"/>
                      <w:ind w:left="0" w:right="0" w:firstLine="0"/>
                      <w:jc w:val="left"/>
                      <w:rPr>
                        <w:b/>
                        <w:sz w:val="24"/>
                      </w:rPr>
                    </w:pPr>
                    <w:r>
                      <w:rPr>
                        <w:b/>
                        <w:sz w:val="24"/>
                      </w:rPr>
                      <w:t>0,205</w:t>
                    </w:r>
                  </w:p>
                </w:txbxContent>
              </v:textbox>
              <w10:wrap type="none"/>
            </v:shape>
            <v:shape style="position:absolute;left:4037;top:-4096;width:560;height:266" type="#_x0000_t202" filled="false" stroked="false">
              <v:textbox inset="0,0,0,0">
                <w:txbxContent>
                  <w:p>
                    <w:pPr>
                      <w:spacing w:line="266" w:lineRule="exact" w:before="0"/>
                      <w:ind w:left="0" w:right="0" w:firstLine="0"/>
                      <w:jc w:val="left"/>
                      <w:rPr>
                        <w:b/>
                        <w:sz w:val="24"/>
                      </w:rPr>
                    </w:pPr>
                    <w:r>
                      <w:rPr>
                        <w:b/>
                        <w:sz w:val="24"/>
                      </w:rPr>
                      <w:t>0,242</w:t>
                    </w:r>
                  </w:p>
                </w:txbxContent>
              </v:textbox>
              <w10:wrap type="none"/>
            </v:shape>
            <v:shape style="position:absolute;left:3549;top:-4419;width:1732;height:6308" coordorigin="3549,-4418" coordsize="1732,6308" path="m5229,-1288l5225,-1308,3720,-1076,3803,-1143,3804,-1150,3800,-1154,3797,-1158,3790,-1159,3665,-1057,3810,-1000,3815,-998,3821,-1000,3823,-1006,3825,-1011,3823,-1016,3817,-1019,3737,-1050,3723,-1056,3686,-1050,3700,-1052,3723,-1056,5229,-1288xm5234,-1260l5220,-1274,3633,433,3657,328,3653,323,3642,320,3637,324,3602,481,3627,474,3756,434,3759,429,3758,424,3756,418,3751,415,3648,446,5234,-1260xm5236,-1213l5218,-1223,3615,1834,3610,1732,3610,1727,3605,1723,3594,1723,3590,1728,3590,1733,3597,1889,3618,1876,3730,1806,3734,1803,3736,1797,3733,1793,3730,1788,3724,1786,3719,1789,3633,1844,5236,-1213xm5247,-1352l3661,-2174,3763,-2179,3768,-2180,3773,-2184,3772,-2188,3772,-2191,3772,-2195,3767,-2200,3762,-2199,3606,-2192,3690,-2060,3692,-2055,3698,-2054,3703,-2057,3708,-2060,3709,-2066,3706,-2071,3652,-2157,5237,-1334,5247,-1352xm5281,-1362l3634,-4373,3721,-4321,3726,-4318,3732,-4319,3735,-4324,3738,-4329,3736,-4335,3619,-4406,3598,-4418,3593,-4262,3593,-4257,3598,-4252,3609,-4252,3613,-4256,3613,-4262,3616,-4364,5227,-1418,3596,-3109,3694,-3081,3699,-3079,3705,-3082,3706,-3088,3708,-3093,3705,-3099,3699,-3100,3575,-3135,3549,-3142,3586,-2990,3587,-2986,3593,-2982,3598,-2984,3603,-2985,3607,-2990,3605,-2996,3581,-3095,5265,-1350,5272,-1357,5281,-1362xe" filled="true" fillcolor="#000000" stroked="false">
              <v:path arrowok="t"/>
              <v:fill type="solid"/>
            </v:shape>
            <w10:wrap type="none"/>
          </v:group>
        </w:pict>
      </w:r>
      <w:r>
        <w:rPr/>
        <w:pict>
          <v:group style="position:absolute;margin-left:378.399994pt;margin-top:-124.29406pt;width:64.05pt;height:117.15pt;mso-position-horizontal-relative:page;mso-position-vertical-relative:paragraph;z-index:15784448" coordorigin="7568,-2486" coordsize="1281,2343">
            <v:shape style="position:absolute;left:8288;top:-937;width:560;height:266" type="#_x0000_t202" filled="false" stroked="false">
              <v:textbox inset="0,0,0,0">
                <w:txbxContent>
                  <w:p>
                    <w:pPr>
                      <w:spacing w:line="266" w:lineRule="exact" w:before="0"/>
                      <w:ind w:left="0" w:right="0" w:firstLine="0"/>
                      <w:jc w:val="left"/>
                      <w:rPr>
                        <w:b/>
                        <w:sz w:val="24"/>
                      </w:rPr>
                    </w:pPr>
                    <w:r>
                      <w:rPr>
                        <w:b/>
                        <w:sz w:val="24"/>
                      </w:rPr>
                      <w:t>0,043</w:t>
                    </w:r>
                  </w:p>
                </w:txbxContent>
              </v:textbox>
              <w10:wrap type="none"/>
            </v:shape>
            <v:shape style="position:absolute;left:8257;top:-2015;width:560;height:266" type="#_x0000_t202" filled="false" stroked="false">
              <v:textbox inset="0,0,0,0">
                <w:txbxContent>
                  <w:p>
                    <w:pPr>
                      <w:spacing w:line="266" w:lineRule="exact" w:before="0"/>
                      <w:ind w:left="0" w:right="0" w:firstLine="0"/>
                      <w:jc w:val="left"/>
                      <w:rPr>
                        <w:b/>
                        <w:sz w:val="24"/>
                      </w:rPr>
                    </w:pPr>
                    <w:r>
                      <w:rPr>
                        <w:b/>
                        <w:sz w:val="24"/>
                      </w:rPr>
                      <w:t>0,055</w:t>
                    </w:r>
                  </w:p>
                </w:txbxContent>
              </v:textbox>
              <w10:wrap type="none"/>
            </v:shape>
            <v:shape style="position:absolute;left:7568;top:-2486;width:1159;height:2343" coordorigin="7568,-2486" coordsize="1159,2343" path="m8700,-143l8699,-151,8667,-295,8666,-301,8661,-304,8656,-303,8650,-302,8647,-297,8648,-291,8669,-192,7610,-1350,7596,-1336,8655,-178,8557,-208,8552,-210,8546,-207,8543,-197,8546,-191,8551,-189,8700,-143xm8727,-2486l8575,-2448,8570,-2446,8567,-2441,8568,-2436,8569,-2430,8575,-2427,8580,-2428,8679,-2453,7568,-1364,7582,-1350,8693,-2439,8666,-2341,8665,-2335,8668,-2330,8678,-2327,8684,-2330,8685,-2335,8725,-2479,8727,-2486xe" filled="true" fillcolor="#000000" stroked="false">
              <v:path arrowok="t"/>
              <v:fill type="solid"/>
            </v:shape>
            <w10:wrap type="none"/>
          </v:group>
        </w:pict>
      </w:r>
      <w:r>
        <w:rPr>
          <w:b/>
          <w:sz w:val="20"/>
        </w:rPr>
        <w:t>Năng lực kết nối nội địa cảng container</w:t>
      </w:r>
    </w:p>
    <w:p>
      <w:pPr>
        <w:pStyle w:val="BodyText"/>
        <w:spacing w:before="3"/>
        <w:rPr>
          <w:b/>
        </w:rPr>
      </w:pPr>
      <w:r>
        <w:rPr/>
        <w:pict>
          <v:group style="position:absolute;margin-left:78.775002pt;margin-top:17.09082pt;width:101.25pt;height:62.4pt;mso-position-horizontal-relative:page;mso-position-vertical-relative:paragraph;z-index:-15683584;mso-wrap-distance-left:0;mso-wrap-distance-right:0" coordorigin="1576,342" coordsize="2025,1248">
            <v:shape style="position:absolute;left:1588;top:354;width:2000;height:1223" coordorigin="1588,354" coordsize="2000,1223" path="m2588,354l2497,357,2408,364,2322,376,2239,393,2159,413,2083,438,2011,466,1944,498,1881,533,1823,572,1771,613,1725,657,1684,704,1624,803,1592,910,1588,966,1592,1022,1624,1128,1684,1228,1725,1274,1771,1318,1823,1360,1881,1398,1944,1434,2011,1465,2083,1494,2159,1518,2239,1539,2322,1555,2408,1567,2497,1575,2588,1577,2679,1575,2768,1567,2854,1555,2937,1539,3017,1518,3093,1494,3165,1465,3232,1434,3295,1398,3353,1360,3405,1318,3451,1274,3492,1228,3552,1128,3584,1022,3588,966,3584,910,3552,803,3492,704,3451,657,3405,613,3353,572,3295,533,3232,498,3165,466,3093,438,3017,413,2937,393,2854,376,2768,364,2679,357,2588,354xe" filled="false" stroked="true" strokeweight="1.25pt" strokecolor="#000000">
              <v:path arrowok="t"/>
              <v:stroke dashstyle="solid"/>
            </v:shape>
            <v:shape style="position:absolute;left:1575;top:341;width:2025;height:1248" type="#_x0000_t202" filled="false" stroked="false">
              <v:textbox inset="0,0,0,0">
                <w:txbxContent>
                  <w:p>
                    <w:pPr>
                      <w:spacing w:line="240" w:lineRule="auto" w:before="0"/>
                      <w:rPr>
                        <w:b/>
                        <w:sz w:val="22"/>
                      </w:rPr>
                    </w:pPr>
                  </w:p>
                  <w:p>
                    <w:pPr>
                      <w:spacing w:before="0"/>
                      <w:ind w:left="577" w:right="576" w:firstLine="0"/>
                      <w:jc w:val="center"/>
                      <w:rPr>
                        <w:b/>
                        <w:sz w:val="20"/>
                      </w:rPr>
                    </w:pPr>
                    <w:r>
                      <w:rPr>
                        <w:b/>
                        <w:sz w:val="20"/>
                      </w:rPr>
                      <w:t>Độ tin cậy của cảng container</w:t>
                    </w:r>
                  </w:p>
                </w:txbxContent>
              </v:textbox>
              <w10:wrap type="none"/>
            </v:shape>
            <w10:wrap type="topAndBottom"/>
          </v:group>
        </w:pict>
      </w:r>
    </w:p>
    <w:p>
      <w:pPr>
        <w:pStyle w:val="BodyText"/>
        <w:spacing w:before="8"/>
        <w:rPr>
          <w:b/>
          <w:sz w:val="10"/>
        </w:rPr>
      </w:pPr>
    </w:p>
    <w:p>
      <w:pPr>
        <w:spacing w:before="90"/>
        <w:ind w:left="1095" w:right="33" w:firstLine="0"/>
        <w:jc w:val="center"/>
        <w:rPr>
          <w:b/>
          <w:sz w:val="24"/>
        </w:rPr>
      </w:pPr>
      <w:r>
        <w:rPr>
          <w:b/>
          <w:sz w:val="24"/>
        </w:rPr>
        <w:t>Hình 3.7: Mô hình nâng cao năng lực cạnh tranh cảng container Việt Nam</w:t>
      </w:r>
    </w:p>
    <w:p>
      <w:pPr>
        <w:spacing w:before="0"/>
        <w:ind w:left="1095" w:right="33" w:firstLine="0"/>
        <w:jc w:val="center"/>
        <w:rPr>
          <w:i/>
          <w:sz w:val="24"/>
        </w:rPr>
      </w:pPr>
      <w:r>
        <w:rPr>
          <w:i/>
          <w:sz w:val="24"/>
        </w:rPr>
        <w:t>(Nguồn: Tác giả phân tích)</w:t>
      </w:r>
    </w:p>
    <w:p>
      <w:pPr>
        <w:pStyle w:val="BodyText"/>
        <w:spacing w:line="360" w:lineRule="auto" w:before="159"/>
        <w:ind w:left="882" w:right="889" w:firstLine="427"/>
        <w:jc w:val="both"/>
      </w:pPr>
      <w:r>
        <w:rPr/>
        <w:t>Giả thuyết H6 với phát biểu “Độ tin cậy của cảng container có tác động tích cực đến lợi thế cạnh tranh cảng container”. Giả thuyết này có nghĩa là nếu một cảng container có độ tin cậy thì sẽ nâng cao lợi thế cạnh tranh. Kết quả kiểm định cho thấy với mức sai lệch chuẩn (SE) = 0,093, giá trị P = 0,000 &lt; 0,05 nên có ý nghĩa thống kê xét ở độ tin cậy 95% như vậy giả thuyết này được chấp nhận và điều này có nghĩa là độ tin cậy có tác động tích cực làm tăng lợi thế cạnh tranh của cảng container. Với mức ước lượng đạt 0,360 có thể nói rằng cảng container muốn nâng cao lợi thế cạnh tranh thì phải tăng độ tin</w:t>
      </w:r>
      <w:r>
        <w:rPr>
          <w:spacing w:val="-4"/>
        </w:rPr>
        <w:t> </w:t>
      </w:r>
      <w:r>
        <w:rPr/>
        <w:t>cậy.</w:t>
      </w:r>
    </w:p>
    <w:p>
      <w:pPr>
        <w:spacing w:after="0" w:line="360" w:lineRule="auto"/>
        <w:jc w:val="both"/>
        <w:sectPr>
          <w:pgSz w:w="11910" w:h="16850"/>
          <w:pgMar w:header="751" w:footer="0" w:top="960" w:bottom="280" w:left="820" w:right="240"/>
        </w:sectPr>
      </w:pPr>
    </w:p>
    <w:p>
      <w:pPr>
        <w:pStyle w:val="BodyText"/>
        <w:rPr>
          <w:sz w:val="20"/>
        </w:rPr>
      </w:pPr>
    </w:p>
    <w:p>
      <w:pPr>
        <w:pStyle w:val="BodyText"/>
        <w:spacing w:before="7"/>
        <w:rPr>
          <w:sz w:val="23"/>
        </w:rPr>
      </w:pPr>
    </w:p>
    <w:p>
      <w:pPr>
        <w:pStyle w:val="BodyText"/>
        <w:spacing w:line="360" w:lineRule="auto" w:before="89"/>
        <w:ind w:left="882" w:right="889" w:firstLine="427"/>
        <w:jc w:val="both"/>
      </w:pPr>
      <w:r>
        <w:rPr/>
        <w:t>Giả thuyết H7 với phát biểu “lợi thế cạnh tranh của cảng container Việt Nam được đo bằng lợi ích của khách hàng cảng”. Giả thuyết này có nghĩa lợi thế cạnh tranh của cảng chính là lợi ích mà khách hàng cảng có được. Kết quả kiểm định cho thấy với mức sai lệch chuẩn (SE) = 0,055, giá trị P = 0,000 &lt; 0,05 nên có ý nghĩa thống kê xét ở độ tin cậy 95% như vậy giả thuyết này được chấp</w:t>
      </w:r>
      <w:r>
        <w:rPr>
          <w:spacing w:val="-6"/>
        </w:rPr>
        <w:t> </w:t>
      </w:r>
      <w:r>
        <w:rPr/>
        <w:t>nhận.</w:t>
      </w:r>
    </w:p>
    <w:p>
      <w:pPr>
        <w:pStyle w:val="BodyText"/>
        <w:spacing w:line="360" w:lineRule="auto"/>
        <w:ind w:left="882" w:right="888" w:firstLine="427"/>
        <w:jc w:val="both"/>
      </w:pPr>
      <w:r>
        <w:rPr/>
        <w:t>Giả thuyết H8 với phát biểu “lợi thế cạnh tranh của cảng container Việt Nam được đo bằng hài lòng của khách hàng cảng”. Giả thuyết này có nghĩa lợi thế cạnh tranh của cảng chính là sự hài lòng khách hàng cảng. Kết quả kiểm định cho thấy với mức sai lệch chuẩn (SE) = 0,043, giá trị P = 0,000 &lt; 0,05 nên có ý nghĩa thống kê xét ở độ tin cậy 95% như vậy giả thuyết này được chấp nhận.</w:t>
      </w:r>
    </w:p>
    <w:p>
      <w:pPr>
        <w:pStyle w:val="Heading6"/>
        <w:numPr>
          <w:ilvl w:val="1"/>
          <w:numId w:val="24"/>
        </w:numPr>
        <w:tabs>
          <w:tab w:pos="1271" w:val="left" w:leader="none"/>
        </w:tabs>
        <w:spacing w:line="240" w:lineRule="auto" w:before="1" w:after="0"/>
        <w:ind w:left="1270" w:right="0" w:hanging="389"/>
        <w:jc w:val="both"/>
      </w:pPr>
      <w:r>
        <w:rPr/>
        <w:t>Phân tích kết quả định tính chính</w:t>
      </w:r>
      <w:r>
        <w:rPr>
          <w:spacing w:val="-1"/>
        </w:rPr>
        <w:t> </w:t>
      </w:r>
      <w:r>
        <w:rPr/>
        <w:t>thức</w:t>
      </w:r>
    </w:p>
    <w:p>
      <w:pPr>
        <w:pStyle w:val="ListParagraph"/>
        <w:numPr>
          <w:ilvl w:val="2"/>
          <w:numId w:val="24"/>
        </w:numPr>
        <w:tabs>
          <w:tab w:pos="1466" w:val="left" w:leader="none"/>
        </w:tabs>
        <w:spacing w:line="240" w:lineRule="auto" w:before="148" w:after="0"/>
        <w:ind w:left="1465" w:right="0" w:hanging="584"/>
        <w:jc w:val="both"/>
        <w:rPr>
          <w:b/>
          <w:sz w:val="26"/>
        </w:rPr>
      </w:pPr>
      <w:r>
        <w:rPr>
          <w:b/>
          <w:sz w:val="26"/>
        </w:rPr>
        <w:t>Đối với kết quả nghiên cứu định tính chính thức chấp</w:t>
      </w:r>
      <w:r>
        <w:rPr>
          <w:b/>
          <w:spacing w:val="-4"/>
          <w:sz w:val="26"/>
        </w:rPr>
        <w:t> </w:t>
      </w:r>
      <w:r>
        <w:rPr>
          <w:b/>
          <w:sz w:val="26"/>
        </w:rPr>
        <w:t>nhận</w:t>
      </w:r>
    </w:p>
    <w:p>
      <w:pPr>
        <w:pStyle w:val="BodyText"/>
        <w:spacing w:line="360" w:lineRule="auto" w:before="150"/>
        <w:ind w:left="882" w:right="888" w:firstLine="323"/>
        <w:jc w:val="both"/>
      </w:pPr>
      <w:r>
        <w:rPr/>
        <w:t>Phương pháp phân tích kết quả đề án bằng phương pháp định tính không nhằm mục đích điều chỉnh hay khám phá thang đo mà phương pháp này tác giả sử dụng nhằm có thêm các ý kiến chuyên sâu để hiểu rõ hơn về kết quả nghiên cứu định lượng chính thức. Kết quả phân tích định tính này còn có giá trị để diễn giải cho các kết luận chính thức. Chính vì vậy nên đặc điểm mẫu của nghiên cứu này phải là các chuyên gia trong lĩnh vực nghiên cứu và khai thác cảng container.</w:t>
      </w:r>
    </w:p>
    <w:p>
      <w:pPr>
        <w:pStyle w:val="Heading6"/>
        <w:ind w:left="2168"/>
      </w:pPr>
      <w:r>
        <w:rPr/>
        <w:t>Bảng 3.17: Kết quả nghiên cứu được chấp thuận và bác bỏ</w:t>
      </w:r>
    </w:p>
    <w:p>
      <w:pPr>
        <w:pStyle w:val="BodyText"/>
        <w:spacing w:before="9"/>
        <w:rPr>
          <w:b/>
          <w:sz w:val="12"/>
        </w:rPr>
      </w:pPr>
    </w:p>
    <w:tbl>
      <w:tblPr>
        <w:tblW w:w="0" w:type="auto"/>
        <w:jc w:val="left"/>
        <w:tblInd w:w="77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1668"/>
        <w:gridCol w:w="4395"/>
        <w:gridCol w:w="2943"/>
      </w:tblGrid>
      <w:tr>
        <w:trPr>
          <w:trHeight w:val="448" w:hRule="atLeast"/>
        </w:trPr>
        <w:tc>
          <w:tcPr>
            <w:tcW w:w="1668" w:type="dxa"/>
          </w:tcPr>
          <w:p>
            <w:pPr>
              <w:pStyle w:val="TableParagraph"/>
              <w:spacing w:before="2"/>
              <w:ind w:left="148" w:right="144"/>
              <w:jc w:val="center"/>
              <w:rPr>
                <w:b/>
                <w:sz w:val="26"/>
              </w:rPr>
            </w:pPr>
            <w:r>
              <w:rPr>
                <w:b/>
                <w:sz w:val="26"/>
              </w:rPr>
              <w:t>Kết quả</w:t>
            </w:r>
          </w:p>
        </w:tc>
        <w:tc>
          <w:tcPr>
            <w:tcW w:w="4395" w:type="dxa"/>
          </w:tcPr>
          <w:p>
            <w:pPr>
              <w:pStyle w:val="TableParagraph"/>
              <w:spacing w:before="2"/>
              <w:ind w:left="599"/>
              <w:rPr>
                <w:b/>
                <w:sz w:val="26"/>
              </w:rPr>
            </w:pPr>
            <w:r>
              <w:rPr>
                <w:b/>
                <w:sz w:val="26"/>
              </w:rPr>
              <w:t>Yếu tố tạo lợi thế cạnh tranh</w:t>
            </w:r>
          </w:p>
        </w:tc>
        <w:tc>
          <w:tcPr>
            <w:tcW w:w="2943" w:type="dxa"/>
          </w:tcPr>
          <w:p>
            <w:pPr>
              <w:pStyle w:val="TableParagraph"/>
              <w:spacing w:before="2"/>
              <w:ind w:left="427"/>
              <w:rPr>
                <w:b/>
                <w:sz w:val="26"/>
              </w:rPr>
            </w:pPr>
            <w:r>
              <w:rPr>
                <w:b/>
                <w:sz w:val="26"/>
              </w:rPr>
              <w:t>Lợi thế cạnh tranh</w:t>
            </w:r>
          </w:p>
        </w:tc>
      </w:tr>
      <w:tr>
        <w:trPr>
          <w:trHeight w:val="3139" w:hRule="atLeast"/>
        </w:trPr>
        <w:tc>
          <w:tcPr>
            <w:tcW w:w="1668" w:type="dxa"/>
          </w:tcPr>
          <w:p>
            <w:pPr>
              <w:pStyle w:val="TableParagraph"/>
              <w:rPr>
                <w:b/>
                <w:sz w:val="28"/>
              </w:rPr>
            </w:pPr>
          </w:p>
          <w:p>
            <w:pPr>
              <w:pStyle w:val="TableParagraph"/>
              <w:rPr>
                <w:b/>
                <w:sz w:val="28"/>
              </w:rPr>
            </w:pPr>
          </w:p>
          <w:p>
            <w:pPr>
              <w:pStyle w:val="TableParagraph"/>
              <w:rPr>
                <w:b/>
                <w:sz w:val="28"/>
              </w:rPr>
            </w:pPr>
          </w:p>
          <w:p>
            <w:pPr>
              <w:pStyle w:val="TableParagraph"/>
              <w:spacing w:before="2"/>
              <w:rPr>
                <w:b/>
                <w:sz w:val="33"/>
              </w:rPr>
            </w:pPr>
          </w:p>
          <w:p>
            <w:pPr>
              <w:pStyle w:val="TableParagraph"/>
              <w:spacing w:before="1"/>
              <w:ind w:left="151" w:right="144"/>
              <w:jc w:val="center"/>
              <w:rPr>
                <w:b/>
                <w:sz w:val="26"/>
              </w:rPr>
            </w:pPr>
            <w:r>
              <w:rPr>
                <w:b/>
                <w:sz w:val="26"/>
              </w:rPr>
              <w:t>Chấp thuận</w:t>
            </w:r>
          </w:p>
        </w:tc>
        <w:tc>
          <w:tcPr>
            <w:tcW w:w="4395" w:type="dxa"/>
          </w:tcPr>
          <w:p>
            <w:pPr>
              <w:pStyle w:val="TableParagraph"/>
              <w:spacing w:line="360" w:lineRule="auto" w:before="2"/>
              <w:ind w:left="107" w:right="98"/>
              <w:jc w:val="both"/>
              <w:rPr>
                <w:sz w:val="26"/>
              </w:rPr>
            </w:pPr>
            <w:r>
              <w:rPr>
                <w:sz w:val="26"/>
              </w:rPr>
              <w:t>CVDV1, CVDV3, CVDV4, CVDV6, CVDV7, CVDV8, CVDV10; CP1, CP2, CP3, CP4, CP5, CP6; VT2, VT3, VT5, VT6, VT7, VT9; HT1, </w:t>
            </w:r>
            <w:r>
              <w:rPr>
                <w:spacing w:val="-4"/>
                <w:sz w:val="26"/>
              </w:rPr>
              <w:t>HT2,</w:t>
            </w:r>
            <w:r>
              <w:rPr>
                <w:spacing w:val="57"/>
                <w:sz w:val="26"/>
              </w:rPr>
              <w:t> </w:t>
            </w:r>
            <w:r>
              <w:rPr>
                <w:sz w:val="26"/>
              </w:rPr>
              <w:t>HT4, HT5, HT6, HT7; ND1, </w:t>
            </w:r>
            <w:r>
              <w:rPr>
                <w:spacing w:val="-4"/>
                <w:sz w:val="26"/>
              </w:rPr>
              <w:t>ND2, </w:t>
            </w:r>
            <w:r>
              <w:rPr>
                <w:sz w:val="26"/>
              </w:rPr>
              <w:t>ND3, ND4, ND5; TC1, TC2,</w:t>
            </w:r>
            <w:r>
              <w:rPr>
                <w:spacing w:val="30"/>
                <w:sz w:val="26"/>
              </w:rPr>
              <w:t> </w:t>
            </w:r>
            <w:r>
              <w:rPr>
                <w:spacing w:val="-4"/>
                <w:sz w:val="26"/>
              </w:rPr>
              <w:t>TC3,</w:t>
            </w:r>
          </w:p>
          <w:p>
            <w:pPr>
              <w:pStyle w:val="TableParagraph"/>
              <w:spacing w:before="2"/>
              <w:ind w:left="107"/>
              <w:rPr>
                <w:sz w:val="26"/>
              </w:rPr>
            </w:pPr>
            <w:r>
              <w:rPr>
                <w:sz w:val="26"/>
              </w:rPr>
              <w:t>TC4.</w:t>
            </w:r>
          </w:p>
        </w:tc>
        <w:tc>
          <w:tcPr>
            <w:tcW w:w="2943" w:type="dxa"/>
          </w:tcPr>
          <w:p>
            <w:pPr>
              <w:pStyle w:val="TableParagraph"/>
              <w:tabs>
                <w:tab w:pos="866" w:val="left" w:leader="none"/>
                <w:tab w:pos="1624" w:val="left" w:leader="none"/>
                <w:tab w:pos="2393" w:val="left" w:leader="none"/>
              </w:tabs>
              <w:spacing w:line="360" w:lineRule="auto" w:before="2"/>
              <w:ind w:left="108" w:right="95"/>
              <w:rPr>
                <w:sz w:val="26"/>
              </w:rPr>
            </w:pPr>
            <w:r>
              <w:rPr>
                <w:sz w:val="26"/>
              </w:rPr>
              <w:t>HL1,</w:t>
              <w:tab/>
              <w:t>HL2,</w:t>
              <w:tab/>
              <w:t>HL3;</w:t>
              <w:tab/>
            </w:r>
            <w:r>
              <w:rPr>
                <w:spacing w:val="-4"/>
                <w:sz w:val="26"/>
              </w:rPr>
              <w:t>LI1, </w:t>
            </w:r>
            <w:r>
              <w:rPr>
                <w:sz w:val="26"/>
              </w:rPr>
              <w:t>LI2,</w:t>
            </w:r>
            <w:r>
              <w:rPr>
                <w:spacing w:val="-2"/>
                <w:sz w:val="26"/>
              </w:rPr>
              <w:t> </w:t>
            </w:r>
            <w:r>
              <w:rPr>
                <w:sz w:val="26"/>
              </w:rPr>
              <w:t>LI3.</w:t>
            </w:r>
          </w:p>
        </w:tc>
      </w:tr>
      <w:tr>
        <w:trPr>
          <w:trHeight w:val="897" w:hRule="atLeast"/>
        </w:trPr>
        <w:tc>
          <w:tcPr>
            <w:tcW w:w="1668" w:type="dxa"/>
          </w:tcPr>
          <w:p>
            <w:pPr>
              <w:pStyle w:val="TableParagraph"/>
              <w:spacing w:before="4"/>
              <w:ind w:left="148" w:right="144"/>
              <w:jc w:val="center"/>
              <w:rPr>
                <w:b/>
                <w:sz w:val="26"/>
              </w:rPr>
            </w:pPr>
            <w:r>
              <w:rPr>
                <w:b/>
                <w:sz w:val="26"/>
              </w:rPr>
              <w:t>Bác bỏ</w:t>
            </w:r>
          </w:p>
        </w:tc>
        <w:tc>
          <w:tcPr>
            <w:tcW w:w="4395" w:type="dxa"/>
          </w:tcPr>
          <w:p>
            <w:pPr>
              <w:pStyle w:val="TableParagraph"/>
              <w:spacing w:before="4"/>
              <w:ind w:left="107"/>
              <w:rPr>
                <w:sz w:val="26"/>
              </w:rPr>
            </w:pPr>
            <w:r>
              <w:rPr>
                <w:sz w:val="26"/>
              </w:rPr>
              <w:t>CLDV2, CLDV5, CLDV9; VT1, VT4,</w:t>
            </w:r>
          </w:p>
          <w:p>
            <w:pPr>
              <w:pStyle w:val="TableParagraph"/>
              <w:spacing w:before="147"/>
              <w:ind w:left="107"/>
              <w:rPr>
                <w:sz w:val="26"/>
              </w:rPr>
            </w:pPr>
            <w:r>
              <w:rPr>
                <w:sz w:val="26"/>
              </w:rPr>
              <w:t>VT8; HT3; TC5</w:t>
            </w:r>
          </w:p>
        </w:tc>
        <w:tc>
          <w:tcPr>
            <w:tcW w:w="2943" w:type="dxa"/>
          </w:tcPr>
          <w:p>
            <w:pPr>
              <w:pStyle w:val="TableParagraph"/>
              <w:rPr>
                <w:sz w:val="24"/>
              </w:rPr>
            </w:pPr>
          </w:p>
        </w:tc>
      </w:tr>
    </w:tbl>
    <w:p>
      <w:pPr>
        <w:spacing w:before="2"/>
        <w:ind w:left="0" w:right="886" w:firstLine="0"/>
        <w:jc w:val="right"/>
        <w:rPr>
          <w:i/>
          <w:sz w:val="26"/>
        </w:rPr>
      </w:pPr>
      <w:r>
        <w:rPr>
          <w:i/>
          <w:sz w:val="26"/>
        </w:rPr>
        <w:t>Nguồn: Tác giả thu thập</w:t>
      </w:r>
    </w:p>
    <w:p>
      <w:pPr>
        <w:spacing w:after="0"/>
        <w:jc w:val="right"/>
        <w:rPr>
          <w:sz w:val="26"/>
        </w:rPr>
        <w:sectPr>
          <w:pgSz w:w="11910" w:h="16850"/>
          <w:pgMar w:header="751" w:footer="0" w:top="960" w:bottom="280" w:left="820" w:right="240"/>
        </w:sectPr>
      </w:pPr>
    </w:p>
    <w:p>
      <w:pPr>
        <w:pStyle w:val="BodyText"/>
        <w:rPr>
          <w:i/>
          <w:sz w:val="20"/>
        </w:rPr>
      </w:pPr>
    </w:p>
    <w:p>
      <w:pPr>
        <w:pStyle w:val="BodyText"/>
        <w:spacing w:before="7"/>
        <w:rPr>
          <w:i/>
          <w:sz w:val="23"/>
        </w:rPr>
      </w:pPr>
    </w:p>
    <w:p>
      <w:pPr>
        <w:pStyle w:val="BodyText"/>
        <w:spacing w:line="360" w:lineRule="auto" w:before="89"/>
        <w:ind w:left="882" w:right="888" w:firstLine="719"/>
        <w:jc w:val="both"/>
      </w:pPr>
      <w:r>
        <w:rPr/>
        <w:t>Theo ông T.Q.D, phụ trách khai thác hãng tàu TS Line “Cạnh tranh của các hãng tàu thường rất lớn nên việc chọn cảng có vị trí thuận lợi, gần các tuyến vận tải liên kết, các vệ tinh như depot để tránh các trường hợp tàu chờ hàng hoặc khách hàng phàn nàn về việc nâng hạ container cũng như chi phí dịch chuyển container”. Bên cạnh đó theo PGS.TS N.T.T.H thì “Chủ hàng Việt Nam thường chọn các cảng nằm trong đô thị, gần các trung tâm thương mại vì lý do chi phí dịch chuyển container”. Từ kết quả này cho thấy kết quả nghiên cứu định lượng hoàn toàn phù hợp với yếu tố vị trí cảng và làm rõ hơn cho quan sát VT2 (khoảng cách luồng ngắn) vì các hãng tàu thường cạnh tranh với nhau thường bằng giá nên các cảng có vị trí luồng vào ngắn sẽ giúp các hãng tiết kiệm chi phí và mục tiêu giảm giá thành để nâng cao lợi thế cạnh</w:t>
      </w:r>
      <w:r>
        <w:rPr>
          <w:spacing w:val="-12"/>
        </w:rPr>
        <w:t> </w:t>
      </w:r>
      <w:r>
        <w:rPr/>
        <w:t>tranh.</w:t>
      </w:r>
    </w:p>
    <w:p>
      <w:pPr>
        <w:pStyle w:val="BodyText"/>
        <w:spacing w:line="360" w:lineRule="auto" w:before="1"/>
        <w:ind w:left="882" w:right="888" w:firstLine="719"/>
        <w:jc w:val="both"/>
      </w:pPr>
      <w:r>
        <w:rPr/>
        <w:t>Còn theo quan điểm của PGS.TS H.T.T.H thì “Một cảng container có lợi thế cạnh tranh là do lợi thế quản lý và dịch vụ khách hàng bên cạnh các dịch vụ hậu cần của cảng như dịch vụ hải quan, xếp dỡ”. Kết quả này cho thấy tương đồng với kết quả nghiên cứu định lượng chính thức là yếu tố chất lượng dịch vụ Logistics cảng, khám phá này nhằm giải thích thêm cho quan sát bố trí thiết bị xếp dỡ phù hợp (CLDV6) và hoạt động khai thác của cảng định hướng vào phục vụ khách hàng (CLDV7). Bên cạnh đó cũng theo PGS.TS H.T.T.H cho rằng “Lợi thế cạnh tranh cảng container còn nằm ở năng lực kết nối nội địa cũng như trang thiết bị xếp dỡ của cảng, phần lớn các cảng Việt Nam thường kết nối kém như cảng Cát Lái chỉ có con đường bộ độc đạo vào cảng nên thường gây ùn tắc hay như cảng VICT chỉ có đường A5 kết nối”. Qua đó cho thấy rằng nhận định này sẽ giải thích thêm cho các quan sát ND1; ND2.</w:t>
      </w:r>
    </w:p>
    <w:p>
      <w:pPr>
        <w:pStyle w:val="BodyText"/>
        <w:spacing w:line="360" w:lineRule="auto"/>
        <w:ind w:left="882" w:right="888" w:firstLine="719"/>
        <w:jc w:val="both"/>
      </w:pPr>
      <w:r>
        <w:rPr/>
        <w:t>Đồng quan điểm với các chuyên gia khác ông V.H.N (phó tổng giám đốc Tân cảng SG) trình bày quan điểm thêm là “Lợi thế cạnh tranh cảng container có tốt hay không còn phụ thuộc vào cảng có năng động giải quyết các vấn đề khách hàng phàn nàn cũng như năng động xây dựng các vệ tinh nhằm mở rộng, giảm áp lực quá tải  cũng như ùn tắc”. Quan điểm này phù hợp với yếu tố tin cậy và đồng thời giải thích bổ sung nghĩa thêm cho các quan sát khả năng đáp ứng nhanh của cảng</w:t>
      </w:r>
      <w:r>
        <w:rPr>
          <w:spacing w:val="-15"/>
        </w:rPr>
        <w:t> </w:t>
      </w:r>
      <w:r>
        <w:rPr/>
        <w:t>(TC1)</w:t>
      </w:r>
    </w:p>
    <w:p>
      <w:pPr>
        <w:pStyle w:val="BodyText"/>
        <w:spacing w:line="360" w:lineRule="auto"/>
        <w:ind w:left="882" w:right="886" w:firstLine="719"/>
        <w:jc w:val="both"/>
      </w:pPr>
      <w:r>
        <w:rPr/>
        <w:t>Cùng quan điểm với các chuyên gia TS. L. P. H, ông V. H.N cho rằng “Lợi thế cạnh tranh cảng thường xác định bằng lợi ích của khách hàng cũng như có sự hài lòng khách hàng cảng container”. Quan điểm này hù hợp với kết quả nghiên cứu và phù</w:t>
      </w:r>
    </w:p>
    <w:p>
      <w:pPr>
        <w:spacing w:after="0" w:line="360" w:lineRule="auto"/>
        <w:jc w:val="both"/>
        <w:sectPr>
          <w:pgSz w:w="11910" w:h="16850"/>
          <w:pgMar w:header="751" w:footer="0" w:top="960" w:bottom="280" w:left="820" w:right="240"/>
        </w:sectPr>
      </w:pPr>
    </w:p>
    <w:p>
      <w:pPr>
        <w:pStyle w:val="BodyText"/>
        <w:rPr>
          <w:sz w:val="20"/>
        </w:rPr>
      </w:pPr>
    </w:p>
    <w:p>
      <w:pPr>
        <w:pStyle w:val="BodyText"/>
        <w:spacing w:before="7"/>
        <w:rPr>
          <w:sz w:val="23"/>
        </w:rPr>
      </w:pPr>
    </w:p>
    <w:p>
      <w:pPr>
        <w:pStyle w:val="BodyText"/>
        <w:spacing w:line="360" w:lineRule="auto" w:before="89"/>
        <w:ind w:left="882" w:right="890"/>
        <w:jc w:val="both"/>
      </w:pPr>
      <w:r>
        <w:rPr/>
        <w:t>hợp với quan điểm của Vitor Caldeirinha (2014); Luna (2018); Brooks và Pallis (2013).</w:t>
      </w:r>
    </w:p>
    <w:p>
      <w:pPr>
        <w:pStyle w:val="BodyText"/>
        <w:spacing w:line="360" w:lineRule="auto"/>
        <w:ind w:left="882" w:right="888" w:firstLine="719"/>
        <w:jc w:val="both"/>
      </w:pPr>
      <w:r>
        <w:rPr/>
        <w:t>Cuối cùng theo quan điểm của ông L.V.P (giám đốc công ty TPG Logistics) thì “Ngoài các yếu tố lựa chọn cảng thông thường như vị trí, hạ tầng thì các doanh nghiêp thường lựa chọn cảng dựa vào chi phí Logistics thấp vì vậy cảng container muốn tăng lợi thế cạnh tranh thì phải chủ động cạnh tranh về chi phí Logistics càng thấp càng tốt”. Quan điểm này phù hợp với khả năng thu hút và có ý nghĩa giải thích cho quan sát</w:t>
      </w:r>
      <w:r>
        <w:rPr>
          <w:spacing w:val="-2"/>
        </w:rPr>
        <w:t> </w:t>
      </w:r>
      <w:r>
        <w:rPr/>
        <w:t>CP3.</w:t>
      </w:r>
    </w:p>
    <w:p>
      <w:pPr>
        <w:pStyle w:val="Heading6"/>
        <w:numPr>
          <w:ilvl w:val="2"/>
          <w:numId w:val="24"/>
        </w:numPr>
        <w:tabs>
          <w:tab w:pos="1466" w:val="left" w:leader="none"/>
        </w:tabs>
        <w:spacing w:line="240" w:lineRule="auto" w:before="1" w:after="0"/>
        <w:ind w:left="1465" w:right="0" w:hanging="584"/>
        <w:jc w:val="both"/>
      </w:pPr>
      <w:r>
        <w:rPr/>
        <w:t>Đối với kết quả nghiên cứu định tính chính thức bị bác</w:t>
      </w:r>
      <w:r>
        <w:rPr>
          <w:spacing w:val="-6"/>
        </w:rPr>
        <w:t> </w:t>
      </w:r>
      <w:r>
        <w:rPr/>
        <w:t>bỏ</w:t>
      </w:r>
    </w:p>
    <w:p>
      <w:pPr>
        <w:pStyle w:val="BodyText"/>
        <w:spacing w:line="360" w:lineRule="auto" w:before="149"/>
        <w:ind w:left="882" w:right="888" w:firstLine="719"/>
        <w:jc w:val="both"/>
      </w:pPr>
      <w:r>
        <w:rPr/>
        <w:t>Không giống như quan điểm của ông V.H.H cho rằng dịch vụ hoa tiêu lai dắt tàu ra vào cảng nhanh làm cho cảng tăng lợi thế cạnh tranh TS. L. P.H và các chuyên gia khác nhận định phần lớn cảng container của VN nằm trên các nhánh sông và sâu trong đất liền, bên cạnh chế độ thủy triều của các con sông là bán nhật triều tức mỗi ngày hai lần nước lên và xuống vì vậy các tàu container ra vào cảng phải phụ thuộc vào con nước nên việc tàu có được lai dắt nhanh hay chậm không làm ảnh hưởng đến lợi thế cạnh tranh cảng container điều này giải thích thêm cho biến bị loại</w:t>
      </w:r>
      <w:r>
        <w:rPr>
          <w:spacing w:val="-16"/>
        </w:rPr>
        <w:t> </w:t>
      </w:r>
      <w:r>
        <w:rPr/>
        <w:t>CLDV9.</w:t>
      </w:r>
    </w:p>
    <w:p>
      <w:pPr>
        <w:pStyle w:val="BodyText"/>
        <w:spacing w:line="360" w:lineRule="auto" w:before="1"/>
        <w:ind w:left="882" w:right="888" w:firstLine="719"/>
        <w:jc w:val="both"/>
      </w:pPr>
      <w:r>
        <w:rPr/>
        <w:t>Bên cạnh đó theo ông V.H.N và PGS.TS H. T. T. H thì phần lớn các tàu container cặp hệ thống cảng container VN phần lớn là tàu hoạt động trên các tuyến nhánh nên hầu như không tham gia vào các hoạt động khai thác chuyển tải mà thường các tàu sẽ mang container chạy theo lịch trình và điểm đến là các cảng tham gia chuyển tải trong khu vực như cảng Singapore hay Hồng Kong vì vậy vấn đề lợi thế cạnh tranh của cảng không nằm ở việc chuyển tải nhanh hay chậm hoặc có vị trí gần các cảng trung chuyển lớn hay không. Vấn đề này giải thích bác bỏ dịch vụ chuyển tải nhanh chóng (CVDV2) đồng thời cũng giải thích biến bác bỏ</w:t>
      </w:r>
      <w:r>
        <w:rPr>
          <w:spacing w:val="-8"/>
        </w:rPr>
        <w:t> </w:t>
      </w:r>
      <w:r>
        <w:rPr/>
        <w:t>VT1.</w:t>
      </w:r>
    </w:p>
    <w:p>
      <w:pPr>
        <w:pStyle w:val="Heading6"/>
        <w:spacing w:before="1"/>
        <w:ind w:left="4427"/>
      </w:pPr>
      <w:r>
        <w:rPr/>
        <w:t>Tóm tắt chương 3</w:t>
      </w:r>
    </w:p>
    <w:p>
      <w:pPr>
        <w:pStyle w:val="BodyText"/>
        <w:spacing w:line="360" w:lineRule="auto" w:before="147"/>
        <w:ind w:left="882" w:right="888" w:firstLine="719"/>
        <w:jc w:val="both"/>
      </w:pPr>
      <w:r>
        <w:rPr/>
        <w:t>Chương này trình bày kết quả nghiên cứu chính thức bao gồm việc đánh giá mô hình và giả thuyết nghiên cứu. Kết quả nghiên cứu chỉ ra rằng lợi thế cạnh tranh cảng container bị tác động tích cực bởi các yếu tố bao gồm cơ sở vật chất hạ tầng cảng, vị  trí cảng container, khả năng kết nối nội địa cảng, độ tin cậy của cảng container, chi phí CLDVistic của cảng container và cuối cùng là chất lượng dịch vụ Logistics cảng container.</w:t>
      </w:r>
      <w:r>
        <w:rPr>
          <w:spacing w:val="13"/>
        </w:rPr>
        <w:t> </w:t>
      </w:r>
      <w:r>
        <w:rPr/>
        <w:t>Bên</w:t>
      </w:r>
      <w:r>
        <w:rPr>
          <w:spacing w:val="13"/>
        </w:rPr>
        <w:t> </w:t>
      </w:r>
      <w:r>
        <w:rPr/>
        <w:t>cạnh</w:t>
      </w:r>
      <w:r>
        <w:rPr>
          <w:spacing w:val="12"/>
        </w:rPr>
        <w:t> </w:t>
      </w:r>
      <w:r>
        <w:rPr/>
        <w:t>đó</w:t>
      </w:r>
      <w:r>
        <w:rPr>
          <w:spacing w:val="12"/>
        </w:rPr>
        <w:t> </w:t>
      </w:r>
      <w:r>
        <w:rPr/>
        <w:t>kết</w:t>
      </w:r>
      <w:r>
        <w:rPr>
          <w:spacing w:val="10"/>
        </w:rPr>
        <w:t> </w:t>
      </w:r>
      <w:r>
        <w:rPr/>
        <w:t>quả</w:t>
      </w:r>
      <w:r>
        <w:rPr>
          <w:spacing w:val="10"/>
        </w:rPr>
        <w:t> </w:t>
      </w:r>
      <w:r>
        <w:rPr/>
        <w:t>nghiên</w:t>
      </w:r>
      <w:r>
        <w:rPr>
          <w:spacing w:val="10"/>
        </w:rPr>
        <w:t> </w:t>
      </w:r>
      <w:r>
        <w:rPr/>
        <w:t>cứu</w:t>
      </w:r>
      <w:r>
        <w:rPr>
          <w:spacing w:val="12"/>
        </w:rPr>
        <w:t> </w:t>
      </w:r>
      <w:r>
        <w:rPr/>
        <w:t>còn</w:t>
      </w:r>
      <w:r>
        <w:rPr>
          <w:spacing w:val="10"/>
        </w:rPr>
        <w:t> </w:t>
      </w:r>
      <w:r>
        <w:rPr/>
        <w:t>xác</w:t>
      </w:r>
      <w:r>
        <w:rPr>
          <w:spacing w:val="13"/>
        </w:rPr>
        <w:t> </w:t>
      </w:r>
      <w:r>
        <w:rPr/>
        <w:t>định</w:t>
      </w:r>
      <w:r>
        <w:rPr>
          <w:spacing w:val="13"/>
        </w:rPr>
        <w:t> </w:t>
      </w:r>
      <w:r>
        <w:rPr/>
        <w:t>được</w:t>
      </w:r>
      <w:r>
        <w:rPr>
          <w:spacing w:val="10"/>
        </w:rPr>
        <w:t> </w:t>
      </w:r>
      <w:r>
        <w:rPr/>
        <w:t>lợi</w:t>
      </w:r>
      <w:r>
        <w:rPr>
          <w:spacing w:val="11"/>
        </w:rPr>
        <w:t> </w:t>
      </w:r>
      <w:r>
        <w:rPr/>
        <w:t>thế</w:t>
      </w:r>
      <w:r>
        <w:rPr>
          <w:spacing w:val="10"/>
        </w:rPr>
        <w:t> </w:t>
      </w:r>
      <w:r>
        <w:rPr/>
        <w:t>cạnh</w:t>
      </w:r>
      <w:r>
        <w:rPr>
          <w:spacing w:val="13"/>
        </w:rPr>
        <w:t> </w:t>
      </w:r>
      <w:r>
        <w:rPr/>
        <w:t>tranh</w:t>
      </w:r>
      <w:r>
        <w:rPr>
          <w:spacing w:val="13"/>
        </w:rPr>
        <w:t> </w:t>
      </w:r>
      <w:r>
        <w:rPr/>
        <w:t>cảng</w:t>
      </w:r>
    </w:p>
    <w:p>
      <w:pPr>
        <w:spacing w:after="0" w:line="360" w:lineRule="auto"/>
        <w:jc w:val="both"/>
        <w:sectPr>
          <w:pgSz w:w="11910" w:h="16850"/>
          <w:pgMar w:header="751" w:footer="0" w:top="960" w:bottom="280" w:left="820" w:right="240"/>
        </w:sectPr>
      </w:pPr>
    </w:p>
    <w:p>
      <w:pPr>
        <w:pStyle w:val="BodyText"/>
        <w:rPr>
          <w:sz w:val="20"/>
        </w:rPr>
      </w:pPr>
    </w:p>
    <w:p>
      <w:pPr>
        <w:pStyle w:val="BodyText"/>
        <w:spacing w:before="7"/>
        <w:rPr>
          <w:sz w:val="23"/>
        </w:rPr>
      </w:pPr>
    </w:p>
    <w:p>
      <w:pPr>
        <w:pStyle w:val="BodyText"/>
        <w:spacing w:line="360" w:lineRule="auto" w:before="89"/>
        <w:ind w:left="882" w:right="888"/>
        <w:jc w:val="both"/>
      </w:pPr>
      <w:r>
        <w:rPr/>
        <w:t>container được đo lường bằng lợi ích của khách hàng và hài lòng khách hàng cảng kết quả này cũng cho thấy giống với lý thuyết đo lường của một số nhà nghiên cứu trên thế giới như Vitor Caldeirinha (2012, 2013); Joana Coeloho (2013). Mặt khác với phương pháp kiểm định bằng Bootstrap với N=1000 có thề xác định tham số mô hình là đáng tin cậy. Với kết quả nghiên cứu định tính chính thức thông qua thảo luận tay đôi, phỏng vấn chuyên gia giúp khẳng định và lý giải cho các trường hợp nhân tố bị bác bỏ và chấp nhận cũng như giải thích thêm cho các yếu tố đó. Kết quả từ chương này sẽ là nền tảng vững chắc đề án đánh giá thực trạng và đưa ra giải pháp ở các chương tiếp</w:t>
      </w:r>
      <w:r>
        <w:rPr>
          <w:spacing w:val="-3"/>
        </w:rPr>
        <w:t> </w:t>
      </w:r>
      <w:r>
        <w:rPr/>
        <w:t>theo.</w:t>
      </w:r>
    </w:p>
    <w:p>
      <w:pPr>
        <w:spacing w:after="0" w:line="360" w:lineRule="auto"/>
        <w:jc w:val="both"/>
        <w:sectPr>
          <w:pgSz w:w="11910" w:h="16850"/>
          <w:pgMar w:header="751" w:footer="0" w:top="960" w:bottom="280" w:left="820" w:right="240"/>
        </w:sectPr>
      </w:pPr>
    </w:p>
    <w:p>
      <w:pPr>
        <w:pStyle w:val="BodyText"/>
        <w:rPr>
          <w:sz w:val="20"/>
        </w:rPr>
      </w:pPr>
    </w:p>
    <w:p>
      <w:pPr>
        <w:pStyle w:val="BodyText"/>
        <w:spacing w:before="7"/>
        <w:rPr>
          <w:sz w:val="23"/>
        </w:rPr>
      </w:pPr>
    </w:p>
    <w:p>
      <w:pPr>
        <w:pStyle w:val="Heading6"/>
        <w:spacing w:line="360" w:lineRule="auto" w:before="89"/>
        <w:ind w:left="2922" w:right="1106" w:hanging="1810"/>
        <w:jc w:val="left"/>
      </w:pPr>
      <w:bookmarkStart w:name="_TOC_250018" w:id="38"/>
      <w:bookmarkEnd w:id="38"/>
      <w:r>
        <w:rPr/>
        <w:t>CHƯƠNG 4: THỰC TRẠNG CÁC YẾU TỐ TẠO LỢI THẾ CẠNH TRANH CHO CẢNG CONTAINER TẠI VIỆT NAM</w:t>
      </w:r>
    </w:p>
    <w:p>
      <w:pPr>
        <w:pStyle w:val="Heading6"/>
        <w:numPr>
          <w:ilvl w:val="1"/>
          <w:numId w:val="26"/>
        </w:numPr>
        <w:tabs>
          <w:tab w:pos="1271" w:val="left" w:leader="none"/>
        </w:tabs>
        <w:spacing w:line="240" w:lineRule="auto" w:before="0" w:after="0"/>
        <w:ind w:left="1270" w:right="0" w:hanging="389"/>
        <w:jc w:val="both"/>
      </w:pPr>
      <w:bookmarkStart w:name="_TOC_250017" w:id="39"/>
      <w:r>
        <w:rPr/>
        <w:t>Tổng quan cảng</w:t>
      </w:r>
      <w:r>
        <w:rPr>
          <w:spacing w:val="1"/>
        </w:rPr>
        <w:t> </w:t>
      </w:r>
      <w:bookmarkEnd w:id="39"/>
      <w:r>
        <w:rPr/>
        <w:t>container</w:t>
      </w:r>
    </w:p>
    <w:p>
      <w:pPr>
        <w:pStyle w:val="Heading6"/>
        <w:numPr>
          <w:ilvl w:val="2"/>
          <w:numId w:val="26"/>
        </w:numPr>
        <w:tabs>
          <w:tab w:pos="1466" w:val="left" w:leader="none"/>
        </w:tabs>
        <w:spacing w:line="240" w:lineRule="auto" w:before="148" w:after="0"/>
        <w:ind w:left="1465" w:right="0" w:hanging="584"/>
        <w:jc w:val="both"/>
      </w:pPr>
      <w:bookmarkStart w:name="_TOC_250016" w:id="40"/>
      <w:r>
        <w:rPr/>
        <w:t>Khái niệm cảng</w:t>
      </w:r>
      <w:r>
        <w:rPr>
          <w:spacing w:val="1"/>
        </w:rPr>
        <w:t> </w:t>
      </w:r>
      <w:bookmarkEnd w:id="40"/>
      <w:r>
        <w:rPr/>
        <w:t>container</w:t>
      </w:r>
    </w:p>
    <w:p>
      <w:pPr>
        <w:pStyle w:val="BodyText"/>
        <w:spacing w:line="360" w:lineRule="auto" w:before="150"/>
        <w:ind w:left="882" w:right="891" w:firstLine="719"/>
        <w:jc w:val="both"/>
      </w:pPr>
      <w:r>
        <w:rPr/>
        <w:t>Năm 1985, L. Kuzma đã đưa ra khái niệm cảng, đó là “một đầu mối vận tải liên hợp mà ở đó có nhiều phương tiện vận tải khác nhau chạy qua, đó là tàu biển, tàu  sông, xe lửa, ô tô, máy bay và đường ống. Ở khu vực cảng xuất hiện việc xếp dỡ hàng hoá hoặc sự lên xuống tàu của khách hàng giữa các tàu biển và các phương tiện vận tải còn lại – điều này có nghĩa là xuất hiện sự thay đổi phương tiện vận tải trong vận chuyển hàng hoá và</w:t>
      </w:r>
      <w:r>
        <w:rPr>
          <w:spacing w:val="-2"/>
        </w:rPr>
        <w:t> </w:t>
      </w:r>
      <w:r>
        <w:rPr/>
        <w:t>người”.</w:t>
      </w:r>
    </w:p>
    <w:p>
      <w:pPr>
        <w:pStyle w:val="BodyText"/>
        <w:spacing w:line="360" w:lineRule="auto" w:before="2"/>
        <w:ind w:left="882" w:right="888" w:firstLine="719"/>
        <w:jc w:val="both"/>
      </w:pPr>
      <w:r>
        <w:rPr/>
        <w:t>Đối với quan điểm hiện đại, cảng không phải là điểm cuối hoặc kết thúc của  quá trình vận tải mà là điểm luân chuyển hàng hoá và khách hàng. Nói cách khác, cảng như một mắt xích trong dây chuyền vận tải. Ở khái niệm này cảng còn mang tính rộng hơn: nhiệm vụ kích thích lợi ích của các bên của cảng không bị giới hạn bởi thời gian và không gian. Mục đích của một khu vực, một quốc gia hoặc nhiều quốc gia để đảm bảo cải thiện chất lượng của cuộc sống. Cảng biển thiết lập một thành phần của hệ thống vận tải đất nước và quốc tế. Hoạt động kinh tế của cảng là hoạt động phức tạp và liên hợp có quan hệ đến các giai đoạn còn lại của mắt xích vận tải (Cullinane &amp; et al 2006).</w:t>
      </w:r>
    </w:p>
    <w:p>
      <w:pPr>
        <w:pStyle w:val="BodyText"/>
        <w:spacing w:line="360" w:lineRule="auto"/>
        <w:ind w:left="882" w:right="888" w:firstLine="719"/>
        <w:jc w:val="both"/>
      </w:pPr>
      <w:r>
        <w:rPr/>
        <w:t>Còn theo Lee và cộng sự (2003) thì “Cảng container là nơi hàng hóa được bốc lên tàu và trên bến, nơi nhận và giao hàng. Hệ thống quản lý cảng bao gồm hệ thống vận chuyển tàu, hàng hóa, lưu trữ, nhận và phân phối hàng hóa, cửa khẩu, thông tin và quản lý hoạt động.”</w:t>
      </w:r>
    </w:p>
    <w:p>
      <w:pPr>
        <w:pStyle w:val="BodyText"/>
        <w:spacing w:line="360" w:lineRule="auto"/>
        <w:ind w:left="882" w:right="891" w:firstLine="719"/>
        <w:jc w:val="both"/>
      </w:pPr>
      <w:r>
        <w:rPr/>
        <w:t>Tại Việt Nam, theo điều 59 của Bộ luật Hàng Hải năm 2005 thì Cảng biển là khu vực bao gồm vùng đất cảng và vùng nước cảng, được xây dựng kết cấu hạ tầng và lắp đặt trang thiết bị cho tàu biển ra, vào hoạt động để bốc dỡ hàng hóa, đón trả hành khách và thực hiện các dịch vụ khác.</w:t>
      </w:r>
    </w:p>
    <w:p>
      <w:pPr>
        <w:pStyle w:val="BodyText"/>
        <w:spacing w:line="360" w:lineRule="auto"/>
        <w:ind w:left="882" w:right="889" w:firstLine="719"/>
        <w:jc w:val="both"/>
      </w:pPr>
      <w:r>
        <w:rPr/>
        <w:t>Vùng đất cảng là vùng đất được giới hạn để xây dựng cầu cảng, kho, bãi, nhà xưởng, trụ sở, cơ sở dịch vụ, hệ thống giao thông, thông tin liên lạc, điện nước, các công trình phụ trợ khác và lắp đặt trang thiết bị. Vùng nước cảng là vùng nước được giới hạn để thiết lập vùng nước trước cầu cảng, vùng quay trở tàu, khu neo đậu, khu</w:t>
      </w:r>
    </w:p>
    <w:p>
      <w:pPr>
        <w:spacing w:after="0" w:line="360" w:lineRule="auto"/>
        <w:jc w:val="both"/>
        <w:sectPr>
          <w:pgSz w:w="11910" w:h="16850"/>
          <w:pgMar w:header="751" w:footer="0" w:top="960" w:bottom="280" w:left="820" w:right="240"/>
        </w:sectPr>
      </w:pPr>
    </w:p>
    <w:p>
      <w:pPr>
        <w:pStyle w:val="BodyText"/>
        <w:rPr>
          <w:sz w:val="20"/>
        </w:rPr>
      </w:pPr>
    </w:p>
    <w:p>
      <w:pPr>
        <w:pStyle w:val="BodyText"/>
        <w:spacing w:before="7"/>
        <w:rPr>
          <w:sz w:val="23"/>
        </w:rPr>
      </w:pPr>
    </w:p>
    <w:p>
      <w:pPr>
        <w:pStyle w:val="BodyText"/>
        <w:spacing w:line="360" w:lineRule="auto" w:before="89"/>
        <w:ind w:left="882" w:right="888"/>
        <w:jc w:val="both"/>
      </w:pPr>
      <w:r>
        <w:rPr/>
        <w:t>chuyển tải, khu tránh bão, vùng đón trả hoa tiêu, vùng kiểm dịch; vùng để xây dựng luồng cảng và các công trình phụ trợ khác. Cảng biển có một hoặc nhiều bến cảng và bến cảng có một hoặc nhiều cầu cảng. Bến cảng bao gồm cầu cảng, kho, bãi, nhà xưởng, trụ sở, cơ sở dịch vụ, hệ thống giao thông, thông tin liên lạc, điện, nước, luồng vào bến cảng và các công trình phụ trợ khác. Cầu cảng là kết cấu cố định thuộc </w:t>
      </w:r>
      <w:r>
        <w:rPr>
          <w:spacing w:val="3"/>
        </w:rPr>
        <w:t>bến </w:t>
      </w:r>
      <w:r>
        <w:rPr/>
        <w:t>cảng, được sử dụng cho tàu biển neo, đậu, bốc dỡ hàng hóa, đón trả hành khách và thực hiện các dịch vụ khác (Đỗ Hoàng Long, 2008). Hoặc theo Nguyễn Văn Khoảng (2005) thì “Cảng là nơi ra vào, neo đậu của các phương tiện thủy, phục vụ cho phương tiện vận tải thủy và hàng hóa chuyên chở trên đó với nhiệm vụ chính là </w:t>
      </w:r>
      <w:r>
        <w:rPr>
          <w:spacing w:val="2"/>
        </w:rPr>
        <w:t>cung </w:t>
      </w:r>
      <w:r>
        <w:rPr/>
        <w:t>ứng các phương tiện và dịch vụ cần thiết cho việc dịch chuyển hàng hóa từ phương tiện thủy lên các phương tiện vận tải bộ và ngược lại hay lên các phương tiện thủy khác trong trường hợp chuyển</w:t>
      </w:r>
      <w:r>
        <w:rPr>
          <w:spacing w:val="-3"/>
        </w:rPr>
        <w:t> </w:t>
      </w:r>
      <w:r>
        <w:rPr/>
        <w:t>tải”.</w:t>
      </w:r>
    </w:p>
    <w:p>
      <w:pPr>
        <w:pStyle w:val="BodyText"/>
        <w:spacing w:line="360" w:lineRule="auto"/>
        <w:ind w:left="882" w:right="891" w:firstLine="719"/>
        <w:jc w:val="both"/>
      </w:pPr>
      <w:r>
        <w:rPr/>
        <w:t>Như vậy Cảng container là một khu vực nằm trong địa giới một cảng được thiết kế xây dựng dành riêng cho việc đón nhận tàu container, bốc dỡ container, thực hiện việc vận chuyển tiếp tục container từ phương thức vận tải bằng đường biển sang phương thức vận tải khác.</w:t>
      </w:r>
    </w:p>
    <w:p>
      <w:pPr>
        <w:pStyle w:val="Heading6"/>
        <w:numPr>
          <w:ilvl w:val="2"/>
          <w:numId w:val="26"/>
        </w:numPr>
        <w:tabs>
          <w:tab w:pos="1466" w:val="left" w:leader="none"/>
        </w:tabs>
        <w:spacing w:line="240" w:lineRule="auto" w:before="1" w:after="0"/>
        <w:ind w:left="1465" w:right="0" w:hanging="584"/>
        <w:jc w:val="both"/>
      </w:pPr>
      <w:bookmarkStart w:name="_TOC_250015" w:id="41"/>
      <w:r>
        <w:rPr/>
        <w:t>Phân</w:t>
      </w:r>
      <w:r>
        <w:rPr>
          <w:spacing w:val="-1"/>
        </w:rPr>
        <w:t> </w:t>
      </w:r>
      <w:bookmarkEnd w:id="41"/>
      <w:r>
        <w:rPr/>
        <w:t>loại</w:t>
      </w:r>
    </w:p>
    <w:p>
      <w:pPr>
        <w:pStyle w:val="BodyText"/>
        <w:spacing w:before="150"/>
        <w:ind w:left="1602"/>
        <w:jc w:val="both"/>
      </w:pPr>
      <w:r>
        <w:rPr/>
        <w:t>Dựa trên đặc trưng của dịch vụ mà cảng container được chia thành 3 loại:</w:t>
      </w:r>
    </w:p>
    <w:p>
      <w:pPr>
        <w:pStyle w:val="BodyText"/>
        <w:spacing w:line="360" w:lineRule="auto" w:before="148"/>
        <w:ind w:left="882" w:right="889" w:firstLine="719"/>
        <w:jc w:val="both"/>
      </w:pPr>
      <w:r>
        <w:rPr/>
        <w:pict>
          <v:shape style="position:absolute;margin-left:321.299988pt;margin-top:220.066727pt;width:142.2pt;height:29.2pt;mso-position-horizontal-relative:page;mso-position-vertical-relative:paragraph;z-index:15786496" type="#_x0000_t202" filled="false" stroked="true" strokeweight="2pt" strokecolor="#385d89">
            <v:textbox inset="0,0,0,0">
              <w:txbxContent>
                <w:p>
                  <w:pPr>
                    <w:spacing w:before="118"/>
                    <w:ind w:left="568" w:right="0" w:firstLine="0"/>
                    <w:jc w:val="left"/>
                    <w:rPr>
                      <w:b/>
                      <w:sz w:val="24"/>
                    </w:rPr>
                  </w:pPr>
                  <w:r>
                    <w:rPr>
                      <w:b/>
                      <w:sz w:val="24"/>
                    </w:rPr>
                    <w:t>Cảng chuyển tải</w:t>
                  </w:r>
                </w:p>
              </w:txbxContent>
            </v:textbox>
            <v:stroke dashstyle="solid"/>
            <w10:wrap type="none"/>
          </v:shape>
        </w:pict>
      </w:r>
      <w:r>
        <w:rPr/>
        <w:t>- Cảng chuyển tải (Terminal of Transhipment): là đầu mối của các tuyến hàng hải quốc tế, phục vụ tàu container khai thác trên các tuyến chính với dịch vụ chủ yếu là chuyển tải. Container được dỡ từ tàu biển này lên bờ sau đó lại xếp xuống tàu biển khác để vận chuyển đến cảng đích. Chức năng của cảng chuyển tải là phục vụ cho một miền hậu phương và tiền phương rộng lớn chứ không gói gọn ở một quốc gia vì vậy để thực hiện nhiệm vụ này của mình bến chuyển tải phải hội tụ rất nhiều đặc điểm như: vị trí địa lý, điều kiện tự nhiên, tiềm lực hàng hóa của khu vực, khả năng kết nối các tuyến đường biển quốc tế, đường sắt, đường bộ, vốn đầu tư, các dịch vụ về cung ứng, sửa</w:t>
      </w:r>
      <w:r>
        <w:rPr>
          <w:spacing w:val="-2"/>
        </w:rPr>
        <w:t> </w:t>
      </w:r>
      <w:r>
        <w:rPr/>
        <w:t>chữa….</w:t>
      </w:r>
    </w:p>
    <w:p>
      <w:pPr>
        <w:spacing w:after="0" w:line="360" w:lineRule="auto"/>
        <w:jc w:val="both"/>
        <w:sectPr>
          <w:pgSz w:w="11910" w:h="16850"/>
          <w:pgMar w:header="751" w:footer="0" w:top="960" w:bottom="280" w:left="820" w:right="240"/>
        </w:sectPr>
      </w:pPr>
    </w:p>
    <w:p>
      <w:pPr>
        <w:spacing w:before="207"/>
        <w:ind w:left="0" w:right="0" w:firstLine="0"/>
        <w:jc w:val="right"/>
        <w:rPr>
          <w:b/>
          <w:sz w:val="24"/>
        </w:rPr>
      </w:pPr>
      <w:r>
        <w:rPr/>
        <w:pict>
          <v:shape style="position:absolute;margin-left:125.099998pt;margin-top:11.653128pt;width:102.55pt;height:29.2pt;mso-position-horizontal-relative:page;mso-position-vertical-relative:paragraph;z-index:15787008" type="#_x0000_t202" filled="false" stroked="true" strokeweight="2pt" strokecolor="#385d89">
            <v:textbox inset="0,0,0,0">
              <w:txbxContent>
                <w:p>
                  <w:pPr>
                    <w:spacing w:before="119"/>
                    <w:ind w:left="322" w:right="0" w:firstLine="0"/>
                    <w:jc w:val="left"/>
                    <w:rPr>
                      <w:b/>
                      <w:sz w:val="24"/>
                    </w:rPr>
                  </w:pPr>
                  <w:r>
                    <w:rPr>
                      <w:b/>
                      <w:sz w:val="24"/>
                    </w:rPr>
                    <w:t>Khu vực cảng</w:t>
                  </w:r>
                </w:p>
              </w:txbxContent>
            </v:textbox>
            <v:stroke dashstyle="solid"/>
            <w10:wrap type="none"/>
          </v:shape>
        </w:pict>
      </w:r>
      <w:r>
        <w:rPr>
          <w:b/>
          <w:sz w:val="24"/>
        </w:rPr>
        <w:t>Tàu Feeder</w:t>
      </w:r>
    </w:p>
    <w:p>
      <w:pPr>
        <w:spacing w:before="115"/>
        <w:ind w:left="3198" w:right="0" w:firstLine="0"/>
        <w:jc w:val="left"/>
        <w:rPr>
          <w:b/>
          <w:sz w:val="24"/>
        </w:rPr>
      </w:pPr>
      <w:r>
        <w:rPr/>
        <w:br w:type="column"/>
      </w:r>
      <w:r>
        <w:rPr>
          <w:b/>
          <w:sz w:val="24"/>
        </w:rPr>
        <w:t>Tàu Mẹ</w:t>
      </w:r>
    </w:p>
    <w:p>
      <w:pPr>
        <w:spacing w:after="0"/>
        <w:jc w:val="left"/>
        <w:rPr>
          <w:sz w:val="24"/>
        </w:rPr>
        <w:sectPr>
          <w:type w:val="continuous"/>
          <w:pgSz w:w="11910" w:h="16850"/>
          <w:pgMar w:top="1840" w:bottom="280" w:left="820" w:right="240"/>
          <w:cols w:num="2" w:equalWidth="0">
            <w:col w:w="5287" w:space="40"/>
            <w:col w:w="5523"/>
          </w:cols>
        </w:sectPr>
      </w:pPr>
    </w:p>
    <w:p>
      <w:pPr>
        <w:tabs>
          <w:tab w:pos="3754" w:val="left" w:leader="none"/>
        </w:tabs>
        <w:spacing w:line="162" w:lineRule="exact"/>
        <w:ind w:left="928" w:right="0" w:firstLine="0"/>
        <w:rPr>
          <w:sz w:val="16"/>
        </w:rPr>
      </w:pPr>
      <w:r>
        <w:rPr>
          <w:position w:val="-2"/>
          <w:sz w:val="16"/>
        </w:rPr>
        <w:pict>
          <v:group style="width:36.7pt;height:8.15pt;mso-position-horizontal-relative:char;mso-position-vertical-relative:line" coordorigin="0,0" coordsize="734,163">
            <v:shape style="position:absolute;left:0;top:0;width:734;height:163" coordorigin="0,0" coordsize="734,163" path="m140,0l0,81,140,163,146,161,151,152,150,146,57,91,20,91,20,71,57,71,150,17,151,11,146,2,140,0xm694,81l584,146,582,152,588,161,594,163,716,91,714,91,714,90,709,90,694,81xm57,71l20,71,20,91,57,91,54,90,25,90,25,73,54,73,57,71xm677,71l57,71,40,81,57,91,677,91,694,81,677,71xm716,71l714,71,714,91,716,91,734,81,716,71xm25,73l25,90,40,81,25,73xm40,81l25,90,54,90,40,81xm709,73l694,81,709,90,709,73xm714,73l709,73,709,90,714,90,714,73xm54,73l25,73,40,81,54,73xm594,0l588,2,582,11,584,17,694,81,709,73,714,73,714,71,716,71,594,0xe" filled="true" fillcolor="#000000" stroked="false">
              <v:path arrowok="t"/>
              <v:fill type="solid"/>
            </v:shape>
          </v:group>
        </w:pict>
      </w:r>
      <w:r>
        <w:rPr>
          <w:position w:val="-2"/>
          <w:sz w:val="16"/>
        </w:rPr>
      </w:r>
      <w:r>
        <w:rPr>
          <w:position w:val="-2"/>
          <w:sz w:val="16"/>
        </w:rPr>
        <w:tab/>
      </w:r>
      <w:r>
        <w:rPr>
          <w:position w:val="-2"/>
          <w:sz w:val="16"/>
        </w:rPr>
        <w:pict>
          <v:group style="width:91.75pt;height:8.15pt;mso-position-horizontal-relative:char;mso-position-vertical-relative:line" coordorigin="0,0" coordsize="1835,163">
            <v:shape style="position:absolute;left:0;top:0;width:1835;height:163" coordorigin="0,0" coordsize="1835,163" path="m140,0l0,81,140,163,146,161,151,152,150,146,57,91,20,91,20,71,57,71,150,17,151,11,146,2,140,0xm1795,81l1685,146,1683,152,1689,161,1695,163,1817,91,1815,91,1815,90,1810,90,1795,81xm57,71l20,71,20,91,57,91,54,90,25,90,25,73,54,73,57,71xm1778,71l57,71,40,81,57,91,1778,91,1795,81,1778,71xm1817,71l1815,71,1815,91,1817,91,1835,81,1817,71xm25,73l25,90,40,81,25,73xm40,81l25,90,54,90,40,81xm1810,73l1795,81,1810,90,1810,73xm1815,73l1810,73,1810,90,1815,90,1815,73xm54,73l25,73,40,81,54,73xm1695,0l1689,2,1683,11,1685,17,1795,81,1810,73,1815,73,1815,71,1817,71,1695,0xe" filled="true" fillcolor="#000000" stroked="false">
              <v:path arrowok="t"/>
              <v:fill type="solid"/>
            </v:shape>
          </v:group>
        </w:pict>
      </w:r>
      <w:r>
        <w:rPr>
          <w:position w:val="-2"/>
          <w:sz w:val="16"/>
        </w:rPr>
      </w:r>
    </w:p>
    <w:p>
      <w:pPr>
        <w:pStyle w:val="BodyText"/>
        <w:rPr>
          <w:b/>
          <w:sz w:val="20"/>
        </w:rPr>
      </w:pPr>
    </w:p>
    <w:p>
      <w:pPr>
        <w:spacing w:before="220"/>
        <w:ind w:left="3817" w:right="1773" w:hanging="1254"/>
        <w:jc w:val="left"/>
        <w:rPr>
          <w:b/>
          <w:sz w:val="24"/>
        </w:rPr>
      </w:pPr>
      <w:r>
        <w:rPr/>
        <w:pict>
          <v:shape style="position:absolute;margin-left:465.559998pt;margin-top:-23.962875pt;width:44.9pt;height:8.15pt;mso-position-horizontal-relative:page;mso-position-vertical-relative:paragraph;z-index:15785984" coordorigin="9311,-479" coordsize="898,163" path="m9451,-479l9311,-398,9451,-316,9457,-318,9462,-328,9461,-334,9368,-388,9331,-388,9331,-408,9368,-408,9461,-462,9462,-468,9457,-478,9451,-479xm10169,-398l10059,-334,10058,-328,10063,-318,10069,-316,10192,-388,10189,-388,10189,-389,10184,-389,10169,-398xm9368,-408l9331,-408,9331,-388,9368,-388,9365,-389,9336,-389,9336,-406,9365,-406,9368,-408xm10152,-408l9368,-408,9351,-398,9368,-388,10152,-388,10169,-398,10152,-408xm10192,-408l10189,-408,10189,-388,10192,-388,10209,-398,10192,-408xm9336,-406l9336,-389,9351,-398,9336,-406xm9351,-398l9336,-389,9365,-389,9351,-398xm10184,-406l10169,-398,10184,-389,10184,-406xm10189,-406l10184,-406,10184,-389,10189,-389,10189,-406xm9365,-406l9336,-406,9351,-398,9365,-406xm10069,-479l10063,-478,10058,-468,10059,-462,10169,-398,10184,-406,10189,-406,10189,-408,10192,-408,10069,-479xe" filled="true" fillcolor="#000000" stroked="false">
            <v:path arrowok="t"/>
            <v:fill type="solid"/>
            <w10:wrap type="none"/>
          </v:shape>
        </w:pict>
      </w:r>
      <w:r>
        <w:rPr>
          <w:b/>
          <w:sz w:val="24"/>
        </w:rPr>
        <w:t>Hình 4.1: Sơ đồ tuyến vận chuyển container tới cảng chuyển tải (Nguồn: Nguyễn Văn Khoảng, 2005, trang 72)</w:t>
      </w:r>
    </w:p>
    <w:p>
      <w:pPr>
        <w:spacing w:after="0"/>
        <w:jc w:val="left"/>
        <w:rPr>
          <w:sz w:val="24"/>
        </w:rPr>
        <w:sectPr>
          <w:type w:val="continuous"/>
          <w:pgSz w:w="11910" w:h="16850"/>
          <w:pgMar w:top="1840" w:bottom="280" w:left="820" w:right="240"/>
        </w:sectPr>
      </w:pPr>
    </w:p>
    <w:p>
      <w:pPr>
        <w:pStyle w:val="BodyText"/>
        <w:rPr>
          <w:b/>
          <w:sz w:val="20"/>
        </w:rPr>
      </w:pPr>
    </w:p>
    <w:p>
      <w:pPr>
        <w:pStyle w:val="BodyText"/>
        <w:spacing w:before="7"/>
        <w:rPr>
          <w:b/>
          <w:sz w:val="23"/>
        </w:rPr>
      </w:pPr>
    </w:p>
    <w:p>
      <w:pPr>
        <w:pStyle w:val="BodyText"/>
        <w:spacing w:line="360" w:lineRule="auto" w:before="89"/>
        <w:ind w:left="882" w:right="888" w:firstLine="719"/>
        <w:jc w:val="both"/>
      </w:pPr>
      <w:r>
        <w:rPr/>
        <w:t>- Cảng đầu mối (TOD: Terminal of Origin and Destination): là các cảng nước sâu có thể phục vụ các tàu container khai thác trên tuyến chính (và các tàu khai thác trên tuyến nhánh). Những khu cảng này thường phục vụ cho một khu vực nội địa có lưu lượng hàng hóa lớn, có thể tiếp nhận các tàu container có sức chở ở mức trung bình. Container từ nội địa có thể đưa trực tiếp đến các cảng để xếp xuống tàu hoặc ngược lại. Đặc điểm của loại này là thời gian nằm bãi container dài hơn so với các cảng chuyển tải cho nên nếu cùng một sản lượng thông qua thì diện tích bãi của cảng chuyển tải sẽ ít hơn. Một đặc điểm nữa là thiết bị xếp dỡ của cảng đầu mối phải có dự phòng cần thiết để đối phó với sự biến động về lưu lượng container tăng, giảm một cách ngẫu nhiên do nhu cầu khách quan của chủ hàng. Điều kiện vận chuyển bằng đường bộ hay các yếu tố khác ngoài tầm kiểm soát của cảng. Để giảm bớt áp lực tắc nghẽn tại các cảng đầu mối vì những lý do nêu trên người ta tiến hành chuyển tiếp container từ các cảng đầu mối vào các điểm thông quan nội địa (ICD: Inland Clearance Depot) hay thường được gọi là cảng cạn hay cảng khô, từ đó chuyển bớt phần lớn các hoạt động giao nhận, bảo quản, đóng rút container, thủ tục hải quan…để cảng đầu mối có xu hướng gần như một cảng trung chuyển giữa đường biển và vận tải nội</w:t>
      </w:r>
      <w:r>
        <w:rPr>
          <w:spacing w:val="-11"/>
        </w:rPr>
        <w:t> </w:t>
      </w:r>
      <w:r>
        <w:rPr/>
        <w:t>địa.</w:t>
      </w:r>
    </w:p>
    <w:p>
      <w:pPr>
        <w:spacing w:line="422" w:lineRule="auto" w:before="25"/>
        <w:ind w:left="8796" w:right="1214" w:hanging="15"/>
        <w:jc w:val="both"/>
        <w:rPr>
          <w:b/>
          <w:sz w:val="24"/>
        </w:rPr>
      </w:pPr>
      <w:r>
        <w:rPr/>
        <w:pict>
          <v:shape style="position:absolute;margin-left:208.860001pt;margin-top:15.233128pt;width:36.7pt;height:8.15pt;mso-position-horizontal-relative:page;mso-position-vertical-relative:paragraph;z-index:15788544" coordorigin="4177,305" coordsize="734,163" path="m4317,305l4177,386,4317,467,4323,466,4328,456,4327,450,4234,396,4197,396,4197,376,4234,376,4327,322,4328,316,4323,306,4317,305xm4871,386l4761,450,4760,456,4765,466,4771,467,4894,396,4891,396,4891,395,4886,395,4871,386xm4234,376l4197,376,4197,396,4234,396,4231,395,4202,395,4202,377,4231,377,4234,376xm4854,376l4234,376,4217,386,4234,396,4854,396,4871,386,4854,376xm4894,376l4891,376,4891,396,4894,396,4911,386,4894,376xm4202,377l4202,395,4217,386,4202,377xm4217,386l4202,395,4231,395,4217,386xm4886,377l4871,386,4886,395,4886,377xm4891,377l4886,377,4886,395,4891,395,4891,377xm4231,377l4202,377,4217,386,4231,377xm4771,305l4765,306,4760,316,4761,322,4871,386,4886,377,4891,377,4891,376,4894,376,4771,305xe" filled="true" fillcolor="#000000" stroked="false">
            <v:path arrowok="t"/>
            <v:fill type="solid"/>
            <w10:wrap type="none"/>
          </v:shape>
        </w:pict>
      </w:r>
      <w:r>
        <w:rPr/>
        <w:pict>
          <v:shape style="position:absolute;margin-left:298.260010pt;margin-top:16.383127pt;width:53pt;height:8.15pt;mso-position-horizontal-relative:page;mso-position-vertical-relative:paragraph;z-index:15789056" coordorigin="5965,328" coordsize="1060,163" path="m6105,328l5965,409,6105,490,6111,489,6116,479,6115,473,6022,419,5985,419,5985,399,6022,399,6115,345,6116,339,6111,329,6105,328xm6985,409l6875,473,6874,479,6879,489,6885,490,7008,419,7005,419,7005,418,7000,418,6985,409xm6022,399l5985,399,5985,419,6022,419,6019,418,5990,418,5990,400,6019,400,6022,399xm6968,399l6022,399,6005,409,6022,419,6968,419,6985,409,6968,399xm7008,399l7005,399,7005,419,7008,419,7025,409,7008,399xm5990,400l5990,418,6005,409,5990,400xm6005,409l5990,418,6019,418,6005,409xm7000,400l6985,409,7000,418,7000,400xm7005,400l7000,400,7000,418,7005,418,7005,400xm6019,400l5990,400,6005,409,6019,400xm6885,328l6879,329,6874,339,6875,345,6985,409,7000,400,7005,400,7005,399,7008,399,6885,328xe" filled="true" fillcolor="#000000" stroked="false">
            <v:path arrowok="t"/>
            <v:fill type="solid"/>
            <w10:wrap type="none"/>
          </v:shape>
        </w:pict>
      </w:r>
      <w:r>
        <w:rPr/>
        <w:pict>
          <v:shape style="position:absolute;margin-left:468.059998pt;margin-top:16.383127pt;width:68.2pt;height:8.2pt;mso-position-horizontal-relative:page;mso-position-vertical-relative:paragraph;z-index:-30417408" coordorigin="9361,328" coordsize="1364,164" path="m10685,410l10575,474,10574,480,10579,490,10585,491,10708,420,10705,420,10705,419,10700,419,10685,410xm9501,328l9361,409,9501,490,9507,489,9512,479,9511,473,9418,419,9381,419,9381,399,9418,399,9511,345,9512,339,9507,329,9501,328xm10033,409l10033,420,10668,420,10670,419,10043,419,10033,409xm10708,400l10705,400,10705,420,10708,420,10725,410,10708,400xm9418,399l9381,399,9381,419,9418,419,9415,418,9386,418,9386,400,9415,400,9418,399xm10053,399l9418,399,9401,409,9418,419,10033,419,10033,409,10052,409,10043,400,10053,400,10053,399xm10052,409l10033,409,10043,419,10670,419,10685,410,10053,410,10052,409xm10700,401l10685,410,10700,419,10700,401xm10705,401l10700,401,10700,419,10705,419,10705,401xm9386,400l9386,418,9401,409,9386,400xm9401,409l9386,418,9415,418,9401,409xm10053,400l10043,400,10053,410,10053,400xm10668,400l10053,400,10053,410,10685,410,10668,400xm10585,329l10579,330,10574,340,10575,346,10685,410,10700,401,10705,401,10705,400,10708,400,10585,329xm9415,400l9386,400,9401,409,9415,400xe" filled="true" fillcolor="#000000" stroked="false">
            <v:path arrowok="t"/>
            <v:fill type="solid"/>
            <w10:wrap type="none"/>
          </v:shape>
        </w:pict>
      </w:r>
      <w:r>
        <w:rPr/>
        <w:pict>
          <v:shape style="position:absolute;margin-left:352.200012pt;margin-top:5.703127pt;width:114.8pt;height:31.7pt;mso-position-horizontal-relative:page;mso-position-vertical-relative:paragraph;z-index:15791616" type="#_x0000_t202" filled="false" stroked="true" strokeweight="2pt" strokecolor="#385d89">
            <v:textbox inset="0,0,0,0">
              <w:txbxContent>
                <w:p>
                  <w:pPr>
                    <w:spacing w:before="119"/>
                    <w:ind w:left="406" w:right="0" w:firstLine="0"/>
                    <w:jc w:val="left"/>
                    <w:rPr>
                      <w:b/>
                      <w:sz w:val="24"/>
                    </w:rPr>
                  </w:pPr>
                  <w:r>
                    <w:rPr>
                      <w:b/>
                      <w:sz w:val="24"/>
                    </w:rPr>
                    <w:t>Cảng đầu mối</w:t>
                  </w:r>
                </w:p>
              </w:txbxContent>
            </v:textbox>
            <v:stroke dashstyle="solid"/>
            <w10:wrap type="none"/>
          </v:shape>
        </w:pict>
      </w:r>
      <w:r>
        <w:rPr/>
        <w:pict>
          <v:shape style="position:absolute;margin-left:246.199997pt;margin-top:5.603127pt;width:50.9pt;height:31.7pt;mso-position-horizontal-relative:page;mso-position-vertical-relative:paragraph;z-index:15792128" type="#_x0000_t202" filled="false" stroked="true" strokeweight="2pt" strokecolor="#385d89">
            <v:textbox inset="0,0,0,0">
              <w:txbxContent>
                <w:p>
                  <w:pPr>
                    <w:spacing w:before="118"/>
                    <w:ind w:left="262" w:right="0" w:firstLine="0"/>
                    <w:jc w:val="left"/>
                    <w:rPr>
                      <w:b/>
                      <w:sz w:val="24"/>
                    </w:rPr>
                  </w:pPr>
                  <w:r>
                    <w:rPr>
                      <w:b/>
                      <w:w w:val="105"/>
                      <w:sz w:val="24"/>
                    </w:rPr>
                    <w:t>ICD</w:t>
                  </w:r>
                </w:p>
              </w:txbxContent>
            </v:textbox>
            <v:stroke dashstyle="solid"/>
            <w10:wrap type="none"/>
          </v:shape>
        </w:pict>
      </w:r>
      <w:r>
        <w:rPr/>
        <w:pict>
          <v:shape style="position:absolute;margin-left:88.75pt;margin-top:3.403127pt;width:118.85pt;height:31.7pt;mso-position-horizontal-relative:page;mso-position-vertical-relative:paragraph;z-index:15792640" type="#_x0000_t202" filled="false" stroked="true" strokeweight="2pt" strokecolor="#385d89">
            <v:textbox inset="0,0,0,0">
              <w:txbxContent>
                <w:p>
                  <w:pPr>
                    <w:spacing w:before="117"/>
                    <w:ind w:left="663" w:right="0" w:firstLine="0"/>
                    <w:jc w:val="left"/>
                    <w:rPr>
                      <w:b/>
                      <w:sz w:val="24"/>
                    </w:rPr>
                  </w:pPr>
                  <w:r>
                    <w:rPr>
                      <w:b/>
                      <w:sz w:val="24"/>
                    </w:rPr>
                    <w:t>Chủ hàng</w:t>
                  </w:r>
                </w:p>
              </w:txbxContent>
            </v:textbox>
            <v:stroke dashstyle="solid"/>
            <w10:wrap type="none"/>
          </v:shape>
        </w:pict>
      </w:r>
      <w:r>
        <w:rPr>
          <w:b/>
          <w:sz w:val="24"/>
        </w:rPr>
        <w:t>Tàu mẹ Tàu con</w:t>
      </w:r>
    </w:p>
    <w:p>
      <w:pPr>
        <w:spacing w:before="34"/>
        <w:ind w:left="3491" w:right="2207" w:hanging="1477"/>
        <w:jc w:val="both"/>
        <w:rPr>
          <w:b/>
          <w:sz w:val="24"/>
        </w:rPr>
      </w:pPr>
      <w:r>
        <w:rPr>
          <w:b/>
          <w:sz w:val="24"/>
        </w:rPr>
        <w:t>Hình 4.2: Sơ đồ tuyến vận chuyển container tới khu bến đầu mối (Nguồn: Nguyễn Văn Khoảng 2005)</w:t>
      </w:r>
    </w:p>
    <w:p>
      <w:pPr>
        <w:pStyle w:val="ListParagraph"/>
        <w:numPr>
          <w:ilvl w:val="0"/>
          <w:numId w:val="27"/>
        </w:numPr>
        <w:tabs>
          <w:tab w:pos="1058" w:val="left" w:leader="none"/>
        </w:tabs>
        <w:spacing w:line="360" w:lineRule="auto" w:before="212" w:after="0"/>
        <w:ind w:left="882" w:right="891" w:firstLine="0"/>
        <w:jc w:val="both"/>
        <w:rPr>
          <w:sz w:val="26"/>
        </w:rPr>
      </w:pPr>
      <w:r>
        <w:rPr>
          <w:sz w:val="26"/>
        </w:rPr>
        <w:t>Cảng phục vụ các tàu container khai thác trên tuyến nhánh (Feeder Line Services), Cảng này còn gọi là Cảng nội địa: những cảng này thông thường nằm sâu trong nội địa và chỉ tiếp nhận được các tàu hoặc sà lan có sức chở tối đa khoảng 1000TEUS. Đặc điểm của các cảng này là khối lượng container thông qua hàng năm ít, ở đây tập trung nhiều hoạt động như: xếp dỡ, giao nhận container, tiến hành thủ tục thông quan hàng hóa xuất nhập khẩu, thực hiện đóng rút hàng ra vào container (CFS) và xếp dỡ bảo quản container</w:t>
      </w:r>
      <w:r>
        <w:rPr>
          <w:spacing w:val="-3"/>
          <w:sz w:val="26"/>
        </w:rPr>
        <w:t> </w:t>
      </w:r>
      <w:r>
        <w:rPr>
          <w:sz w:val="26"/>
        </w:rPr>
        <w:t>rỗng.</w:t>
      </w:r>
    </w:p>
    <w:p>
      <w:pPr>
        <w:pStyle w:val="BodyText"/>
        <w:rPr>
          <w:sz w:val="20"/>
        </w:rPr>
      </w:pPr>
    </w:p>
    <w:p>
      <w:pPr>
        <w:pStyle w:val="BodyText"/>
        <w:spacing w:before="6"/>
        <w:rPr>
          <w:sz w:val="22"/>
        </w:rPr>
      </w:pPr>
    </w:p>
    <w:p>
      <w:pPr>
        <w:spacing w:before="0"/>
        <w:ind w:left="6410" w:right="3620" w:firstLine="0"/>
        <w:jc w:val="center"/>
        <w:rPr>
          <w:b/>
          <w:sz w:val="24"/>
        </w:rPr>
      </w:pPr>
      <w:r>
        <w:rPr/>
        <w:pict>
          <v:shape style="position:absolute;margin-left:207.610001pt;margin-top:10.423123pt;width:36.7pt;height:8.15pt;mso-position-horizontal-relative:page;mso-position-vertical-relative:paragraph;z-index:15787520" coordorigin="4152,208" coordsize="734,163" path="m4292,208l4152,290,4292,371,4298,370,4303,360,4302,354,4209,300,4172,300,4172,280,4209,280,4302,226,4303,220,4298,210,4292,208xm4846,290l4736,354,4735,360,4740,370,4746,371,4869,300,4866,300,4866,298,4861,298,4846,290xm4209,280l4172,280,4172,300,4209,300,4206,298,4177,298,4177,281,4206,281,4209,280xm4829,280l4209,280,4192,290,4209,300,4829,300,4846,290,4829,280xm4869,280l4866,280,4866,300,4869,300,4886,290,4869,280xm4177,281l4177,298,4192,290,4177,281xm4192,290l4177,298,4206,298,4192,290xm4861,281l4846,290,4861,298,4861,281xm4866,281l4861,281,4861,298,4866,298,4866,281xm4206,281l4177,281,4192,290,4206,281xm4746,208l4740,210,4735,220,4736,226,4846,290,4861,281,4866,281,4866,280,4869,280,4746,208xe" filled="true" fillcolor="#000000" stroked="false">
            <v:path arrowok="t"/>
            <v:fill type="solid"/>
            <w10:wrap type="none"/>
          </v:shape>
        </w:pict>
      </w:r>
      <w:r>
        <w:rPr/>
        <w:pict>
          <v:shape style="position:absolute;margin-left:358.51001pt;margin-top:10.423123pt;width:49.55pt;height:8.15pt;mso-position-horizontal-relative:page;mso-position-vertical-relative:paragraph;z-index:-30418944" coordorigin="7170,208" coordsize="991,163" path="m7310,208l7170,290,7310,371,7316,370,7321,360,7320,354,7227,300,7190,300,7190,280,7227,280,7320,226,7321,220,7316,210,7310,208xm8121,290l8011,354,8010,360,8015,370,8021,371,8144,300,8141,300,8141,298,8136,298,8121,290xm7227,280l7190,280,7190,300,7227,300,7224,298,7195,298,7195,281,7224,281,7227,280xm8104,280l7227,280,7210,290,7227,300,8104,300,8121,290,8104,280xm8144,280l8141,280,8141,300,8144,300,8161,290,8144,280xm7195,281l7195,298,7210,290,7195,281xm7210,290l7195,298,7224,298,7210,290xm8136,281l8121,290,8136,298,8136,281xm8141,281l8136,281,8136,298,8141,298,8141,281xm7224,281l7195,281,7210,290,7224,281xm8021,208l8015,210,8010,220,8011,226,8121,290,8136,281,8141,281,8141,280,8144,280,8021,208xe" filled="true" fillcolor="#000000" stroked="false">
            <v:path arrowok="t"/>
            <v:fill type="solid"/>
            <w10:wrap type="none"/>
          </v:shape>
        </w:pict>
      </w:r>
      <w:r>
        <w:rPr/>
        <w:pict>
          <v:shape style="position:absolute;margin-left:409.049988pt;margin-top:2.493124pt;width:142.9pt;height:29.2pt;mso-position-horizontal-relative:page;mso-position-vertical-relative:paragraph;z-index:15790080" type="#_x0000_t202" filled="false" stroked="true" strokeweight="2pt" strokecolor="#385d89">
            <v:textbox inset="0,0,0,0">
              <w:txbxContent>
                <w:p>
                  <w:pPr>
                    <w:spacing w:before="119"/>
                    <w:ind w:left="574" w:right="0" w:firstLine="0"/>
                    <w:jc w:val="left"/>
                    <w:rPr>
                      <w:b/>
                      <w:sz w:val="24"/>
                    </w:rPr>
                  </w:pPr>
                  <w:r>
                    <w:rPr>
                      <w:b/>
                      <w:sz w:val="24"/>
                    </w:rPr>
                    <w:t>Cảng chuyển tải</w:t>
                  </w:r>
                </w:p>
              </w:txbxContent>
            </v:textbox>
            <v:stroke dashstyle="solid"/>
            <w10:wrap type="none"/>
          </v:shape>
        </w:pict>
      </w:r>
      <w:r>
        <w:rPr/>
        <w:pict>
          <v:shape style="position:absolute;margin-left:246.699997pt;margin-top:1.793124pt;width:110.7pt;height:29.2pt;mso-position-horizontal-relative:page;mso-position-vertical-relative:paragraph;z-index:15790592" type="#_x0000_t202" filled="false" stroked="true" strokeweight="2pt" strokecolor="#385d89">
            <v:textbox inset="0,0,0,0">
              <w:txbxContent>
                <w:p>
                  <w:pPr>
                    <w:spacing w:before="119"/>
                    <w:ind w:left="432" w:right="0" w:firstLine="0"/>
                    <w:jc w:val="left"/>
                    <w:rPr>
                      <w:b/>
                      <w:sz w:val="24"/>
                    </w:rPr>
                  </w:pPr>
                  <w:r>
                    <w:rPr>
                      <w:b/>
                      <w:sz w:val="24"/>
                    </w:rPr>
                    <w:t>Cảng nội địa</w:t>
                  </w:r>
                </w:p>
              </w:txbxContent>
            </v:textbox>
            <v:stroke dashstyle="solid"/>
            <w10:wrap type="none"/>
          </v:shape>
        </w:pict>
      </w:r>
      <w:r>
        <w:rPr/>
        <w:pict>
          <v:shape style="position:absolute;margin-left:87.550003pt;margin-top:-.106876pt;width:118.85pt;height:29.2pt;mso-position-horizontal-relative:page;mso-position-vertical-relative:paragraph;z-index:15791104" type="#_x0000_t202" filled="false" stroked="true" strokeweight="2pt" strokecolor="#385d89">
            <v:textbox inset="0,0,0,0">
              <w:txbxContent>
                <w:p>
                  <w:pPr>
                    <w:spacing w:before="119"/>
                    <w:ind w:left="663" w:right="0" w:firstLine="0"/>
                    <w:jc w:val="left"/>
                    <w:rPr>
                      <w:b/>
                      <w:sz w:val="24"/>
                    </w:rPr>
                  </w:pPr>
                  <w:r>
                    <w:rPr>
                      <w:b/>
                      <w:sz w:val="24"/>
                    </w:rPr>
                    <w:t>Chủ hàng</w:t>
                  </w:r>
                </w:p>
              </w:txbxContent>
            </v:textbox>
            <v:stroke dashstyle="solid"/>
            <w10:wrap type="none"/>
          </v:shape>
        </w:pict>
      </w:r>
      <w:r>
        <w:rPr>
          <w:b/>
          <w:sz w:val="24"/>
        </w:rPr>
        <w:t>tàu </w:t>
      </w:r>
      <w:r>
        <w:rPr>
          <w:b/>
          <w:spacing w:val="-4"/>
          <w:sz w:val="24"/>
        </w:rPr>
        <w:t>con, </w:t>
      </w:r>
      <w:r>
        <w:rPr>
          <w:b/>
          <w:sz w:val="24"/>
        </w:rPr>
        <w:t>sà</w:t>
      </w:r>
      <w:r>
        <w:rPr>
          <w:b/>
          <w:spacing w:val="-1"/>
          <w:sz w:val="24"/>
        </w:rPr>
        <w:t> </w:t>
      </w:r>
      <w:r>
        <w:rPr>
          <w:b/>
          <w:sz w:val="24"/>
        </w:rPr>
        <w:t>lan</w:t>
      </w:r>
    </w:p>
    <w:p>
      <w:pPr>
        <w:pStyle w:val="BodyText"/>
        <w:rPr>
          <w:b/>
        </w:rPr>
      </w:pPr>
    </w:p>
    <w:p>
      <w:pPr>
        <w:spacing w:before="217"/>
        <w:ind w:left="3479" w:right="2298" w:hanging="1388"/>
        <w:jc w:val="left"/>
        <w:rPr>
          <w:b/>
          <w:sz w:val="24"/>
        </w:rPr>
      </w:pPr>
      <w:r>
        <w:rPr>
          <w:b/>
          <w:sz w:val="24"/>
        </w:rPr>
        <w:t>Hình 4.3: Sơ đồ tuyến vận chuyển container tới khu bến nhánh (Nguồn: Nguyễn Văn Khoảng</w:t>
      </w:r>
      <w:r>
        <w:rPr>
          <w:b/>
          <w:spacing w:val="-1"/>
          <w:sz w:val="24"/>
        </w:rPr>
        <w:t> </w:t>
      </w:r>
      <w:r>
        <w:rPr>
          <w:b/>
          <w:sz w:val="24"/>
        </w:rPr>
        <w:t>2005)</w:t>
      </w:r>
    </w:p>
    <w:p>
      <w:pPr>
        <w:spacing w:after="0"/>
        <w:jc w:val="left"/>
        <w:rPr>
          <w:sz w:val="24"/>
        </w:rPr>
        <w:sectPr>
          <w:pgSz w:w="11910" w:h="16850"/>
          <w:pgMar w:header="751" w:footer="0" w:top="960" w:bottom="280" w:left="820" w:right="240"/>
        </w:sectPr>
      </w:pPr>
    </w:p>
    <w:p>
      <w:pPr>
        <w:pStyle w:val="BodyText"/>
        <w:rPr>
          <w:b/>
          <w:sz w:val="20"/>
        </w:rPr>
      </w:pPr>
    </w:p>
    <w:p>
      <w:pPr>
        <w:pStyle w:val="BodyText"/>
        <w:spacing w:before="7"/>
        <w:rPr>
          <w:b/>
          <w:sz w:val="23"/>
        </w:rPr>
      </w:pPr>
    </w:p>
    <w:p>
      <w:pPr>
        <w:pStyle w:val="Heading6"/>
        <w:numPr>
          <w:ilvl w:val="1"/>
          <w:numId w:val="26"/>
        </w:numPr>
        <w:tabs>
          <w:tab w:pos="1271" w:val="left" w:leader="none"/>
        </w:tabs>
        <w:spacing w:line="240" w:lineRule="auto" w:before="89" w:after="0"/>
        <w:ind w:left="1270" w:right="0" w:hanging="389"/>
        <w:jc w:val="both"/>
      </w:pPr>
      <w:bookmarkStart w:name="_TOC_250014" w:id="42"/>
      <w:r>
        <w:rPr/>
        <w:t>Cấu trúc của cảng</w:t>
      </w:r>
      <w:r>
        <w:rPr>
          <w:spacing w:val="1"/>
        </w:rPr>
        <w:t> </w:t>
      </w:r>
      <w:bookmarkEnd w:id="42"/>
      <w:r>
        <w:rPr/>
        <w:t>container</w:t>
      </w:r>
    </w:p>
    <w:p>
      <w:pPr>
        <w:pStyle w:val="ListParagraph"/>
        <w:numPr>
          <w:ilvl w:val="0"/>
          <w:numId w:val="28"/>
        </w:numPr>
        <w:tabs>
          <w:tab w:pos="1775" w:val="left" w:leader="none"/>
        </w:tabs>
        <w:spacing w:line="360" w:lineRule="auto" w:before="150" w:after="0"/>
        <w:ind w:left="882" w:right="898" w:firstLine="719"/>
        <w:jc w:val="both"/>
        <w:rPr>
          <w:sz w:val="26"/>
        </w:rPr>
      </w:pPr>
      <w:r>
        <w:rPr>
          <w:sz w:val="26"/>
        </w:rPr>
        <w:t>Bến tàu container (Wharf): là nơi đậu của tàu container, chiều dài và độ sâu của bến tàu phụ thuộc vào số lượng và kích cỡ tàu ra vào</w:t>
      </w:r>
      <w:r>
        <w:rPr>
          <w:spacing w:val="-2"/>
          <w:sz w:val="26"/>
        </w:rPr>
        <w:t> </w:t>
      </w:r>
      <w:r>
        <w:rPr>
          <w:sz w:val="26"/>
        </w:rPr>
        <w:t>cảng.</w:t>
      </w:r>
    </w:p>
    <w:p>
      <w:pPr>
        <w:pStyle w:val="ListParagraph"/>
        <w:numPr>
          <w:ilvl w:val="0"/>
          <w:numId w:val="28"/>
        </w:numPr>
        <w:tabs>
          <w:tab w:pos="1778" w:val="left" w:leader="none"/>
        </w:tabs>
        <w:spacing w:line="360" w:lineRule="auto" w:before="0" w:after="0"/>
        <w:ind w:left="882" w:right="890" w:firstLine="719"/>
        <w:jc w:val="both"/>
        <w:rPr>
          <w:sz w:val="26"/>
        </w:rPr>
      </w:pPr>
      <w:r>
        <w:rPr>
          <w:sz w:val="26"/>
        </w:rPr>
        <w:t>Thềm bến (Apron): là khu vực bề mặt cầu tàu, sát liền với bến tàu có chiều rộng phù hợp với trang thiết bị phương tiện bốc dỡ</w:t>
      </w:r>
      <w:r>
        <w:rPr>
          <w:spacing w:val="-9"/>
          <w:sz w:val="26"/>
        </w:rPr>
        <w:t> </w:t>
      </w:r>
      <w:r>
        <w:rPr>
          <w:sz w:val="26"/>
        </w:rPr>
        <w:t>container.</w:t>
      </w:r>
    </w:p>
    <w:p>
      <w:pPr>
        <w:pStyle w:val="ListParagraph"/>
        <w:numPr>
          <w:ilvl w:val="0"/>
          <w:numId w:val="28"/>
        </w:numPr>
        <w:tabs>
          <w:tab w:pos="1778" w:val="left" w:leader="none"/>
        </w:tabs>
        <w:spacing w:line="360" w:lineRule="auto" w:before="0" w:after="0"/>
        <w:ind w:left="882" w:right="891" w:firstLine="719"/>
        <w:jc w:val="both"/>
        <w:rPr>
          <w:sz w:val="26"/>
        </w:rPr>
      </w:pPr>
      <w:r>
        <w:rPr>
          <w:sz w:val="26"/>
        </w:rPr>
        <w:t>Bãi chứa container (container Yard): là nơi tiếp nhận và lưu chứa container, bãi chứa container bao gồm khu vực container chuẩn bị bốc và dỡ lên xuống tàu, khu vực chứa container</w:t>
      </w:r>
      <w:r>
        <w:rPr>
          <w:spacing w:val="-4"/>
          <w:sz w:val="26"/>
        </w:rPr>
        <w:t> </w:t>
      </w:r>
      <w:r>
        <w:rPr>
          <w:sz w:val="26"/>
        </w:rPr>
        <w:t>rỗng.</w:t>
      </w:r>
    </w:p>
    <w:p>
      <w:pPr>
        <w:pStyle w:val="ListParagraph"/>
        <w:numPr>
          <w:ilvl w:val="0"/>
          <w:numId w:val="28"/>
        </w:numPr>
        <w:tabs>
          <w:tab w:pos="1794" w:val="left" w:leader="none"/>
        </w:tabs>
        <w:spacing w:line="360" w:lineRule="auto" w:before="0" w:after="0"/>
        <w:ind w:left="882" w:right="890" w:firstLine="719"/>
        <w:jc w:val="both"/>
        <w:rPr>
          <w:sz w:val="26"/>
        </w:rPr>
      </w:pPr>
      <w:r>
        <w:rPr>
          <w:sz w:val="26"/>
        </w:rPr>
        <w:t>Trạm container làm hàng lẻ (Container Freight Station – CFS): là nơi tiến hành các tác nghiệp chuyên chở hàng lẻ có chức năng lưu kho, phân loại, bao bì đóng gói, hoàn thành thủ tục hải quan, đóng rút ruột hàng</w:t>
      </w:r>
      <w:r>
        <w:rPr>
          <w:spacing w:val="-9"/>
          <w:sz w:val="26"/>
        </w:rPr>
        <w:t> </w:t>
      </w:r>
      <w:r>
        <w:rPr>
          <w:sz w:val="26"/>
        </w:rPr>
        <w:t>container….</w:t>
      </w:r>
    </w:p>
    <w:p>
      <w:pPr>
        <w:pStyle w:val="ListParagraph"/>
        <w:numPr>
          <w:ilvl w:val="0"/>
          <w:numId w:val="28"/>
        </w:numPr>
        <w:tabs>
          <w:tab w:pos="1785" w:val="left" w:leader="none"/>
        </w:tabs>
        <w:spacing w:line="360" w:lineRule="auto" w:before="0" w:after="0"/>
        <w:ind w:left="882" w:right="892" w:firstLine="719"/>
        <w:jc w:val="both"/>
        <w:rPr>
          <w:sz w:val="26"/>
        </w:rPr>
      </w:pPr>
      <w:r>
        <w:rPr>
          <w:sz w:val="26"/>
        </w:rPr>
        <w:t>Trung tâm kiểm soát (Control Center): Có nhiệm vụ kiểm soát và giám sát tình hình bốc dỡ container, tình hình hoạt động và các thao tác nghiệp vụ khác trong bãi chứa container, thường được bố trí ở địa điểm thuận lợi cho việc quan sát và được trang bị đầy đủ các phương tiện thông tin liên</w:t>
      </w:r>
      <w:r>
        <w:rPr>
          <w:spacing w:val="-7"/>
          <w:sz w:val="26"/>
        </w:rPr>
        <w:t> </w:t>
      </w:r>
      <w:r>
        <w:rPr>
          <w:sz w:val="26"/>
        </w:rPr>
        <w:t>lạc.</w:t>
      </w:r>
    </w:p>
    <w:p>
      <w:pPr>
        <w:pStyle w:val="ListParagraph"/>
        <w:numPr>
          <w:ilvl w:val="0"/>
          <w:numId w:val="28"/>
        </w:numPr>
        <w:tabs>
          <w:tab w:pos="1775" w:val="left" w:leader="none"/>
        </w:tabs>
        <w:spacing w:line="360" w:lineRule="auto" w:before="0" w:after="0"/>
        <w:ind w:left="882" w:right="891" w:firstLine="719"/>
        <w:jc w:val="both"/>
        <w:rPr>
          <w:sz w:val="26"/>
        </w:rPr>
      </w:pPr>
      <w:r>
        <w:rPr>
          <w:sz w:val="26"/>
        </w:rPr>
        <w:t>Cổng cảng (Port Gate): là cửa đưa container và hàng hóa ra vào cảng, có sự kiểm soát chặt chẽ theo quy chế, thủ tục xuất nhập khẩu do nhà cầm quyền địa phương đặt ra. Theo tập quán quốc tế cổng cảng được xem như mức phân định ranh giới trách nhiệm giữa một bên là đại lý thay mặt người chuyên chở với một bên là người gửi hoặc nhận hàng hoặc vận tải</w:t>
      </w:r>
      <w:r>
        <w:rPr>
          <w:spacing w:val="-4"/>
          <w:sz w:val="26"/>
        </w:rPr>
        <w:t> </w:t>
      </w:r>
      <w:r>
        <w:rPr>
          <w:sz w:val="26"/>
        </w:rPr>
        <w:t>bộ.</w:t>
      </w:r>
    </w:p>
    <w:p>
      <w:pPr>
        <w:pStyle w:val="ListParagraph"/>
        <w:numPr>
          <w:ilvl w:val="0"/>
          <w:numId w:val="28"/>
        </w:numPr>
        <w:tabs>
          <w:tab w:pos="1773" w:val="left" w:leader="none"/>
        </w:tabs>
        <w:spacing w:line="360" w:lineRule="auto" w:before="0" w:after="0"/>
        <w:ind w:left="882" w:right="890" w:firstLine="719"/>
        <w:jc w:val="both"/>
        <w:rPr>
          <w:sz w:val="26"/>
        </w:rPr>
      </w:pPr>
      <w:r>
        <w:rPr>
          <w:sz w:val="26"/>
        </w:rPr>
        <w:t>Xưởng sửa chữa (Maintenance Shop): được đặt ở một nơi dành cho việc sửa chữa, duy tu các container bị hư hỏng đột xuất đã đến kỳ duy tu về kỹ thuật, tại </w:t>
      </w:r>
      <w:r>
        <w:rPr>
          <w:spacing w:val="-4"/>
          <w:sz w:val="26"/>
        </w:rPr>
        <w:t>đây</w:t>
      </w:r>
      <w:r>
        <w:rPr>
          <w:spacing w:val="57"/>
          <w:sz w:val="26"/>
        </w:rPr>
        <w:t> </w:t>
      </w:r>
      <w:r>
        <w:rPr>
          <w:sz w:val="26"/>
        </w:rPr>
        <w:t>còn thực hiện các nghiệp vụ sửa chữa bảo trì trang thiết bị của cảng, vệ sinh container….</w:t>
      </w:r>
    </w:p>
    <w:p>
      <w:pPr>
        <w:pStyle w:val="BodyText"/>
        <w:spacing w:line="360" w:lineRule="auto" w:before="2"/>
        <w:ind w:left="882" w:right="889" w:firstLine="719"/>
        <w:jc w:val="both"/>
      </w:pPr>
      <w:r>
        <w:rPr>
          <w:b/>
        </w:rPr>
        <w:t>Miền tiền phương của cảng </w:t>
      </w:r>
      <w:r>
        <w:rPr/>
        <w:t>là địa phận bên ngoài, từ đó hàng hóa được thu hút tới cảng trong một thời gian nhất định thông qua vận tải đường biển (Nguyễn Văn Khoảng 2005), miền tiền phương của cảng bao gồm 2 vùng: vùng biển và vùng đất liền.</w:t>
      </w:r>
    </w:p>
    <w:p>
      <w:pPr>
        <w:pStyle w:val="ListParagraph"/>
        <w:numPr>
          <w:ilvl w:val="0"/>
          <w:numId w:val="28"/>
        </w:numPr>
        <w:tabs>
          <w:tab w:pos="1770" w:val="left" w:leader="none"/>
        </w:tabs>
        <w:spacing w:line="360" w:lineRule="auto" w:before="0" w:after="0"/>
        <w:ind w:left="882" w:right="897" w:firstLine="719"/>
        <w:jc w:val="left"/>
        <w:rPr>
          <w:sz w:val="26"/>
        </w:rPr>
      </w:pPr>
      <w:r>
        <w:rPr>
          <w:sz w:val="26"/>
        </w:rPr>
        <w:t>Vùng biển: là khu vực được tiến hành các tuyến vận tải biển đến cảng, vùng này còn được gọi là vùng hàng hải của một cảng</w:t>
      </w:r>
      <w:r>
        <w:rPr>
          <w:spacing w:val="-6"/>
          <w:sz w:val="26"/>
        </w:rPr>
        <w:t> </w:t>
      </w:r>
      <w:r>
        <w:rPr>
          <w:sz w:val="26"/>
        </w:rPr>
        <w:t>biển.</w:t>
      </w:r>
    </w:p>
    <w:p>
      <w:pPr>
        <w:spacing w:after="0" w:line="360" w:lineRule="auto"/>
        <w:jc w:val="left"/>
        <w:rPr>
          <w:sz w:val="26"/>
        </w:rPr>
        <w:sectPr>
          <w:pgSz w:w="11910" w:h="16850"/>
          <w:pgMar w:header="751" w:footer="0" w:top="960" w:bottom="280" w:left="820" w:right="240"/>
        </w:sectPr>
      </w:pPr>
    </w:p>
    <w:p>
      <w:pPr>
        <w:pStyle w:val="BodyText"/>
        <w:rPr>
          <w:sz w:val="20"/>
        </w:rPr>
      </w:pPr>
    </w:p>
    <w:p>
      <w:pPr>
        <w:pStyle w:val="BodyText"/>
        <w:spacing w:before="7"/>
        <w:rPr>
          <w:sz w:val="23"/>
        </w:rPr>
      </w:pPr>
    </w:p>
    <w:p>
      <w:pPr>
        <w:pStyle w:val="ListParagraph"/>
        <w:numPr>
          <w:ilvl w:val="0"/>
          <w:numId w:val="28"/>
        </w:numPr>
        <w:tabs>
          <w:tab w:pos="1761" w:val="left" w:leader="none"/>
        </w:tabs>
        <w:spacing w:line="360" w:lineRule="auto" w:before="89" w:after="0"/>
        <w:ind w:left="882" w:right="890" w:firstLine="719"/>
        <w:jc w:val="both"/>
        <w:rPr>
          <w:sz w:val="26"/>
        </w:rPr>
      </w:pPr>
      <w:r>
        <w:rPr>
          <w:sz w:val="26"/>
        </w:rPr>
        <w:t>Vùng đất liền: là khu vực thuộc bên kia bờ biển với hệ thống vận tải nội địa ở đó, đồng thời nó hình thành tiềm lực về hàng hóa chủ động hay bị động, chủ động là hàng hóa từ cảng đến miền tiền phương còn bị động là hàng hóa từ miền tiền phương đến cảng. Như vậy giới hạn của miền tiền phương bao trùm cả miền hậu phương thuộc các cảng bên kia bờ biển (Nguyễn Văn Khoảng,</w:t>
      </w:r>
      <w:r>
        <w:rPr>
          <w:spacing w:val="-2"/>
          <w:sz w:val="26"/>
        </w:rPr>
        <w:t> </w:t>
      </w:r>
      <w:r>
        <w:rPr>
          <w:sz w:val="26"/>
        </w:rPr>
        <w:t>2005)</w:t>
      </w:r>
    </w:p>
    <w:p>
      <w:pPr>
        <w:pStyle w:val="BodyText"/>
        <w:spacing w:line="360" w:lineRule="auto"/>
        <w:ind w:left="882" w:right="886" w:firstLine="719"/>
        <w:jc w:val="both"/>
      </w:pPr>
      <w:r>
        <w:rPr/>
        <w:t>Hoạt động của miền tiền phương liên quan đến các biến động khối lượng, cơ cấu và hướng luồng hàng, sự phát triển của hệ thống vận tải và thị trường vận tải, điều kiện chính trị các nước và sự hợp tác quốc tế, trình độ phát triển kinh tế ở các nước và khu</w:t>
      </w:r>
      <w:r>
        <w:rPr>
          <w:spacing w:val="-2"/>
        </w:rPr>
        <w:t> </w:t>
      </w:r>
      <w:r>
        <w:rPr/>
        <w:t>vực.</w:t>
      </w:r>
    </w:p>
    <w:p>
      <w:pPr>
        <w:pStyle w:val="BodyText"/>
        <w:spacing w:line="360" w:lineRule="auto" w:before="1"/>
        <w:ind w:left="882" w:right="890" w:firstLine="719"/>
        <w:jc w:val="both"/>
      </w:pPr>
      <w:r>
        <w:rPr>
          <w:b/>
        </w:rPr>
        <w:t>Miền hậu phương của cảng </w:t>
      </w:r>
      <w:r>
        <w:rPr/>
        <w:t>là một khu vực địa lý xác định, gắn liền với cảng bằng hệ thống vận tải nội địa (đường sông, sắt, ô tô…) đó là nơi trung chuyển hàng hóa đưa đến hoặc lấy đi khỏi cảng trong thời gian nhất định (Nguyễn Văn Khoảng, 2005). Lưu lượng hàng hóa của miền hậu phương và năng lực của hệ thống vận tải nối miền hậu phương với cảng quyết định thiết lập cảng cũng như khả năng thông qua cảng (Nguyễn Văn Sơn và cộng sự, 1998). Hoạt động ảnh hưởng đến miền hậu phương bao gồm cơ sở vật chất hạ tầng kết nối với các tuyến vận tải, trang thiết bị, năng lực quản lý, năng động trong thủ tục thông quan, hệ thống vận</w:t>
      </w:r>
      <w:r>
        <w:rPr>
          <w:spacing w:val="-10"/>
        </w:rPr>
        <w:t> </w:t>
      </w:r>
      <w:r>
        <w:rPr/>
        <w:t>tải.</w:t>
      </w:r>
    </w:p>
    <w:p>
      <w:pPr>
        <w:pStyle w:val="BodyText"/>
        <w:spacing w:line="357" w:lineRule="auto" w:before="1"/>
        <w:ind w:left="882" w:right="891" w:firstLine="719"/>
        <w:jc w:val="both"/>
      </w:pPr>
      <w:r>
        <w:rPr/>
        <w:t>Khác với các lĩnh vực sản xuất khác, hoạt động của cảng có các đặc tính riêng biệt cụ thể như sau:</w:t>
      </w:r>
    </w:p>
    <w:p>
      <w:pPr>
        <w:pStyle w:val="BodyText"/>
        <w:spacing w:line="360" w:lineRule="auto" w:before="4"/>
        <w:ind w:left="882" w:right="891" w:firstLine="719"/>
        <w:jc w:val="both"/>
      </w:pPr>
      <w:r>
        <w:rPr>
          <w:b/>
          <w:i/>
        </w:rPr>
        <w:t>Thứ nhất</w:t>
      </w:r>
      <w:r>
        <w:rPr/>
        <w:t>: hoạt động của cảng mang tính chất phục vụ, sản xuất ở dạng phi vật chất nên không thể là sản phẩm sản xuất ra để dự trữ, chính vì thế cảng phải có một lượng dự trữ nhất định về tiềm năng kỹ thuật như: cầu tàu, thiết bị xếp dỡ, kho bãi bốc xếp lưu trữ hàng hóa …</w:t>
      </w:r>
    </w:p>
    <w:p>
      <w:pPr>
        <w:pStyle w:val="BodyText"/>
        <w:spacing w:line="360" w:lineRule="auto" w:before="1"/>
        <w:ind w:left="882" w:right="895" w:firstLine="719"/>
        <w:jc w:val="both"/>
      </w:pPr>
      <w:r>
        <w:rPr>
          <w:b/>
          <w:i/>
        </w:rPr>
        <w:t>Thứ hai</w:t>
      </w:r>
      <w:r>
        <w:rPr/>
        <w:t>: sản xuất của cảng luôn luôn có sự thay đổi lớn do có nhiều nguồn hàng và phương tiện ra</w:t>
      </w:r>
      <w:r>
        <w:rPr>
          <w:spacing w:val="-3"/>
        </w:rPr>
        <w:t> </w:t>
      </w:r>
      <w:r>
        <w:rPr/>
        <w:t>vào.</w:t>
      </w:r>
    </w:p>
    <w:p>
      <w:pPr>
        <w:pStyle w:val="BodyText"/>
        <w:spacing w:line="360" w:lineRule="auto"/>
        <w:ind w:left="882" w:right="897" w:firstLine="719"/>
        <w:jc w:val="both"/>
      </w:pPr>
      <w:r>
        <w:rPr>
          <w:b/>
          <w:i/>
        </w:rPr>
        <w:t>Thứ ba: </w:t>
      </w:r>
      <w:r>
        <w:rPr/>
        <w:t>Hoạt động khai thác cảng ảnh hưởng đến năng suất và hiệu suất cảng do đặc tính phụ thuộc các tuyến hàng hải và nội địa đi và đến cảng.</w:t>
      </w:r>
    </w:p>
    <w:p>
      <w:pPr>
        <w:pStyle w:val="BodyText"/>
        <w:spacing w:line="360" w:lineRule="auto"/>
        <w:ind w:left="882" w:right="888" w:firstLine="719"/>
        <w:jc w:val="both"/>
      </w:pPr>
      <w:r>
        <w:rPr>
          <w:b/>
          <w:i/>
        </w:rPr>
        <w:t>Thứ tư: </w:t>
      </w:r>
      <w:r>
        <w:rPr/>
        <w:t>hoạt động khai thác cảng có tính chất hợp tác giữa các cơ quan hữu quan như cảng vụ, hải quan, kiểm dịch, đại lý…. sự phối hợp nhịp nhàng của các cơ quan này sẽ có tác động rất lớn đến sự thỏa mãn dịch vụ khách hàng và Logistics cảng nhằm mang đến hiệu quả khai thác.</w:t>
      </w:r>
    </w:p>
    <w:p>
      <w:pPr>
        <w:spacing w:after="0" w:line="360" w:lineRule="auto"/>
        <w:jc w:val="both"/>
        <w:sectPr>
          <w:pgSz w:w="11910" w:h="16850"/>
          <w:pgMar w:header="751" w:footer="0" w:top="960" w:bottom="280" w:left="820" w:right="240"/>
        </w:sectPr>
      </w:pPr>
    </w:p>
    <w:p>
      <w:pPr>
        <w:pStyle w:val="BodyText"/>
        <w:rPr>
          <w:sz w:val="20"/>
        </w:rPr>
      </w:pPr>
    </w:p>
    <w:p>
      <w:pPr>
        <w:pStyle w:val="BodyText"/>
        <w:spacing w:before="7"/>
        <w:rPr>
          <w:sz w:val="23"/>
        </w:rPr>
      </w:pPr>
    </w:p>
    <w:p>
      <w:pPr>
        <w:pStyle w:val="Heading6"/>
        <w:numPr>
          <w:ilvl w:val="1"/>
          <w:numId w:val="26"/>
        </w:numPr>
        <w:tabs>
          <w:tab w:pos="1271" w:val="left" w:leader="none"/>
        </w:tabs>
        <w:spacing w:line="240" w:lineRule="auto" w:before="89" w:after="0"/>
        <w:ind w:left="1270" w:right="0" w:hanging="389"/>
        <w:jc w:val="both"/>
      </w:pPr>
      <w:r>
        <w:rPr/>
        <w:t>Thực trạng các yếu tố tạo lợi thế cạnh tranh cho cảng container tại Việt</w:t>
      </w:r>
      <w:r>
        <w:rPr>
          <w:spacing w:val="-13"/>
        </w:rPr>
        <w:t> </w:t>
      </w:r>
      <w:r>
        <w:rPr/>
        <w:t>Nam</w:t>
      </w:r>
    </w:p>
    <w:p>
      <w:pPr>
        <w:pStyle w:val="BodyText"/>
        <w:spacing w:line="360" w:lineRule="auto" w:before="150"/>
        <w:ind w:left="882" w:right="891" w:firstLine="719"/>
        <w:jc w:val="both"/>
      </w:pPr>
      <w:r>
        <w:rPr/>
        <w:t>Trong những năm gần đây, nhu cầu vận chuyển hàng hóa qua cảng biển Việt Nam tăng trung bình 30%/năm và dự báo sẽ tiếp tục tăng trong những năm tới (VPA, 2018), vì vậy Việt Nam đang phải đối mặt với việc thiếu năng lực cảng biển. Đầu tư cho mạng lưới cơ sở hạ tầng vận chuyển hàng hoá ở Việt Nam và sự phát triển dài hạn của lĩnh vực này có vai trò quan trọng đối với xuất khẩu và cho cả tương lai của nền kinh tế. Cơ hội đầu tư trong lĩnh vực này tuy khó có thể đột phá, nhưng được nhận xét là tiềm năng và bền vững.</w:t>
      </w:r>
    </w:p>
    <w:p>
      <w:pPr>
        <w:pStyle w:val="BodyText"/>
        <w:spacing w:line="360" w:lineRule="auto"/>
        <w:ind w:left="882" w:right="888" w:firstLine="719"/>
        <w:jc w:val="both"/>
      </w:pPr>
      <w:r>
        <w:rPr/>
        <w:t>Hiện Việt Nam có hơn 100 cảng nhưng số lượng cảng nước sâu và các cảng  làm hàng container thì quá ít và phần lớn chỉ đáp ứng được nhu cầu của tàu trọng tải nhỏ. Trong khoảng 10 năm trở lại đây, nhu cầu vận chuyển tập trung ở tàu container dung tích lớn và hệ thống cảng Việt Nam càng bộc lộ điểm yếu. Một số cảng như Cái Lân (Quảng Ninh) có khả năng đón nhiều tàu neo </w:t>
      </w:r>
      <w:r>
        <w:rPr>
          <w:spacing w:val="2"/>
        </w:rPr>
        <w:t>đậu </w:t>
      </w:r>
      <w:r>
        <w:rPr/>
        <w:t>nhưng lại thiếu đường dẫn, một số khác ở Thành Phố Hồ Chí Minh (TP.HCM) bị than phiền về hạ tầng, đường sá ùn tắc thường xuyên, vị trí cảng ở trong thành phố chật chội, gây bất tiện cho giao thông. Tại miền Bắc, nhu cầu xuất khẩu của các tập đoàn tăng mạnh như Canon, Samsung… nhưng cảng Hải Phòng chỉ có thể đáp ứng được nhu cầu rất hạn chế. Hệ thống cảng biển Việt Nam nói chung và hệ thống cảng container Việt nam nói riêng đã và đang tồn tại một số vấn đề như</w:t>
      </w:r>
      <w:r>
        <w:rPr>
          <w:spacing w:val="-1"/>
        </w:rPr>
        <w:t> </w:t>
      </w:r>
      <w:r>
        <w:rPr/>
        <w:t>sau</w:t>
      </w:r>
    </w:p>
    <w:p>
      <w:pPr>
        <w:pStyle w:val="Heading7"/>
        <w:numPr>
          <w:ilvl w:val="2"/>
          <w:numId w:val="26"/>
        </w:numPr>
        <w:tabs>
          <w:tab w:pos="1466" w:val="left" w:leader="none"/>
        </w:tabs>
        <w:spacing w:line="298" w:lineRule="exact" w:before="0" w:after="0"/>
        <w:ind w:left="1465" w:right="0" w:hanging="584"/>
        <w:jc w:val="both"/>
        <w:rPr>
          <w:i/>
        </w:rPr>
      </w:pPr>
      <w:r>
        <w:rPr>
          <w:i/>
        </w:rPr>
        <w:t>Thực trạng về cơ sở hạ tầng</w:t>
      </w:r>
    </w:p>
    <w:p>
      <w:pPr>
        <w:pStyle w:val="BodyText"/>
        <w:spacing w:line="360" w:lineRule="auto" w:before="150"/>
        <w:ind w:left="882" w:right="890" w:firstLine="719"/>
        <w:jc w:val="both"/>
      </w:pPr>
      <w:r>
        <w:rPr/>
        <w:t>Cơ sở vật chất hạ tầng của hệ thống cảng container Việt Nam rất hạn chế. Trang thiết bị bốc xếp hàng hóa nói chung cũ và lạc hậu, các thiết bị cơ bản tồn tại từ khi còn là cảng tổng hợp do vậy không còn phù hợp với việc </w:t>
      </w:r>
      <w:r>
        <w:rPr>
          <w:spacing w:val="2"/>
        </w:rPr>
        <w:t>bốc </w:t>
      </w:r>
      <w:r>
        <w:rPr/>
        <w:t>xếp hàng hóa hiện tại như hàng container. Một số cảng của Việt Nam đã đưa vào hoạt động nhưng chỉ có cảng lớn thôi là chưa đủ, hạ tầng cơ sở, dịch vụ quanh cảng biển để giúp hàng hóa thông quan nhanh nhất, chi phí thấp nhất là yếu tố quan trọng để cảng biển Việt Nam được lựa chọn để trở thành cảng trung chuyển của khu vực và thế giới. Cảng biển phải có sự kết nối với hạ tầng, tuy nhiên hiện nay tại Việt Nam việc kết nối này chủ yếu là đường bộ, đường sông ở phía nam, còn phía bắc thì đường sông không đáng kể. Bên cạnh đó hạ tầng dịch vụ đi kèm với cảng biền Việt Nam còn rất kém. Hiện nay chưa có cảng nào</w:t>
      </w:r>
      <w:r>
        <w:rPr>
          <w:spacing w:val="13"/>
        </w:rPr>
        <w:t> </w:t>
      </w:r>
      <w:r>
        <w:rPr/>
        <w:t>thực</w:t>
      </w:r>
      <w:r>
        <w:rPr>
          <w:spacing w:val="13"/>
        </w:rPr>
        <w:t> </w:t>
      </w:r>
      <w:r>
        <w:rPr/>
        <w:t>sự</w:t>
      </w:r>
      <w:r>
        <w:rPr>
          <w:spacing w:val="13"/>
        </w:rPr>
        <w:t> </w:t>
      </w:r>
      <w:r>
        <w:rPr/>
        <w:t>là</w:t>
      </w:r>
      <w:r>
        <w:rPr>
          <w:spacing w:val="15"/>
        </w:rPr>
        <w:t> </w:t>
      </w:r>
      <w:r>
        <w:rPr/>
        <w:t>cảng</w:t>
      </w:r>
      <w:r>
        <w:rPr>
          <w:spacing w:val="16"/>
        </w:rPr>
        <w:t> </w:t>
      </w:r>
      <w:r>
        <w:rPr/>
        <w:t>trung</w:t>
      </w:r>
      <w:r>
        <w:rPr>
          <w:spacing w:val="13"/>
        </w:rPr>
        <w:t> </w:t>
      </w:r>
      <w:r>
        <w:rPr/>
        <w:t>chuyển</w:t>
      </w:r>
      <w:r>
        <w:rPr>
          <w:spacing w:val="15"/>
        </w:rPr>
        <w:t> </w:t>
      </w:r>
      <w:r>
        <w:rPr/>
        <w:t>do</w:t>
      </w:r>
      <w:r>
        <w:rPr>
          <w:spacing w:val="13"/>
        </w:rPr>
        <w:t> </w:t>
      </w:r>
      <w:r>
        <w:rPr/>
        <w:t>công</w:t>
      </w:r>
      <w:r>
        <w:rPr>
          <w:spacing w:val="13"/>
        </w:rPr>
        <w:t> </w:t>
      </w:r>
      <w:r>
        <w:rPr/>
        <w:t>tác</w:t>
      </w:r>
      <w:r>
        <w:rPr>
          <w:spacing w:val="16"/>
        </w:rPr>
        <w:t> </w:t>
      </w:r>
      <w:r>
        <w:rPr/>
        <w:t>tổ</w:t>
      </w:r>
      <w:r>
        <w:rPr>
          <w:spacing w:val="12"/>
        </w:rPr>
        <w:t> </w:t>
      </w:r>
      <w:r>
        <w:rPr/>
        <w:t>chức,</w:t>
      </w:r>
      <w:r>
        <w:rPr>
          <w:spacing w:val="13"/>
        </w:rPr>
        <w:t> </w:t>
      </w:r>
      <w:r>
        <w:rPr/>
        <w:t>quản</w:t>
      </w:r>
      <w:r>
        <w:rPr>
          <w:spacing w:val="13"/>
        </w:rPr>
        <w:t> </w:t>
      </w:r>
      <w:r>
        <w:rPr/>
        <w:t>lý,</w:t>
      </w:r>
      <w:r>
        <w:rPr>
          <w:spacing w:val="15"/>
        </w:rPr>
        <w:t> </w:t>
      </w:r>
      <w:r>
        <w:rPr/>
        <w:t>điều</w:t>
      </w:r>
      <w:r>
        <w:rPr>
          <w:spacing w:val="21"/>
        </w:rPr>
        <w:t> </w:t>
      </w:r>
      <w:r>
        <w:rPr/>
        <w:t>hành</w:t>
      </w:r>
      <w:r>
        <w:rPr>
          <w:spacing w:val="14"/>
        </w:rPr>
        <w:t> </w:t>
      </w:r>
      <w:r>
        <w:rPr/>
        <w:t>kinh</w:t>
      </w:r>
      <w:r>
        <w:rPr>
          <w:spacing w:val="13"/>
        </w:rPr>
        <w:t> </w:t>
      </w:r>
      <w:r>
        <w:rPr/>
        <w:t>doanh</w:t>
      </w:r>
    </w:p>
    <w:p>
      <w:pPr>
        <w:spacing w:after="0" w:line="360" w:lineRule="auto"/>
        <w:jc w:val="both"/>
        <w:sectPr>
          <w:pgSz w:w="11910" w:h="16850"/>
          <w:pgMar w:header="751" w:footer="0" w:top="960" w:bottom="280" w:left="820" w:right="240"/>
        </w:sectPr>
      </w:pPr>
    </w:p>
    <w:p>
      <w:pPr>
        <w:pStyle w:val="BodyText"/>
        <w:rPr>
          <w:sz w:val="20"/>
        </w:rPr>
      </w:pPr>
    </w:p>
    <w:p>
      <w:pPr>
        <w:pStyle w:val="BodyText"/>
        <w:spacing w:before="7"/>
        <w:rPr>
          <w:sz w:val="23"/>
        </w:rPr>
      </w:pPr>
    </w:p>
    <w:p>
      <w:pPr>
        <w:pStyle w:val="BodyText"/>
        <w:spacing w:line="360" w:lineRule="auto" w:before="89"/>
        <w:ind w:left="882" w:right="890"/>
        <w:jc w:val="both"/>
      </w:pPr>
      <w:r>
        <w:rPr/>
        <w:t>cảng còn nhiều bất cập. Các dịch vụ luồng lạch, phao đèn, hoa tiêu, cung ứng, thiết bị xếp dỡ còn rất yếu kém điều này ảnh hưởng rất lớn đến việc lựa chọn cảng của các chủ tàu và ảnh hưởng đến hiệu quả khai thác cảng. Với chỉ số chất lượng năng lực cạnh tranh hậu cần năm 2013 chỉ đứng thứ 82, tụt 31 bậc so với năm 2012 theo đánh giá của Ngân Hàng thế giới, Việt Nam đang gặp phải rào cản không nhỏ trong thúc đẩy thương mại. Theo số liệu Tổng Cục Thống Kê kể từ năm 1997 – 2013 cho thấy mặc dù khối lượng vận tải đã tăng trung bình 12,1%/năm, thương mại tăng 18%/năm nhưng đầu tư vào cơ sở hạ tầng và dịch vụ cơ sở hạ tầng giao thông lại không có mức tăng trưởng. Chi phí vận tải cao, khả năng tiếp cận đến cảng còn</w:t>
      </w:r>
      <w:r>
        <w:rPr>
          <w:spacing w:val="-12"/>
        </w:rPr>
        <w:t> </w:t>
      </w:r>
      <w:r>
        <w:rPr/>
        <w:t>kém</w:t>
      </w:r>
    </w:p>
    <w:p>
      <w:pPr>
        <w:pStyle w:val="Heading7"/>
        <w:numPr>
          <w:ilvl w:val="2"/>
          <w:numId w:val="26"/>
        </w:numPr>
        <w:tabs>
          <w:tab w:pos="1466" w:val="left" w:leader="none"/>
        </w:tabs>
        <w:spacing w:line="240" w:lineRule="auto" w:before="1" w:after="0"/>
        <w:ind w:left="1465" w:right="0" w:hanging="584"/>
        <w:jc w:val="both"/>
        <w:rPr>
          <w:i/>
        </w:rPr>
      </w:pPr>
      <w:bookmarkStart w:name="_TOC_250013" w:id="43"/>
      <w:r>
        <w:rPr>
          <w:i/>
        </w:rPr>
        <w:t>Thực trạng vị trí cảng</w:t>
      </w:r>
      <w:r>
        <w:rPr>
          <w:i/>
          <w:spacing w:val="-1"/>
        </w:rPr>
        <w:t> </w:t>
      </w:r>
      <w:bookmarkEnd w:id="43"/>
      <w:r>
        <w:rPr>
          <w:i/>
        </w:rPr>
        <w:t>container</w:t>
      </w:r>
    </w:p>
    <w:p>
      <w:pPr>
        <w:pStyle w:val="BodyText"/>
        <w:spacing w:line="360" w:lineRule="auto" w:before="150"/>
        <w:ind w:left="882" w:right="888" w:firstLine="719"/>
        <w:jc w:val="both"/>
      </w:pPr>
      <w:r>
        <w:rPr/>
        <w:t>Cảng container Việt Nam phát triển thiếu đồng bộ, chưa tập hợp được sức mạnh để cạnh tranh bên ngoài thu hút hàng trung chuyển. Hiện tại các cảng nước sâu hoạt động kém hiệu quả nên hàng hóa Việt Nam phải trung chuyển qua các cảng như HongKong, Singapore và Đài Loan để đến các thị trường các nước Châu Âu, Mỹ làm tăng giá thành, giảm sức cạnh tranh. Hầu hết các cảng chính nằm sâu trong Sông, luồng tàu dài, nhiều đoạn cong, độ sâu hạn chế và thường xuyên bị bồi lấp bởi phù sa làm hạn chế khả năng thông tàu. Luồng tàu Vũng Tàu-Sài Gòn thuộc hệ thống sông Đồng Nai ổn định nhất thì cũng chỉ đạt đến -8,5m cho phép tàu 15.000 DWT đầy tải và những tàu lớn hơn với điều kiện hạn chế ra vào. Luồng tàu Hải Phòng chỉ đạt -5,5m đến -6,4m cho phép tàu 10.000DWT đầy tải. Luồng qua cửa Định An vào các cảng trên sông Hậu của Đồng Bằng Sông Cửu Long (ĐBSCL) rất khó khăn. Độ sâu luồng chỉ đạt từ -2m đến -4m. Tuyến luồng không ổn định, liên tục thay đổi. Mạng giao thông đường sắt, thủy, bộ nối cảng với các khu dân cư, khu kinh tế, khu chế xuất và mạng giao thông Quốc Gia chưa được xây dựng đồng bộ nên thường xuyên bị ách tắc giao thông làm ứ động hàng hóa trong cảng. Công suất trang thiết bị xếp dỡ trên bến không cao, thiếu các thiết bị xếp dỡ chuyên dụng nên thời gian giải phóng tàu chậm làm ảnh hưởng đến hiệu quả kinh tế. Đầu tư manh mún, nhỏ lẻ, bến nhỏ đan xen với bến lớn một cách bất hợp lý là một trong những tồn tại lâu đời và là hạn chế lớn nhất của hệ thống cảng biển Việt Nam. Việt Nam hiện có 30 cảng biển hoạt động với 166 bến cảng, 350 cầu cảng với tổng chiều dài 45.000m. Năng lực thông qua khoảng 350 – 370</w:t>
      </w:r>
      <w:r>
        <w:rPr>
          <w:spacing w:val="4"/>
        </w:rPr>
        <w:t> </w:t>
      </w:r>
      <w:r>
        <w:rPr/>
        <w:t>triệu</w:t>
      </w:r>
      <w:r>
        <w:rPr>
          <w:spacing w:val="5"/>
        </w:rPr>
        <w:t> </w:t>
      </w:r>
      <w:r>
        <w:rPr/>
        <w:t>tấn/năm.</w:t>
      </w:r>
      <w:r>
        <w:rPr>
          <w:spacing w:val="5"/>
        </w:rPr>
        <w:t> </w:t>
      </w:r>
      <w:r>
        <w:rPr/>
        <w:t>Tuy</w:t>
      </w:r>
      <w:r>
        <w:rPr>
          <w:spacing w:val="6"/>
        </w:rPr>
        <w:t> </w:t>
      </w:r>
      <w:r>
        <w:rPr/>
        <w:t>nhiên</w:t>
      </w:r>
      <w:r>
        <w:rPr>
          <w:spacing w:val="5"/>
        </w:rPr>
        <w:t> </w:t>
      </w:r>
      <w:r>
        <w:rPr/>
        <w:t>trừ</w:t>
      </w:r>
      <w:r>
        <w:rPr>
          <w:spacing w:val="5"/>
        </w:rPr>
        <w:t> </w:t>
      </w:r>
      <w:r>
        <w:rPr/>
        <w:t>một</w:t>
      </w:r>
      <w:r>
        <w:rPr>
          <w:spacing w:val="5"/>
        </w:rPr>
        <w:t> </w:t>
      </w:r>
      <w:r>
        <w:rPr/>
        <w:t>số</w:t>
      </w:r>
      <w:r>
        <w:rPr>
          <w:spacing w:val="5"/>
        </w:rPr>
        <w:t> </w:t>
      </w:r>
      <w:r>
        <w:rPr/>
        <w:t>bến</w:t>
      </w:r>
      <w:r>
        <w:rPr>
          <w:spacing w:val="4"/>
        </w:rPr>
        <w:t> </w:t>
      </w:r>
      <w:r>
        <w:rPr/>
        <w:t>cảng</w:t>
      </w:r>
      <w:r>
        <w:rPr>
          <w:spacing w:val="6"/>
        </w:rPr>
        <w:t> </w:t>
      </w:r>
      <w:r>
        <w:rPr/>
        <w:t>mới</w:t>
      </w:r>
      <w:r>
        <w:rPr>
          <w:spacing w:val="5"/>
        </w:rPr>
        <w:t> </w:t>
      </w:r>
      <w:r>
        <w:rPr/>
        <w:t>được</w:t>
      </w:r>
      <w:r>
        <w:rPr>
          <w:spacing w:val="4"/>
        </w:rPr>
        <w:t> </w:t>
      </w:r>
      <w:r>
        <w:rPr/>
        <w:t>xây</w:t>
      </w:r>
      <w:r>
        <w:rPr>
          <w:spacing w:val="5"/>
        </w:rPr>
        <w:t> </w:t>
      </w:r>
      <w:r>
        <w:rPr/>
        <w:t>dựng</w:t>
      </w:r>
      <w:r>
        <w:rPr>
          <w:spacing w:val="5"/>
        </w:rPr>
        <w:t> </w:t>
      </w:r>
      <w:r>
        <w:rPr/>
        <w:t>và</w:t>
      </w:r>
      <w:r>
        <w:rPr>
          <w:spacing w:val="4"/>
        </w:rPr>
        <w:t> </w:t>
      </w:r>
      <w:r>
        <w:rPr/>
        <w:t>đưa</w:t>
      </w:r>
      <w:r>
        <w:rPr>
          <w:spacing w:val="5"/>
        </w:rPr>
        <w:t> </w:t>
      </w:r>
      <w:r>
        <w:rPr/>
        <w:t>vào</w:t>
      </w:r>
      <w:r>
        <w:rPr>
          <w:spacing w:val="5"/>
        </w:rPr>
        <w:t> </w:t>
      </w:r>
      <w:r>
        <w:rPr/>
        <w:t>khai</w:t>
      </w:r>
    </w:p>
    <w:p>
      <w:pPr>
        <w:spacing w:after="0" w:line="360" w:lineRule="auto"/>
        <w:jc w:val="both"/>
        <w:sectPr>
          <w:pgSz w:w="11910" w:h="16850"/>
          <w:pgMar w:header="751" w:footer="0" w:top="960" w:bottom="280" w:left="820" w:right="240"/>
        </w:sectPr>
      </w:pPr>
    </w:p>
    <w:p>
      <w:pPr>
        <w:pStyle w:val="BodyText"/>
        <w:rPr>
          <w:sz w:val="20"/>
        </w:rPr>
      </w:pPr>
    </w:p>
    <w:p>
      <w:pPr>
        <w:pStyle w:val="BodyText"/>
        <w:spacing w:before="7"/>
        <w:rPr>
          <w:sz w:val="23"/>
        </w:rPr>
      </w:pPr>
    </w:p>
    <w:p>
      <w:pPr>
        <w:pStyle w:val="BodyText"/>
        <w:spacing w:line="360" w:lineRule="auto" w:before="89"/>
        <w:ind w:left="882" w:right="895"/>
        <w:jc w:val="both"/>
      </w:pPr>
      <w:r>
        <w:rPr/>
        <w:t>thác sau năm 2006 được trang bị các thiết bị xếp dỡ hiện đại, còn lại hầu hết vẫn sử dụng thiết bị thông thường với công nghệ lạc hậu. Bình quân năng suất xếp dỡ hàng tổng hợp tại Việt Nam chỉ bằng khoảng 50% đến 60% so với các cảng trong khu vực.</w:t>
      </w:r>
    </w:p>
    <w:p>
      <w:pPr>
        <w:pStyle w:val="Heading7"/>
        <w:numPr>
          <w:ilvl w:val="2"/>
          <w:numId w:val="26"/>
        </w:numPr>
        <w:tabs>
          <w:tab w:pos="1466" w:val="left" w:leader="none"/>
        </w:tabs>
        <w:spacing w:line="298" w:lineRule="exact" w:before="0" w:after="0"/>
        <w:ind w:left="1465" w:right="0" w:hanging="584"/>
        <w:jc w:val="both"/>
        <w:rPr>
          <w:i/>
        </w:rPr>
      </w:pPr>
      <w:bookmarkStart w:name="_TOC_250012" w:id="44"/>
      <w:r>
        <w:rPr>
          <w:i/>
        </w:rPr>
        <w:t>Thực trạng năng lực kết nối nội</w:t>
      </w:r>
      <w:r>
        <w:rPr>
          <w:i/>
          <w:spacing w:val="-1"/>
        </w:rPr>
        <w:t> </w:t>
      </w:r>
      <w:bookmarkEnd w:id="44"/>
      <w:r>
        <w:rPr>
          <w:i/>
        </w:rPr>
        <w:t>địa</w:t>
      </w:r>
    </w:p>
    <w:p>
      <w:pPr>
        <w:pStyle w:val="BodyText"/>
        <w:spacing w:line="360" w:lineRule="auto" w:before="150"/>
        <w:ind w:left="882" w:right="888" w:firstLine="719"/>
        <w:jc w:val="both"/>
      </w:pPr>
      <w:r>
        <w:rPr/>
        <w:t>Khả năng kết nối nội địa của cảng kém. Hệ thống giao thông miền hậu phương đi và đến cảng thường không đồng bộ, nhiều cảng không có đường sắt và hầu hết các tuyến giao thông đều đi qua các thành phố lớn nên thường gây cản trở giao thông, năng lực của cảng. Các cảng lớn ở Việt Nam hầu hết nằm lọt sâu giữa lòng thành phố hoặc khu đông dân cư, quỹ đất còn lại để phát triển cảng bị hạn chế khó có khả năng phát triển lâu dài đặc biệt khi lượng hàng hóa tăng lên nhanh chóng trong những năm gần đây. Cụm cảng biển số 5 là cụm cảng của 3 địa phương: Tp.HCM, Bà Rịa Vũng Tàu và Đồng Nai. Cụm cảng biển này có ý nghĩa đặc biệt quan trọng trong hoạt động của cả hệ thống cảng biển Việt Nam, đối với hàng container chiếm 60% tổng lượng container thông qua cả hệ thống. Tân cảng Cát Lái được nâng cấp cầu cảng để có thể đón tàu trọng tải 40.000DWT ra vào. Công tác nạo vét luồng tàu biển Soài rạp phục vụ cho việc phát triển hệ thống cảng biển ở Hiệp Phước đã và đang hoàn thành. Khu cảng biển nước sâu Cái Mép – Thị Vải, cảng biển SP-PSA phải tạm ngưng các tuyến hàng hải đi thẳng Châu Âu và Mỹ. Những tuyến này giúp hàng hóa Việt Nam rút ngắn thời gian hành trình và chi phí vận chuyển. Hàng hóa vào khu vực Cái Mép-Thị Vải quá ít đã buộc SP-PSA có quyết định này. Cảng biển SSIT một trong ba cảng có vốn đầu tư trực tiếp nước ngoài lớn nhất cụm cảng Thị Vải – Cái Mép cũng vừa lên kế hoạch tạm ngừng hoạt động do không đủ nguồn hàng. Tương tự như SP-PSA, SSIT, hàng loạt cảng biển ở đây cũng đang lâm vào tình trạng khó khăn. Theo Hiệp Hội Cảng Biển Việt Nam (VPA) khó khăn ở Cái Mép – Thị Vải chủ yếu do cung vượt gấp đôi cầu. Một số doanh nghiệp cảng biển đã buộc phải kiến nghị Bộ Giao Thông Vận Tải tạm ngừng khai thác cảng nước sâu Cái Mép – Thị Vải, cảng do nhà nước đầu tư xây dựng từ nguồn vốn ODA của Nhật Bản như là một cách quan trọng tháo gỡ khó khăn trên. Tính đến thời điểm hiện nay thì tổng công suất thiết kế của các bến cảng container ở đây là 8.500.000 TEU/năm. Tuy nhiên khối lượng hàng container thông qua các bến cảng tại khu vực này trong những năm gần đây không mấy khả quan và trung bình chiếm khoảng 20% công suất thiết</w:t>
      </w:r>
      <w:r>
        <w:rPr>
          <w:spacing w:val="1"/>
        </w:rPr>
        <w:t> </w:t>
      </w:r>
      <w:r>
        <w:rPr/>
        <w:t>kế.</w:t>
      </w:r>
    </w:p>
    <w:p>
      <w:pPr>
        <w:spacing w:after="0" w:line="360" w:lineRule="auto"/>
        <w:jc w:val="both"/>
        <w:sectPr>
          <w:pgSz w:w="11910" w:h="16850"/>
          <w:pgMar w:header="751" w:footer="0" w:top="960" w:bottom="280" w:left="820" w:right="240"/>
        </w:sectPr>
      </w:pPr>
    </w:p>
    <w:p>
      <w:pPr>
        <w:pStyle w:val="BodyText"/>
        <w:rPr>
          <w:sz w:val="20"/>
        </w:rPr>
      </w:pPr>
    </w:p>
    <w:p>
      <w:pPr>
        <w:pStyle w:val="BodyText"/>
        <w:spacing w:before="7"/>
        <w:rPr>
          <w:sz w:val="23"/>
        </w:rPr>
      </w:pPr>
    </w:p>
    <w:p>
      <w:pPr>
        <w:pStyle w:val="BodyText"/>
        <w:spacing w:line="360" w:lineRule="auto" w:before="89"/>
        <w:ind w:left="882" w:right="888" w:firstLine="719"/>
        <w:jc w:val="both"/>
      </w:pPr>
      <w:r>
        <w:rPr/>
        <w:t>Các cảng Việt Nam phân bố không đồng đều. Một mặt do điều kiện tự nhiên miền Bắc và miền Nam kinh tế phát triển mạnh nhưng có số lượng cảng ít đi. Miền Trung kinh tế kém phát triển hơn nhưng số lượng cảng lại nhiều hơn tới gấp 2 đến 3 lần số lượng của cả miền Bắc và miền Nam do điều kiện tự nhiên khu vực này khá thuận lợi cho việc xây dựng cảng. Mặt khác do việc quy hoạch cảng chưa được thống nhất và triệt để nên đã xảy ra tình trạng xây dựng cảng tràn lan, tự phát của các địa phương các ngành gây nên. Quy mô các cảng hầu hết là nhỏ bé, tiêu chuẩn kỹ thuật lạc hậu. Cả nước chỉ có 2 cảng đạt mức trên 10 triệu tấn thông qua/ năm đó là cảng Sài Gòn và cảng Hải Phòng, có 12 cảng đạt trên dưới 1 triệu tấn thông qua/ năm, các cảng còn lại đều là các cảng nhỏ tập trung chủ yếu ở miền Trung. Các cảng nhìn chung là cảng tổng hợp có thể bốc xếp tất cả các mặt hàng và dĩ nhiên sẽ cho năng suất không cao, hiệu quả kinh tế</w:t>
      </w:r>
      <w:r>
        <w:rPr>
          <w:spacing w:val="-6"/>
        </w:rPr>
        <w:t> </w:t>
      </w:r>
      <w:r>
        <w:rPr/>
        <w:t>thấp.</w:t>
      </w:r>
    </w:p>
    <w:p>
      <w:pPr>
        <w:pStyle w:val="Heading7"/>
        <w:numPr>
          <w:ilvl w:val="2"/>
          <w:numId w:val="26"/>
        </w:numPr>
        <w:tabs>
          <w:tab w:pos="1466" w:val="left" w:leader="none"/>
        </w:tabs>
        <w:spacing w:line="240" w:lineRule="auto" w:before="0" w:after="0"/>
        <w:ind w:left="1465" w:right="0" w:hanging="584"/>
        <w:jc w:val="both"/>
        <w:rPr>
          <w:i/>
        </w:rPr>
      </w:pPr>
      <w:bookmarkStart w:name="_TOC_250011" w:id="45"/>
      <w:r>
        <w:rPr>
          <w:i/>
        </w:rPr>
        <w:t>Thực trạng chất lượng dịch vụ Logistics</w:t>
      </w:r>
      <w:r>
        <w:rPr>
          <w:i/>
          <w:spacing w:val="-3"/>
        </w:rPr>
        <w:t> </w:t>
      </w:r>
      <w:bookmarkEnd w:id="45"/>
      <w:r>
        <w:rPr>
          <w:i/>
        </w:rPr>
        <w:t>cảng</w:t>
      </w:r>
    </w:p>
    <w:p>
      <w:pPr>
        <w:pStyle w:val="BodyText"/>
        <w:spacing w:line="360" w:lineRule="auto" w:before="149"/>
        <w:ind w:left="882" w:right="890" w:firstLine="719"/>
        <w:jc w:val="both"/>
      </w:pPr>
      <w:r>
        <w:rPr/>
        <w:t>Chất lượng dịch vụ Logistics của cảng kém. Logistics là lĩnh vực rất cần thiết tuy nhiên việc đầu tư xây dựng phát triển cảng tại Việt Nam lại không được quan tâm. Có thể nói tổ chức dịch vụ Logistics là bộ phận không thể tách rời cảng vì nó liên quan đến tốc độ của dòng chu chuyển hàng hóa cũng như đóng góp vào quyết định lựa chọn cảng của khách hàng và ảnh hưởng đến hiệu quả khai thác cảng. Theo diễn đàn kinh tế thế giới về tạo thuận lợi thương mại (ETI) thì Việt Nam trong những năm gần đây được tăng hạng từ 89 năm 2010 và 60 năm 2020 nhưng Việt Nam vẫn bị đánh giá thấp điểm trong chỉ số hiệu quả cụ thể là quản lý Hải Quan, tính minh bạch trong xử lý thủ tục</w:t>
      </w:r>
      <w:r>
        <w:rPr>
          <w:spacing w:val="9"/>
        </w:rPr>
        <w:t> </w:t>
      </w:r>
      <w:r>
        <w:rPr/>
        <w:t>ở</w:t>
      </w:r>
      <w:r>
        <w:rPr>
          <w:spacing w:val="10"/>
        </w:rPr>
        <w:t> </w:t>
      </w:r>
      <w:r>
        <w:rPr/>
        <w:t>các</w:t>
      </w:r>
      <w:r>
        <w:rPr>
          <w:spacing w:val="11"/>
        </w:rPr>
        <w:t> </w:t>
      </w:r>
      <w:r>
        <w:rPr/>
        <w:t>cửa</w:t>
      </w:r>
      <w:r>
        <w:rPr>
          <w:spacing w:val="10"/>
        </w:rPr>
        <w:t> </w:t>
      </w:r>
      <w:r>
        <w:rPr/>
        <w:t>khẩu</w:t>
      </w:r>
      <w:r>
        <w:rPr>
          <w:spacing w:val="10"/>
        </w:rPr>
        <w:t> </w:t>
      </w:r>
      <w:r>
        <w:rPr/>
        <w:t>còn</w:t>
      </w:r>
      <w:r>
        <w:rPr>
          <w:spacing w:val="12"/>
        </w:rPr>
        <w:t> </w:t>
      </w:r>
      <w:r>
        <w:rPr/>
        <w:t>kém,</w:t>
      </w:r>
      <w:r>
        <w:rPr>
          <w:spacing w:val="10"/>
        </w:rPr>
        <w:t> </w:t>
      </w:r>
      <w:r>
        <w:rPr/>
        <w:t>thủ</w:t>
      </w:r>
      <w:r>
        <w:rPr>
          <w:spacing w:val="10"/>
        </w:rPr>
        <w:t> </w:t>
      </w:r>
      <w:r>
        <w:rPr/>
        <w:t>công,</w:t>
      </w:r>
      <w:r>
        <w:rPr>
          <w:spacing w:val="10"/>
        </w:rPr>
        <w:t> </w:t>
      </w:r>
      <w:r>
        <w:rPr/>
        <w:t>phát</w:t>
      </w:r>
      <w:r>
        <w:rPr>
          <w:spacing w:val="10"/>
        </w:rPr>
        <w:t> </w:t>
      </w:r>
      <w:r>
        <w:rPr/>
        <w:t>sinh</w:t>
      </w:r>
      <w:r>
        <w:rPr>
          <w:spacing w:val="10"/>
        </w:rPr>
        <w:t> </w:t>
      </w:r>
      <w:r>
        <w:rPr/>
        <w:t>tham</w:t>
      </w:r>
      <w:r>
        <w:rPr>
          <w:spacing w:val="10"/>
        </w:rPr>
        <w:t> </w:t>
      </w:r>
      <w:r>
        <w:rPr/>
        <w:t>nhũng,</w:t>
      </w:r>
      <w:r>
        <w:rPr>
          <w:spacing w:val="62"/>
        </w:rPr>
        <w:t> </w:t>
      </w:r>
      <w:r>
        <w:rPr/>
        <w:t>Bên</w:t>
      </w:r>
      <w:r>
        <w:rPr>
          <w:spacing w:val="13"/>
        </w:rPr>
        <w:t> </w:t>
      </w:r>
      <w:r>
        <w:rPr/>
        <w:t>cạnh</w:t>
      </w:r>
      <w:r>
        <w:rPr>
          <w:spacing w:val="10"/>
        </w:rPr>
        <w:t> </w:t>
      </w:r>
      <w:r>
        <w:rPr/>
        <w:t>đó</w:t>
      </w:r>
      <w:r>
        <w:rPr>
          <w:spacing w:val="10"/>
        </w:rPr>
        <w:t> </w:t>
      </w:r>
      <w:r>
        <w:rPr/>
        <w:t>các</w:t>
      </w:r>
      <w:r>
        <w:rPr>
          <w:spacing w:val="11"/>
        </w:rPr>
        <w:t> </w:t>
      </w:r>
      <w:r>
        <w:rPr/>
        <w:t>cảng</w:t>
      </w:r>
    </w:p>
    <w:p>
      <w:pPr>
        <w:pStyle w:val="BodyText"/>
        <w:spacing w:line="360" w:lineRule="auto" w:before="1"/>
        <w:ind w:left="882" w:right="891"/>
        <w:jc w:val="both"/>
      </w:pPr>
      <w:r>
        <w:rPr/>
        <w:t>của Việt Nam hiện nay thiếu quản lý bằng hệ thống thông tin, việc cập nhật giờ ra giờ vào của tàu, container còn làm thủ công nên làm chậm trễ trong lưu thông hàng hóa và điều này ảnh hưởng đến hiệu quả khai thác cảng, gây phiền cho khách hàng, mất đi năng lực cạnh tranh.</w:t>
      </w:r>
    </w:p>
    <w:p>
      <w:pPr>
        <w:pStyle w:val="Heading7"/>
        <w:numPr>
          <w:ilvl w:val="2"/>
          <w:numId w:val="26"/>
        </w:numPr>
        <w:tabs>
          <w:tab w:pos="1466" w:val="left" w:leader="none"/>
        </w:tabs>
        <w:spacing w:line="299" w:lineRule="exact" w:before="0" w:after="0"/>
        <w:ind w:left="1465" w:right="0" w:hanging="584"/>
        <w:jc w:val="both"/>
        <w:rPr>
          <w:i/>
        </w:rPr>
      </w:pPr>
      <w:r>
        <w:rPr>
          <w:i/>
        </w:rPr>
        <w:t>Thực trạng độ tin</w:t>
      </w:r>
      <w:r>
        <w:rPr>
          <w:i/>
          <w:spacing w:val="-4"/>
        </w:rPr>
        <w:t> </w:t>
      </w:r>
      <w:r>
        <w:rPr>
          <w:i/>
        </w:rPr>
        <w:t>cậy</w:t>
      </w:r>
    </w:p>
    <w:p>
      <w:pPr>
        <w:pStyle w:val="BodyText"/>
        <w:spacing w:line="360" w:lineRule="auto" w:before="150"/>
        <w:ind w:left="882" w:right="890" w:firstLine="719"/>
        <w:jc w:val="both"/>
      </w:pPr>
      <w:r>
        <w:rPr/>
        <w:t>Cảng biển container Việt nam và vấn đề bất ổn về cạnh tranh. Hàng hóa ít hơn so với công suất tiếp nhận của các cảng đã dẫn đến một hiện tượng là nhiều cảng biển sẳn sàng giảm giá cước phí dịch vụ cảng biền. Sự giảm giá cước phí dịch vụ cảng biển trong điều kiện không bình thường này đã không tạo động lực cạnh tranh cho thị</w:t>
      </w:r>
    </w:p>
    <w:p>
      <w:pPr>
        <w:spacing w:after="0" w:line="360" w:lineRule="auto"/>
        <w:jc w:val="both"/>
        <w:sectPr>
          <w:pgSz w:w="11910" w:h="16850"/>
          <w:pgMar w:header="751" w:footer="0" w:top="960" w:bottom="280" w:left="820" w:right="240"/>
        </w:sectPr>
      </w:pPr>
    </w:p>
    <w:p>
      <w:pPr>
        <w:pStyle w:val="BodyText"/>
        <w:rPr>
          <w:sz w:val="20"/>
        </w:rPr>
      </w:pPr>
    </w:p>
    <w:p>
      <w:pPr>
        <w:pStyle w:val="BodyText"/>
        <w:spacing w:before="7"/>
        <w:rPr>
          <w:sz w:val="23"/>
        </w:rPr>
      </w:pPr>
    </w:p>
    <w:p>
      <w:pPr>
        <w:pStyle w:val="BodyText"/>
        <w:spacing w:line="360" w:lineRule="auto" w:before="89"/>
        <w:ind w:left="882" w:right="891"/>
        <w:jc w:val="both"/>
      </w:pPr>
      <w:r>
        <w:rPr/>
        <w:t>trường mà trái lại đã kéo lợi ích chung của hầu hết các doanh nghiệp khai thác cảng biển đi xuống và có nguy cơ ngừng hoạt động một số cảng, </w:t>
      </w:r>
      <w:r>
        <w:rPr>
          <w:spacing w:val="2"/>
        </w:rPr>
        <w:t>đặc </w:t>
      </w:r>
      <w:r>
        <w:rPr/>
        <w:t>biệt ở khu vực Cái Mép – Thị Vải, nơi có nhiều nhà đầu tư nước ngoài liên doanh khai thác cảng biển với các nhà kinh doanh cảng biển Việt Nam. Sự thua lỗ kéo dài trong các liên doanh đặt ra mối nguy về vị thế của đối tác Việt Nam trong quan hệ này. Tuy nhiên, cần nhìn nhận một cách khách quan rằng công suất bến cảng vượt quá xa lượng hàng thực tế trong những năm đầu mới đưa cảng vào hoạt động là khá bình thường. Điều không bình thường ở đây là một loạt bến cảng tại Cái Mép – Thị Vải đưa vào khai thác gần như cùng thời điểm và đều chung tình trạng ít hàng, trong khi hàng vẫn dồn về cảng Tp.HCM. Ngành Hàng Hải Việt Nam đang bị lệ thuộc vào nước ngoài. Hiện tỷ giá vốn đầu tư nước ngoài vào lĩnh vực khai thác cảng biển Việt Nam đang tăng và theo đó là quyền quản lý khai thác cảng của đối tác nước ngoài cũng tăng dần theo, kết hợp với thị phần vận tải biển trên 85% do các hãng tàu ngoại nắm giữ. Một trong những vấn đề chính của cảng biển Việt Nam hiện nay là cơ sở hạ tầng luồng lạch, hành lang giao thông đường bộ kết nối cảng biển với hậu phương và chuỗi dịch vụ Logistics đi kèm. Nhiều dự án cảng mới quy mô lớn đã được đầu tư và đưa vào khai thác nhưng chưa hoặc không thể phát huy tác dụng do không hội tụ đủ những điều kiện nêu trên làm tăng chi phí và rủi ro cho các nhà đầu tư, khó khăn cho các đơn vị xuất nhập khẩu và tác động tiêu cực đến đời sống của cộng đồng dân cư ở quanh</w:t>
      </w:r>
      <w:r>
        <w:rPr>
          <w:spacing w:val="-13"/>
        </w:rPr>
        <w:t> </w:t>
      </w:r>
      <w:r>
        <w:rPr/>
        <w:t>cảng.</w:t>
      </w:r>
    </w:p>
    <w:p>
      <w:pPr>
        <w:pStyle w:val="BodyText"/>
        <w:spacing w:line="360" w:lineRule="auto"/>
        <w:ind w:left="882" w:right="889" w:firstLine="719"/>
        <w:jc w:val="both"/>
      </w:pPr>
      <w:r>
        <w:rPr/>
        <w:t>Năng lực hiện hữu hạn chế và bất cập của hệ thống cảng biển Việt Nam. Có rất ít cảng chuyên dụng container phục vụ vận tải trực tiếp trên tuyến chính. Một xu hướng phát triển mạnh mẽ trong những năm gần đây mà Việt nam đã hội nhập và tham gia một cách tích cực vào hình thức vận tải này. Chưa có cảng nước sâu đủ sức tiếp nhận được tàu có trọng tải cỡ lớn trên 50.000DWT ra vào trong mọi điều kiện. Chỉ có một số ít các cảng như Sài Gòn cho tàu 20.000DWT, Vũng Tàu 30.000 DWT, Hải Phòng cho phép tàu 10.000DWT nhưng phải trong điều kiện triều cường, Cái Lân cho phép tàu 30.000DWT ra vào trong điều kiện bình thường. Các cảng lớn hầu </w:t>
      </w:r>
      <w:r>
        <w:rPr>
          <w:spacing w:val="2"/>
        </w:rPr>
        <w:t>hết </w:t>
      </w:r>
      <w:r>
        <w:rPr/>
        <w:t>nằm sâu trong đất liền, cách phao số 0 tương đối xa như Sài Gòn là 90 km, Hải Phòng 36km, Cần Thơ 110Km. Độ sâu luồng lạch ra vào các cảng hầu hết là bị hạn chế và bị sa</w:t>
      </w:r>
      <w:r>
        <w:rPr>
          <w:spacing w:val="27"/>
        </w:rPr>
        <w:t> </w:t>
      </w:r>
      <w:r>
        <w:rPr/>
        <w:t>bồi</w:t>
      </w:r>
      <w:r>
        <w:rPr>
          <w:spacing w:val="29"/>
        </w:rPr>
        <w:t> </w:t>
      </w:r>
      <w:r>
        <w:rPr/>
        <w:t>khá</w:t>
      </w:r>
      <w:r>
        <w:rPr>
          <w:spacing w:val="29"/>
        </w:rPr>
        <w:t> </w:t>
      </w:r>
      <w:r>
        <w:rPr/>
        <w:t>nặng</w:t>
      </w:r>
      <w:r>
        <w:rPr>
          <w:spacing w:val="29"/>
        </w:rPr>
        <w:t> </w:t>
      </w:r>
      <w:r>
        <w:rPr/>
        <w:t>nề</w:t>
      </w:r>
      <w:r>
        <w:rPr>
          <w:spacing w:val="27"/>
        </w:rPr>
        <w:t> </w:t>
      </w:r>
      <w:r>
        <w:rPr/>
        <w:t>như</w:t>
      </w:r>
      <w:r>
        <w:rPr>
          <w:spacing w:val="28"/>
        </w:rPr>
        <w:t> </w:t>
      </w:r>
      <w:r>
        <w:rPr/>
        <w:t>với</w:t>
      </w:r>
      <w:r>
        <w:rPr>
          <w:spacing w:val="27"/>
        </w:rPr>
        <w:t> </w:t>
      </w:r>
      <w:r>
        <w:rPr/>
        <w:t>cảng</w:t>
      </w:r>
      <w:r>
        <w:rPr>
          <w:spacing w:val="27"/>
        </w:rPr>
        <w:t> </w:t>
      </w:r>
      <w:r>
        <w:rPr/>
        <w:t>Hải</w:t>
      </w:r>
      <w:r>
        <w:rPr>
          <w:spacing w:val="27"/>
        </w:rPr>
        <w:t> </w:t>
      </w:r>
      <w:r>
        <w:rPr/>
        <w:t>Phòng</w:t>
      </w:r>
      <w:r>
        <w:rPr>
          <w:spacing w:val="29"/>
        </w:rPr>
        <w:t> </w:t>
      </w:r>
      <w:r>
        <w:rPr/>
        <w:t>độ</w:t>
      </w:r>
      <w:r>
        <w:rPr>
          <w:spacing w:val="27"/>
        </w:rPr>
        <w:t> </w:t>
      </w:r>
      <w:r>
        <w:rPr/>
        <w:t>sâu</w:t>
      </w:r>
      <w:r>
        <w:rPr>
          <w:spacing w:val="27"/>
        </w:rPr>
        <w:t> </w:t>
      </w:r>
      <w:r>
        <w:rPr/>
        <w:t>chỉ</w:t>
      </w:r>
      <w:r>
        <w:rPr>
          <w:spacing w:val="29"/>
        </w:rPr>
        <w:t> </w:t>
      </w:r>
      <w:r>
        <w:rPr/>
        <w:t>đạt</w:t>
      </w:r>
      <w:r>
        <w:rPr>
          <w:spacing w:val="29"/>
        </w:rPr>
        <w:t> </w:t>
      </w:r>
      <w:r>
        <w:rPr/>
        <w:t>4,5m,</w:t>
      </w:r>
      <w:r>
        <w:rPr>
          <w:spacing w:val="31"/>
        </w:rPr>
        <w:t> </w:t>
      </w:r>
      <w:r>
        <w:rPr/>
        <w:t>cảng</w:t>
      </w:r>
      <w:r>
        <w:rPr>
          <w:spacing w:val="27"/>
        </w:rPr>
        <w:t> </w:t>
      </w:r>
      <w:r>
        <w:rPr/>
        <w:t>Sài</w:t>
      </w:r>
      <w:r>
        <w:rPr>
          <w:spacing w:val="29"/>
        </w:rPr>
        <w:t> </w:t>
      </w:r>
      <w:r>
        <w:rPr/>
        <w:t>Gòn</w:t>
      </w:r>
      <w:r>
        <w:rPr>
          <w:spacing w:val="29"/>
        </w:rPr>
        <w:t> </w:t>
      </w:r>
      <w:r>
        <w:rPr/>
        <w:t>đạt</w:t>
      </w:r>
    </w:p>
    <w:p>
      <w:pPr>
        <w:spacing w:after="0" w:line="360" w:lineRule="auto"/>
        <w:jc w:val="both"/>
        <w:sectPr>
          <w:pgSz w:w="11910" w:h="16850"/>
          <w:pgMar w:header="751" w:footer="0" w:top="960" w:bottom="280" w:left="820" w:right="240"/>
        </w:sectPr>
      </w:pPr>
    </w:p>
    <w:p>
      <w:pPr>
        <w:pStyle w:val="BodyText"/>
        <w:rPr>
          <w:sz w:val="20"/>
        </w:rPr>
      </w:pPr>
    </w:p>
    <w:p>
      <w:pPr>
        <w:pStyle w:val="BodyText"/>
        <w:spacing w:before="7"/>
        <w:rPr>
          <w:sz w:val="23"/>
        </w:rPr>
      </w:pPr>
    </w:p>
    <w:p>
      <w:pPr>
        <w:pStyle w:val="BodyText"/>
        <w:spacing w:line="360" w:lineRule="auto" w:before="89"/>
        <w:ind w:left="882" w:right="892"/>
        <w:jc w:val="both"/>
      </w:pPr>
      <w:r>
        <w:rPr/>
        <w:t>8,5m. Chi phí cho việc duy tu, nạo vét luồng cực kỳ tốn kém một số cảng có nguy cơ không còn sử dụng được nữa.</w:t>
      </w:r>
    </w:p>
    <w:p>
      <w:pPr>
        <w:pStyle w:val="Heading6"/>
        <w:numPr>
          <w:ilvl w:val="2"/>
          <w:numId w:val="26"/>
        </w:numPr>
        <w:tabs>
          <w:tab w:pos="1466" w:val="left" w:leader="none"/>
        </w:tabs>
        <w:spacing w:line="240" w:lineRule="auto" w:before="0" w:after="0"/>
        <w:ind w:left="1465" w:right="0" w:hanging="584"/>
        <w:jc w:val="both"/>
      </w:pPr>
      <w:r>
        <w:rPr/>
        <w:t>Thực trạng về chi phí Logistics cảng</w:t>
      </w:r>
      <w:r>
        <w:rPr>
          <w:spacing w:val="-2"/>
        </w:rPr>
        <w:t> </w:t>
      </w:r>
      <w:r>
        <w:rPr/>
        <w:t>container</w:t>
      </w:r>
    </w:p>
    <w:p>
      <w:pPr>
        <w:pStyle w:val="BodyText"/>
        <w:spacing w:line="360" w:lineRule="auto" w:before="148"/>
        <w:ind w:left="882" w:right="888" w:firstLine="719"/>
        <w:jc w:val="both"/>
      </w:pPr>
      <w:r>
        <w:rPr/>
        <w:t>Việc đầu tư xây dựng phát triển các cảng container rất dàn trãi, thiếu nghiên cứu định hướng phát triển nên hệ thống các cảng Việt Nam nói chung và các cảng container nói riêng hoạt động khai thác kém hiệu quả. Bên cạnh đó việc thiếu những hạng mục phụ trợ mà công suất của mỗi cảng container không được tận dụng tối đa, đơn cử như cảng Cái Lân có độ sâu 12 m, vẫn thừa công suất tiếp nhận nhưng chỉ chiếm khoảng 4% lưu lượng hàng hoá cả nước, trong khi cảng Hải Phòng độ sâu có 8m và chỉ đón được tàu container nhỏ dưới 10.000 DWT, mà công suất khai thác gấp 5 lần. Tại miền Nam, nhu cầu về cảng biển còn lớn hơn bởi giá trị sản xuất của khu vực này chiếm khoảng 50% GDP cả nước, xuất khẩu đang gia tăng mạnh mẽ với các nhà sản xuất tại trục tam giác kinh tế Đồng Nai, Bà Rịa – Vũng Tàu, Bình Dương. Chỉ có độ sâu 10 m, khả năng đón tàu nhỏ nhưng lưu lượng vận chuyển tại các cảng quanh TP.HCM chiếm hơn 2/3 hàng hoá của cả nước, tập trung ở cảng cạn (ICD), cảng Cát Lái, cảng Hiệp Phước và cảng quốc tế VICT...điều này ảnh hưởng đến chi phí Logistics của cảng thường</w:t>
      </w:r>
      <w:r>
        <w:rPr>
          <w:spacing w:val="-5"/>
        </w:rPr>
        <w:t> </w:t>
      </w:r>
      <w:r>
        <w:rPr/>
        <w:t>cao</w:t>
      </w:r>
    </w:p>
    <w:p>
      <w:pPr>
        <w:pStyle w:val="BodyText"/>
        <w:spacing w:line="360" w:lineRule="auto" w:before="3"/>
        <w:ind w:left="882" w:right="891" w:firstLine="719"/>
        <w:jc w:val="both"/>
      </w:pPr>
      <w:r>
        <w:rPr/>
        <w:t>Ngoài những điểm yếu do thiết kế ban đầu, hệ thống cảng biển Việt Nam còn kém ở năng lực quản trị, thiếu thiết bị hiện đại và nhân lực chuyên môn. Nhiều nhà đầu tư nước ngoài than phiền, Việt Nam cần phải có cảng nước sâu, với khả năng nhận tàu trọng tải trên 100.000 DWT. Hệ quả là, khi chuyên chở nguyên vật liệu vào Việt Nam, tàu lớn thường phải dừng ở Singapore hay Hồng Kông, sau đó mới chuyển vào Việt Nam bằng tàu nhỏ điều này làm cho chi phí Logistics của các cảng container Việt Nam rất</w:t>
      </w:r>
      <w:r>
        <w:rPr>
          <w:spacing w:val="-2"/>
        </w:rPr>
        <w:t> </w:t>
      </w:r>
      <w:r>
        <w:rPr/>
        <w:t>cao.</w:t>
      </w:r>
    </w:p>
    <w:p>
      <w:pPr>
        <w:pStyle w:val="Heading6"/>
        <w:numPr>
          <w:ilvl w:val="1"/>
          <w:numId w:val="26"/>
        </w:numPr>
        <w:tabs>
          <w:tab w:pos="1271" w:val="left" w:leader="none"/>
        </w:tabs>
        <w:spacing w:line="240" w:lineRule="auto" w:before="1" w:after="0"/>
        <w:ind w:left="1270" w:right="0" w:hanging="389"/>
        <w:jc w:val="both"/>
      </w:pPr>
      <w:bookmarkStart w:name="_TOC_250010" w:id="46"/>
      <w:r>
        <w:rPr/>
        <w:t>Dự báo sản lượng container thông qua cảng biển Việt</w:t>
      </w:r>
      <w:r>
        <w:rPr>
          <w:spacing w:val="-5"/>
        </w:rPr>
        <w:t> </w:t>
      </w:r>
      <w:bookmarkEnd w:id="46"/>
      <w:r>
        <w:rPr/>
        <w:t>Nam</w:t>
      </w:r>
    </w:p>
    <w:p>
      <w:pPr>
        <w:pStyle w:val="BodyText"/>
        <w:spacing w:line="360" w:lineRule="auto" w:before="147"/>
        <w:ind w:left="882" w:right="889" w:firstLine="719"/>
        <w:jc w:val="both"/>
      </w:pPr>
      <w:r>
        <w:rPr/>
        <w:t>Theo quyết định số 1037/QĐ-TTg ngày 24/06/2014 phê duyệt điều chỉnh quy hoạch phát triển hệ thống cảng biển Việt Nam giai đoạn đến năm 2020, định hướng đến năm 2030 và quyết định số 77/QĐ-TTg ngày 13/01/2020 của Thủ tướng chính phủ phê duyệt nhiệm vụ lập quy hoạch tổng thể phát triển hệ thống cảng biển Việt Nam thời kỳ 2021 - 2030, tầm nhìn đến năm 2050 thì hệ thống cảng biển container Việt Nam</w:t>
      </w:r>
      <w:r>
        <w:rPr>
          <w:spacing w:val="17"/>
        </w:rPr>
        <w:t> </w:t>
      </w:r>
      <w:r>
        <w:rPr/>
        <w:t>có</w:t>
      </w:r>
      <w:r>
        <w:rPr>
          <w:spacing w:val="18"/>
        </w:rPr>
        <w:t> </w:t>
      </w:r>
      <w:r>
        <w:rPr/>
        <w:t>vai</w:t>
      </w:r>
      <w:r>
        <w:rPr>
          <w:spacing w:val="17"/>
        </w:rPr>
        <w:t> </w:t>
      </w:r>
      <w:r>
        <w:rPr/>
        <w:t>trò</w:t>
      </w:r>
      <w:r>
        <w:rPr>
          <w:spacing w:val="17"/>
        </w:rPr>
        <w:t> </w:t>
      </w:r>
      <w:r>
        <w:rPr/>
        <w:t>rất</w:t>
      </w:r>
      <w:r>
        <w:rPr>
          <w:spacing w:val="17"/>
        </w:rPr>
        <w:t> </w:t>
      </w:r>
      <w:r>
        <w:rPr/>
        <w:t>quan</w:t>
      </w:r>
      <w:r>
        <w:rPr>
          <w:spacing w:val="17"/>
        </w:rPr>
        <w:t> </w:t>
      </w:r>
      <w:r>
        <w:rPr/>
        <w:t>trọng</w:t>
      </w:r>
      <w:r>
        <w:rPr>
          <w:spacing w:val="19"/>
        </w:rPr>
        <w:t> </w:t>
      </w:r>
      <w:r>
        <w:rPr/>
        <w:t>trong</w:t>
      </w:r>
      <w:r>
        <w:rPr>
          <w:spacing w:val="17"/>
        </w:rPr>
        <w:t> </w:t>
      </w:r>
      <w:r>
        <w:rPr/>
        <w:t>chiến</w:t>
      </w:r>
      <w:r>
        <w:rPr>
          <w:spacing w:val="18"/>
        </w:rPr>
        <w:t> </w:t>
      </w:r>
      <w:r>
        <w:rPr/>
        <w:t>lược</w:t>
      </w:r>
      <w:r>
        <w:rPr>
          <w:spacing w:val="17"/>
        </w:rPr>
        <w:t> </w:t>
      </w:r>
      <w:r>
        <w:rPr/>
        <w:t>phát</w:t>
      </w:r>
      <w:r>
        <w:rPr>
          <w:spacing w:val="17"/>
        </w:rPr>
        <w:t> </w:t>
      </w:r>
      <w:r>
        <w:rPr/>
        <w:t>triển</w:t>
      </w:r>
      <w:r>
        <w:rPr>
          <w:spacing w:val="17"/>
        </w:rPr>
        <w:t> </w:t>
      </w:r>
      <w:r>
        <w:rPr/>
        <w:t>kinh</w:t>
      </w:r>
      <w:r>
        <w:rPr>
          <w:spacing w:val="18"/>
        </w:rPr>
        <w:t> </w:t>
      </w:r>
      <w:r>
        <w:rPr/>
        <w:t>tế</w:t>
      </w:r>
      <w:r>
        <w:rPr>
          <w:spacing w:val="18"/>
        </w:rPr>
        <w:t> </w:t>
      </w:r>
      <w:r>
        <w:rPr/>
        <w:t>và</w:t>
      </w:r>
      <w:r>
        <w:rPr>
          <w:spacing w:val="18"/>
        </w:rPr>
        <w:t> </w:t>
      </w:r>
      <w:r>
        <w:rPr/>
        <w:t>hội</w:t>
      </w:r>
      <w:r>
        <w:rPr>
          <w:spacing w:val="17"/>
        </w:rPr>
        <w:t> </w:t>
      </w:r>
      <w:r>
        <w:rPr/>
        <w:t>nhập</w:t>
      </w:r>
      <w:r>
        <w:rPr>
          <w:spacing w:val="18"/>
        </w:rPr>
        <w:t> </w:t>
      </w:r>
      <w:r>
        <w:rPr/>
        <w:t>kinh</w:t>
      </w:r>
      <w:r>
        <w:rPr>
          <w:spacing w:val="17"/>
        </w:rPr>
        <w:t> </w:t>
      </w:r>
      <w:r>
        <w:rPr/>
        <w:t>tế</w:t>
      </w:r>
    </w:p>
    <w:p>
      <w:pPr>
        <w:spacing w:after="0" w:line="360" w:lineRule="auto"/>
        <w:jc w:val="both"/>
        <w:sectPr>
          <w:pgSz w:w="11910" w:h="16850"/>
          <w:pgMar w:header="751" w:footer="0" w:top="960" w:bottom="280" w:left="820" w:right="240"/>
        </w:sectPr>
      </w:pPr>
    </w:p>
    <w:p>
      <w:pPr>
        <w:pStyle w:val="BodyText"/>
        <w:rPr>
          <w:sz w:val="20"/>
        </w:rPr>
      </w:pPr>
    </w:p>
    <w:p>
      <w:pPr>
        <w:pStyle w:val="BodyText"/>
        <w:spacing w:before="7"/>
        <w:rPr>
          <w:sz w:val="23"/>
        </w:rPr>
      </w:pPr>
    </w:p>
    <w:p>
      <w:pPr>
        <w:pStyle w:val="BodyText"/>
        <w:spacing w:line="360" w:lineRule="auto" w:before="89"/>
        <w:ind w:left="882" w:right="888"/>
        <w:jc w:val="both"/>
      </w:pPr>
      <w:r>
        <w:rPr/>
        <w:t>quốc tế. Do vậy dự báo sản lượng container thông qua cảng biển Việt Nam là cơ sở quan trọng để đưa ra giải pháp nhằm nâng cao lợi thế cạnh tranh cho các cảng container tại Việt. Kết quả dự báo càng chính xác thì việc hoạch định chính sách cũng như kế hoạch càng khả thi. Các dự báo về sản lượng container thông qua cảng thường được sử dụng trực tiếp trong các hoạt động khai thác cảng container và thường sử  dụng TEU (Twenty Equipvalent Unit) với đơn vị 1 TEU tương ứng 1 container 20 feet. Việc dự báo này còn liên quan đến việc mua thêm máy móc, trang thiết bị, vật tư, bố trí và sắp xếp công nhân. Hơn nữa, không giống như các ngành sản xuất khác, ngành khai thác cảng container không thể tăng công suất cũng như diện tích của bến, bãi container để đáp ứng nhu cầu thay đổi mà phải dựa vào các chiến lược như quản lý hàng tồn kho, thuê ngoài, tăng ca. Do đó, các dự báo là cần thiết cho việc kiểm soát và lập kế hoạch của hệ thống cảng container cũng như đối với nhà điều hành cảng trong việc ra quyết định và lập kế hoạch. Với phương pháp dự báo đơn biến, trong đó chuỗi thời gian giá trị tương lai được giả định chỉ dựa trên các giá trị trong quá khứ nhằm để dự đoán sản lượng container thông qua cảng trong tương lai. Dữ liệu lịch sử được phân tích nhằm xác định mô hình và xây dựng mô hình dự báo tương lai. Và mô hình ARIMA là mô hình được chọn lựa trên công cụ xử lý “R” để dự báo sản lượng container thông qua cảng biển Việt Nam. Số liệu nghiên cứu được thu thập từ Cục Hàng Hải Việt Nam và Hiệp Hội Cảng Biển Việt Nam (VPA) giai đoạn</w:t>
      </w:r>
      <w:r>
        <w:rPr>
          <w:spacing w:val="-20"/>
        </w:rPr>
        <w:t> </w:t>
      </w:r>
      <w:r>
        <w:rPr/>
        <w:t>2000-2020.</w:t>
      </w:r>
    </w:p>
    <w:p>
      <w:pPr>
        <w:spacing w:before="0"/>
        <w:ind w:left="882" w:right="0" w:firstLine="0"/>
        <w:jc w:val="both"/>
        <w:rPr>
          <w:b/>
          <w:sz w:val="24"/>
        </w:rPr>
      </w:pPr>
      <w:r>
        <w:rPr>
          <w:b/>
          <w:sz w:val="26"/>
        </w:rPr>
        <w:t>Bảng 4.1 </w:t>
      </w:r>
      <w:r>
        <w:rPr>
          <w:b/>
          <w:sz w:val="24"/>
        </w:rPr>
        <w:t>Sản lượng container thông qua cảng biển Việt Nam giai đoạn 2000-2020</w:t>
      </w:r>
    </w:p>
    <w:p>
      <w:pPr>
        <w:spacing w:before="147"/>
        <w:ind w:left="0" w:right="890" w:firstLine="0"/>
        <w:jc w:val="right"/>
        <w:rPr>
          <w:i/>
          <w:sz w:val="24"/>
        </w:rPr>
      </w:pPr>
      <w:r>
        <w:rPr>
          <w:i/>
          <w:sz w:val="24"/>
        </w:rPr>
        <w:t>Đvt: TEU</w:t>
      </w:r>
    </w:p>
    <w:p>
      <w:pPr>
        <w:pStyle w:val="BodyText"/>
        <w:spacing w:before="2"/>
        <w:rPr>
          <w:i/>
          <w:sz w:val="12"/>
        </w:rPr>
      </w:pPr>
    </w:p>
    <w:tbl>
      <w:tblPr>
        <w:tblW w:w="0" w:type="auto"/>
        <w:jc w:val="left"/>
        <w:tblInd w:w="77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1858"/>
        <w:gridCol w:w="1859"/>
        <w:gridCol w:w="1859"/>
        <w:gridCol w:w="1859"/>
        <w:gridCol w:w="1860"/>
      </w:tblGrid>
      <w:tr>
        <w:trPr>
          <w:trHeight w:val="448" w:hRule="atLeast"/>
        </w:trPr>
        <w:tc>
          <w:tcPr>
            <w:tcW w:w="1858" w:type="dxa"/>
          </w:tcPr>
          <w:p>
            <w:pPr>
              <w:pStyle w:val="TableParagraph"/>
              <w:spacing w:before="2"/>
              <w:ind w:left="91" w:right="87"/>
              <w:jc w:val="center"/>
              <w:rPr>
                <w:b/>
                <w:sz w:val="26"/>
              </w:rPr>
            </w:pPr>
            <w:r>
              <w:rPr>
                <w:b/>
                <w:sz w:val="26"/>
              </w:rPr>
              <w:t>Năm</w:t>
            </w:r>
          </w:p>
        </w:tc>
        <w:tc>
          <w:tcPr>
            <w:tcW w:w="1859" w:type="dxa"/>
          </w:tcPr>
          <w:p>
            <w:pPr>
              <w:pStyle w:val="TableParagraph"/>
              <w:spacing w:before="2"/>
              <w:ind w:left="395"/>
              <w:rPr>
                <w:b/>
                <w:sz w:val="26"/>
              </w:rPr>
            </w:pPr>
            <w:r>
              <w:rPr>
                <w:b/>
                <w:sz w:val="26"/>
              </w:rPr>
              <w:t>Miền Bắc</w:t>
            </w:r>
          </w:p>
        </w:tc>
        <w:tc>
          <w:tcPr>
            <w:tcW w:w="1859" w:type="dxa"/>
          </w:tcPr>
          <w:p>
            <w:pPr>
              <w:pStyle w:val="TableParagraph"/>
              <w:spacing w:before="2"/>
              <w:ind w:left="248"/>
              <w:rPr>
                <w:b/>
                <w:sz w:val="26"/>
              </w:rPr>
            </w:pPr>
            <w:r>
              <w:rPr>
                <w:b/>
                <w:sz w:val="26"/>
              </w:rPr>
              <w:t>Miền Trung</w:t>
            </w:r>
          </w:p>
        </w:tc>
        <w:tc>
          <w:tcPr>
            <w:tcW w:w="1859" w:type="dxa"/>
          </w:tcPr>
          <w:p>
            <w:pPr>
              <w:pStyle w:val="TableParagraph"/>
              <w:spacing w:before="2"/>
              <w:ind w:left="335"/>
              <w:rPr>
                <w:b/>
                <w:sz w:val="26"/>
              </w:rPr>
            </w:pPr>
            <w:r>
              <w:rPr>
                <w:b/>
                <w:sz w:val="26"/>
              </w:rPr>
              <w:t>Miền Nam</w:t>
            </w:r>
          </w:p>
        </w:tc>
        <w:tc>
          <w:tcPr>
            <w:tcW w:w="1860" w:type="dxa"/>
          </w:tcPr>
          <w:p>
            <w:pPr>
              <w:pStyle w:val="TableParagraph"/>
              <w:spacing w:before="2"/>
              <w:ind w:left="395"/>
              <w:rPr>
                <w:b/>
                <w:sz w:val="26"/>
              </w:rPr>
            </w:pPr>
            <w:r>
              <w:rPr>
                <w:b/>
                <w:sz w:val="26"/>
              </w:rPr>
              <w:t>Việt Nam</w:t>
            </w:r>
          </w:p>
        </w:tc>
      </w:tr>
      <w:tr>
        <w:trPr>
          <w:trHeight w:val="448" w:hRule="atLeast"/>
        </w:trPr>
        <w:tc>
          <w:tcPr>
            <w:tcW w:w="1858" w:type="dxa"/>
          </w:tcPr>
          <w:p>
            <w:pPr>
              <w:pStyle w:val="TableParagraph"/>
              <w:spacing w:before="2"/>
              <w:ind w:left="172"/>
              <w:rPr>
                <w:sz w:val="26"/>
              </w:rPr>
            </w:pPr>
            <w:r>
              <w:rPr>
                <w:sz w:val="26"/>
              </w:rPr>
              <w:t>2000</w:t>
            </w:r>
          </w:p>
        </w:tc>
        <w:tc>
          <w:tcPr>
            <w:tcW w:w="1859" w:type="dxa"/>
          </w:tcPr>
          <w:p>
            <w:pPr>
              <w:pStyle w:val="TableParagraph"/>
              <w:spacing w:before="2"/>
              <w:ind w:left="169"/>
              <w:rPr>
                <w:sz w:val="26"/>
              </w:rPr>
            </w:pPr>
            <w:r>
              <w:rPr>
                <w:sz w:val="26"/>
              </w:rPr>
              <w:t>221.382</w:t>
            </w:r>
          </w:p>
        </w:tc>
        <w:tc>
          <w:tcPr>
            <w:tcW w:w="1859" w:type="dxa"/>
          </w:tcPr>
          <w:p>
            <w:pPr>
              <w:pStyle w:val="TableParagraph"/>
              <w:spacing w:before="2"/>
              <w:ind w:left="168"/>
              <w:rPr>
                <w:sz w:val="26"/>
              </w:rPr>
            </w:pPr>
            <w:r>
              <w:rPr>
                <w:sz w:val="26"/>
              </w:rPr>
              <w:t>42.617</w:t>
            </w:r>
          </w:p>
        </w:tc>
        <w:tc>
          <w:tcPr>
            <w:tcW w:w="1859" w:type="dxa"/>
          </w:tcPr>
          <w:p>
            <w:pPr>
              <w:pStyle w:val="TableParagraph"/>
              <w:spacing w:before="2"/>
              <w:ind w:left="167"/>
              <w:rPr>
                <w:sz w:val="26"/>
              </w:rPr>
            </w:pPr>
            <w:r>
              <w:rPr>
                <w:sz w:val="26"/>
              </w:rPr>
              <w:t>763.342</w:t>
            </w:r>
          </w:p>
        </w:tc>
        <w:tc>
          <w:tcPr>
            <w:tcW w:w="1860" w:type="dxa"/>
          </w:tcPr>
          <w:p>
            <w:pPr>
              <w:pStyle w:val="TableParagraph"/>
              <w:spacing w:before="2"/>
              <w:ind w:left="168"/>
              <w:rPr>
                <w:sz w:val="26"/>
              </w:rPr>
            </w:pPr>
            <w:r>
              <w:rPr>
                <w:sz w:val="26"/>
              </w:rPr>
              <w:t>1.027.341</w:t>
            </w:r>
          </w:p>
        </w:tc>
      </w:tr>
      <w:tr>
        <w:trPr>
          <w:trHeight w:val="448" w:hRule="atLeast"/>
        </w:trPr>
        <w:tc>
          <w:tcPr>
            <w:tcW w:w="1858" w:type="dxa"/>
          </w:tcPr>
          <w:p>
            <w:pPr>
              <w:pStyle w:val="TableParagraph"/>
              <w:spacing w:before="2"/>
              <w:ind w:left="172"/>
              <w:rPr>
                <w:sz w:val="26"/>
              </w:rPr>
            </w:pPr>
            <w:r>
              <w:rPr>
                <w:sz w:val="26"/>
              </w:rPr>
              <w:t>2001</w:t>
            </w:r>
          </w:p>
        </w:tc>
        <w:tc>
          <w:tcPr>
            <w:tcW w:w="1859" w:type="dxa"/>
          </w:tcPr>
          <w:p>
            <w:pPr>
              <w:pStyle w:val="TableParagraph"/>
              <w:spacing w:before="2"/>
              <w:ind w:left="169"/>
              <w:rPr>
                <w:sz w:val="26"/>
              </w:rPr>
            </w:pPr>
            <w:r>
              <w:rPr>
                <w:sz w:val="26"/>
              </w:rPr>
              <w:t>229.622</w:t>
            </w:r>
          </w:p>
        </w:tc>
        <w:tc>
          <w:tcPr>
            <w:tcW w:w="1859" w:type="dxa"/>
          </w:tcPr>
          <w:p>
            <w:pPr>
              <w:pStyle w:val="TableParagraph"/>
              <w:spacing w:before="2"/>
              <w:ind w:left="168"/>
              <w:rPr>
                <w:sz w:val="26"/>
              </w:rPr>
            </w:pPr>
            <w:r>
              <w:rPr>
                <w:sz w:val="26"/>
              </w:rPr>
              <w:t>38.821</w:t>
            </w:r>
          </w:p>
        </w:tc>
        <w:tc>
          <w:tcPr>
            <w:tcW w:w="1859" w:type="dxa"/>
          </w:tcPr>
          <w:p>
            <w:pPr>
              <w:pStyle w:val="TableParagraph"/>
              <w:spacing w:before="2"/>
              <w:ind w:left="167"/>
              <w:rPr>
                <w:sz w:val="26"/>
              </w:rPr>
            </w:pPr>
            <w:r>
              <w:rPr>
                <w:sz w:val="26"/>
              </w:rPr>
              <w:t>820.492</w:t>
            </w:r>
          </w:p>
        </w:tc>
        <w:tc>
          <w:tcPr>
            <w:tcW w:w="1860" w:type="dxa"/>
          </w:tcPr>
          <w:p>
            <w:pPr>
              <w:pStyle w:val="TableParagraph"/>
              <w:spacing w:before="2"/>
              <w:ind w:left="168"/>
              <w:rPr>
                <w:sz w:val="26"/>
              </w:rPr>
            </w:pPr>
            <w:r>
              <w:rPr>
                <w:sz w:val="26"/>
              </w:rPr>
              <w:t>1.088.935</w:t>
            </w:r>
          </w:p>
        </w:tc>
      </w:tr>
      <w:tr>
        <w:trPr>
          <w:trHeight w:val="449" w:hRule="atLeast"/>
        </w:trPr>
        <w:tc>
          <w:tcPr>
            <w:tcW w:w="1858" w:type="dxa"/>
          </w:tcPr>
          <w:p>
            <w:pPr>
              <w:pStyle w:val="TableParagraph"/>
              <w:spacing w:before="2"/>
              <w:ind w:left="172"/>
              <w:rPr>
                <w:sz w:val="26"/>
              </w:rPr>
            </w:pPr>
            <w:r>
              <w:rPr>
                <w:sz w:val="26"/>
              </w:rPr>
              <w:t>2002</w:t>
            </w:r>
          </w:p>
        </w:tc>
        <w:tc>
          <w:tcPr>
            <w:tcW w:w="1859" w:type="dxa"/>
          </w:tcPr>
          <w:p>
            <w:pPr>
              <w:pStyle w:val="TableParagraph"/>
              <w:spacing w:before="2"/>
              <w:ind w:left="169"/>
              <w:rPr>
                <w:sz w:val="26"/>
              </w:rPr>
            </w:pPr>
            <w:r>
              <w:rPr>
                <w:sz w:val="26"/>
              </w:rPr>
              <w:t>335.844</w:t>
            </w:r>
          </w:p>
        </w:tc>
        <w:tc>
          <w:tcPr>
            <w:tcW w:w="1859" w:type="dxa"/>
          </w:tcPr>
          <w:p>
            <w:pPr>
              <w:pStyle w:val="TableParagraph"/>
              <w:spacing w:before="2"/>
              <w:ind w:left="168"/>
              <w:rPr>
                <w:sz w:val="26"/>
              </w:rPr>
            </w:pPr>
            <w:r>
              <w:rPr>
                <w:sz w:val="26"/>
              </w:rPr>
              <w:t>53.886</w:t>
            </w:r>
          </w:p>
        </w:tc>
        <w:tc>
          <w:tcPr>
            <w:tcW w:w="1859" w:type="dxa"/>
          </w:tcPr>
          <w:p>
            <w:pPr>
              <w:pStyle w:val="TableParagraph"/>
              <w:spacing w:before="2"/>
              <w:ind w:left="167"/>
              <w:rPr>
                <w:sz w:val="26"/>
              </w:rPr>
            </w:pPr>
            <w:r>
              <w:rPr>
                <w:sz w:val="26"/>
              </w:rPr>
              <w:t>863.632</w:t>
            </w:r>
          </w:p>
        </w:tc>
        <w:tc>
          <w:tcPr>
            <w:tcW w:w="1860" w:type="dxa"/>
          </w:tcPr>
          <w:p>
            <w:pPr>
              <w:pStyle w:val="TableParagraph"/>
              <w:spacing w:before="2"/>
              <w:ind w:left="168"/>
              <w:rPr>
                <w:sz w:val="26"/>
              </w:rPr>
            </w:pPr>
            <w:r>
              <w:rPr>
                <w:sz w:val="26"/>
              </w:rPr>
              <w:t>1.253.362</w:t>
            </w:r>
          </w:p>
        </w:tc>
      </w:tr>
      <w:tr>
        <w:trPr>
          <w:trHeight w:val="448" w:hRule="atLeast"/>
        </w:trPr>
        <w:tc>
          <w:tcPr>
            <w:tcW w:w="1858" w:type="dxa"/>
          </w:tcPr>
          <w:p>
            <w:pPr>
              <w:pStyle w:val="TableParagraph"/>
              <w:spacing w:before="2"/>
              <w:ind w:left="172"/>
              <w:rPr>
                <w:sz w:val="26"/>
              </w:rPr>
            </w:pPr>
            <w:r>
              <w:rPr>
                <w:sz w:val="26"/>
              </w:rPr>
              <w:t>2003</w:t>
            </w:r>
          </w:p>
        </w:tc>
        <w:tc>
          <w:tcPr>
            <w:tcW w:w="1859" w:type="dxa"/>
          </w:tcPr>
          <w:p>
            <w:pPr>
              <w:pStyle w:val="TableParagraph"/>
              <w:spacing w:before="2"/>
              <w:ind w:left="169"/>
              <w:rPr>
                <w:sz w:val="26"/>
              </w:rPr>
            </w:pPr>
            <w:r>
              <w:rPr>
                <w:sz w:val="26"/>
              </w:rPr>
              <w:t>388.273</w:t>
            </w:r>
          </w:p>
        </w:tc>
        <w:tc>
          <w:tcPr>
            <w:tcW w:w="1859" w:type="dxa"/>
          </w:tcPr>
          <w:p>
            <w:pPr>
              <w:pStyle w:val="TableParagraph"/>
              <w:spacing w:before="2"/>
              <w:ind w:left="168"/>
              <w:rPr>
                <w:sz w:val="26"/>
              </w:rPr>
            </w:pPr>
            <w:r>
              <w:rPr>
                <w:sz w:val="26"/>
              </w:rPr>
              <w:t>64.290</w:t>
            </w:r>
          </w:p>
        </w:tc>
        <w:tc>
          <w:tcPr>
            <w:tcW w:w="1859" w:type="dxa"/>
          </w:tcPr>
          <w:p>
            <w:pPr>
              <w:pStyle w:val="TableParagraph"/>
              <w:spacing w:before="2"/>
              <w:ind w:left="167"/>
              <w:rPr>
                <w:sz w:val="26"/>
              </w:rPr>
            </w:pPr>
            <w:r>
              <w:rPr>
                <w:sz w:val="26"/>
              </w:rPr>
              <w:t>1.048.666</w:t>
            </w:r>
          </w:p>
        </w:tc>
        <w:tc>
          <w:tcPr>
            <w:tcW w:w="1860" w:type="dxa"/>
          </w:tcPr>
          <w:p>
            <w:pPr>
              <w:pStyle w:val="TableParagraph"/>
              <w:spacing w:before="2"/>
              <w:ind w:left="168"/>
              <w:rPr>
                <w:sz w:val="26"/>
              </w:rPr>
            </w:pPr>
            <w:r>
              <w:rPr>
                <w:sz w:val="26"/>
              </w:rPr>
              <w:t>1.501.229</w:t>
            </w:r>
          </w:p>
        </w:tc>
      </w:tr>
      <w:tr>
        <w:trPr>
          <w:trHeight w:val="448" w:hRule="atLeast"/>
        </w:trPr>
        <w:tc>
          <w:tcPr>
            <w:tcW w:w="1858" w:type="dxa"/>
          </w:tcPr>
          <w:p>
            <w:pPr>
              <w:pStyle w:val="TableParagraph"/>
              <w:spacing w:before="2"/>
              <w:ind w:left="172"/>
              <w:rPr>
                <w:sz w:val="26"/>
              </w:rPr>
            </w:pPr>
            <w:r>
              <w:rPr>
                <w:sz w:val="26"/>
              </w:rPr>
              <w:t>2004</w:t>
            </w:r>
          </w:p>
        </w:tc>
        <w:tc>
          <w:tcPr>
            <w:tcW w:w="1859" w:type="dxa"/>
          </w:tcPr>
          <w:p>
            <w:pPr>
              <w:pStyle w:val="TableParagraph"/>
              <w:spacing w:before="2"/>
              <w:ind w:left="169"/>
              <w:rPr>
                <w:sz w:val="26"/>
              </w:rPr>
            </w:pPr>
            <w:r>
              <w:rPr>
                <w:sz w:val="26"/>
              </w:rPr>
              <w:t>516.365</w:t>
            </w:r>
          </w:p>
        </w:tc>
        <w:tc>
          <w:tcPr>
            <w:tcW w:w="1859" w:type="dxa"/>
          </w:tcPr>
          <w:p>
            <w:pPr>
              <w:pStyle w:val="TableParagraph"/>
              <w:spacing w:before="2"/>
              <w:ind w:left="168"/>
              <w:rPr>
                <w:sz w:val="26"/>
              </w:rPr>
            </w:pPr>
            <w:r>
              <w:rPr>
                <w:sz w:val="26"/>
              </w:rPr>
              <w:t>80.286</w:t>
            </w:r>
          </w:p>
        </w:tc>
        <w:tc>
          <w:tcPr>
            <w:tcW w:w="1859" w:type="dxa"/>
          </w:tcPr>
          <w:p>
            <w:pPr>
              <w:pStyle w:val="TableParagraph"/>
              <w:spacing w:before="2"/>
              <w:ind w:left="167"/>
              <w:rPr>
                <w:sz w:val="26"/>
              </w:rPr>
            </w:pPr>
            <w:r>
              <w:rPr>
                <w:sz w:val="26"/>
              </w:rPr>
              <w:t>1.552.137</w:t>
            </w:r>
          </w:p>
        </w:tc>
        <w:tc>
          <w:tcPr>
            <w:tcW w:w="1860" w:type="dxa"/>
          </w:tcPr>
          <w:p>
            <w:pPr>
              <w:pStyle w:val="TableParagraph"/>
              <w:spacing w:before="2"/>
              <w:ind w:left="168"/>
              <w:rPr>
                <w:sz w:val="26"/>
              </w:rPr>
            </w:pPr>
            <w:r>
              <w:rPr>
                <w:sz w:val="26"/>
              </w:rPr>
              <w:t>2.148.788</w:t>
            </w:r>
          </w:p>
        </w:tc>
      </w:tr>
      <w:tr>
        <w:trPr>
          <w:trHeight w:val="448" w:hRule="atLeast"/>
        </w:trPr>
        <w:tc>
          <w:tcPr>
            <w:tcW w:w="1858" w:type="dxa"/>
          </w:tcPr>
          <w:p>
            <w:pPr>
              <w:pStyle w:val="TableParagraph"/>
              <w:spacing w:before="2"/>
              <w:ind w:left="172"/>
              <w:rPr>
                <w:sz w:val="26"/>
              </w:rPr>
            </w:pPr>
            <w:r>
              <w:rPr>
                <w:sz w:val="26"/>
              </w:rPr>
              <w:t>2005</w:t>
            </w:r>
          </w:p>
        </w:tc>
        <w:tc>
          <w:tcPr>
            <w:tcW w:w="1859" w:type="dxa"/>
          </w:tcPr>
          <w:p>
            <w:pPr>
              <w:pStyle w:val="TableParagraph"/>
              <w:spacing w:before="2"/>
              <w:ind w:left="169"/>
              <w:rPr>
                <w:sz w:val="26"/>
              </w:rPr>
            </w:pPr>
            <w:r>
              <w:rPr>
                <w:sz w:val="26"/>
              </w:rPr>
              <w:t>654.640</w:t>
            </w:r>
          </w:p>
        </w:tc>
        <w:tc>
          <w:tcPr>
            <w:tcW w:w="1859" w:type="dxa"/>
          </w:tcPr>
          <w:p>
            <w:pPr>
              <w:pStyle w:val="TableParagraph"/>
              <w:spacing w:before="2"/>
              <w:ind w:left="168"/>
              <w:rPr>
                <w:sz w:val="26"/>
              </w:rPr>
            </w:pPr>
            <w:r>
              <w:rPr>
                <w:sz w:val="26"/>
              </w:rPr>
              <w:t>86.771</w:t>
            </w:r>
          </w:p>
        </w:tc>
        <w:tc>
          <w:tcPr>
            <w:tcW w:w="1859" w:type="dxa"/>
          </w:tcPr>
          <w:p>
            <w:pPr>
              <w:pStyle w:val="TableParagraph"/>
              <w:spacing w:before="2"/>
              <w:ind w:left="167"/>
              <w:rPr>
                <w:sz w:val="26"/>
              </w:rPr>
            </w:pPr>
            <w:r>
              <w:rPr>
                <w:sz w:val="26"/>
              </w:rPr>
              <w:t>1.552.137</w:t>
            </w:r>
          </w:p>
        </w:tc>
        <w:tc>
          <w:tcPr>
            <w:tcW w:w="1860" w:type="dxa"/>
          </w:tcPr>
          <w:p>
            <w:pPr>
              <w:pStyle w:val="TableParagraph"/>
              <w:spacing w:before="2"/>
              <w:ind w:left="168"/>
              <w:rPr>
                <w:sz w:val="26"/>
              </w:rPr>
            </w:pPr>
            <w:r>
              <w:rPr>
                <w:sz w:val="26"/>
              </w:rPr>
              <w:t>2.293.548</w:t>
            </w:r>
          </w:p>
        </w:tc>
      </w:tr>
      <w:tr>
        <w:trPr>
          <w:trHeight w:val="448" w:hRule="atLeast"/>
        </w:trPr>
        <w:tc>
          <w:tcPr>
            <w:tcW w:w="1858" w:type="dxa"/>
          </w:tcPr>
          <w:p>
            <w:pPr>
              <w:pStyle w:val="TableParagraph"/>
              <w:spacing w:before="2"/>
              <w:ind w:left="172"/>
              <w:rPr>
                <w:sz w:val="26"/>
              </w:rPr>
            </w:pPr>
            <w:r>
              <w:rPr>
                <w:sz w:val="26"/>
              </w:rPr>
              <w:t>2006</w:t>
            </w:r>
          </w:p>
        </w:tc>
        <w:tc>
          <w:tcPr>
            <w:tcW w:w="1859" w:type="dxa"/>
          </w:tcPr>
          <w:p>
            <w:pPr>
              <w:pStyle w:val="TableParagraph"/>
              <w:spacing w:before="2"/>
              <w:ind w:left="169"/>
              <w:rPr>
                <w:sz w:val="26"/>
              </w:rPr>
            </w:pPr>
            <w:r>
              <w:rPr>
                <w:sz w:val="26"/>
              </w:rPr>
              <w:t>790.856</w:t>
            </w:r>
          </w:p>
        </w:tc>
        <w:tc>
          <w:tcPr>
            <w:tcW w:w="1859" w:type="dxa"/>
          </w:tcPr>
          <w:p>
            <w:pPr>
              <w:pStyle w:val="TableParagraph"/>
              <w:spacing w:before="2"/>
              <w:ind w:left="168"/>
              <w:rPr>
                <w:sz w:val="26"/>
              </w:rPr>
            </w:pPr>
            <w:r>
              <w:rPr>
                <w:sz w:val="26"/>
              </w:rPr>
              <w:t>100.669</w:t>
            </w:r>
          </w:p>
        </w:tc>
        <w:tc>
          <w:tcPr>
            <w:tcW w:w="1859" w:type="dxa"/>
          </w:tcPr>
          <w:p>
            <w:pPr>
              <w:pStyle w:val="TableParagraph"/>
              <w:spacing w:before="2"/>
              <w:ind w:left="167"/>
              <w:rPr>
                <w:sz w:val="26"/>
              </w:rPr>
            </w:pPr>
            <w:r>
              <w:rPr>
                <w:sz w:val="26"/>
              </w:rPr>
              <w:t>1.885.694</w:t>
            </w:r>
          </w:p>
        </w:tc>
        <w:tc>
          <w:tcPr>
            <w:tcW w:w="1860" w:type="dxa"/>
          </w:tcPr>
          <w:p>
            <w:pPr>
              <w:pStyle w:val="TableParagraph"/>
              <w:spacing w:before="2"/>
              <w:ind w:left="168"/>
              <w:rPr>
                <w:sz w:val="26"/>
              </w:rPr>
            </w:pPr>
            <w:r>
              <w:rPr>
                <w:sz w:val="26"/>
              </w:rPr>
              <w:t>2.777.219</w:t>
            </w:r>
          </w:p>
        </w:tc>
      </w:tr>
      <w:tr>
        <w:trPr>
          <w:trHeight w:val="448" w:hRule="atLeast"/>
        </w:trPr>
        <w:tc>
          <w:tcPr>
            <w:tcW w:w="1858" w:type="dxa"/>
          </w:tcPr>
          <w:p>
            <w:pPr>
              <w:pStyle w:val="TableParagraph"/>
              <w:spacing w:before="1"/>
              <w:ind w:left="172"/>
              <w:rPr>
                <w:sz w:val="26"/>
              </w:rPr>
            </w:pPr>
            <w:r>
              <w:rPr>
                <w:sz w:val="26"/>
              </w:rPr>
              <w:t>2007</w:t>
            </w:r>
          </w:p>
        </w:tc>
        <w:tc>
          <w:tcPr>
            <w:tcW w:w="1859" w:type="dxa"/>
          </w:tcPr>
          <w:p>
            <w:pPr>
              <w:pStyle w:val="TableParagraph"/>
              <w:spacing w:before="1"/>
              <w:ind w:left="169"/>
              <w:rPr>
                <w:sz w:val="26"/>
              </w:rPr>
            </w:pPr>
            <w:r>
              <w:rPr>
                <w:sz w:val="26"/>
              </w:rPr>
              <w:t>1.075.658</w:t>
            </w:r>
          </w:p>
        </w:tc>
        <w:tc>
          <w:tcPr>
            <w:tcW w:w="1859" w:type="dxa"/>
          </w:tcPr>
          <w:p>
            <w:pPr>
              <w:pStyle w:val="TableParagraph"/>
              <w:spacing w:before="1"/>
              <w:ind w:left="168"/>
              <w:rPr>
                <w:sz w:val="26"/>
              </w:rPr>
            </w:pPr>
            <w:r>
              <w:rPr>
                <w:sz w:val="26"/>
              </w:rPr>
              <w:t>128.954</w:t>
            </w:r>
          </w:p>
        </w:tc>
        <w:tc>
          <w:tcPr>
            <w:tcW w:w="1859" w:type="dxa"/>
          </w:tcPr>
          <w:p>
            <w:pPr>
              <w:pStyle w:val="TableParagraph"/>
              <w:spacing w:before="1"/>
              <w:ind w:left="167"/>
              <w:rPr>
                <w:sz w:val="26"/>
              </w:rPr>
            </w:pPr>
            <w:r>
              <w:rPr>
                <w:sz w:val="26"/>
              </w:rPr>
              <w:t>3.082.728</w:t>
            </w:r>
          </w:p>
        </w:tc>
        <w:tc>
          <w:tcPr>
            <w:tcW w:w="1860" w:type="dxa"/>
          </w:tcPr>
          <w:p>
            <w:pPr>
              <w:pStyle w:val="TableParagraph"/>
              <w:spacing w:before="1"/>
              <w:ind w:left="168"/>
              <w:rPr>
                <w:sz w:val="26"/>
              </w:rPr>
            </w:pPr>
            <w:r>
              <w:rPr>
                <w:sz w:val="26"/>
              </w:rPr>
              <w:t>4.287.340</w:t>
            </w:r>
          </w:p>
        </w:tc>
      </w:tr>
      <w:tr>
        <w:trPr>
          <w:trHeight w:val="448" w:hRule="atLeast"/>
        </w:trPr>
        <w:tc>
          <w:tcPr>
            <w:tcW w:w="1858" w:type="dxa"/>
          </w:tcPr>
          <w:p>
            <w:pPr>
              <w:pStyle w:val="TableParagraph"/>
              <w:spacing w:before="2"/>
              <w:ind w:left="172"/>
              <w:rPr>
                <w:sz w:val="26"/>
              </w:rPr>
            </w:pPr>
            <w:r>
              <w:rPr>
                <w:sz w:val="26"/>
              </w:rPr>
              <w:t>2008</w:t>
            </w:r>
          </w:p>
        </w:tc>
        <w:tc>
          <w:tcPr>
            <w:tcW w:w="1859" w:type="dxa"/>
          </w:tcPr>
          <w:p>
            <w:pPr>
              <w:pStyle w:val="TableParagraph"/>
              <w:spacing w:before="2"/>
              <w:ind w:left="169"/>
              <w:rPr>
                <w:sz w:val="26"/>
              </w:rPr>
            </w:pPr>
            <w:r>
              <w:rPr>
                <w:sz w:val="26"/>
              </w:rPr>
              <w:t>1.380.202</w:t>
            </w:r>
          </w:p>
        </w:tc>
        <w:tc>
          <w:tcPr>
            <w:tcW w:w="1859" w:type="dxa"/>
          </w:tcPr>
          <w:p>
            <w:pPr>
              <w:pStyle w:val="TableParagraph"/>
              <w:spacing w:before="2"/>
              <w:ind w:left="168"/>
              <w:rPr>
                <w:sz w:val="26"/>
              </w:rPr>
            </w:pPr>
            <w:r>
              <w:rPr>
                <w:sz w:val="26"/>
              </w:rPr>
              <w:t>154.594</w:t>
            </w:r>
          </w:p>
        </w:tc>
        <w:tc>
          <w:tcPr>
            <w:tcW w:w="1859" w:type="dxa"/>
          </w:tcPr>
          <w:p>
            <w:pPr>
              <w:pStyle w:val="TableParagraph"/>
              <w:spacing w:before="2"/>
              <w:ind w:left="167"/>
              <w:rPr>
                <w:sz w:val="26"/>
              </w:rPr>
            </w:pPr>
            <w:r>
              <w:rPr>
                <w:sz w:val="26"/>
              </w:rPr>
              <w:t>3.429.270</w:t>
            </w:r>
          </w:p>
        </w:tc>
        <w:tc>
          <w:tcPr>
            <w:tcW w:w="1860" w:type="dxa"/>
          </w:tcPr>
          <w:p>
            <w:pPr>
              <w:pStyle w:val="TableParagraph"/>
              <w:spacing w:before="2"/>
              <w:ind w:left="168"/>
              <w:rPr>
                <w:sz w:val="26"/>
              </w:rPr>
            </w:pPr>
            <w:r>
              <w:rPr>
                <w:sz w:val="26"/>
              </w:rPr>
              <w:t>4.964.066</w:t>
            </w:r>
          </w:p>
        </w:tc>
      </w:tr>
    </w:tbl>
    <w:p>
      <w:pPr>
        <w:spacing w:after="0"/>
        <w:rPr>
          <w:sz w:val="26"/>
        </w:rPr>
        <w:sectPr>
          <w:pgSz w:w="11910" w:h="16850"/>
          <w:pgMar w:header="751" w:footer="0" w:top="960" w:bottom="280" w:left="820" w:right="240"/>
        </w:sectPr>
      </w:pPr>
    </w:p>
    <w:p>
      <w:pPr>
        <w:pStyle w:val="BodyText"/>
        <w:rPr>
          <w:i/>
          <w:sz w:val="20"/>
        </w:rPr>
      </w:pPr>
    </w:p>
    <w:p>
      <w:pPr>
        <w:pStyle w:val="BodyText"/>
        <w:rPr>
          <w:i/>
          <w:sz w:val="20"/>
        </w:rPr>
      </w:pPr>
    </w:p>
    <w:p>
      <w:pPr>
        <w:pStyle w:val="BodyText"/>
        <w:spacing w:before="1"/>
        <w:rPr>
          <w:i/>
          <w:sz w:val="11"/>
        </w:rPr>
      </w:pPr>
    </w:p>
    <w:tbl>
      <w:tblPr>
        <w:tblW w:w="0" w:type="auto"/>
        <w:jc w:val="left"/>
        <w:tblInd w:w="77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1858"/>
        <w:gridCol w:w="1859"/>
        <w:gridCol w:w="1859"/>
        <w:gridCol w:w="1859"/>
        <w:gridCol w:w="1860"/>
      </w:tblGrid>
      <w:tr>
        <w:trPr>
          <w:trHeight w:val="448" w:hRule="atLeast"/>
        </w:trPr>
        <w:tc>
          <w:tcPr>
            <w:tcW w:w="1858" w:type="dxa"/>
          </w:tcPr>
          <w:p>
            <w:pPr>
              <w:pStyle w:val="TableParagraph"/>
              <w:spacing w:before="2"/>
              <w:ind w:left="91" w:right="87"/>
              <w:jc w:val="center"/>
              <w:rPr>
                <w:b/>
                <w:sz w:val="26"/>
              </w:rPr>
            </w:pPr>
            <w:r>
              <w:rPr>
                <w:b/>
                <w:sz w:val="26"/>
              </w:rPr>
              <w:t>Năm</w:t>
            </w:r>
          </w:p>
        </w:tc>
        <w:tc>
          <w:tcPr>
            <w:tcW w:w="1859" w:type="dxa"/>
          </w:tcPr>
          <w:p>
            <w:pPr>
              <w:pStyle w:val="TableParagraph"/>
              <w:spacing w:before="2"/>
              <w:ind w:left="395"/>
              <w:rPr>
                <w:b/>
                <w:sz w:val="26"/>
              </w:rPr>
            </w:pPr>
            <w:r>
              <w:rPr>
                <w:b/>
                <w:sz w:val="26"/>
              </w:rPr>
              <w:t>Miền Bắc</w:t>
            </w:r>
          </w:p>
        </w:tc>
        <w:tc>
          <w:tcPr>
            <w:tcW w:w="1859" w:type="dxa"/>
          </w:tcPr>
          <w:p>
            <w:pPr>
              <w:pStyle w:val="TableParagraph"/>
              <w:spacing w:before="2"/>
              <w:ind w:left="248"/>
              <w:rPr>
                <w:b/>
                <w:sz w:val="26"/>
              </w:rPr>
            </w:pPr>
            <w:r>
              <w:rPr>
                <w:b/>
                <w:sz w:val="26"/>
              </w:rPr>
              <w:t>Miền Trung</w:t>
            </w:r>
          </w:p>
        </w:tc>
        <w:tc>
          <w:tcPr>
            <w:tcW w:w="1859" w:type="dxa"/>
          </w:tcPr>
          <w:p>
            <w:pPr>
              <w:pStyle w:val="TableParagraph"/>
              <w:spacing w:before="2"/>
              <w:ind w:left="335"/>
              <w:rPr>
                <w:b/>
                <w:sz w:val="26"/>
              </w:rPr>
            </w:pPr>
            <w:r>
              <w:rPr>
                <w:b/>
                <w:sz w:val="26"/>
              </w:rPr>
              <w:t>Miền Nam</w:t>
            </w:r>
          </w:p>
        </w:tc>
        <w:tc>
          <w:tcPr>
            <w:tcW w:w="1860" w:type="dxa"/>
          </w:tcPr>
          <w:p>
            <w:pPr>
              <w:pStyle w:val="TableParagraph"/>
              <w:spacing w:before="2"/>
              <w:ind w:left="395"/>
              <w:rPr>
                <w:b/>
                <w:sz w:val="26"/>
              </w:rPr>
            </w:pPr>
            <w:r>
              <w:rPr>
                <w:b/>
                <w:sz w:val="26"/>
              </w:rPr>
              <w:t>Việt Nam</w:t>
            </w:r>
          </w:p>
        </w:tc>
      </w:tr>
      <w:tr>
        <w:trPr>
          <w:trHeight w:val="448" w:hRule="atLeast"/>
        </w:trPr>
        <w:tc>
          <w:tcPr>
            <w:tcW w:w="1858" w:type="dxa"/>
          </w:tcPr>
          <w:p>
            <w:pPr>
              <w:pStyle w:val="TableParagraph"/>
              <w:spacing w:before="2"/>
              <w:ind w:left="172"/>
              <w:rPr>
                <w:sz w:val="26"/>
              </w:rPr>
            </w:pPr>
            <w:r>
              <w:rPr>
                <w:sz w:val="26"/>
              </w:rPr>
              <w:t>2009</w:t>
            </w:r>
          </w:p>
        </w:tc>
        <w:tc>
          <w:tcPr>
            <w:tcW w:w="1859" w:type="dxa"/>
          </w:tcPr>
          <w:p>
            <w:pPr>
              <w:pStyle w:val="TableParagraph"/>
              <w:spacing w:before="2"/>
              <w:ind w:left="169"/>
              <w:rPr>
                <w:sz w:val="26"/>
              </w:rPr>
            </w:pPr>
            <w:r>
              <w:rPr>
                <w:sz w:val="26"/>
              </w:rPr>
              <w:t>1.762.627</w:t>
            </w:r>
          </w:p>
        </w:tc>
        <w:tc>
          <w:tcPr>
            <w:tcW w:w="1859" w:type="dxa"/>
          </w:tcPr>
          <w:p>
            <w:pPr>
              <w:pStyle w:val="TableParagraph"/>
              <w:spacing w:before="2"/>
              <w:ind w:left="168"/>
              <w:rPr>
                <w:sz w:val="26"/>
              </w:rPr>
            </w:pPr>
            <w:r>
              <w:rPr>
                <w:sz w:val="26"/>
              </w:rPr>
              <w:t>142.229</w:t>
            </w:r>
          </w:p>
        </w:tc>
        <w:tc>
          <w:tcPr>
            <w:tcW w:w="1859" w:type="dxa"/>
          </w:tcPr>
          <w:p>
            <w:pPr>
              <w:pStyle w:val="TableParagraph"/>
              <w:spacing w:before="2"/>
              <w:ind w:left="167"/>
              <w:rPr>
                <w:sz w:val="26"/>
              </w:rPr>
            </w:pPr>
            <w:r>
              <w:rPr>
                <w:sz w:val="26"/>
              </w:rPr>
              <w:t>3.494.246</w:t>
            </w:r>
          </w:p>
        </w:tc>
        <w:tc>
          <w:tcPr>
            <w:tcW w:w="1860" w:type="dxa"/>
          </w:tcPr>
          <w:p>
            <w:pPr>
              <w:pStyle w:val="TableParagraph"/>
              <w:spacing w:before="2"/>
              <w:ind w:left="168"/>
              <w:rPr>
                <w:sz w:val="26"/>
              </w:rPr>
            </w:pPr>
            <w:r>
              <w:rPr>
                <w:sz w:val="26"/>
              </w:rPr>
              <w:t>5.399.102</w:t>
            </w:r>
          </w:p>
        </w:tc>
      </w:tr>
      <w:tr>
        <w:trPr>
          <w:trHeight w:val="448" w:hRule="atLeast"/>
        </w:trPr>
        <w:tc>
          <w:tcPr>
            <w:tcW w:w="1858" w:type="dxa"/>
          </w:tcPr>
          <w:p>
            <w:pPr>
              <w:pStyle w:val="TableParagraph"/>
              <w:spacing w:before="2"/>
              <w:ind w:left="172"/>
              <w:rPr>
                <w:sz w:val="26"/>
              </w:rPr>
            </w:pPr>
            <w:r>
              <w:rPr>
                <w:sz w:val="26"/>
              </w:rPr>
              <w:t>2010</w:t>
            </w:r>
          </w:p>
        </w:tc>
        <w:tc>
          <w:tcPr>
            <w:tcW w:w="1859" w:type="dxa"/>
          </w:tcPr>
          <w:p>
            <w:pPr>
              <w:pStyle w:val="TableParagraph"/>
              <w:spacing w:before="2"/>
              <w:ind w:left="169"/>
              <w:rPr>
                <w:sz w:val="26"/>
              </w:rPr>
            </w:pPr>
            <w:r>
              <w:rPr>
                <w:sz w:val="26"/>
              </w:rPr>
              <w:t>1.936.826</w:t>
            </w:r>
          </w:p>
        </w:tc>
        <w:tc>
          <w:tcPr>
            <w:tcW w:w="1859" w:type="dxa"/>
          </w:tcPr>
          <w:p>
            <w:pPr>
              <w:pStyle w:val="TableParagraph"/>
              <w:spacing w:before="2"/>
              <w:ind w:left="168"/>
              <w:rPr>
                <w:sz w:val="26"/>
              </w:rPr>
            </w:pPr>
            <w:r>
              <w:rPr>
                <w:sz w:val="26"/>
              </w:rPr>
              <w:t>202.983</w:t>
            </w:r>
          </w:p>
        </w:tc>
        <w:tc>
          <w:tcPr>
            <w:tcW w:w="1859" w:type="dxa"/>
          </w:tcPr>
          <w:p>
            <w:pPr>
              <w:pStyle w:val="TableParagraph"/>
              <w:spacing w:before="2"/>
              <w:ind w:left="167"/>
              <w:rPr>
                <w:sz w:val="26"/>
              </w:rPr>
            </w:pPr>
            <w:r>
              <w:rPr>
                <w:sz w:val="26"/>
              </w:rPr>
              <w:t>4.290.088</w:t>
            </w:r>
          </w:p>
        </w:tc>
        <w:tc>
          <w:tcPr>
            <w:tcW w:w="1860" w:type="dxa"/>
          </w:tcPr>
          <w:p>
            <w:pPr>
              <w:pStyle w:val="TableParagraph"/>
              <w:spacing w:before="2"/>
              <w:ind w:left="168"/>
              <w:rPr>
                <w:sz w:val="26"/>
              </w:rPr>
            </w:pPr>
            <w:r>
              <w:rPr>
                <w:sz w:val="26"/>
              </w:rPr>
              <w:t>6.429.897</w:t>
            </w:r>
          </w:p>
        </w:tc>
      </w:tr>
      <w:tr>
        <w:trPr>
          <w:trHeight w:val="448" w:hRule="atLeast"/>
        </w:trPr>
        <w:tc>
          <w:tcPr>
            <w:tcW w:w="1858" w:type="dxa"/>
          </w:tcPr>
          <w:p>
            <w:pPr>
              <w:pStyle w:val="TableParagraph"/>
              <w:spacing w:before="2"/>
              <w:ind w:left="172"/>
              <w:rPr>
                <w:sz w:val="26"/>
              </w:rPr>
            </w:pPr>
            <w:r>
              <w:rPr>
                <w:sz w:val="26"/>
              </w:rPr>
              <w:t>2011</w:t>
            </w:r>
          </w:p>
        </w:tc>
        <w:tc>
          <w:tcPr>
            <w:tcW w:w="1859" w:type="dxa"/>
          </w:tcPr>
          <w:p>
            <w:pPr>
              <w:pStyle w:val="TableParagraph"/>
              <w:spacing w:before="2"/>
              <w:ind w:left="169"/>
              <w:rPr>
                <w:sz w:val="26"/>
              </w:rPr>
            </w:pPr>
            <w:r>
              <w:rPr>
                <w:sz w:val="26"/>
              </w:rPr>
              <w:t>2.149.657</w:t>
            </w:r>
          </w:p>
        </w:tc>
        <w:tc>
          <w:tcPr>
            <w:tcW w:w="1859" w:type="dxa"/>
          </w:tcPr>
          <w:p>
            <w:pPr>
              <w:pStyle w:val="TableParagraph"/>
              <w:spacing w:before="2"/>
              <w:ind w:left="168"/>
              <w:rPr>
                <w:sz w:val="26"/>
              </w:rPr>
            </w:pPr>
            <w:r>
              <w:rPr>
                <w:sz w:val="26"/>
              </w:rPr>
              <w:t>219.365</w:t>
            </w:r>
          </w:p>
        </w:tc>
        <w:tc>
          <w:tcPr>
            <w:tcW w:w="1859" w:type="dxa"/>
          </w:tcPr>
          <w:p>
            <w:pPr>
              <w:pStyle w:val="TableParagraph"/>
              <w:spacing w:before="2"/>
              <w:ind w:left="167"/>
              <w:rPr>
                <w:sz w:val="26"/>
              </w:rPr>
            </w:pPr>
            <w:r>
              <w:rPr>
                <w:sz w:val="26"/>
              </w:rPr>
              <w:t>4.533.608</w:t>
            </w:r>
          </w:p>
        </w:tc>
        <w:tc>
          <w:tcPr>
            <w:tcW w:w="1860" w:type="dxa"/>
          </w:tcPr>
          <w:p>
            <w:pPr>
              <w:pStyle w:val="TableParagraph"/>
              <w:spacing w:before="2"/>
              <w:ind w:left="168"/>
              <w:rPr>
                <w:sz w:val="26"/>
              </w:rPr>
            </w:pPr>
            <w:r>
              <w:rPr>
                <w:sz w:val="26"/>
              </w:rPr>
              <w:t>6.902.630</w:t>
            </w:r>
          </w:p>
        </w:tc>
      </w:tr>
      <w:tr>
        <w:trPr>
          <w:trHeight w:val="448" w:hRule="atLeast"/>
        </w:trPr>
        <w:tc>
          <w:tcPr>
            <w:tcW w:w="1858" w:type="dxa"/>
          </w:tcPr>
          <w:p>
            <w:pPr>
              <w:pStyle w:val="TableParagraph"/>
              <w:spacing w:before="2"/>
              <w:ind w:left="172"/>
              <w:rPr>
                <w:sz w:val="26"/>
              </w:rPr>
            </w:pPr>
            <w:r>
              <w:rPr>
                <w:sz w:val="26"/>
              </w:rPr>
              <w:t>2012</w:t>
            </w:r>
          </w:p>
        </w:tc>
        <w:tc>
          <w:tcPr>
            <w:tcW w:w="1859" w:type="dxa"/>
          </w:tcPr>
          <w:p>
            <w:pPr>
              <w:pStyle w:val="TableParagraph"/>
              <w:spacing w:before="2"/>
              <w:ind w:left="169"/>
              <w:rPr>
                <w:sz w:val="26"/>
              </w:rPr>
            </w:pPr>
            <w:r>
              <w:rPr>
                <w:sz w:val="26"/>
              </w:rPr>
              <w:t>2.164.218</w:t>
            </w:r>
          </w:p>
        </w:tc>
        <w:tc>
          <w:tcPr>
            <w:tcW w:w="1859" w:type="dxa"/>
          </w:tcPr>
          <w:p>
            <w:pPr>
              <w:pStyle w:val="TableParagraph"/>
              <w:spacing w:before="2"/>
              <w:ind w:left="168"/>
              <w:rPr>
                <w:sz w:val="26"/>
              </w:rPr>
            </w:pPr>
            <w:r>
              <w:rPr>
                <w:sz w:val="26"/>
              </w:rPr>
              <w:t>235.829</w:t>
            </w:r>
          </w:p>
        </w:tc>
        <w:tc>
          <w:tcPr>
            <w:tcW w:w="1859" w:type="dxa"/>
          </w:tcPr>
          <w:p>
            <w:pPr>
              <w:pStyle w:val="TableParagraph"/>
              <w:spacing w:before="2"/>
              <w:ind w:left="167"/>
              <w:rPr>
                <w:sz w:val="26"/>
              </w:rPr>
            </w:pPr>
            <w:r>
              <w:rPr>
                <w:sz w:val="26"/>
              </w:rPr>
              <w:t>5.187.789</w:t>
            </w:r>
          </w:p>
        </w:tc>
        <w:tc>
          <w:tcPr>
            <w:tcW w:w="1860" w:type="dxa"/>
          </w:tcPr>
          <w:p>
            <w:pPr>
              <w:pStyle w:val="TableParagraph"/>
              <w:spacing w:before="2"/>
              <w:ind w:left="168"/>
              <w:rPr>
                <w:sz w:val="26"/>
              </w:rPr>
            </w:pPr>
            <w:r>
              <w:rPr>
                <w:sz w:val="26"/>
              </w:rPr>
              <w:t>7.587.836</w:t>
            </w:r>
          </w:p>
        </w:tc>
      </w:tr>
      <w:tr>
        <w:trPr>
          <w:trHeight w:val="448" w:hRule="atLeast"/>
        </w:trPr>
        <w:tc>
          <w:tcPr>
            <w:tcW w:w="1858" w:type="dxa"/>
          </w:tcPr>
          <w:p>
            <w:pPr>
              <w:pStyle w:val="TableParagraph"/>
              <w:spacing w:before="2"/>
              <w:ind w:left="172"/>
              <w:rPr>
                <w:sz w:val="26"/>
              </w:rPr>
            </w:pPr>
            <w:r>
              <w:rPr>
                <w:sz w:val="26"/>
              </w:rPr>
              <w:t>2013</w:t>
            </w:r>
          </w:p>
        </w:tc>
        <w:tc>
          <w:tcPr>
            <w:tcW w:w="1859" w:type="dxa"/>
          </w:tcPr>
          <w:p>
            <w:pPr>
              <w:pStyle w:val="TableParagraph"/>
              <w:spacing w:before="2"/>
              <w:ind w:left="169"/>
              <w:rPr>
                <w:sz w:val="26"/>
              </w:rPr>
            </w:pPr>
            <w:r>
              <w:rPr>
                <w:sz w:val="26"/>
              </w:rPr>
              <w:t>2.232.578</w:t>
            </w:r>
          </w:p>
        </w:tc>
        <w:tc>
          <w:tcPr>
            <w:tcW w:w="1859" w:type="dxa"/>
          </w:tcPr>
          <w:p>
            <w:pPr>
              <w:pStyle w:val="TableParagraph"/>
              <w:spacing w:before="2"/>
              <w:ind w:left="168"/>
              <w:rPr>
                <w:sz w:val="26"/>
              </w:rPr>
            </w:pPr>
            <w:r>
              <w:rPr>
                <w:sz w:val="26"/>
              </w:rPr>
              <w:t>262.870</w:t>
            </w:r>
          </w:p>
        </w:tc>
        <w:tc>
          <w:tcPr>
            <w:tcW w:w="1859" w:type="dxa"/>
          </w:tcPr>
          <w:p>
            <w:pPr>
              <w:pStyle w:val="TableParagraph"/>
              <w:spacing w:before="2"/>
              <w:ind w:left="167"/>
              <w:rPr>
                <w:sz w:val="26"/>
              </w:rPr>
            </w:pPr>
            <w:r>
              <w:rPr>
                <w:sz w:val="26"/>
              </w:rPr>
              <w:t>5.956.802</w:t>
            </w:r>
          </w:p>
        </w:tc>
        <w:tc>
          <w:tcPr>
            <w:tcW w:w="1860" w:type="dxa"/>
          </w:tcPr>
          <w:p>
            <w:pPr>
              <w:pStyle w:val="TableParagraph"/>
              <w:spacing w:before="2"/>
              <w:ind w:left="168"/>
              <w:rPr>
                <w:sz w:val="26"/>
              </w:rPr>
            </w:pPr>
            <w:r>
              <w:rPr>
                <w:sz w:val="26"/>
              </w:rPr>
              <w:t>8.452.250</w:t>
            </w:r>
          </w:p>
        </w:tc>
      </w:tr>
      <w:tr>
        <w:trPr>
          <w:trHeight w:val="448" w:hRule="atLeast"/>
        </w:trPr>
        <w:tc>
          <w:tcPr>
            <w:tcW w:w="1858" w:type="dxa"/>
          </w:tcPr>
          <w:p>
            <w:pPr>
              <w:pStyle w:val="TableParagraph"/>
              <w:spacing w:before="2"/>
              <w:ind w:left="172"/>
              <w:rPr>
                <w:sz w:val="26"/>
              </w:rPr>
            </w:pPr>
            <w:r>
              <w:rPr>
                <w:sz w:val="26"/>
              </w:rPr>
              <w:t>2014</w:t>
            </w:r>
          </w:p>
        </w:tc>
        <w:tc>
          <w:tcPr>
            <w:tcW w:w="1859" w:type="dxa"/>
          </w:tcPr>
          <w:p>
            <w:pPr>
              <w:pStyle w:val="TableParagraph"/>
              <w:spacing w:before="2"/>
              <w:ind w:left="169"/>
              <w:rPr>
                <w:sz w:val="26"/>
              </w:rPr>
            </w:pPr>
            <w:r>
              <w:rPr>
                <w:sz w:val="26"/>
              </w:rPr>
              <w:t>2.601.566</w:t>
            </w:r>
          </w:p>
        </w:tc>
        <w:tc>
          <w:tcPr>
            <w:tcW w:w="1859" w:type="dxa"/>
          </w:tcPr>
          <w:p>
            <w:pPr>
              <w:pStyle w:val="TableParagraph"/>
              <w:spacing w:before="2"/>
              <w:ind w:left="168"/>
              <w:rPr>
                <w:sz w:val="26"/>
              </w:rPr>
            </w:pPr>
            <w:r>
              <w:rPr>
                <w:sz w:val="26"/>
              </w:rPr>
              <w:t>364.728</w:t>
            </w:r>
          </w:p>
        </w:tc>
        <w:tc>
          <w:tcPr>
            <w:tcW w:w="1859" w:type="dxa"/>
          </w:tcPr>
          <w:p>
            <w:pPr>
              <w:pStyle w:val="TableParagraph"/>
              <w:spacing w:before="2"/>
              <w:ind w:left="167"/>
              <w:rPr>
                <w:sz w:val="26"/>
              </w:rPr>
            </w:pPr>
            <w:r>
              <w:rPr>
                <w:sz w:val="26"/>
              </w:rPr>
              <w:t>7.043.070</w:t>
            </w:r>
          </w:p>
        </w:tc>
        <w:tc>
          <w:tcPr>
            <w:tcW w:w="1860" w:type="dxa"/>
          </w:tcPr>
          <w:p>
            <w:pPr>
              <w:pStyle w:val="TableParagraph"/>
              <w:spacing w:before="2"/>
              <w:ind w:left="168"/>
              <w:rPr>
                <w:sz w:val="26"/>
              </w:rPr>
            </w:pPr>
            <w:r>
              <w:rPr>
                <w:sz w:val="26"/>
              </w:rPr>
              <w:t>10.009.364</w:t>
            </w:r>
          </w:p>
        </w:tc>
      </w:tr>
      <w:tr>
        <w:trPr>
          <w:trHeight w:val="448" w:hRule="atLeast"/>
        </w:trPr>
        <w:tc>
          <w:tcPr>
            <w:tcW w:w="1858" w:type="dxa"/>
          </w:tcPr>
          <w:p>
            <w:pPr>
              <w:pStyle w:val="TableParagraph"/>
              <w:spacing w:before="2"/>
              <w:ind w:left="172"/>
              <w:rPr>
                <w:sz w:val="26"/>
              </w:rPr>
            </w:pPr>
            <w:r>
              <w:rPr>
                <w:sz w:val="26"/>
              </w:rPr>
              <w:t>2015</w:t>
            </w:r>
          </w:p>
        </w:tc>
        <w:tc>
          <w:tcPr>
            <w:tcW w:w="1859" w:type="dxa"/>
          </w:tcPr>
          <w:p>
            <w:pPr>
              <w:pStyle w:val="TableParagraph"/>
              <w:spacing w:before="2"/>
              <w:ind w:left="169"/>
              <w:rPr>
                <w:sz w:val="26"/>
              </w:rPr>
            </w:pPr>
            <w:r>
              <w:rPr>
                <w:sz w:val="26"/>
              </w:rPr>
              <w:t>2.901.863</w:t>
            </w:r>
          </w:p>
        </w:tc>
        <w:tc>
          <w:tcPr>
            <w:tcW w:w="1859" w:type="dxa"/>
          </w:tcPr>
          <w:p>
            <w:pPr>
              <w:pStyle w:val="TableParagraph"/>
              <w:spacing w:before="2"/>
              <w:ind w:left="168"/>
              <w:rPr>
                <w:sz w:val="26"/>
              </w:rPr>
            </w:pPr>
            <w:r>
              <w:rPr>
                <w:sz w:val="26"/>
              </w:rPr>
              <w:t>408.296</w:t>
            </w:r>
          </w:p>
        </w:tc>
        <w:tc>
          <w:tcPr>
            <w:tcW w:w="1859" w:type="dxa"/>
          </w:tcPr>
          <w:p>
            <w:pPr>
              <w:pStyle w:val="TableParagraph"/>
              <w:spacing w:before="2"/>
              <w:ind w:left="167"/>
              <w:rPr>
                <w:sz w:val="26"/>
              </w:rPr>
            </w:pPr>
            <w:r>
              <w:rPr>
                <w:sz w:val="26"/>
              </w:rPr>
              <w:t>7.779.398</w:t>
            </w:r>
          </w:p>
        </w:tc>
        <w:tc>
          <w:tcPr>
            <w:tcW w:w="1860" w:type="dxa"/>
          </w:tcPr>
          <w:p>
            <w:pPr>
              <w:pStyle w:val="TableParagraph"/>
              <w:spacing w:before="2"/>
              <w:ind w:left="168"/>
              <w:rPr>
                <w:sz w:val="26"/>
              </w:rPr>
            </w:pPr>
            <w:r>
              <w:rPr>
                <w:sz w:val="26"/>
              </w:rPr>
              <w:t>11.089.557</w:t>
            </w:r>
          </w:p>
        </w:tc>
      </w:tr>
      <w:tr>
        <w:trPr>
          <w:trHeight w:val="448" w:hRule="atLeast"/>
        </w:trPr>
        <w:tc>
          <w:tcPr>
            <w:tcW w:w="1858" w:type="dxa"/>
          </w:tcPr>
          <w:p>
            <w:pPr>
              <w:pStyle w:val="TableParagraph"/>
              <w:spacing w:before="2"/>
              <w:ind w:left="172"/>
              <w:rPr>
                <w:sz w:val="26"/>
              </w:rPr>
            </w:pPr>
            <w:r>
              <w:rPr>
                <w:sz w:val="26"/>
              </w:rPr>
              <w:t>2016</w:t>
            </w:r>
          </w:p>
        </w:tc>
        <w:tc>
          <w:tcPr>
            <w:tcW w:w="1859" w:type="dxa"/>
          </w:tcPr>
          <w:p>
            <w:pPr>
              <w:pStyle w:val="TableParagraph"/>
              <w:spacing w:before="2"/>
              <w:ind w:left="169"/>
              <w:rPr>
                <w:sz w:val="26"/>
              </w:rPr>
            </w:pPr>
            <w:r>
              <w:rPr>
                <w:sz w:val="26"/>
              </w:rPr>
              <w:t>2.664.566</w:t>
            </w:r>
          </w:p>
        </w:tc>
        <w:tc>
          <w:tcPr>
            <w:tcW w:w="1859" w:type="dxa"/>
          </w:tcPr>
          <w:p>
            <w:pPr>
              <w:pStyle w:val="TableParagraph"/>
              <w:spacing w:before="2"/>
              <w:ind w:left="168"/>
              <w:rPr>
                <w:sz w:val="26"/>
              </w:rPr>
            </w:pPr>
            <w:r>
              <w:rPr>
                <w:sz w:val="26"/>
              </w:rPr>
              <w:t>476.748</w:t>
            </w:r>
          </w:p>
        </w:tc>
        <w:tc>
          <w:tcPr>
            <w:tcW w:w="1859" w:type="dxa"/>
          </w:tcPr>
          <w:p>
            <w:pPr>
              <w:pStyle w:val="TableParagraph"/>
              <w:spacing w:before="2"/>
              <w:ind w:left="167"/>
              <w:rPr>
                <w:sz w:val="26"/>
              </w:rPr>
            </w:pPr>
            <w:r>
              <w:rPr>
                <w:sz w:val="26"/>
              </w:rPr>
              <w:t>7.944.828</w:t>
            </w:r>
          </w:p>
        </w:tc>
        <w:tc>
          <w:tcPr>
            <w:tcW w:w="1860" w:type="dxa"/>
          </w:tcPr>
          <w:p>
            <w:pPr>
              <w:pStyle w:val="TableParagraph"/>
              <w:spacing w:before="2"/>
              <w:ind w:left="168"/>
              <w:rPr>
                <w:sz w:val="26"/>
              </w:rPr>
            </w:pPr>
            <w:r>
              <w:rPr>
                <w:sz w:val="26"/>
              </w:rPr>
              <w:t>11.086.142</w:t>
            </w:r>
          </w:p>
        </w:tc>
      </w:tr>
      <w:tr>
        <w:trPr>
          <w:trHeight w:val="448" w:hRule="atLeast"/>
        </w:trPr>
        <w:tc>
          <w:tcPr>
            <w:tcW w:w="1858" w:type="dxa"/>
          </w:tcPr>
          <w:p>
            <w:pPr>
              <w:pStyle w:val="TableParagraph"/>
              <w:spacing w:before="2"/>
              <w:ind w:left="172"/>
              <w:rPr>
                <w:sz w:val="26"/>
              </w:rPr>
            </w:pPr>
            <w:r>
              <w:rPr>
                <w:sz w:val="26"/>
              </w:rPr>
              <w:t>2017</w:t>
            </w:r>
          </w:p>
        </w:tc>
        <w:tc>
          <w:tcPr>
            <w:tcW w:w="1859" w:type="dxa"/>
          </w:tcPr>
          <w:p>
            <w:pPr>
              <w:pStyle w:val="TableParagraph"/>
              <w:spacing w:before="2"/>
              <w:ind w:left="169"/>
              <w:rPr>
                <w:sz w:val="26"/>
              </w:rPr>
            </w:pPr>
            <w:r>
              <w:rPr>
                <w:sz w:val="26"/>
              </w:rPr>
              <w:t>2.772.505</w:t>
            </w:r>
          </w:p>
        </w:tc>
        <w:tc>
          <w:tcPr>
            <w:tcW w:w="1859" w:type="dxa"/>
          </w:tcPr>
          <w:p>
            <w:pPr>
              <w:pStyle w:val="TableParagraph"/>
              <w:spacing w:before="2"/>
              <w:ind w:left="168"/>
              <w:rPr>
                <w:sz w:val="26"/>
              </w:rPr>
            </w:pPr>
            <w:r>
              <w:rPr>
                <w:sz w:val="26"/>
              </w:rPr>
              <w:t>524.678</w:t>
            </w:r>
          </w:p>
        </w:tc>
        <w:tc>
          <w:tcPr>
            <w:tcW w:w="1859" w:type="dxa"/>
          </w:tcPr>
          <w:p>
            <w:pPr>
              <w:pStyle w:val="TableParagraph"/>
              <w:spacing w:before="2"/>
              <w:ind w:left="167"/>
              <w:rPr>
                <w:sz w:val="26"/>
              </w:rPr>
            </w:pPr>
            <w:r>
              <w:rPr>
                <w:sz w:val="26"/>
              </w:rPr>
              <w:t>8.668.431</w:t>
            </w:r>
          </w:p>
        </w:tc>
        <w:tc>
          <w:tcPr>
            <w:tcW w:w="1860" w:type="dxa"/>
          </w:tcPr>
          <w:p>
            <w:pPr>
              <w:pStyle w:val="TableParagraph"/>
              <w:spacing w:before="2"/>
              <w:ind w:left="168"/>
              <w:rPr>
                <w:sz w:val="26"/>
              </w:rPr>
            </w:pPr>
            <w:r>
              <w:rPr>
                <w:sz w:val="26"/>
              </w:rPr>
              <w:t>11.965.614</w:t>
            </w:r>
          </w:p>
        </w:tc>
      </w:tr>
      <w:tr>
        <w:trPr>
          <w:trHeight w:val="448" w:hRule="atLeast"/>
        </w:trPr>
        <w:tc>
          <w:tcPr>
            <w:tcW w:w="1858" w:type="dxa"/>
          </w:tcPr>
          <w:p>
            <w:pPr>
              <w:pStyle w:val="TableParagraph"/>
              <w:spacing w:before="2"/>
              <w:ind w:left="172"/>
              <w:rPr>
                <w:sz w:val="26"/>
              </w:rPr>
            </w:pPr>
            <w:r>
              <w:rPr>
                <w:sz w:val="26"/>
              </w:rPr>
              <w:t>2018</w:t>
            </w:r>
          </w:p>
        </w:tc>
        <w:tc>
          <w:tcPr>
            <w:tcW w:w="1859" w:type="dxa"/>
          </w:tcPr>
          <w:p>
            <w:pPr>
              <w:pStyle w:val="TableParagraph"/>
              <w:spacing w:before="2"/>
              <w:ind w:left="169"/>
              <w:rPr>
                <w:sz w:val="26"/>
              </w:rPr>
            </w:pPr>
            <w:r>
              <w:rPr>
                <w:sz w:val="26"/>
              </w:rPr>
              <w:t>2.882.416</w:t>
            </w:r>
          </w:p>
        </w:tc>
        <w:tc>
          <w:tcPr>
            <w:tcW w:w="1859" w:type="dxa"/>
          </w:tcPr>
          <w:p>
            <w:pPr>
              <w:pStyle w:val="TableParagraph"/>
              <w:spacing w:before="2"/>
              <w:ind w:left="168"/>
              <w:rPr>
                <w:sz w:val="26"/>
              </w:rPr>
            </w:pPr>
            <w:r>
              <w:rPr>
                <w:sz w:val="26"/>
              </w:rPr>
              <w:t>575.726</w:t>
            </w:r>
          </w:p>
        </w:tc>
        <w:tc>
          <w:tcPr>
            <w:tcW w:w="1859" w:type="dxa"/>
          </w:tcPr>
          <w:p>
            <w:pPr>
              <w:pStyle w:val="TableParagraph"/>
              <w:spacing w:before="2"/>
              <w:ind w:left="167"/>
              <w:rPr>
                <w:sz w:val="26"/>
              </w:rPr>
            </w:pPr>
            <w:r>
              <w:rPr>
                <w:sz w:val="26"/>
              </w:rPr>
              <w:t>9.610.321</w:t>
            </w:r>
          </w:p>
        </w:tc>
        <w:tc>
          <w:tcPr>
            <w:tcW w:w="1860" w:type="dxa"/>
          </w:tcPr>
          <w:p>
            <w:pPr>
              <w:pStyle w:val="TableParagraph"/>
              <w:spacing w:before="2"/>
              <w:ind w:left="168"/>
              <w:rPr>
                <w:sz w:val="26"/>
              </w:rPr>
            </w:pPr>
            <w:r>
              <w:rPr>
                <w:sz w:val="26"/>
              </w:rPr>
              <w:t>13.068.463</w:t>
            </w:r>
          </w:p>
        </w:tc>
      </w:tr>
      <w:tr>
        <w:trPr>
          <w:trHeight w:val="414" w:hRule="atLeast"/>
        </w:trPr>
        <w:tc>
          <w:tcPr>
            <w:tcW w:w="1858" w:type="dxa"/>
          </w:tcPr>
          <w:p>
            <w:pPr>
              <w:pStyle w:val="TableParagraph"/>
              <w:spacing w:line="275" w:lineRule="exact"/>
              <w:ind w:left="167"/>
              <w:rPr>
                <w:sz w:val="24"/>
              </w:rPr>
            </w:pPr>
            <w:r>
              <w:rPr>
                <w:sz w:val="24"/>
              </w:rPr>
              <w:t>2019</w:t>
            </w:r>
          </w:p>
        </w:tc>
        <w:tc>
          <w:tcPr>
            <w:tcW w:w="1859" w:type="dxa"/>
          </w:tcPr>
          <w:p>
            <w:pPr>
              <w:pStyle w:val="TableParagraph"/>
              <w:spacing w:line="275" w:lineRule="exact"/>
              <w:ind w:left="164"/>
              <w:rPr>
                <w:sz w:val="24"/>
              </w:rPr>
            </w:pPr>
            <w:r>
              <w:rPr>
                <w:sz w:val="24"/>
              </w:rPr>
              <w:t>3.541.573</w:t>
            </w:r>
          </w:p>
        </w:tc>
        <w:tc>
          <w:tcPr>
            <w:tcW w:w="1859" w:type="dxa"/>
          </w:tcPr>
          <w:p>
            <w:pPr>
              <w:pStyle w:val="TableParagraph"/>
              <w:spacing w:line="275" w:lineRule="exact"/>
              <w:ind w:left="164"/>
              <w:rPr>
                <w:sz w:val="24"/>
              </w:rPr>
            </w:pPr>
            <w:r>
              <w:rPr>
                <w:sz w:val="24"/>
              </w:rPr>
              <w:t>703.483</w:t>
            </w:r>
          </w:p>
        </w:tc>
        <w:tc>
          <w:tcPr>
            <w:tcW w:w="1859" w:type="dxa"/>
          </w:tcPr>
          <w:p>
            <w:pPr>
              <w:pStyle w:val="TableParagraph"/>
              <w:spacing w:line="275" w:lineRule="exact"/>
              <w:ind w:left="163"/>
              <w:rPr>
                <w:sz w:val="24"/>
              </w:rPr>
            </w:pPr>
            <w:r>
              <w:rPr>
                <w:sz w:val="24"/>
              </w:rPr>
              <w:t>11.362.649</w:t>
            </w:r>
          </w:p>
        </w:tc>
        <w:tc>
          <w:tcPr>
            <w:tcW w:w="1860" w:type="dxa"/>
          </w:tcPr>
          <w:p>
            <w:pPr>
              <w:pStyle w:val="TableParagraph"/>
              <w:spacing w:line="275" w:lineRule="exact"/>
              <w:ind w:left="164"/>
              <w:rPr>
                <w:sz w:val="24"/>
              </w:rPr>
            </w:pPr>
            <w:r>
              <w:rPr>
                <w:sz w:val="24"/>
              </w:rPr>
              <w:t>15.607.705</w:t>
            </w:r>
          </w:p>
        </w:tc>
      </w:tr>
      <w:tr>
        <w:trPr>
          <w:trHeight w:val="414" w:hRule="atLeast"/>
        </w:trPr>
        <w:tc>
          <w:tcPr>
            <w:tcW w:w="1858" w:type="dxa"/>
          </w:tcPr>
          <w:p>
            <w:pPr>
              <w:pStyle w:val="TableParagraph"/>
              <w:spacing w:line="275" w:lineRule="exact"/>
              <w:ind w:left="167"/>
              <w:rPr>
                <w:sz w:val="24"/>
              </w:rPr>
            </w:pPr>
            <w:r>
              <w:rPr>
                <w:sz w:val="24"/>
              </w:rPr>
              <w:t>2020</w:t>
            </w:r>
          </w:p>
        </w:tc>
        <w:tc>
          <w:tcPr>
            <w:tcW w:w="1859" w:type="dxa"/>
          </w:tcPr>
          <w:p>
            <w:pPr>
              <w:pStyle w:val="TableParagraph"/>
              <w:spacing w:line="275" w:lineRule="exact"/>
              <w:ind w:left="164"/>
              <w:rPr>
                <w:sz w:val="24"/>
              </w:rPr>
            </w:pPr>
            <w:r>
              <w:rPr>
                <w:sz w:val="24"/>
              </w:rPr>
              <w:t>3.716.320</w:t>
            </w:r>
          </w:p>
        </w:tc>
        <w:tc>
          <w:tcPr>
            <w:tcW w:w="1859" w:type="dxa"/>
          </w:tcPr>
          <w:p>
            <w:pPr>
              <w:pStyle w:val="TableParagraph"/>
              <w:spacing w:line="275" w:lineRule="exact"/>
              <w:ind w:left="164"/>
              <w:rPr>
                <w:sz w:val="24"/>
              </w:rPr>
            </w:pPr>
            <w:r>
              <w:rPr>
                <w:sz w:val="24"/>
              </w:rPr>
              <w:t>769.741</w:t>
            </w:r>
          </w:p>
        </w:tc>
        <w:tc>
          <w:tcPr>
            <w:tcW w:w="1859" w:type="dxa"/>
          </w:tcPr>
          <w:p>
            <w:pPr>
              <w:pStyle w:val="TableParagraph"/>
              <w:spacing w:line="275" w:lineRule="exact"/>
              <w:ind w:left="163"/>
              <w:rPr>
                <w:sz w:val="24"/>
              </w:rPr>
            </w:pPr>
            <w:r>
              <w:rPr>
                <w:sz w:val="24"/>
              </w:rPr>
              <w:t>12.429.676</w:t>
            </w:r>
          </w:p>
        </w:tc>
        <w:tc>
          <w:tcPr>
            <w:tcW w:w="1860" w:type="dxa"/>
          </w:tcPr>
          <w:p>
            <w:pPr>
              <w:pStyle w:val="TableParagraph"/>
              <w:spacing w:line="275" w:lineRule="exact"/>
              <w:ind w:left="164"/>
              <w:rPr>
                <w:sz w:val="24"/>
              </w:rPr>
            </w:pPr>
            <w:r>
              <w:rPr>
                <w:sz w:val="24"/>
              </w:rPr>
              <w:t>16.915.737</w:t>
            </w:r>
          </w:p>
        </w:tc>
      </w:tr>
    </w:tbl>
    <w:p>
      <w:pPr>
        <w:spacing w:before="2"/>
        <w:ind w:left="7982" w:right="0" w:firstLine="0"/>
        <w:jc w:val="both"/>
        <w:rPr>
          <w:i/>
          <w:sz w:val="26"/>
        </w:rPr>
      </w:pPr>
      <w:r>
        <w:rPr>
          <w:i/>
          <w:sz w:val="26"/>
        </w:rPr>
        <w:t>Nguồn: VPA.</w:t>
      </w:r>
      <w:r>
        <w:rPr>
          <w:i/>
          <w:spacing w:val="-6"/>
          <w:sz w:val="26"/>
        </w:rPr>
        <w:t> </w:t>
      </w:r>
      <w:r>
        <w:rPr>
          <w:i/>
          <w:sz w:val="26"/>
        </w:rPr>
        <w:t>2021</w:t>
      </w:r>
    </w:p>
    <w:p>
      <w:pPr>
        <w:pStyle w:val="BodyText"/>
        <w:spacing w:line="360" w:lineRule="auto" w:before="150"/>
        <w:ind w:left="882" w:right="889" w:firstLine="719"/>
        <w:jc w:val="both"/>
      </w:pPr>
      <w:r>
        <w:rPr/>
        <w:t>Có nhiều mô hình được sử dụng để dự báo sản lượng container thông qua cảng trong đó phổ biến nhất là mô hình hồi quy nhằm xác định và đo lường nhân quả của các biến như các nghiên cứu của T.C.Guo (1993) và H.D.Liu và cộng sự (1996) và cần phải xem xét sai số ước tính gây ra bởi các yếu tố không chắc chắn trong dự báo cho nên một số nghiên cứu nhận thấy cần phải điều chỉnh dự báo bằng cách sử dụng các kỹ thuật thay thế như nghiên cứu của J.G.de Gooijer và công sự (1989) đã sử dụng các  mô hình chuỗi thời gian đa dạng để xác định luồng giao thông thép hàng hải tại cảng Antwerp. Trong khi đó W.H.K. Lam (2004) đề xuất mô hình mạng Nơ-Ron (NN) để dự báo lưu lượng hàng hóa qua cảng Hồng Kông. Còn C.C Chou (2004) đã sử dụng phương pháp biểu diễn tích phân có phân loại, một phương pháp mới để tính toán độ mờ nhằm dự đoán tổng khối lượng container xuất, nhập cho cảng Đài Loan và nhận thấy rằng kết quả dự báo tốt hơn so với dự báo theo mùa (SARIMA). Bên cạnh các mô hình riêng lẻ thì một số tác giả đã sử dụng mô hình kết hợp để dự báo sản lượng container thông qua cảng như các nghiên cứu của Shih-Huang Chen và công sự (2010) đã sử dụng lập trình di truyền (GP), phương pháp phân tích (X-11) và đường trung bình động tích hợp hồi quy tự động theo mùa (SARIMA) để dự báo sản lượng container</w:t>
      </w:r>
      <w:r>
        <w:rPr>
          <w:spacing w:val="13"/>
        </w:rPr>
        <w:t> </w:t>
      </w:r>
      <w:r>
        <w:rPr/>
        <w:t>thông</w:t>
      </w:r>
      <w:r>
        <w:rPr>
          <w:spacing w:val="13"/>
        </w:rPr>
        <w:t> </w:t>
      </w:r>
      <w:r>
        <w:rPr/>
        <w:t>qua</w:t>
      </w:r>
      <w:r>
        <w:rPr>
          <w:spacing w:val="14"/>
        </w:rPr>
        <w:t> </w:t>
      </w:r>
      <w:r>
        <w:rPr/>
        <w:t>các</w:t>
      </w:r>
      <w:r>
        <w:rPr>
          <w:spacing w:val="12"/>
        </w:rPr>
        <w:t> </w:t>
      </w:r>
      <w:r>
        <w:rPr/>
        <w:t>cảng</w:t>
      </w:r>
      <w:r>
        <w:rPr>
          <w:spacing w:val="13"/>
        </w:rPr>
        <w:t> </w:t>
      </w:r>
      <w:r>
        <w:rPr/>
        <w:t>lớn</w:t>
      </w:r>
      <w:r>
        <w:rPr>
          <w:spacing w:val="14"/>
        </w:rPr>
        <w:t> </w:t>
      </w:r>
      <w:r>
        <w:rPr/>
        <w:t>của</w:t>
      </w:r>
      <w:r>
        <w:rPr>
          <w:spacing w:val="14"/>
        </w:rPr>
        <w:t> </w:t>
      </w:r>
      <w:r>
        <w:rPr/>
        <w:t>Đài</w:t>
      </w:r>
      <w:r>
        <w:rPr>
          <w:spacing w:val="13"/>
        </w:rPr>
        <w:t> </w:t>
      </w:r>
      <w:r>
        <w:rPr/>
        <w:t>Loan</w:t>
      </w:r>
      <w:r>
        <w:rPr>
          <w:spacing w:val="18"/>
        </w:rPr>
        <w:t> </w:t>
      </w:r>
      <w:r>
        <w:rPr/>
        <w:t>hay</w:t>
      </w:r>
      <w:r>
        <w:rPr>
          <w:spacing w:val="15"/>
        </w:rPr>
        <w:t> </w:t>
      </w:r>
      <w:r>
        <w:rPr/>
        <w:t>như</w:t>
      </w:r>
      <w:r>
        <w:rPr>
          <w:spacing w:val="16"/>
        </w:rPr>
        <w:t> </w:t>
      </w:r>
      <w:r>
        <w:rPr/>
        <w:t>Gang</w:t>
      </w:r>
      <w:r>
        <w:rPr>
          <w:spacing w:val="14"/>
        </w:rPr>
        <w:t> </w:t>
      </w:r>
      <w:r>
        <w:rPr/>
        <w:t>Xie</w:t>
      </w:r>
      <w:r>
        <w:rPr>
          <w:spacing w:val="17"/>
        </w:rPr>
        <w:t> </w:t>
      </w:r>
      <w:r>
        <w:rPr/>
        <w:t>và</w:t>
      </w:r>
      <w:r>
        <w:rPr>
          <w:spacing w:val="12"/>
        </w:rPr>
        <w:t> </w:t>
      </w:r>
      <w:r>
        <w:rPr/>
        <w:t>công</w:t>
      </w:r>
      <w:r>
        <w:rPr>
          <w:spacing w:val="14"/>
        </w:rPr>
        <w:t> </w:t>
      </w:r>
      <w:r>
        <w:rPr/>
        <w:t>sự</w:t>
      </w:r>
      <w:r>
        <w:rPr>
          <w:spacing w:val="16"/>
        </w:rPr>
        <w:t> </w:t>
      </w:r>
      <w:r>
        <w:rPr/>
        <w:t>(2012)</w:t>
      </w:r>
    </w:p>
    <w:p>
      <w:pPr>
        <w:spacing w:after="0" w:line="360" w:lineRule="auto"/>
        <w:jc w:val="both"/>
        <w:sectPr>
          <w:pgSz w:w="11910" w:h="16850"/>
          <w:pgMar w:header="751" w:footer="0" w:top="960" w:bottom="280" w:left="820" w:right="240"/>
        </w:sectPr>
      </w:pPr>
    </w:p>
    <w:p>
      <w:pPr>
        <w:pStyle w:val="BodyText"/>
        <w:rPr>
          <w:sz w:val="20"/>
        </w:rPr>
      </w:pPr>
    </w:p>
    <w:p>
      <w:pPr>
        <w:pStyle w:val="BodyText"/>
        <w:spacing w:before="7"/>
        <w:rPr>
          <w:sz w:val="23"/>
        </w:rPr>
      </w:pPr>
    </w:p>
    <w:p>
      <w:pPr>
        <w:pStyle w:val="BodyText"/>
        <w:spacing w:line="360" w:lineRule="auto" w:before="89"/>
        <w:ind w:left="882" w:right="888"/>
        <w:jc w:val="both"/>
      </w:pPr>
      <w:r>
        <w:rPr/>
        <w:t>thì sử dụng các phương pháp tiếp cận dựa trên bình phương nhỏ nhất hỗ trợ mô hình hồi quy véc-tơ (LS SVR) để dự báo lưu lượng container tại các cảng được đề xuất và kết quả cho thấy phương pháp kết hợp được đề xuất có thể đạt được hiệu suất dự báo tốt hơn các phương pháp tiếp cận riêng lẻ. Theo Mingfei Niu và công sự (2017) thì nhóm tác giả này đã xây dựng mô hình tổng hợp nhằm kết hợp nhiều mô hình như VMD-ARIMA-HGWO-SVR để dự báo nhằm mục đích cải thiện độ ổn định và độ chính xác của thông lượng container qua các cảng của Trung Quốc. Tóm lại các mô hình dự báo trên đều có những ưu và nhược điểm riêng và phụ thuộc vào dữ liệu thống kê. Trong khi đó theo Robert et al., (1979) mô hình ARIMA rất phù hợp đối với những quan hệ tuyến tính giữa dữ liệu hiện tại và dữ liệu quá khứ. Hơn nữa, Brockwell et al., (2001) còn cho rằng mô hình ARIMA sẽ dự báo chính xác hơn khi số liệu được thống kê chi tiết trong năm.</w:t>
      </w:r>
    </w:p>
    <w:p>
      <w:pPr>
        <w:pStyle w:val="BodyText"/>
        <w:spacing w:line="360" w:lineRule="auto"/>
        <w:ind w:left="882" w:right="892" w:firstLine="719"/>
        <w:jc w:val="both"/>
      </w:pPr>
      <w:r>
        <w:rPr/>
        <w:t>Box &amp; Jenkins (1970) lần đầu tiên giới thiệu mô hình ARIMA (Autoregressive Integrated Moving Average) trong phân tích chuỗi thời gian, được hiểu là phương pháp Box-Jenkins. Mô hình ARIMA được kết hợp bởi 3 thành phần chính: AR (thành phần tự hồi quy), I (tính dừng của chuỗi thời gian) và MA (thành phần trung bình trượt). Theo Gujarati (2006) cũng như R. Carter Hill et al., (2011) để sử dụng mô hình ARIMA trong dự báo chuỗi thời gian thì phải qua 4</w:t>
      </w:r>
      <w:r>
        <w:rPr>
          <w:spacing w:val="-2"/>
        </w:rPr>
        <w:t> </w:t>
      </w:r>
      <w:r>
        <w:rPr/>
        <w:t>bước</w:t>
      </w:r>
    </w:p>
    <w:p>
      <w:pPr>
        <w:pStyle w:val="Heading7"/>
        <w:rPr>
          <w:i/>
        </w:rPr>
      </w:pPr>
      <w:r>
        <w:rPr>
          <w:i/>
        </w:rPr>
        <w:t>Bước 1: Nhận dạng mô hình.</w:t>
      </w:r>
    </w:p>
    <w:p>
      <w:pPr>
        <w:pStyle w:val="BodyText"/>
        <w:spacing w:line="360" w:lineRule="auto" w:before="149"/>
        <w:ind w:left="882" w:right="890" w:firstLine="719"/>
        <w:jc w:val="both"/>
      </w:pPr>
      <w:r>
        <w:rPr/>
        <w:t>Để sử dụng mô hình ARIMA (p, d, q) trong dự báo cần nhận dạng ba thành phần p, d và q của mô hình. Thành phần d của mô hình được nhận dạng thông qua kiểm định tính dừng của chuỗi thời gian. Nếu chuỗi thời gian dừng ở bậc 0 ta ký hiệu I (d=0), nếu sai phân bậc 1 của chuỗi dừng ta ký hiệu I (d=1), nếu sai phân bậc 2 của chuỗi dừng ta ký hiệu I (d=2). Để kiểm định tính dừng của chuỗi sử dụng kiểm định nghiệm đơn vị Dickey–Fuller cải biên (ADF) và kiểm định Phillips-Perron (D. Dickey and W. Fuller, 1979):   ∆Yt = β0+ β1t + πYt−1 +   </w:t>
      </w:r>
      <w:r>
        <w:rPr>
          <w:spacing w:val="3"/>
          <w:position w:val="-6"/>
        </w:rPr>
        <w:drawing>
          <wp:inline distT="0" distB="0" distL="0" distR="0">
            <wp:extent cx="1104900" cy="171969"/>
            <wp:effectExtent l="0" t="0" r="0" b="0"/>
            <wp:docPr id="13" name="image17.png"/>
            <wp:cNvGraphicFramePr>
              <a:graphicFrameLocks noChangeAspect="1"/>
            </wp:cNvGraphicFramePr>
            <a:graphic>
              <a:graphicData uri="http://schemas.openxmlformats.org/drawingml/2006/picture">
                <pic:pic>
                  <pic:nvPicPr>
                    <pic:cNvPr id="14" name="image17.png"/>
                    <pic:cNvPicPr/>
                  </pic:nvPicPr>
                  <pic:blipFill>
                    <a:blip r:embed="rId26" cstate="print"/>
                    <a:stretch>
                      <a:fillRect/>
                    </a:stretch>
                  </pic:blipFill>
                  <pic:spPr>
                    <a:xfrm>
                      <a:off x="0" y="0"/>
                      <a:ext cx="1104900" cy="171969"/>
                    </a:xfrm>
                    <a:prstGeom prst="rect">
                      <a:avLst/>
                    </a:prstGeom>
                  </pic:spPr>
                </pic:pic>
              </a:graphicData>
            </a:graphic>
          </wp:inline>
        </w:drawing>
      </w:r>
      <w:r>
        <w:rPr>
          <w:spacing w:val="3"/>
          <w:position w:val="-6"/>
        </w:rPr>
      </w:r>
      <w:r>
        <w:rPr/>
        <w:t>. Kiểm định giả thuyết H0 với π = 0, H1 với π&lt;0 và sử dụng thống kê student (ký hiệu t). Sau khi kiểm định tính dừng, ta sẽ xác định bậc của quy trình tự hồi quy (AR) và quy trình trung bình trượt (MA) thông qua biểu đồ tự tương quan (ACF) và biểu đồ tự tương quan riêng phần (PACF). Theo G. Box and Jenkin (1970) thì quy trình tự hồi quy bậc p, ký hiệu AR(p) là:</w:t>
      </w:r>
    </w:p>
    <w:p>
      <w:pPr>
        <w:spacing w:after="0" w:line="360" w:lineRule="auto"/>
        <w:jc w:val="both"/>
        <w:sectPr>
          <w:pgSz w:w="11910" w:h="16850"/>
          <w:pgMar w:header="751" w:footer="0" w:top="960" w:bottom="280" w:left="820" w:right="240"/>
        </w:sectPr>
      </w:pPr>
    </w:p>
    <w:p>
      <w:pPr>
        <w:pStyle w:val="BodyText"/>
        <w:rPr>
          <w:sz w:val="20"/>
        </w:rPr>
      </w:pPr>
    </w:p>
    <w:p>
      <w:pPr>
        <w:pStyle w:val="BodyText"/>
        <w:spacing w:before="7"/>
        <w:rPr>
          <w:sz w:val="23"/>
        </w:rPr>
      </w:pPr>
    </w:p>
    <w:p>
      <w:pPr>
        <w:pStyle w:val="BodyText"/>
        <w:spacing w:before="89"/>
        <w:ind w:left="1602"/>
        <w:jc w:val="both"/>
      </w:pPr>
      <w:r>
        <w:rPr/>
        <w:t>(Yt− δ) = α1(Yt−1 − δ) + α2(Yt−2 − δ) + · · · + αp (Yt−p− δ) + ut.</w:t>
      </w:r>
    </w:p>
    <w:p>
      <w:pPr>
        <w:pStyle w:val="BodyText"/>
        <w:spacing w:line="360" w:lineRule="auto" w:before="150"/>
        <w:ind w:left="882" w:right="893"/>
        <w:jc w:val="both"/>
      </w:pPr>
      <w:r>
        <w:rPr/>
        <w:t>Trong đó: Yt là chuỗi theo thời gian, δ là kỳ vọng của chuỗi Yt, ut là nhiễu trắng (white</w:t>
      </w:r>
      <w:r>
        <w:rPr>
          <w:spacing w:val="-2"/>
        </w:rPr>
        <w:t> </w:t>
      </w:r>
      <w:r>
        <w:rPr/>
        <w:t>noise).</w:t>
      </w:r>
    </w:p>
    <w:p>
      <w:pPr>
        <w:pStyle w:val="BodyText"/>
        <w:spacing w:line="360" w:lineRule="auto"/>
        <w:ind w:left="882" w:right="891" w:firstLine="719"/>
        <w:jc w:val="both"/>
      </w:pPr>
      <w:r>
        <w:rPr/>
        <w:t>Còn theo D. N. Gujarati and D. C. Porter (2009) thì quy trình trung bình trượt bậc q, ký hiệu MA(q) là: Yt= µ + β0ut+ β1ut−1 + β2ut−2 + · · · + βqut−q. Kết hợp ta có mô hình ARIMA (p, q) như</w:t>
      </w:r>
      <w:r>
        <w:rPr>
          <w:spacing w:val="-2"/>
        </w:rPr>
        <w:t> </w:t>
      </w:r>
      <w:r>
        <w:rPr/>
        <w:t>sau:</w:t>
      </w:r>
    </w:p>
    <w:p>
      <w:pPr>
        <w:pStyle w:val="BodyText"/>
        <w:ind w:left="882"/>
        <w:jc w:val="both"/>
      </w:pPr>
      <w:r>
        <w:rPr/>
        <w:t>Yt = </w:t>
      </w:r>
      <w:r>
        <w:rPr>
          <w:rFonts w:ascii="Arial" w:hAnsi="Arial"/>
        </w:rPr>
        <w:t>Ө </w:t>
      </w:r>
      <w:r>
        <w:rPr/>
        <w:t>+ α1Yt−1 + α2Yt−2 + · · · + αpYt−p+ β0ut+ β1ut−1 + β2ut−2 + · · · + βqut−q.</w:t>
      </w:r>
    </w:p>
    <w:p>
      <w:pPr>
        <w:pStyle w:val="BodyText"/>
        <w:spacing w:line="360" w:lineRule="auto" w:before="157"/>
        <w:ind w:left="882" w:right="892" w:firstLine="719"/>
        <w:jc w:val="both"/>
      </w:pPr>
      <w:r>
        <w:rPr/>
        <w:t>Nhận dạng mô hình ARIMA (p, d, q) là tìm các giá trị thích hợp của p, d, q, với d là bậc sai phân của chuỗi thời gian được khảo sát, p là bậc tự hồi qui và q là bậc trung bình trượt. Việc xác định p và q sẽ phụ thuộc vào các đồ thị PACF = f(t) và</w:t>
      </w:r>
      <w:r>
        <w:rPr>
          <w:spacing w:val="19"/>
        </w:rPr>
        <w:t> </w:t>
      </w:r>
      <w:r>
        <w:rPr/>
        <w:t>ACF</w:t>
      </w:r>
    </w:p>
    <w:p>
      <w:pPr>
        <w:pStyle w:val="BodyText"/>
        <w:spacing w:line="298" w:lineRule="exact"/>
        <w:ind w:left="882"/>
        <w:jc w:val="both"/>
      </w:pPr>
      <w:r>
        <w:rPr/>
        <w:t>= f(t).</w:t>
      </w:r>
    </w:p>
    <w:p>
      <w:pPr>
        <w:pStyle w:val="Heading7"/>
        <w:spacing w:before="150"/>
        <w:rPr>
          <w:i/>
        </w:rPr>
      </w:pPr>
      <w:r>
        <w:rPr>
          <w:i/>
        </w:rPr>
        <w:t>Bước 2: Ước lượng các tham số và lựa chọn mô hình</w:t>
      </w:r>
    </w:p>
    <w:p>
      <w:pPr>
        <w:pStyle w:val="BodyText"/>
        <w:spacing w:line="360" w:lineRule="auto" w:before="150"/>
        <w:ind w:left="882" w:right="891" w:firstLine="719"/>
        <w:jc w:val="both"/>
      </w:pPr>
      <w:r>
        <w:rPr/>
        <w:t>Các tham số của mô hình sẽ được ước lượng bằng công cụ “R”. Quá trình lựa chọn mô hình là quá trình thực nghiệm và so sánh các tiêu chí R</w:t>
      </w:r>
      <w:r>
        <w:rPr>
          <w:vertAlign w:val="superscript"/>
        </w:rPr>
        <w:t>2</w:t>
      </w:r>
      <w:r>
        <w:rPr>
          <w:vertAlign w:val="baseline"/>
        </w:rPr>
        <w:t> hiệu chỉnh, AIC và Schwarz cho đến khi ta chọn được mô hình tốt nhất cho việc dự báo.</w:t>
      </w:r>
    </w:p>
    <w:p>
      <w:pPr>
        <w:pStyle w:val="Heading7"/>
        <w:spacing w:line="298" w:lineRule="exact"/>
        <w:rPr>
          <w:i/>
        </w:rPr>
      </w:pPr>
      <w:r>
        <w:rPr>
          <w:i/>
        </w:rPr>
        <w:t>Bước 3: Kiểm định mô hình</w:t>
      </w:r>
    </w:p>
    <w:p>
      <w:pPr>
        <w:pStyle w:val="BodyText"/>
        <w:spacing w:line="360" w:lineRule="auto" w:before="150"/>
        <w:ind w:left="882" w:right="889" w:firstLine="719"/>
        <w:jc w:val="both"/>
      </w:pPr>
      <w:r>
        <w:rPr/>
        <w:t>Để đảm bảo mô hình là phù hợp, sai số của mô hình phải là nhiễu trắng thì có thể sử dụng biểu đồ tự tương quan ACF hoặc kiểm định Breusch-Godfrey kiểm tra  tính tự tương quan của sai số. Đối với phương sai sai số thay đổi thì có thể sử dụng kiểm định White hoặc ARCH. Bên cạnh đó, để đánh giá độ tin cậy của mô hình dự báo, nghiên cứu sử dụng chỉ số MAPE (Mean Absolute Percent Error). Theo C. Lewis (1983) thì MAPE lớn hơn hoặc bằng 50% thì dự báo không chính xác, 20% - 50% là hợp lệ, 10%-20% là dự báo tốt, dưới 10% là dự báo hoàn hảo. Chỉ số MAPE được định nghĩa như</w:t>
      </w:r>
      <w:r>
        <w:rPr>
          <w:spacing w:val="-1"/>
        </w:rPr>
        <w:t> </w:t>
      </w:r>
      <w:r>
        <w:rPr/>
        <w:t>sau:</w:t>
      </w:r>
    </w:p>
    <w:p>
      <w:pPr>
        <w:pStyle w:val="BodyText"/>
        <w:spacing w:before="15"/>
        <w:ind w:left="929" w:right="952"/>
        <w:jc w:val="center"/>
      </w:pPr>
      <w:r>
        <w:rPr/>
        <w:t>MAPE</w:t>
      </w:r>
      <w:r>
        <w:rPr>
          <w:spacing w:val="-4"/>
        </w:rPr>
        <w:t> </w:t>
      </w:r>
      <w:r>
        <w:rPr/>
        <w:t>=  </w:t>
      </w:r>
      <w:r>
        <w:rPr>
          <w:spacing w:val="1"/>
          <w:position w:val="-11"/>
        </w:rPr>
        <w:drawing>
          <wp:inline distT="0" distB="0" distL="0" distR="0">
            <wp:extent cx="1038854" cy="256583"/>
            <wp:effectExtent l="0" t="0" r="0" b="0"/>
            <wp:docPr id="15" name="image18.png"/>
            <wp:cNvGraphicFramePr>
              <a:graphicFrameLocks noChangeAspect="1"/>
            </wp:cNvGraphicFramePr>
            <a:graphic>
              <a:graphicData uri="http://schemas.openxmlformats.org/drawingml/2006/picture">
                <pic:pic>
                  <pic:nvPicPr>
                    <pic:cNvPr id="16" name="image18.png"/>
                    <pic:cNvPicPr/>
                  </pic:nvPicPr>
                  <pic:blipFill>
                    <a:blip r:embed="rId27" cstate="print"/>
                    <a:stretch>
                      <a:fillRect/>
                    </a:stretch>
                  </pic:blipFill>
                  <pic:spPr>
                    <a:xfrm>
                      <a:off x="0" y="0"/>
                      <a:ext cx="1038854" cy="256583"/>
                    </a:xfrm>
                    <a:prstGeom prst="rect">
                      <a:avLst/>
                    </a:prstGeom>
                  </pic:spPr>
                </pic:pic>
              </a:graphicData>
            </a:graphic>
          </wp:inline>
        </w:drawing>
      </w:r>
      <w:r>
        <w:rPr>
          <w:spacing w:val="1"/>
          <w:position w:val="-11"/>
        </w:rPr>
      </w:r>
    </w:p>
    <w:p>
      <w:pPr>
        <w:pStyle w:val="BodyText"/>
        <w:spacing w:before="165"/>
        <w:ind w:left="882"/>
      </w:pPr>
      <w:r>
        <w:rPr/>
        <w:t>Trong đó “xt” là giá trị thật và </w:t>
      </w:r>
      <w:r>
        <w:rPr>
          <w:spacing w:val="1"/>
          <w:position w:val="-2"/>
        </w:rPr>
        <w:drawing>
          <wp:inline distT="0" distB="0" distL="0" distR="0">
            <wp:extent cx="257175" cy="133350"/>
            <wp:effectExtent l="0" t="0" r="0" b="0"/>
            <wp:docPr id="17" name="image19.png"/>
            <wp:cNvGraphicFramePr>
              <a:graphicFrameLocks noChangeAspect="1"/>
            </wp:cNvGraphicFramePr>
            <a:graphic>
              <a:graphicData uri="http://schemas.openxmlformats.org/drawingml/2006/picture">
                <pic:pic>
                  <pic:nvPicPr>
                    <pic:cNvPr id="18" name="image19.png"/>
                    <pic:cNvPicPr/>
                  </pic:nvPicPr>
                  <pic:blipFill>
                    <a:blip r:embed="rId28" cstate="print"/>
                    <a:stretch>
                      <a:fillRect/>
                    </a:stretch>
                  </pic:blipFill>
                  <pic:spPr>
                    <a:xfrm>
                      <a:off x="0" y="0"/>
                      <a:ext cx="257175" cy="133350"/>
                    </a:xfrm>
                    <a:prstGeom prst="rect">
                      <a:avLst/>
                    </a:prstGeom>
                  </pic:spPr>
                </pic:pic>
              </a:graphicData>
            </a:graphic>
          </wp:inline>
        </w:drawing>
      </w:r>
      <w:r>
        <w:rPr>
          <w:spacing w:val="1"/>
          <w:position w:val="-2"/>
        </w:rPr>
      </w:r>
      <w:r>
        <w:rPr>
          <w:spacing w:val="15"/>
        </w:rPr>
        <w:t> </w:t>
      </w:r>
      <w:r>
        <w:rPr/>
        <w:t>giá trị dự báo ở thời điểm t, n là tổng số dự</w:t>
      </w:r>
      <w:r>
        <w:rPr>
          <w:spacing w:val="-16"/>
        </w:rPr>
        <w:t> </w:t>
      </w:r>
      <w:r>
        <w:rPr/>
        <w:t>báo.</w:t>
      </w:r>
    </w:p>
    <w:p>
      <w:pPr>
        <w:pStyle w:val="Heading7"/>
        <w:spacing w:before="155"/>
        <w:jc w:val="left"/>
        <w:rPr>
          <w:i/>
        </w:rPr>
      </w:pPr>
      <w:r>
        <w:rPr>
          <w:i/>
        </w:rPr>
        <w:t>Bước 4: Dự báo</w:t>
      </w:r>
    </w:p>
    <w:p>
      <w:pPr>
        <w:pStyle w:val="BodyText"/>
        <w:spacing w:line="360" w:lineRule="auto" w:before="149"/>
        <w:ind w:left="882" w:right="924" w:firstLine="64"/>
      </w:pPr>
      <w:r>
        <w:rPr/>
        <w:t>Sau khi kiểm định sai số của các mô hình dự báo, nếu phù hợp sẽ được sử dụng vào việc dự báo.</w:t>
      </w:r>
    </w:p>
    <w:p>
      <w:pPr>
        <w:pStyle w:val="BodyText"/>
        <w:spacing w:line="360" w:lineRule="auto" w:before="1"/>
        <w:ind w:left="882" w:right="884" w:firstLine="719"/>
      </w:pPr>
      <w:r>
        <w:rPr/>
        <w:t>Để xây dựng mô hình ARIMA, trước tiên ta phải kiểm định tính dừng của chuỗi sản lượng container thông qua cảng. Kết quả kiểm định Dickey-Fuller (ADF) và</w:t>
      </w:r>
    </w:p>
    <w:p>
      <w:pPr>
        <w:spacing w:after="0" w:line="360" w:lineRule="auto"/>
        <w:sectPr>
          <w:pgSz w:w="11910" w:h="16850"/>
          <w:pgMar w:header="751" w:footer="0" w:top="960" w:bottom="280" w:left="820" w:right="240"/>
        </w:sectPr>
      </w:pPr>
    </w:p>
    <w:p>
      <w:pPr>
        <w:pStyle w:val="BodyText"/>
        <w:rPr>
          <w:sz w:val="20"/>
        </w:rPr>
      </w:pPr>
    </w:p>
    <w:p>
      <w:pPr>
        <w:pStyle w:val="BodyText"/>
        <w:spacing w:before="7"/>
        <w:rPr>
          <w:sz w:val="23"/>
        </w:rPr>
      </w:pPr>
    </w:p>
    <w:p>
      <w:pPr>
        <w:pStyle w:val="BodyText"/>
        <w:spacing w:line="360" w:lineRule="auto" w:before="89"/>
        <w:ind w:left="882" w:right="924"/>
      </w:pPr>
      <w:r>
        <w:rPr/>
        <w:t>Phillips-Perron (PP) cho thấy giá trị /t-stat/ đều bé hơn giá trị tới hạn. Vì vậy, kết luận chuỗi sản lượng container thông qua cảng không dừng. Thể hiện ở hình 4.4</w:t>
      </w:r>
    </w:p>
    <w:p>
      <w:pPr>
        <w:pStyle w:val="BodyText"/>
        <w:rPr>
          <w:sz w:val="20"/>
        </w:rPr>
      </w:pPr>
    </w:p>
    <w:p>
      <w:pPr>
        <w:pStyle w:val="BodyText"/>
        <w:spacing w:before="4"/>
        <w:rPr>
          <w:sz w:val="21"/>
        </w:rPr>
      </w:pPr>
      <w:r>
        <w:rPr/>
        <w:drawing>
          <wp:anchor distT="0" distB="0" distL="0" distR="0" allowOverlap="1" layoutInCell="1" locked="0" behindDoc="0" simplePos="0" relativeHeight="126">
            <wp:simplePos x="0" y="0"/>
            <wp:positionH relativeFrom="page">
              <wp:posOffset>1515764</wp:posOffset>
            </wp:positionH>
            <wp:positionV relativeFrom="paragraph">
              <wp:posOffset>180908</wp:posOffset>
            </wp:positionV>
            <wp:extent cx="4664978" cy="2593752"/>
            <wp:effectExtent l="0" t="0" r="0" b="0"/>
            <wp:wrapTopAndBottom/>
            <wp:docPr id="19" name="image20.png" descr="Diagram, schematic  Description automatically generated"/>
            <wp:cNvGraphicFramePr>
              <a:graphicFrameLocks noChangeAspect="1"/>
            </wp:cNvGraphicFramePr>
            <a:graphic>
              <a:graphicData uri="http://schemas.openxmlformats.org/drawingml/2006/picture">
                <pic:pic>
                  <pic:nvPicPr>
                    <pic:cNvPr id="20" name="image20.png"/>
                    <pic:cNvPicPr/>
                  </pic:nvPicPr>
                  <pic:blipFill>
                    <a:blip r:embed="rId29" cstate="print"/>
                    <a:stretch>
                      <a:fillRect/>
                    </a:stretch>
                  </pic:blipFill>
                  <pic:spPr>
                    <a:xfrm>
                      <a:off x="0" y="0"/>
                      <a:ext cx="4664978" cy="2593752"/>
                    </a:xfrm>
                    <a:prstGeom prst="rect">
                      <a:avLst/>
                    </a:prstGeom>
                  </pic:spPr>
                </pic:pic>
              </a:graphicData>
            </a:graphic>
          </wp:anchor>
        </w:drawing>
      </w:r>
    </w:p>
    <w:p>
      <w:pPr>
        <w:pStyle w:val="BodyText"/>
        <w:spacing w:before="5"/>
        <w:rPr>
          <w:sz w:val="39"/>
        </w:rPr>
      </w:pPr>
    </w:p>
    <w:p>
      <w:pPr>
        <w:pStyle w:val="Heading6"/>
        <w:ind w:left="2331"/>
      </w:pPr>
      <w:r>
        <w:rPr/>
        <w:t>Hình 4.4 Đồ thị sản lượng container thông qua các cảng</w:t>
      </w:r>
    </w:p>
    <w:p>
      <w:pPr>
        <w:pStyle w:val="BodyText"/>
        <w:spacing w:line="360" w:lineRule="auto" w:before="150"/>
        <w:ind w:left="882" w:right="888" w:firstLine="719"/>
        <w:jc w:val="both"/>
      </w:pPr>
      <w:r>
        <w:rPr/>
        <w:t>Vì chuỗi sản lượng container thông qua cảng không dừng tại sai phân bậc 0 nên phải lấy sai phân bậc 1 để kiểm định tính dừng và kết quả chuỗi vẫn không dừng. Tiếp tục lấy sai phân bậc 2 thì chuỗi sản lượng container thông qua cảng đã dừng thể hiện ở hình 4.5. Kết quả kiểm định ADF và PP được thể hiện ở Bảng 4.2 sau khi chuỗi đã dừng. Và kết quả kiểm định tính dừng thể hiện với đồ thị ACF hình 4.6 và PACF hình</w:t>
      </w:r>
    </w:p>
    <w:p>
      <w:pPr>
        <w:pStyle w:val="BodyText"/>
        <w:spacing w:line="357" w:lineRule="auto" w:before="2"/>
        <w:ind w:left="882" w:right="892"/>
        <w:jc w:val="both"/>
      </w:pPr>
      <w:r>
        <w:rPr/>
        <w:pict>
          <v:group style="position:absolute;margin-left:143.449997pt;margin-top:33.166733pt;width:337.55pt;height:218.4pt;mso-position-horizontal-relative:page;mso-position-vertical-relative:paragraph;z-index:15794176" coordorigin="2869,663" coordsize="6751,4368" alt="Diagram, schematic  Description automatically generated">
            <v:shape style="position:absolute;left:4479;top:3299;width:3537;height:288" type="#_x0000_t202" filled="false" stroked="false">
              <v:textbox inset="0,0,0,0">
                <w:txbxContent>
                  <w:p>
                    <w:pPr>
                      <w:spacing w:line="287" w:lineRule="exact" w:before="0"/>
                      <w:ind w:left="0" w:right="0" w:firstLine="0"/>
                      <w:jc w:val="left"/>
                      <w:rPr>
                        <w:b/>
                        <w:sz w:val="26"/>
                      </w:rPr>
                    </w:pPr>
                    <w:r>
                      <w:rPr>
                        <w:b/>
                        <w:sz w:val="26"/>
                      </w:rPr>
                      <w:t>Hình 04. Biểu đồ ACF của TEU</w:t>
                    </w:r>
                  </w:p>
                </w:txbxContent>
              </v:textbox>
              <w10:wrap type="none"/>
            </v:shape>
            <v:shape style="position:absolute;left:2869;top:663;width:6751;height:4368" type="#_x0000_t75" alt="Diagram, schematic  Description automatically generated" stroked="false">
              <v:imagedata r:id="rId30" o:title=""/>
            </v:shape>
            <w10:wrap type="none"/>
          </v:group>
        </w:pict>
      </w:r>
      <w:r>
        <w:rPr/>
        <w:t>4.7 cho thấy chuỗi đã dừng và có mức ý nghĩa P&lt;0.05, có nghĩa là đạt độ tin cậy để dự báo</w:t>
      </w: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spacing w:before="8"/>
        <w:rPr>
          <w:sz w:val="16"/>
        </w:rPr>
      </w:pPr>
    </w:p>
    <w:p>
      <w:pPr>
        <w:pStyle w:val="Heading6"/>
        <w:spacing w:before="88"/>
        <w:ind w:left="941" w:right="952"/>
        <w:jc w:val="center"/>
      </w:pPr>
      <w:r>
        <w:rPr/>
        <w:t>Hình 4.5 Đồ thị sai phân bậc 2</w:t>
      </w:r>
    </w:p>
    <w:p>
      <w:pPr>
        <w:spacing w:after="0"/>
        <w:jc w:val="center"/>
        <w:sectPr>
          <w:pgSz w:w="11910" w:h="16850"/>
          <w:pgMar w:header="751" w:footer="0" w:top="960" w:bottom="280" w:left="820" w:right="240"/>
        </w:sectPr>
      </w:pPr>
    </w:p>
    <w:p>
      <w:pPr>
        <w:pStyle w:val="BodyText"/>
        <w:spacing w:before="9"/>
        <w:rPr>
          <w:b/>
          <w:sz w:val="29"/>
        </w:rPr>
      </w:pPr>
    </w:p>
    <w:p>
      <w:pPr>
        <w:pStyle w:val="BodyText"/>
        <w:ind w:left="1507"/>
        <w:rPr>
          <w:sz w:val="20"/>
        </w:rPr>
      </w:pPr>
      <w:r>
        <w:rPr>
          <w:sz w:val="20"/>
        </w:rPr>
        <w:pict>
          <v:group style="width:374.95pt;height:200.95pt;mso-position-horizontal-relative:char;mso-position-vertical-relative:line" coordorigin="0,0" coordsize="7499,4019" alt="Graphical user interface, application, Excel  Description automatically generated">
            <v:shape style="position:absolute;left:1802;top:856;width:4237;height:288" type="#_x0000_t202" filled="false" stroked="false">
              <v:textbox inset="0,0,0,0">
                <w:txbxContent>
                  <w:p>
                    <w:pPr>
                      <w:spacing w:line="287" w:lineRule="exact" w:before="0"/>
                      <w:ind w:left="0" w:right="0" w:firstLine="0"/>
                      <w:jc w:val="left"/>
                      <w:rPr>
                        <w:b/>
                        <w:sz w:val="26"/>
                      </w:rPr>
                    </w:pPr>
                    <w:r>
                      <w:rPr>
                        <w:b/>
                        <w:sz w:val="26"/>
                      </w:rPr>
                      <w:t>Hình 05. Biểu đồ PACF của biến TEU</w:t>
                    </w:r>
                  </w:p>
                </w:txbxContent>
              </v:textbox>
              <w10:wrap type="none"/>
            </v:shape>
            <v:shape style="position:absolute;left:0;top:0;width:7499;height:4019" type="#_x0000_t75" alt="Graphical user interface, application, Excel  Description automatically generated" stroked="false">
              <v:imagedata r:id="rId31" o:title=""/>
            </v:shape>
          </v:group>
        </w:pict>
      </w:r>
      <w:r>
        <w:rPr>
          <w:sz w:val="20"/>
        </w:rPr>
      </w:r>
    </w:p>
    <w:p>
      <w:pPr>
        <w:spacing w:before="104"/>
        <w:ind w:left="941" w:right="952" w:firstLine="0"/>
        <w:jc w:val="center"/>
        <w:rPr>
          <w:b/>
          <w:sz w:val="26"/>
        </w:rPr>
      </w:pPr>
      <w:r>
        <w:rPr>
          <w:b/>
          <w:sz w:val="26"/>
        </w:rPr>
        <w:t>Hình 4.6 Biểu đồ tương quan ACF</w:t>
      </w:r>
    </w:p>
    <w:p>
      <w:pPr>
        <w:pStyle w:val="BodyText"/>
        <w:rPr>
          <w:b/>
          <w:sz w:val="20"/>
        </w:rPr>
      </w:pPr>
    </w:p>
    <w:p>
      <w:pPr>
        <w:pStyle w:val="BodyText"/>
        <w:spacing w:before="6"/>
        <w:rPr>
          <w:b/>
          <w:sz w:val="16"/>
        </w:rPr>
      </w:pPr>
      <w:r>
        <w:rPr/>
        <w:drawing>
          <wp:anchor distT="0" distB="0" distL="0" distR="0" allowOverlap="1" layoutInCell="1" locked="0" behindDoc="0" simplePos="0" relativeHeight="131">
            <wp:simplePos x="0" y="0"/>
            <wp:positionH relativeFrom="page">
              <wp:posOffset>1468673</wp:posOffset>
            </wp:positionH>
            <wp:positionV relativeFrom="paragraph">
              <wp:posOffset>145955</wp:posOffset>
            </wp:positionV>
            <wp:extent cx="4693496" cy="2422969"/>
            <wp:effectExtent l="0" t="0" r="0" b="0"/>
            <wp:wrapTopAndBottom/>
            <wp:docPr id="21" name="image23.png" descr="Graphical user interface, box and whisker chart  Description automatically generated"/>
            <wp:cNvGraphicFramePr>
              <a:graphicFrameLocks noChangeAspect="1"/>
            </wp:cNvGraphicFramePr>
            <a:graphic>
              <a:graphicData uri="http://schemas.openxmlformats.org/drawingml/2006/picture">
                <pic:pic>
                  <pic:nvPicPr>
                    <pic:cNvPr id="22" name="image23.png"/>
                    <pic:cNvPicPr/>
                  </pic:nvPicPr>
                  <pic:blipFill>
                    <a:blip r:embed="rId32" cstate="print"/>
                    <a:stretch>
                      <a:fillRect/>
                    </a:stretch>
                  </pic:blipFill>
                  <pic:spPr>
                    <a:xfrm>
                      <a:off x="0" y="0"/>
                      <a:ext cx="4693496" cy="2422969"/>
                    </a:xfrm>
                    <a:prstGeom prst="rect">
                      <a:avLst/>
                    </a:prstGeom>
                  </pic:spPr>
                </pic:pic>
              </a:graphicData>
            </a:graphic>
          </wp:anchor>
        </w:drawing>
      </w:r>
    </w:p>
    <w:p>
      <w:pPr>
        <w:spacing w:before="180"/>
        <w:ind w:left="941" w:right="952" w:firstLine="0"/>
        <w:jc w:val="center"/>
        <w:rPr>
          <w:b/>
          <w:sz w:val="26"/>
        </w:rPr>
      </w:pPr>
      <w:r>
        <w:rPr>
          <w:b/>
          <w:sz w:val="26"/>
        </w:rPr>
        <w:t>Hình 4.7 Biểu đồ tương quan PACF</w:t>
      </w:r>
    </w:p>
    <w:p>
      <w:pPr>
        <w:pStyle w:val="BodyText"/>
        <w:spacing w:before="2"/>
        <w:rPr>
          <w:b/>
        </w:rPr>
      </w:pPr>
    </w:p>
    <w:p>
      <w:pPr>
        <w:spacing w:before="1"/>
        <w:ind w:left="940" w:right="952" w:firstLine="0"/>
        <w:jc w:val="center"/>
        <w:rPr>
          <w:b/>
          <w:sz w:val="26"/>
        </w:rPr>
      </w:pPr>
      <w:r>
        <w:rPr>
          <w:b/>
          <w:sz w:val="26"/>
        </w:rPr>
        <w:t>Bảng 4.2 Kết quả kiểm định tính dừng của các chuỗi dữ liệu</w:t>
      </w:r>
    </w:p>
    <w:p>
      <w:pPr>
        <w:pStyle w:val="BodyText"/>
        <w:spacing w:before="9"/>
        <w:rPr>
          <w:b/>
          <w:sz w:val="12"/>
        </w:rPr>
      </w:pPr>
    </w:p>
    <w:tbl>
      <w:tblPr>
        <w:tblW w:w="0" w:type="auto"/>
        <w:jc w:val="left"/>
        <w:tblInd w:w="172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2878"/>
        <w:gridCol w:w="2235"/>
        <w:gridCol w:w="2290"/>
      </w:tblGrid>
      <w:tr>
        <w:trPr>
          <w:trHeight w:val="448" w:hRule="atLeast"/>
        </w:trPr>
        <w:tc>
          <w:tcPr>
            <w:tcW w:w="2878" w:type="dxa"/>
          </w:tcPr>
          <w:p>
            <w:pPr>
              <w:pStyle w:val="TableParagraph"/>
              <w:spacing w:before="2"/>
              <w:ind w:left="121" w:right="114"/>
              <w:jc w:val="center"/>
              <w:rPr>
                <w:sz w:val="26"/>
              </w:rPr>
            </w:pPr>
            <w:r>
              <w:rPr>
                <w:sz w:val="26"/>
              </w:rPr>
              <w:t>Biến</w:t>
            </w:r>
          </w:p>
        </w:tc>
        <w:tc>
          <w:tcPr>
            <w:tcW w:w="2235" w:type="dxa"/>
          </w:tcPr>
          <w:p>
            <w:pPr>
              <w:pStyle w:val="TableParagraph"/>
              <w:spacing w:before="2"/>
              <w:ind w:left="466" w:right="462"/>
              <w:jc w:val="center"/>
              <w:rPr>
                <w:sz w:val="26"/>
              </w:rPr>
            </w:pPr>
            <w:r>
              <w:rPr>
                <w:sz w:val="26"/>
              </w:rPr>
              <w:t>Giá trị ADF</w:t>
            </w:r>
          </w:p>
        </w:tc>
        <w:tc>
          <w:tcPr>
            <w:tcW w:w="2290" w:type="dxa"/>
          </w:tcPr>
          <w:p>
            <w:pPr>
              <w:pStyle w:val="TableParagraph"/>
              <w:spacing w:before="2"/>
              <w:ind w:left="698" w:right="694"/>
              <w:jc w:val="center"/>
              <w:rPr>
                <w:sz w:val="26"/>
              </w:rPr>
            </w:pPr>
            <w:r>
              <w:rPr>
                <w:sz w:val="26"/>
              </w:rPr>
              <w:t>P-value</w:t>
            </w:r>
          </w:p>
        </w:tc>
      </w:tr>
      <w:tr>
        <w:trPr>
          <w:trHeight w:val="297" w:hRule="atLeast"/>
        </w:trPr>
        <w:tc>
          <w:tcPr>
            <w:tcW w:w="2878" w:type="dxa"/>
          </w:tcPr>
          <w:p>
            <w:pPr>
              <w:pStyle w:val="TableParagraph"/>
              <w:spacing w:line="277" w:lineRule="exact"/>
              <w:ind w:left="117" w:right="114"/>
              <w:jc w:val="center"/>
              <w:rPr>
                <w:sz w:val="26"/>
              </w:rPr>
            </w:pPr>
            <w:r>
              <w:rPr>
                <w:sz w:val="26"/>
              </w:rPr>
              <w:t>TEU of Northen</w:t>
            </w:r>
          </w:p>
        </w:tc>
        <w:tc>
          <w:tcPr>
            <w:tcW w:w="2235" w:type="dxa"/>
          </w:tcPr>
          <w:p>
            <w:pPr>
              <w:pStyle w:val="TableParagraph"/>
              <w:spacing w:line="277" w:lineRule="exact"/>
              <w:ind w:left="466" w:right="462"/>
              <w:jc w:val="center"/>
              <w:rPr>
                <w:sz w:val="26"/>
              </w:rPr>
            </w:pPr>
            <w:r>
              <w:rPr>
                <w:sz w:val="26"/>
              </w:rPr>
              <w:t>-2.8592</w:t>
            </w:r>
          </w:p>
        </w:tc>
        <w:tc>
          <w:tcPr>
            <w:tcW w:w="2290" w:type="dxa"/>
          </w:tcPr>
          <w:p>
            <w:pPr>
              <w:pStyle w:val="TableParagraph"/>
              <w:spacing w:line="277" w:lineRule="exact"/>
              <w:ind w:left="698" w:right="696"/>
              <w:jc w:val="center"/>
              <w:rPr>
                <w:sz w:val="26"/>
              </w:rPr>
            </w:pPr>
            <w:r>
              <w:rPr>
                <w:sz w:val="26"/>
              </w:rPr>
              <w:t>0.2451</w:t>
            </w:r>
          </w:p>
        </w:tc>
      </w:tr>
      <w:tr>
        <w:trPr>
          <w:trHeight w:val="299" w:hRule="atLeast"/>
        </w:trPr>
        <w:tc>
          <w:tcPr>
            <w:tcW w:w="2878" w:type="dxa"/>
          </w:tcPr>
          <w:p>
            <w:pPr>
              <w:pStyle w:val="TableParagraph"/>
              <w:spacing w:line="278" w:lineRule="exact" w:before="2"/>
              <w:ind w:left="117" w:right="114"/>
              <w:jc w:val="center"/>
              <w:rPr>
                <w:sz w:val="26"/>
              </w:rPr>
            </w:pPr>
            <w:r>
              <w:rPr>
                <w:sz w:val="26"/>
              </w:rPr>
              <w:t>D(TEU) of Northen</w:t>
            </w:r>
          </w:p>
        </w:tc>
        <w:tc>
          <w:tcPr>
            <w:tcW w:w="2235" w:type="dxa"/>
          </w:tcPr>
          <w:p>
            <w:pPr>
              <w:pStyle w:val="TableParagraph"/>
              <w:spacing w:line="278" w:lineRule="exact" w:before="2"/>
              <w:ind w:left="466" w:right="462"/>
              <w:jc w:val="center"/>
              <w:rPr>
                <w:sz w:val="26"/>
              </w:rPr>
            </w:pPr>
            <w:r>
              <w:rPr>
                <w:sz w:val="26"/>
              </w:rPr>
              <w:t>-3.5946</w:t>
            </w:r>
          </w:p>
        </w:tc>
        <w:tc>
          <w:tcPr>
            <w:tcW w:w="2290" w:type="dxa"/>
          </w:tcPr>
          <w:p>
            <w:pPr>
              <w:pStyle w:val="TableParagraph"/>
              <w:spacing w:line="278" w:lineRule="exact" w:before="2"/>
              <w:ind w:left="698" w:right="696"/>
              <w:jc w:val="center"/>
              <w:rPr>
                <w:sz w:val="26"/>
              </w:rPr>
            </w:pPr>
            <w:r>
              <w:rPr>
                <w:sz w:val="26"/>
              </w:rPr>
              <w:t>0.05075</w:t>
            </w:r>
          </w:p>
        </w:tc>
      </w:tr>
      <w:tr>
        <w:trPr>
          <w:trHeight w:val="300" w:hRule="atLeast"/>
        </w:trPr>
        <w:tc>
          <w:tcPr>
            <w:tcW w:w="2878" w:type="dxa"/>
          </w:tcPr>
          <w:p>
            <w:pPr>
              <w:pStyle w:val="TableParagraph"/>
              <w:spacing w:line="278" w:lineRule="exact" w:before="2"/>
              <w:ind w:left="120" w:right="114"/>
              <w:jc w:val="center"/>
              <w:rPr>
                <w:sz w:val="26"/>
              </w:rPr>
            </w:pPr>
            <w:r>
              <w:rPr>
                <w:sz w:val="26"/>
              </w:rPr>
              <w:t>D(D(TEU)) of Northen</w:t>
            </w:r>
          </w:p>
        </w:tc>
        <w:tc>
          <w:tcPr>
            <w:tcW w:w="2235" w:type="dxa"/>
          </w:tcPr>
          <w:p>
            <w:pPr>
              <w:pStyle w:val="TableParagraph"/>
              <w:spacing w:line="278" w:lineRule="exact" w:before="2"/>
              <w:ind w:left="466" w:right="462"/>
              <w:jc w:val="center"/>
              <w:rPr>
                <w:sz w:val="26"/>
              </w:rPr>
            </w:pPr>
            <w:r>
              <w:rPr>
                <w:sz w:val="26"/>
              </w:rPr>
              <w:t>-4.6967</w:t>
            </w:r>
          </w:p>
        </w:tc>
        <w:tc>
          <w:tcPr>
            <w:tcW w:w="2290" w:type="dxa"/>
          </w:tcPr>
          <w:p>
            <w:pPr>
              <w:pStyle w:val="TableParagraph"/>
              <w:spacing w:line="278" w:lineRule="exact" w:before="2"/>
              <w:ind w:left="697" w:right="696"/>
              <w:jc w:val="center"/>
              <w:rPr>
                <w:sz w:val="26"/>
              </w:rPr>
            </w:pPr>
            <w:r>
              <w:rPr>
                <w:sz w:val="26"/>
              </w:rPr>
              <w:t>&lt;=0.01</w:t>
            </w:r>
          </w:p>
        </w:tc>
      </w:tr>
      <w:tr>
        <w:trPr>
          <w:trHeight w:val="299" w:hRule="atLeast"/>
        </w:trPr>
        <w:tc>
          <w:tcPr>
            <w:tcW w:w="2878" w:type="dxa"/>
          </w:tcPr>
          <w:p>
            <w:pPr>
              <w:pStyle w:val="TableParagraph"/>
              <w:spacing w:line="278" w:lineRule="exact" w:before="2"/>
              <w:ind w:left="117" w:right="114"/>
              <w:jc w:val="center"/>
              <w:rPr>
                <w:sz w:val="26"/>
              </w:rPr>
            </w:pPr>
            <w:r>
              <w:rPr>
                <w:sz w:val="26"/>
              </w:rPr>
              <w:t>TEU of Central</w:t>
            </w:r>
          </w:p>
        </w:tc>
        <w:tc>
          <w:tcPr>
            <w:tcW w:w="2235" w:type="dxa"/>
          </w:tcPr>
          <w:p>
            <w:pPr>
              <w:pStyle w:val="TableParagraph"/>
              <w:spacing w:line="278" w:lineRule="exact" w:before="2"/>
              <w:ind w:left="466" w:right="462"/>
              <w:jc w:val="center"/>
              <w:rPr>
                <w:sz w:val="26"/>
              </w:rPr>
            </w:pPr>
            <w:r>
              <w:rPr>
                <w:sz w:val="26"/>
              </w:rPr>
              <w:t>1.3515</w:t>
            </w:r>
          </w:p>
        </w:tc>
        <w:tc>
          <w:tcPr>
            <w:tcW w:w="2290" w:type="dxa"/>
          </w:tcPr>
          <w:p>
            <w:pPr>
              <w:pStyle w:val="TableParagraph"/>
              <w:spacing w:line="278" w:lineRule="exact" w:before="2"/>
              <w:ind w:left="698" w:right="696"/>
              <w:jc w:val="center"/>
              <w:rPr>
                <w:sz w:val="26"/>
              </w:rPr>
            </w:pPr>
            <w:r>
              <w:rPr>
                <w:sz w:val="26"/>
              </w:rPr>
              <w:t>0.99</w:t>
            </w:r>
          </w:p>
        </w:tc>
      </w:tr>
      <w:tr>
        <w:trPr>
          <w:trHeight w:val="297" w:hRule="atLeast"/>
        </w:trPr>
        <w:tc>
          <w:tcPr>
            <w:tcW w:w="2878" w:type="dxa"/>
          </w:tcPr>
          <w:p>
            <w:pPr>
              <w:pStyle w:val="TableParagraph"/>
              <w:spacing w:line="277" w:lineRule="exact"/>
              <w:ind w:left="117" w:right="114"/>
              <w:jc w:val="center"/>
              <w:rPr>
                <w:sz w:val="26"/>
              </w:rPr>
            </w:pPr>
            <w:r>
              <w:rPr>
                <w:sz w:val="26"/>
              </w:rPr>
              <w:t>D(TEU) of Central</w:t>
            </w:r>
          </w:p>
        </w:tc>
        <w:tc>
          <w:tcPr>
            <w:tcW w:w="2235" w:type="dxa"/>
          </w:tcPr>
          <w:p>
            <w:pPr>
              <w:pStyle w:val="TableParagraph"/>
              <w:spacing w:line="277" w:lineRule="exact"/>
              <w:ind w:left="466" w:right="462"/>
              <w:jc w:val="center"/>
              <w:rPr>
                <w:sz w:val="26"/>
              </w:rPr>
            </w:pPr>
            <w:r>
              <w:rPr>
                <w:sz w:val="26"/>
              </w:rPr>
              <w:t>-2.7717</w:t>
            </w:r>
          </w:p>
        </w:tc>
        <w:tc>
          <w:tcPr>
            <w:tcW w:w="2290" w:type="dxa"/>
          </w:tcPr>
          <w:p>
            <w:pPr>
              <w:pStyle w:val="TableParagraph"/>
              <w:spacing w:line="277" w:lineRule="exact"/>
              <w:ind w:left="698" w:right="696"/>
              <w:jc w:val="center"/>
              <w:rPr>
                <w:sz w:val="26"/>
              </w:rPr>
            </w:pPr>
            <w:r>
              <w:rPr>
                <w:sz w:val="26"/>
              </w:rPr>
              <w:t>0.2784</w:t>
            </w:r>
          </w:p>
        </w:tc>
      </w:tr>
      <w:tr>
        <w:trPr>
          <w:trHeight w:val="299" w:hRule="atLeast"/>
        </w:trPr>
        <w:tc>
          <w:tcPr>
            <w:tcW w:w="2878" w:type="dxa"/>
          </w:tcPr>
          <w:p>
            <w:pPr>
              <w:pStyle w:val="TableParagraph"/>
              <w:spacing w:line="278" w:lineRule="exact" w:before="2"/>
              <w:ind w:left="120" w:right="114"/>
              <w:jc w:val="center"/>
              <w:rPr>
                <w:sz w:val="26"/>
              </w:rPr>
            </w:pPr>
            <w:r>
              <w:rPr>
                <w:sz w:val="26"/>
              </w:rPr>
              <w:t>D(D(TEU)) of Central</w:t>
            </w:r>
          </w:p>
        </w:tc>
        <w:tc>
          <w:tcPr>
            <w:tcW w:w="2235" w:type="dxa"/>
          </w:tcPr>
          <w:p>
            <w:pPr>
              <w:pStyle w:val="TableParagraph"/>
              <w:spacing w:line="278" w:lineRule="exact" w:before="2"/>
              <w:ind w:left="466" w:right="462"/>
              <w:jc w:val="center"/>
              <w:rPr>
                <w:sz w:val="26"/>
              </w:rPr>
            </w:pPr>
            <w:r>
              <w:rPr>
                <w:sz w:val="26"/>
              </w:rPr>
              <w:t>-4.395</w:t>
            </w:r>
          </w:p>
        </w:tc>
        <w:tc>
          <w:tcPr>
            <w:tcW w:w="2290" w:type="dxa"/>
          </w:tcPr>
          <w:p>
            <w:pPr>
              <w:pStyle w:val="TableParagraph"/>
              <w:spacing w:line="278" w:lineRule="exact" w:before="2"/>
              <w:ind w:left="697" w:right="696"/>
              <w:jc w:val="center"/>
              <w:rPr>
                <w:sz w:val="26"/>
              </w:rPr>
            </w:pPr>
            <w:r>
              <w:rPr>
                <w:sz w:val="26"/>
              </w:rPr>
              <w:t>&lt;=0.01</w:t>
            </w:r>
          </w:p>
        </w:tc>
      </w:tr>
      <w:tr>
        <w:trPr>
          <w:trHeight w:val="299" w:hRule="atLeast"/>
        </w:trPr>
        <w:tc>
          <w:tcPr>
            <w:tcW w:w="2878" w:type="dxa"/>
          </w:tcPr>
          <w:p>
            <w:pPr>
              <w:pStyle w:val="TableParagraph"/>
              <w:spacing w:line="278" w:lineRule="exact" w:before="2"/>
              <w:ind w:left="117" w:right="114"/>
              <w:jc w:val="center"/>
              <w:rPr>
                <w:sz w:val="26"/>
              </w:rPr>
            </w:pPr>
            <w:r>
              <w:rPr>
                <w:sz w:val="26"/>
              </w:rPr>
              <w:t>TEU of Southen</w:t>
            </w:r>
          </w:p>
        </w:tc>
        <w:tc>
          <w:tcPr>
            <w:tcW w:w="2235" w:type="dxa"/>
          </w:tcPr>
          <w:p>
            <w:pPr>
              <w:pStyle w:val="TableParagraph"/>
              <w:spacing w:line="278" w:lineRule="exact" w:before="2"/>
              <w:ind w:left="466" w:right="462"/>
              <w:jc w:val="center"/>
              <w:rPr>
                <w:sz w:val="26"/>
              </w:rPr>
            </w:pPr>
            <w:r>
              <w:rPr>
                <w:sz w:val="26"/>
              </w:rPr>
              <w:t>-0.15133</w:t>
            </w:r>
          </w:p>
        </w:tc>
        <w:tc>
          <w:tcPr>
            <w:tcW w:w="2290" w:type="dxa"/>
          </w:tcPr>
          <w:p>
            <w:pPr>
              <w:pStyle w:val="TableParagraph"/>
              <w:spacing w:line="278" w:lineRule="exact" w:before="2"/>
              <w:ind w:left="698" w:right="696"/>
              <w:jc w:val="center"/>
              <w:rPr>
                <w:sz w:val="26"/>
              </w:rPr>
            </w:pPr>
            <w:r>
              <w:rPr>
                <w:sz w:val="26"/>
              </w:rPr>
              <w:t>0.9899</w:t>
            </w:r>
          </w:p>
        </w:tc>
      </w:tr>
      <w:tr>
        <w:trPr>
          <w:trHeight w:val="297" w:hRule="atLeast"/>
        </w:trPr>
        <w:tc>
          <w:tcPr>
            <w:tcW w:w="2878" w:type="dxa"/>
          </w:tcPr>
          <w:p>
            <w:pPr>
              <w:pStyle w:val="TableParagraph"/>
              <w:spacing w:line="277" w:lineRule="exact"/>
              <w:ind w:left="120" w:right="114"/>
              <w:jc w:val="center"/>
              <w:rPr>
                <w:sz w:val="26"/>
              </w:rPr>
            </w:pPr>
            <w:r>
              <w:rPr>
                <w:sz w:val="26"/>
              </w:rPr>
              <w:t>D(TEU) of Southen</w:t>
            </w:r>
          </w:p>
        </w:tc>
        <w:tc>
          <w:tcPr>
            <w:tcW w:w="2235" w:type="dxa"/>
          </w:tcPr>
          <w:p>
            <w:pPr>
              <w:pStyle w:val="TableParagraph"/>
              <w:spacing w:line="277" w:lineRule="exact"/>
              <w:ind w:left="466" w:right="462"/>
              <w:jc w:val="center"/>
              <w:rPr>
                <w:sz w:val="26"/>
              </w:rPr>
            </w:pPr>
            <w:r>
              <w:rPr>
                <w:sz w:val="26"/>
              </w:rPr>
              <w:t>-3.1853</w:t>
            </w:r>
          </w:p>
        </w:tc>
        <w:tc>
          <w:tcPr>
            <w:tcW w:w="2290" w:type="dxa"/>
          </w:tcPr>
          <w:p>
            <w:pPr>
              <w:pStyle w:val="TableParagraph"/>
              <w:spacing w:line="277" w:lineRule="exact"/>
              <w:ind w:left="698" w:right="696"/>
              <w:jc w:val="center"/>
              <w:rPr>
                <w:sz w:val="26"/>
              </w:rPr>
            </w:pPr>
            <w:r>
              <w:rPr>
                <w:sz w:val="26"/>
              </w:rPr>
              <w:t>0.1208</w:t>
            </w:r>
          </w:p>
        </w:tc>
      </w:tr>
      <w:tr>
        <w:trPr>
          <w:trHeight w:val="299" w:hRule="atLeast"/>
        </w:trPr>
        <w:tc>
          <w:tcPr>
            <w:tcW w:w="2878" w:type="dxa"/>
          </w:tcPr>
          <w:p>
            <w:pPr>
              <w:pStyle w:val="TableParagraph"/>
              <w:spacing w:line="278" w:lineRule="exact" w:before="2"/>
              <w:ind w:left="121" w:right="114"/>
              <w:jc w:val="center"/>
              <w:rPr>
                <w:sz w:val="26"/>
              </w:rPr>
            </w:pPr>
            <w:r>
              <w:rPr>
                <w:sz w:val="26"/>
              </w:rPr>
              <w:t>D(D(TEU)) of Southen</w:t>
            </w:r>
          </w:p>
        </w:tc>
        <w:tc>
          <w:tcPr>
            <w:tcW w:w="2235" w:type="dxa"/>
          </w:tcPr>
          <w:p>
            <w:pPr>
              <w:pStyle w:val="TableParagraph"/>
              <w:spacing w:line="278" w:lineRule="exact" w:before="2"/>
              <w:ind w:left="466" w:right="462"/>
              <w:jc w:val="center"/>
              <w:rPr>
                <w:sz w:val="26"/>
              </w:rPr>
            </w:pPr>
            <w:r>
              <w:rPr>
                <w:sz w:val="26"/>
              </w:rPr>
              <w:t>-3.6054</w:t>
            </w:r>
          </w:p>
        </w:tc>
        <w:tc>
          <w:tcPr>
            <w:tcW w:w="2290" w:type="dxa"/>
          </w:tcPr>
          <w:p>
            <w:pPr>
              <w:pStyle w:val="TableParagraph"/>
              <w:spacing w:line="278" w:lineRule="exact" w:before="2"/>
              <w:ind w:left="698" w:right="696"/>
              <w:jc w:val="center"/>
              <w:rPr>
                <w:sz w:val="26"/>
              </w:rPr>
            </w:pPr>
            <w:r>
              <w:rPr>
                <w:sz w:val="26"/>
              </w:rPr>
              <w:t>0.04961</w:t>
            </w:r>
          </w:p>
        </w:tc>
      </w:tr>
      <w:tr>
        <w:trPr>
          <w:trHeight w:val="299" w:hRule="atLeast"/>
        </w:trPr>
        <w:tc>
          <w:tcPr>
            <w:tcW w:w="2878" w:type="dxa"/>
          </w:tcPr>
          <w:p>
            <w:pPr>
              <w:pStyle w:val="TableParagraph"/>
              <w:spacing w:line="278" w:lineRule="exact" w:before="2"/>
              <w:ind w:left="121" w:right="114"/>
              <w:jc w:val="center"/>
              <w:rPr>
                <w:sz w:val="26"/>
              </w:rPr>
            </w:pPr>
            <w:r>
              <w:rPr>
                <w:sz w:val="26"/>
              </w:rPr>
              <w:t>TEU of Viet Nam</w:t>
            </w:r>
          </w:p>
        </w:tc>
        <w:tc>
          <w:tcPr>
            <w:tcW w:w="2235" w:type="dxa"/>
          </w:tcPr>
          <w:p>
            <w:pPr>
              <w:pStyle w:val="TableParagraph"/>
              <w:spacing w:line="278" w:lineRule="exact" w:before="2"/>
              <w:ind w:left="466" w:right="462"/>
              <w:jc w:val="center"/>
              <w:rPr>
                <w:sz w:val="26"/>
              </w:rPr>
            </w:pPr>
            <w:r>
              <w:rPr>
                <w:sz w:val="26"/>
              </w:rPr>
              <w:t>-0.96134</w:t>
            </w:r>
          </w:p>
        </w:tc>
        <w:tc>
          <w:tcPr>
            <w:tcW w:w="2290" w:type="dxa"/>
          </w:tcPr>
          <w:p>
            <w:pPr>
              <w:pStyle w:val="TableParagraph"/>
              <w:spacing w:line="278" w:lineRule="exact" w:before="2"/>
              <w:ind w:left="698" w:right="696"/>
              <w:jc w:val="center"/>
              <w:rPr>
                <w:sz w:val="26"/>
              </w:rPr>
            </w:pPr>
            <w:r>
              <w:rPr>
                <w:sz w:val="26"/>
              </w:rPr>
              <w:t>0.9263</w:t>
            </w:r>
          </w:p>
        </w:tc>
      </w:tr>
      <w:tr>
        <w:trPr>
          <w:trHeight w:val="299" w:hRule="atLeast"/>
        </w:trPr>
        <w:tc>
          <w:tcPr>
            <w:tcW w:w="2878" w:type="dxa"/>
          </w:tcPr>
          <w:p>
            <w:pPr>
              <w:pStyle w:val="TableParagraph"/>
              <w:spacing w:line="278" w:lineRule="exact" w:before="1"/>
              <w:ind w:left="118" w:right="114"/>
              <w:jc w:val="center"/>
              <w:rPr>
                <w:sz w:val="26"/>
              </w:rPr>
            </w:pPr>
            <w:r>
              <w:rPr>
                <w:sz w:val="26"/>
              </w:rPr>
              <w:t>D(TEU) of Viet Nam</w:t>
            </w:r>
          </w:p>
        </w:tc>
        <w:tc>
          <w:tcPr>
            <w:tcW w:w="2235" w:type="dxa"/>
          </w:tcPr>
          <w:p>
            <w:pPr>
              <w:pStyle w:val="TableParagraph"/>
              <w:spacing w:line="278" w:lineRule="exact" w:before="1"/>
              <w:ind w:left="466" w:right="462"/>
              <w:jc w:val="center"/>
              <w:rPr>
                <w:sz w:val="26"/>
              </w:rPr>
            </w:pPr>
            <w:r>
              <w:rPr>
                <w:sz w:val="26"/>
              </w:rPr>
              <w:t>-3.7423</w:t>
            </w:r>
          </w:p>
        </w:tc>
        <w:tc>
          <w:tcPr>
            <w:tcW w:w="2290" w:type="dxa"/>
          </w:tcPr>
          <w:p>
            <w:pPr>
              <w:pStyle w:val="TableParagraph"/>
              <w:spacing w:line="278" w:lineRule="exact" w:before="1"/>
              <w:ind w:left="698" w:right="696"/>
              <w:jc w:val="center"/>
              <w:rPr>
                <w:sz w:val="26"/>
              </w:rPr>
            </w:pPr>
            <w:r>
              <w:rPr>
                <w:sz w:val="26"/>
              </w:rPr>
              <w:t>0.03984</w:t>
            </w:r>
          </w:p>
        </w:tc>
      </w:tr>
      <w:tr>
        <w:trPr>
          <w:trHeight w:val="299" w:hRule="atLeast"/>
        </w:trPr>
        <w:tc>
          <w:tcPr>
            <w:tcW w:w="2878" w:type="dxa"/>
          </w:tcPr>
          <w:p>
            <w:pPr>
              <w:pStyle w:val="TableParagraph"/>
              <w:spacing w:line="280" w:lineRule="exact"/>
              <w:ind w:left="121" w:right="114"/>
              <w:jc w:val="center"/>
              <w:rPr>
                <w:sz w:val="26"/>
              </w:rPr>
            </w:pPr>
            <w:r>
              <w:rPr>
                <w:sz w:val="26"/>
              </w:rPr>
              <w:t>D(D(TEU)) of Viet Nam</w:t>
            </w:r>
          </w:p>
        </w:tc>
        <w:tc>
          <w:tcPr>
            <w:tcW w:w="2235" w:type="dxa"/>
          </w:tcPr>
          <w:p>
            <w:pPr>
              <w:pStyle w:val="TableParagraph"/>
              <w:spacing w:line="280" w:lineRule="exact"/>
              <w:ind w:left="466" w:right="462"/>
              <w:jc w:val="center"/>
              <w:rPr>
                <w:sz w:val="26"/>
              </w:rPr>
            </w:pPr>
            <w:r>
              <w:rPr>
                <w:sz w:val="26"/>
              </w:rPr>
              <w:t>-4.0556</w:t>
            </w:r>
          </w:p>
        </w:tc>
        <w:tc>
          <w:tcPr>
            <w:tcW w:w="2290" w:type="dxa"/>
          </w:tcPr>
          <w:p>
            <w:pPr>
              <w:pStyle w:val="TableParagraph"/>
              <w:spacing w:line="280" w:lineRule="exact"/>
              <w:ind w:left="698" w:right="696"/>
              <w:jc w:val="center"/>
              <w:rPr>
                <w:sz w:val="26"/>
              </w:rPr>
            </w:pPr>
            <w:r>
              <w:rPr>
                <w:sz w:val="26"/>
              </w:rPr>
              <w:t>0.02132</w:t>
            </w:r>
          </w:p>
        </w:tc>
      </w:tr>
    </w:tbl>
    <w:p>
      <w:pPr>
        <w:spacing w:after="0" w:line="280" w:lineRule="exact"/>
        <w:jc w:val="center"/>
        <w:rPr>
          <w:sz w:val="26"/>
        </w:rPr>
        <w:sectPr>
          <w:pgSz w:w="11910" w:h="16850"/>
          <w:pgMar w:header="751" w:footer="0" w:top="960" w:bottom="280" w:left="820" w:right="240"/>
        </w:sectPr>
      </w:pPr>
    </w:p>
    <w:p>
      <w:pPr>
        <w:pStyle w:val="BodyText"/>
        <w:rPr>
          <w:b/>
          <w:sz w:val="20"/>
        </w:rPr>
      </w:pPr>
    </w:p>
    <w:p>
      <w:pPr>
        <w:pStyle w:val="BodyText"/>
        <w:spacing w:before="7"/>
        <w:rPr>
          <w:b/>
          <w:sz w:val="23"/>
        </w:rPr>
      </w:pPr>
    </w:p>
    <w:p>
      <w:pPr>
        <w:pStyle w:val="BodyText"/>
        <w:spacing w:line="360" w:lineRule="auto" w:before="89"/>
        <w:ind w:left="882" w:right="888"/>
        <w:jc w:val="both"/>
      </w:pPr>
      <w:r>
        <w:rPr/>
        <w:t>Để tìm ra mô hình dự báo phù hợp nhất phải dùng phương pháp thực nghiệm bằng cách so sánh các chỉ số R</w:t>
      </w:r>
      <w:r>
        <w:rPr>
          <w:vertAlign w:val="superscript"/>
        </w:rPr>
        <w:t>2</w:t>
      </w:r>
      <w:r>
        <w:rPr>
          <w:vertAlign w:val="baseline"/>
        </w:rPr>
        <w:t> hiệu chỉnh, AIC và Schwarz với chỉ số AIC nhỏ nhất. Kết quả so sánh cho thấy mô hình ARIMA (0,2,1) là mô hình phù hợp nhất đối với bộ dữ liệu thống kê cho dự báo sản lượng container thông qua các cảng container Việt Nam. Kết quả các mô hình được thể hiện trong bảng</w:t>
      </w:r>
      <w:r>
        <w:rPr>
          <w:spacing w:val="-4"/>
          <w:vertAlign w:val="baseline"/>
        </w:rPr>
        <w:t> </w:t>
      </w:r>
      <w:r>
        <w:rPr>
          <w:vertAlign w:val="baseline"/>
        </w:rPr>
        <w:t>4.3.</w:t>
      </w:r>
    </w:p>
    <w:p>
      <w:pPr>
        <w:pStyle w:val="Heading6"/>
        <w:spacing w:line="298" w:lineRule="exact"/>
        <w:ind w:left="1796"/>
      </w:pPr>
      <w:r>
        <w:rPr/>
        <w:t>Bảng 4.3. Kết quả lựa chọn mô hình tốt nhất theo tiêu chuẩn AIC</w:t>
      </w:r>
    </w:p>
    <w:p>
      <w:pPr>
        <w:pStyle w:val="BodyText"/>
        <w:spacing w:before="9"/>
        <w:rPr>
          <w:b/>
          <w:sz w:val="12"/>
        </w:rPr>
      </w:pPr>
    </w:p>
    <w:tbl>
      <w:tblPr>
        <w:tblW w:w="0" w:type="auto"/>
        <w:jc w:val="left"/>
        <w:tblInd w:w="77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1860"/>
        <w:gridCol w:w="1858"/>
        <w:gridCol w:w="1858"/>
        <w:gridCol w:w="1855"/>
        <w:gridCol w:w="1858"/>
      </w:tblGrid>
      <w:tr>
        <w:trPr>
          <w:trHeight w:val="597" w:hRule="atLeast"/>
        </w:trPr>
        <w:tc>
          <w:tcPr>
            <w:tcW w:w="1860" w:type="dxa"/>
          </w:tcPr>
          <w:p>
            <w:pPr>
              <w:pStyle w:val="TableParagraph"/>
              <w:spacing w:before="2"/>
              <w:ind w:left="380" w:right="373"/>
              <w:jc w:val="center"/>
              <w:rPr>
                <w:b/>
                <w:sz w:val="26"/>
              </w:rPr>
            </w:pPr>
            <w:r>
              <w:rPr>
                <w:b/>
                <w:sz w:val="26"/>
              </w:rPr>
              <w:t>Data</w:t>
            </w:r>
          </w:p>
        </w:tc>
        <w:tc>
          <w:tcPr>
            <w:tcW w:w="1858" w:type="dxa"/>
          </w:tcPr>
          <w:p>
            <w:pPr>
              <w:pStyle w:val="TableParagraph"/>
              <w:spacing w:line="298" w:lineRule="exact" w:before="6"/>
              <w:ind w:left="465" w:firstLine="55"/>
              <w:rPr>
                <w:b/>
                <w:sz w:val="26"/>
              </w:rPr>
            </w:pPr>
            <w:r>
              <w:rPr>
                <w:b/>
                <w:sz w:val="26"/>
              </w:rPr>
              <w:t>TEU of </w:t>
            </w:r>
            <w:r>
              <w:rPr>
                <w:b/>
                <w:w w:val="95"/>
                <w:sz w:val="26"/>
              </w:rPr>
              <w:t>Northen</w:t>
            </w:r>
          </w:p>
        </w:tc>
        <w:tc>
          <w:tcPr>
            <w:tcW w:w="1858" w:type="dxa"/>
          </w:tcPr>
          <w:p>
            <w:pPr>
              <w:pStyle w:val="TableParagraph"/>
              <w:spacing w:line="298" w:lineRule="exact" w:before="6"/>
              <w:ind w:left="499" w:right="493" w:firstLine="19"/>
              <w:rPr>
                <w:b/>
                <w:sz w:val="26"/>
              </w:rPr>
            </w:pPr>
            <w:r>
              <w:rPr>
                <w:b/>
                <w:sz w:val="26"/>
              </w:rPr>
              <w:t>TEU of </w:t>
            </w:r>
            <w:r>
              <w:rPr>
                <w:b/>
                <w:w w:val="95"/>
                <w:sz w:val="26"/>
              </w:rPr>
              <w:t>Central</w:t>
            </w:r>
          </w:p>
        </w:tc>
        <w:tc>
          <w:tcPr>
            <w:tcW w:w="1855" w:type="dxa"/>
          </w:tcPr>
          <w:p>
            <w:pPr>
              <w:pStyle w:val="TableParagraph"/>
              <w:spacing w:line="298" w:lineRule="exact" w:before="6"/>
              <w:ind w:left="470" w:firstLine="48"/>
              <w:rPr>
                <w:b/>
                <w:sz w:val="26"/>
              </w:rPr>
            </w:pPr>
            <w:r>
              <w:rPr>
                <w:b/>
                <w:sz w:val="26"/>
              </w:rPr>
              <w:t>TEU of </w:t>
            </w:r>
            <w:r>
              <w:rPr>
                <w:b/>
                <w:w w:val="95"/>
                <w:sz w:val="26"/>
              </w:rPr>
              <w:t>Southen</w:t>
            </w:r>
          </w:p>
        </w:tc>
        <w:tc>
          <w:tcPr>
            <w:tcW w:w="1858" w:type="dxa"/>
          </w:tcPr>
          <w:p>
            <w:pPr>
              <w:pStyle w:val="TableParagraph"/>
              <w:spacing w:line="298" w:lineRule="exact" w:before="6"/>
              <w:ind w:left="660" w:right="228" w:hanging="404"/>
              <w:rPr>
                <w:b/>
                <w:sz w:val="26"/>
              </w:rPr>
            </w:pPr>
            <w:r>
              <w:rPr>
                <w:b/>
                <w:sz w:val="26"/>
              </w:rPr>
              <w:t>TEU of Viet Nam</w:t>
            </w:r>
          </w:p>
        </w:tc>
      </w:tr>
      <w:tr>
        <w:trPr>
          <w:trHeight w:val="595" w:hRule="atLeast"/>
        </w:trPr>
        <w:tc>
          <w:tcPr>
            <w:tcW w:w="1860" w:type="dxa"/>
          </w:tcPr>
          <w:p>
            <w:pPr>
              <w:pStyle w:val="TableParagraph"/>
              <w:spacing w:line="296" w:lineRule="exact"/>
              <w:ind w:left="380" w:right="374"/>
              <w:jc w:val="center"/>
              <w:rPr>
                <w:sz w:val="26"/>
              </w:rPr>
            </w:pPr>
            <w:r>
              <w:rPr>
                <w:sz w:val="26"/>
              </w:rPr>
              <w:t>Model</w:t>
            </w:r>
          </w:p>
        </w:tc>
        <w:tc>
          <w:tcPr>
            <w:tcW w:w="1858" w:type="dxa"/>
          </w:tcPr>
          <w:p>
            <w:pPr>
              <w:pStyle w:val="TableParagraph"/>
              <w:spacing w:line="296" w:lineRule="exact"/>
              <w:ind w:left="91" w:right="82"/>
              <w:jc w:val="center"/>
              <w:rPr>
                <w:sz w:val="26"/>
              </w:rPr>
            </w:pPr>
            <w:r>
              <w:rPr>
                <w:sz w:val="26"/>
              </w:rPr>
              <w:t>ARIMA (0,1,0)</w:t>
            </w:r>
          </w:p>
          <w:p>
            <w:pPr>
              <w:pStyle w:val="TableParagraph"/>
              <w:spacing w:line="278" w:lineRule="exact" w:before="1"/>
              <w:ind w:left="91" w:right="84"/>
              <w:jc w:val="center"/>
              <w:rPr>
                <w:sz w:val="26"/>
              </w:rPr>
            </w:pPr>
            <w:r>
              <w:rPr>
                <w:sz w:val="26"/>
              </w:rPr>
              <w:t>with drift</w:t>
            </w:r>
          </w:p>
        </w:tc>
        <w:tc>
          <w:tcPr>
            <w:tcW w:w="1858" w:type="dxa"/>
          </w:tcPr>
          <w:p>
            <w:pPr>
              <w:pStyle w:val="TableParagraph"/>
              <w:spacing w:line="296" w:lineRule="exact"/>
              <w:ind w:left="87" w:right="87"/>
              <w:jc w:val="center"/>
              <w:rPr>
                <w:sz w:val="26"/>
              </w:rPr>
            </w:pPr>
            <w:r>
              <w:rPr>
                <w:sz w:val="26"/>
              </w:rPr>
              <w:t>ARIMA (0,2,2)</w:t>
            </w:r>
          </w:p>
        </w:tc>
        <w:tc>
          <w:tcPr>
            <w:tcW w:w="1855" w:type="dxa"/>
          </w:tcPr>
          <w:p>
            <w:pPr>
              <w:pStyle w:val="TableParagraph"/>
              <w:spacing w:line="296" w:lineRule="exact"/>
              <w:ind w:left="91" w:right="89"/>
              <w:jc w:val="center"/>
              <w:rPr>
                <w:sz w:val="26"/>
              </w:rPr>
            </w:pPr>
            <w:r>
              <w:rPr>
                <w:sz w:val="26"/>
              </w:rPr>
              <w:t>ARIMA (0,2,1)</w:t>
            </w:r>
          </w:p>
        </w:tc>
        <w:tc>
          <w:tcPr>
            <w:tcW w:w="1858" w:type="dxa"/>
          </w:tcPr>
          <w:p>
            <w:pPr>
              <w:pStyle w:val="TableParagraph"/>
              <w:spacing w:line="296" w:lineRule="exact"/>
              <w:ind w:left="91" w:right="86"/>
              <w:jc w:val="center"/>
              <w:rPr>
                <w:sz w:val="26"/>
              </w:rPr>
            </w:pPr>
            <w:r>
              <w:rPr>
                <w:sz w:val="26"/>
              </w:rPr>
              <w:t>ARIMA (0,2,1)</w:t>
            </w:r>
          </w:p>
        </w:tc>
      </w:tr>
      <w:tr>
        <w:trPr>
          <w:trHeight w:val="597" w:hRule="atLeast"/>
        </w:trPr>
        <w:tc>
          <w:tcPr>
            <w:tcW w:w="1860" w:type="dxa"/>
          </w:tcPr>
          <w:p>
            <w:pPr>
              <w:pStyle w:val="TableParagraph"/>
              <w:spacing w:line="298" w:lineRule="exact"/>
              <w:ind w:left="380" w:right="374"/>
              <w:jc w:val="center"/>
              <w:rPr>
                <w:sz w:val="26"/>
              </w:rPr>
            </w:pPr>
            <w:r>
              <w:rPr>
                <w:sz w:val="26"/>
              </w:rPr>
              <w:t>CLDV</w:t>
            </w:r>
          </w:p>
          <w:p>
            <w:pPr>
              <w:pStyle w:val="TableParagraph"/>
              <w:spacing w:line="278" w:lineRule="exact" w:before="1"/>
              <w:ind w:left="380" w:right="374"/>
              <w:jc w:val="center"/>
              <w:rPr>
                <w:sz w:val="26"/>
              </w:rPr>
            </w:pPr>
            <w:r>
              <w:rPr>
                <w:sz w:val="26"/>
              </w:rPr>
              <w:t>likelihood</w:t>
            </w:r>
          </w:p>
        </w:tc>
        <w:tc>
          <w:tcPr>
            <w:tcW w:w="1858" w:type="dxa"/>
          </w:tcPr>
          <w:p>
            <w:pPr>
              <w:pStyle w:val="TableParagraph"/>
              <w:spacing w:line="298" w:lineRule="exact"/>
              <w:ind w:left="91" w:right="84"/>
              <w:jc w:val="center"/>
              <w:rPr>
                <w:sz w:val="26"/>
              </w:rPr>
            </w:pPr>
            <w:r>
              <w:rPr>
                <w:sz w:val="26"/>
              </w:rPr>
              <w:t>-270.1</w:t>
            </w:r>
          </w:p>
        </w:tc>
        <w:tc>
          <w:tcPr>
            <w:tcW w:w="1858" w:type="dxa"/>
          </w:tcPr>
          <w:p>
            <w:pPr>
              <w:pStyle w:val="TableParagraph"/>
              <w:spacing w:line="298" w:lineRule="exact"/>
              <w:ind w:left="89" w:right="87"/>
              <w:jc w:val="center"/>
              <w:rPr>
                <w:sz w:val="26"/>
              </w:rPr>
            </w:pPr>
            <w:r>
              <w:rPr>
                <w:sz w:val="26"/>
              </w:rPr>
              <w:t>-221.7</w:t>
            </w:r>
          </w:p>
        </w:tc>
        <w:tc>
          <w:tcPr>
            <w:tcW w:w="1855" w:type="dxa"/>
          </w:tcPr>
          <w:p>
            <w:pPr>
              <w:pStyle w:val="TableParagraph"/>
              <w:spacing w:line="298" w:lineRule="exact"/>
              <w:ind w:left="91" w:right="86"/>
              <w:jc w:val="center"/>
              <w:rPr>
                <w:sz w:val="26"/>
              </w:rPr>
            </w:pPr>
            <w:r>
              <w:rPr>
                <w:sz w:val="26"/>
              </w:rPr>
              <w:t>-273.99</w:t>
            </w:r>
          </w:p>
        </w:tc>
        <w:tc>
          <w:tcPr>
            <w:tcW w:w="1858" w:type="dxa"/>
          </w:tcPr>
          <w:p>
            <w:pPr>
              <w:pStyle w:val="TableParagraph"/>
              <w:spacing w:line="298" w:lineRule="exact"/>
              <w:ind w:left="91" w:right="83"/>
              <w:jc w:val="center"/>
              <w:rPr>
                <w:sz w:val="26"/>
              </w:rPr>
            </w:pPr>
            <w:r>
              <w:rPr>
                <w:sz w:val="26"/>
              </w:rPr>
              <w:t>-279.92</w:t>
            </w:r>
          </w:p>
        </w:tc>
      </w:tr>
      <w:tr>
        <w:trPr>
          <w:trHeight w:val="299" w:hRule="atLeast"/>
        </w:trPr>
        <w:tc>
          <w:tcPr>
            <w:tcW w:w="1860" w:type="dxa"/>
          </w:tcPr>
          <w:p>
            <w:pPr>
              <w:pStyle w:val="TableParagraph"/>
              <w:spacing w:line="278" w:lineRule="exact" w:before="2"/>
              <w:ind w:left="380" w:right="373"/>
              <w:jc w:val="center"/>
              <w:rPr>
                <w:sz w:val="26"/>
              </w:rPr>
            </w:pPr>
            <w:r>
              <w:rPr>
                <w:sz w:val="26"/>
              </w:rPr>
              <w:t>AIC</w:t>
            </w:r>
          </w:p>
        </w:tc>
        <w:tc>
          <w:tcPr>
            <w:tcW w:w="1858" w:type="dxa"/>
          </w:tcPr>
          <w:p>
            <w:pPr>
              <w:pStyle w:val="TableParagraph"/>
              <w:spacing w:line="278" w:lineRule="exact" w:before="2"/>
              <w:ind w:left="91" w:right="84"/>
              <w:jc w:val="center"/>
              <w:rPr>
                <w:sz w:val="26"/>
              </w:rPr>
            </w:pPr>
            <w:r>
              <w:rPr>
                <w:sz w:val="26"/>
              </w:rPr>
              <w:t>544.21</w:t>
            </w:r>
          </w:p>
        </w:tc>
        <w:tc>
          <w:tcPr>
            <w:tcW w:w="1858" w:type="dxa"/>
          </w:tcPr>
          <w:p>
            <w:pPr>
              <w:pStyle w:val="TableParagraph"/>
              <w:spacing w:line="278" w:lineRule="exact" w:before="2"/>
              <w:ind w:left="89" w:right="87"/>
              <w:jc w:val="center"/>
              <w:rPr>
                <w:sz w:val="26"/>
              </w:rPr>
            </w:pPr>
            <w:r>
              <w:rPr>
                <w:sz w:val="26"/>
              </w:rPr>
              <w:t>449.4</w:t>
            </w:r>
          </w:p>
        </w:tc>
        <w:tc>
          <w:tcPr>
            <w:tcW w:w="1855" w:type="dxa"/>
          </w:tcPr>
          <w:p>
            <w:pPr>
              <w:pStyle w:val="TableParagraph"/>
              <w:spacing w:line="278" w:lineRule="exact" w:before="2"/>
              <w:ind w:left="91" w:right="86"/>
              <w:jc w:val="center"/>
              <w:rPr>
                <w:sz w:val="26"/>
              </w:rPr>
            </w:pPr>
            <w:r>
              <w:rPr>
                <w:sz w:val="26"/>
              </w:rPr>
              <w:t>551.98</w:t>
            </w:r>
          </w:p>
        </w:tc>
        <w:tc>
          <w:tcPr>
            <w:tcW w:w="1858" w:type="dxa"/>
          </w:tcPr>
          <w:p>
            <w:pPr>
              <w:pStyle w:val="TableParagraph"/>
              <w:spacing w:line="278" w:lineRule="exact" w:before="2"/>
              <w:ind w:left="91" w:right="83"/>
              <w:jc w:val="center"/>
              <w:rPr>
                <w:sz w:val="26"/>
              </w:rPr>
            </w:pPr>
            <w:r>
              <w:rPr>
                <w:sz w:val="26"/>
              </w:rPr>
              <w:t>563.84</w:t>
            </w:r>
          </w:p>
        </w:tc>
      </w:tr>
      <w:tr>
        <w:trPr>
          <w:trHeight w:val="297" w:hRule="atLeast"/>
        </w:trPr>
        <w:tc>
          <w:tcPr>
            <w:tcW w:w="1860" w:type="dxa"/>
          </w:tcPr>
          <w:p>
            <w:pPr>
              <w:pStyle w:val="TableParagraph"/>
              <w:spacing w:line="277" w:lineRule="exact"/>
              <w:ind w:left="380" w:right="373"/>
              <w:jc w:val="center"/>
              <w:rPr>
                <w:sz w:val="26"/>
              </w:rPr>
            </w:pPr>
            <w:r>
              <w:rPr>
                <w:sz w:val="26"/>
              </w:rPr>
              <w:t>AICc</w:t>
            </w:r>
          </w:p>
        </w:tc>
        <w:tc>
          <w:tcPr>
            <w:tcW w:w="1858" w:type="dxa"/>
          </w:tcPr>
          <w:p>
            <w:pPr>
              <w:pStyle w:val="TableParagraph"/>
              <w:spacing w:line="277" w:lineRule="exact"/>
              <w:ind w:left="91" w:right="84"/>
              <w:jc w:val="center"/>
              <w:rPr>
                <w:sz w:val="26"/>
              </w:rPr>
            </w:pPr>
            <w:r>
              <w:rPr>
                <w:sz w:val="26"/>
              </w:rPr>
              <w:t>544.91</w:t>
            </w:r>
          </w:p>
        </w:tc>
        <w:tc>
          <w:tcPr>
            <w:tcW w:w="1858" w:type="dxa"/>
          </w:tcPr>
          <w:p>
            <w:pPr>
              <w:pStyle w:val="TableParagraph"/>
              <w:spacing w:line="277" w:lineRule="exact"/>
              <w:ind w:left="87" w:right="87"/>
              <w:jc w:val="center"/>
              <w:rPr>
                <w:sz w:val="26"/>
              </w:rPr>
            </w:pPr>
            <w:r>
              <w:rPr>
                <w:sz w:val="26"/>
              </w:rPr>
              <w:t>451</w:t>
            </w:r>
          </w:p>
        </w:tc>
        <w:tc>
          <w:tcPr>
            <w:tcW w:w="1855" w:type="dxa"/>
          </w:tcPr>
          <w:p>
            <w:pPr>
              <w:pStyle w:val="TableParagraph"/>
              <w:spacing w:line="277" w:lineRule="exact"/>
              <w:ind w:left="91" w:right="86"/>
              <w:jc w:val="center"/>
              <w:rPr>
                <w:sz w:val="26"/>
              </w:rPr>
            </w:pPr>
            <w:r>
              <w:rPr>
                <w:sz w:val="26"/>
              </w:rPr>
              <w:t>552.73</w:t>
            </w:r>
          </w:p>
        </w:tc>
        <w:tc>
          <w:tcPr>
            <w:tcW w:w="1858" w:type="dxa"/>
          </w:tcPr>
          <w:p>
            <w:pPr>
              <w:pStyle w:val="TableParagraph"/>
              <w:spacing w:line="277" w:lineRule="exact"/>
              <w:ind w:left="91" w:right="83"/>
              <w:jc w:val="center"/>
              <w:rPr>
                <w:sz w:val="26"/>
              </w:rPr>
            </w:pPr>
            <w:r>
              <w:rPr>
                <w:sz w:val="26"/>
              </w:rPr>
              <w:t>564.59</w:t>
            </w:r>
          </w:p>
        </w:tc>
      </w:tr>
      <w:tr>
        <w:trPr>
          <w:trHeight w:val="299" w:hRule="atLeast"/>
        </w:trPr>
        <w:tc>
          <w:tcPr>
            <w:tcW w:w="1860" w:type="dxa"/>
          </w:tcPr>
          <w:p>
            <w:pPr>
              <w:pStyle w:val="TableParagraph"/>
              <w:spacing w:line="278" w:lineRule="exact" w:before="2"/>
              <w:ind w:left="380" w:right="374"/>
              <w:jc w:val="center"/>
              <w:rPr>
                <w:sz w:val="26"/>
              </w:rPr>
            </w:pPr>
            <w:r>
              <w:rPr>
                <w:sz w:val="26"/>
              </w:rPr>
              <w:t>BIC</w:t>
            </w:r>
          </w:p>
        </w:tc>
        <w:tc>
          <w:tcPr>
            <w:tcW w:w="1858" w:type="dxa"/>
          </w:tcPr>
          <w:p>
            <w:pPr>
              <w:pStyle w:val="TableParagraph"/>
              <w:spacing w:line="278" w:lineRule="exact" w:before="2"/>
              <w:ind w:left="91" w:right="84"/>
              <w:jc w:val="center"/>
              <w:rPr>
                <w:sz w:val="26"/>
              </w:rPr>
            </w:pPr>
            <w:r>
              <w:rPr>
                <w:sz w:val="26"/>
              </w:rPr>
              <w:t>546.2</w:t>
            </w:r>
          </w:p>
        </w:tc>
        <w:tc>
          <w:tcPr>
            <w:tcW w:w="1858" w:type="dxa"/>
          </w:tcPr>
          <w:p>
            <w:pPr>
              <w:pStyle w:val="TableParagraph"/>
              <w:spacing w:line="278" w:lineRule="exact" w:before="2"/>
              <w:ind w:left="89" w:right="87"/>
              <w:jc w:val="center"/>
              <w:rPr>
                <w:sz w:val="26"/>
              </w:rPr>
            </w:pPr>
            <w:r>
              <w:rPr>
                <w:sz w:val="26"/>
              </w:rPr>
              <w:t>452.24</w:t>
            </w:r>
          </w:p>
        </w:tc>
        <w:tc>
          <w:tcPr>
            <w:tcW w:w="1855" w:type="dxa"/>
          </w:tcPr>
          <w:p>
            <w:pPr>
              <w:pStyle w:val="TableParagraph"/>
              <w:spacing w:line="278" w:lineRule="exact" w:before="2"/>
              <w:ind w:left="91" w:right="86"/>
              <w:jc w:val="center"/>
              <w:rPr>
                <w:sz w:val="26"/>
              </w:rPr>
            </w:pPr>
            <w:r>
              <w:rPr>
                <w:sz w:val="26"/>
              </w:rPr>
              <w:t>553.87</w:t>
            </w:r>
          </w:p>
        </w:tc>
        <w:tc>
          <w:tcPr>
            <w:tcW w:w="1858" w:type="dxa"/>
          </w:tcPr>
          <w:p>
            <w:pPr>
              <w:pStyle w:val="TableParagraph"/>
              <w:spacing w:line="278" w:lineRule="exact" w:before="2"/>
              <w:ind w:left="91" w:right="83"/>
              <w:jc w:val="center"/>
              <w:rPr>
                <w:sz w:val="26"/>
              </w:rPr>
            </w:pPr>
            <w:r>
              <w:rPr>
                <w:sz w:val="26"/>
              </w:rPr>
              <w:t>565.73</w:t>
            </w:r>
          </w:p>
        </w:tc>
      </w:tr>
      <w:tr>
        <w:trPr>
          <w:trHeight w:val="299" w:hRule="atLeast"/>
        </w:trPr>
        <w:tc>
          <w:tcPr>
            <w:tcW w:w="1860" w:type="dxa"/>
          </w:tcPr>
          <w:p>
            <w:pPr>
              <w:pStyle w:val="TableParagraph"/>
              <w:spacing w:line="278" w:lineRule="exact" w:before="2"/>
              <w:ind w:left="380" w:right="374"/>
              <w:jc w:val="center"/>
              <w:rPr>
                <w:sz w:val="26"/>
              </w:rPr>
            </w:pPr>
            <w:r>
              <w:rPr>
                <w:sz w:val="26"/>
              </w:rPr>
              <w:t>RMSE</w:t>
            </w:r>
          </w:p>
        </w:tc>
        <w:tc>
          <w:tcPr>
            <w:tcW w:w="1858" w:type="dxa"/>
          </w:tcPr>
          <w:p>
            <w:pPr>
              <w:pStyle w:val="TableParagraph"/>
              <w:spacing w:line="278" w:lineRule="exact" w:before="2"/>
              <w:ind w:left="91" w:right="85"/>
              <w:jc w:val="center"/>
              <w:rPr>
                <w:sz w:val="26"/>
              </w:rPr>
            </w:pPr>
            <w:r>
              <w:rPr>
                <w:sz w:val="26"/>
              </w:rPr>
              <w:t>173134.2</w:t>
            </w:r>
          </w:p>
        </w:tc>
        <w:tc>
          <w:tcPr>
            <w:tcW w:w="1858" w:type="dxa"/>
          </w:tcPr>
          <w:p>
            <w:pPr>
              <w:pStyle w:val="TableParagraph"/>
              <w:spacing w:line="278" w:lineRule="exact" w:before="2"/>
              <w:ind w:left="89" w:right="87"/>
              <w:jc w:val="center"/>
              <w:rPr>
                <w:sz w:val="26"/>
              </w:rPr>
            </w:pPr>
            <w:r>
              <w:rPr>
                <w:sz w:val="26"/>
              </w:rPr>
              <w:t>25560.11</w:t>
            </w:r>
          </w:p>
        </w:tc>
        <w:tc>
          <w:tcPr>
            <w:tcW w:w="1855" w:type="dxa"/>
          </w:tcPr>
          <w:p>
            <w:pPr>
              <w:pStyle w:val="TableParagraph"/>
              <w:spacing w:line="278" w:lineRule="exact" w:before="2"/>
              <w:ind w:left="91" w:right="86"/>
              <w:jc w:val="center"/>
              <w:rPr>
                <w:sz w:val="26"/>
              </w:rPr>
            </w:pPr>
            <w:r>
              <w:rPr>
                <w:sz w:val="26"/>
              </w:rPr>
              <w:t>415050.9</w:t>
            </w:r>
          </w:p>
        </w:tc>
        <w:tc>
          <w:tcPr>
            <w:tcW w:w="1858" w:type="dxa"/>
          </w:tcPr>
          <w:p>
            <w:pPr>
              <w:pStyle w:val="TableParagraph"/>
              <w:spacing w:line="278" w:lineRule="exact" w:before="2"/>
              <w:ind w:left="91" w:right="85"/>
              <w:jc w:val="center"/>
              <w:rPr>
                <w:sz w:val="26"/>
              </w:rPr>
            </w:pPr>
            <w:r>
              <w:rPr>
                <w:sz w:val="26"/>
              </w:rPr>
              <w:t>566231</w:t>
            </w:r>
          </w:p>
        </w:tc>
      </w:tr>
      <w:tr>
        <w:trPr>
          <w:trHeight w:val="299" w:hRule="atLeast"/>
        </w:trPr>
        <w:tc>
          <w:tcPr>
            <w:tcW w:w="1860" w:type="dxa"/>
          </w:tcPr>
          <w:p>
            <w:pPr>
              <w:pStyle w:val="TableParagraph"/>
              <w:spacing w:line="278" w:lineRule="exact" w:before="2"/>
              <w:ind w:left="380" w:right="374"/>
              <w:jc w:val="center"/>
              <w:rPr>
                <w:sz w:val="26"/>
              </w:rPr>
            </w:pPr>
            <w:r>
              <w:rPr>
                <w:sz w:val="26"/>
              </w:rPr>
              <w:t>MAE</w:t>
            </w:r>
          </w:p>
        </w:tc>
        <w:tc>
          <w:tcPr>
            <w:tcW w:w="1858" w:type="dxa"/>
          </w:tcPr>
          <w:p>
            <w:pPr>
              <w:pStyle w:val="TableParagraph"/>
              <w:spacing w:line="278" w:lineRule="exact" w:before="2"/>
              <w:ind w:left="91" w:right="85"/>
              <w:jc w:val="center"/>
              <w:rPr>
                <w:sz w:val="26"/>
              </w:rPr>
            </w:pPr>
            <w:r>
              <w:rPr>
                <w:sz w:val="26"/>
              </w:rPr>
              <w:t>122841.8</w:t>
            </w:r>
          </w:p>
        </w:tc>
        <w:tc>
          <w:tcPr>
            <w:tcW w:w="1858" w:type="dxa"/>
          </w:tcPr>
          <w:p>
            <w:pPr>
              <w:pStyle w:val="TableParagraph"/>
              <w:spacing w:line="278" w:lineRule="exact" w:before="2"/>
              <w:ind w:left="89" w:right="87"/>
              <w:jc w:val="center"/>
              <w:rPr>
                <w:sz w:val="26"/>
              </w:rPr>
            </w:pPr>
            <w:r>
              <w:rPr>
                <w:sz w:val="26"/>
              </w:rPr>
              <w:t>18195.32</w:t>
            </w:r>
          </w:p>
        </w:tc>
        <w:tc>
          <w:tcPr>
            <w:tcW w:w="1855" w:type="dxa"/>
          </w:tcPr>
          <w:p>
            <w:pPr>
              <w:pStyle w:val="TableParagraph"/>
              <w:spacing w:line="278" w:lineRule="exact" w:before="2"/>
              <w:ind w:left="91" w:right="86"/>
              <w:jc w:val="center"/>
              <w:rPr>
                <w:sz w:val="26"/>
              </w:rPr>
            </w:pPr>
            <w:r>
              <w:rPr>
                <w:sz w:val="26"/>
              </w:rPr>
              <w:t>304693.2</w:t>
            </w:r>
          </w:p>
        </w:tc>
        <w:tc>
          <w:tcPr>
            <w:tcW w:w="1858" w:type="dxa"/>
          </w:tcPr>
          <w:p>
            <w:pPr>
              <w:pStyle w:val="TableParagraph"/>
              <w:spacing w:line="278" w:lineRule="exact" w:before="2"/>
              <w:ind w:left="91" w:right="83"/>
              <w:jc w:val="center"/>
              <w:rPr>
                <w:sz w:val="26"/>
              </w:rPr>
            </w:pPr>
            <w:r>
              <w:rPr>
                <w:sz w:val="26"/>
              </w:rPr>
              <w:t>364984.3</w:t>
            </w:r>
          </w:p>
        </w:tc>
      </w:tr>
      <w:tr>
        <w:trPr>
          <w:trHeight w:val="297" w:hRule="atLeast"/>
        </w:trPr>
        <w:tc>
          <w:tcPr>
            <w:tcW w:w="1860" w:type="dxa"/>
          </w:tcPr>
          <w:p>
            <w:pPr>
              <w:pStyle w:val="TableParagraph"/>
              <w:spacing w:line="277" w:lineRule="exact"/>
              <w:ind w:left="380" w:right="374"/>
              <w:jc w:val="center"/>
              <w:rPr>
                <w:sz w:val="26"/>
              </w:rPr>
            </w:pPr>
            <w:r>
              <w:rPr>
                <w:sz w:val="26"/>
              </w:rPr>
              <w:t>MPE</w:t>
            </w:r>
          </w:p>
        </w:tc>
        <w:tc>
          <w:tcPr>
            <w:tcW w:w="1858" w:type="dxa"/>
          </w:tcPr>
          <w:p>
            <w:pPr>
              <w:pStyle w:val="TableParagraph"/>
              <w:spacing w:line="277" w:lineRule="exact"/>
              <w:ind w:left="91" w:right="85"/>
              <w:jc w:val="center"/>
              <w:rPr>
                <w:sz w:val="26"/>
              </w:rPr>
            </w:pPr>
            <w:r>
              <w:rPr>
                <w:sz w:val="26"/>
              </w:rPr>
              <w:t>-5.596929</w:t>
            </w:r>
          </w:p>
        </w:tc>
        <w:tc>
          <w:tcPr>
            <w:tcW w:w="1858" w:type="dxa"/>
          </w:tcPr>
          <w:p>
            <w:pPr>
              <w:pStyle w:val="TableParagraph"/>
              <w:spacing w:line="277" w:lineRule="exact"/>
              <w:ind w:left="89" w:right="87"/>
              <w:jc w:val="center"/>
              <w:rPr>
                <w:sz w:val="26"/>
              </w:rPr>
            </w:pPr>
            <w:r>
              <w:rPr>
                <w:sz w:val="26"/>
              </w:rPr>
              <w:t>4.513297</w:t>
            </w:r>
          </w:p>
        </w:tc>
        <w:tc>
          <w:tcPr>
            <w:tcW w:w="1855" w:type="dxa"/>
          </w:tcPr>
          <w:p>
            <w:pPr>
              <w:pStyle w:val="TableParagraph"/>
              <w:spacing w:line="277" w:lineRule="exact"/>
              <w:ind w:left="91" w:right="86"/>
              <w:jc w:val="center"/>
              <w:rPr>
                <w:sz w:val="26"/>
              </w:rPr>
            </w:pPr>
            <w:r>
              <w:rPr>
                <w:sz w:val="26"/>
              </w:rPr>
              <w:t>3.373828</w:t>
            </w:r>
          </w:p>
        </w:tc>
        <w:tc>
          <w:tcPr>
            <w:tcW w:w="1858" w:type="dxa"/>
          </w:tcPr>
          <w:p>
            <w:pPr>
              <w:pStyle w:val="TableParagraph"/>
              <w:spacing w:line="277" w:lineRule="exact"/>
              <w:ind w:left="91" w:right="83"/>
              <w:jc w:val="center"/>
              <w:rPr>
                <w:sz w:val="26"/>
              </w:rPr>
            </w:pPr>
            <w:r>
              <w:rPr>
                <w:sz w:val="26"/>
              </w:rPr>
              <w:t>3.653048</w:t>
            </w:r>
          </w:p>
        </w:tc>
      </w:tr>
      <w:tr>
        <w:trPr>
          <w:trHeight w:val="299" w:hRule="atLeast"/>
        </w:trPr>
        <w:tc>
          <w:tcPr>
            <w:tcW w:w="1860" w:type="dxa"/>
          </w:tcPr>
          <w:p>
            <w:pPr>
              <w:pStyle w:val="TableParagraph"/>
              <w:spacing w:line="278" w:lineRule="exact" w:before="2"/>
              <w:ind w:left="380" w:right="374"/>
              <w:jc w:val="center"/>
              <w:rPr>
                <w:sz w:val="26"/>
              </w:rPr>
            </w:pPr>
            <w:r>
              <w:rPr>
                <w:sz w:val="26"/>
              </w:rPr>
              <w:t>MAPE</w:t>
            </w:r>
          </w:p>
        </w:tc>
        <w:tc>
          <w:tcPr>
            <w:tcW w:w="1858" w:type="dxa"/>
          </w:tcPr>
          <w:p>
            <w:pPr>
              <w:pStyle w:val="TableParagraph"/>
              <w:spacing w:line="278" w:lineRule="exact" w:before="2"/>
              <w:ind w:left="91" w:right="85"/>
              <w:jc w:val="center"/>
              <w:rPr>
                <w:sz w:val="26"/>
              </w:rPr>
            </w:pPr>
            <w:r>
              <w:rPr>
                <w:sz w:val="26"/>
              </w:rPr>
              <w:t>11.18563</w:t>
            </w:r>
          </w:p>
        </w:tc>
        <w:tc>
          <w:tcPr>
            <w:tcW w:w="1858" w:type="dxa"/>
          </w:tcPr>
          <w:p>
            <w:pPr>
              <w:pStyle w:val="TableParagraph"/>
              <w:spacing w:line="278" w:lineRule="exact" w:before="2"/>
              <w:ind w:left="89" w:right="87"/>
              <w:jc w:val="center"/>
              <w:rPr>
                <w:sz w:val="26"/>
              </w:rPr>
            </w:pPr>
            <w:r>
              <w:rPr>
                <w:sz w:val="26"/>
              </w:rPr>
              <w:t>7.631816</w:t>
            </w:r>
          </w:p>
        </w:tc>
        <w:tc>
          <w:tcPr>
            <w:tcW w:w="1855" w:type="dxa"/>
          </w:tcPr>
          <w:p>
            <w:pPr>
              <w:pStyle w:val="TableParagraph"/>
              <w:spacing w:line="278" w:lineRule="exact" w:before="2"/>
              <w:ind w:left="91" w:right="86"/>
              <w:jc w:val="center"/>
              <w:rPr>
                <w:sz w:val="26"/>
              </w:rPr>
            </w:pPr>
            <w:r>
              <w:rPr>
                <w:sz w:val="26"/>
              </w:rPr>
              <w:t>7.980893</w:t>
            </w:r>
          </w:p>
        </w:tc>
        <w:tc>
          <w:tcPr>
            <w:tcW w:w="1858" w:type="dxa"/>
          </w:tcPr>
          <w:p>
            <w:pPr>
              <w:pStyle w:val="TableParagraph"/>
              <w:spacing w:line="278" w:lineRule="exact" w:before="2"/>
              <w:ind w:left="91" w:right="83"/>
              <w:jc w:val="center"/>
              <w:rPr>
                <w:sz w:val="26"/>
              </w:rPr>
            </w:pPr>
            <w:r>
              <w:rPr>
                <w:sz w:val="26"/>
              </w:rPr>
              <w:t>6.282381</w:t>
            </w:r>
          </w:p>
        </w:tc>
      </w:tr>
    </w:tbl>
    <w:p>
      <w:pPr>
        <w:spacing w:line="298" w:lineRule="exact" w:before="2"/>
        <w:ind w:left="882" w:right="0" w:firstLine="0"/>
        <w:jc w:val="left"/>
        <w:rPr>
          <w:i/>
          <w:sz w:val="26"/>
        </w:rPr>
      </w:pPr>
      <w:r>
        <w:rPr>
          <w:i/>
          <w:sz w:val="26"/>
        </w:rPr>
        <w:t>Ghi chú:</w:t>
      </w:r>
    </w:p>
    <w:p>
      <w:pPr>
        <w:pStyle w:val="BodyText"/>
        <w:spacing w:line="298" w:lineRule="exact"/>
        <w:ind w:left="882"/>
      </w:pPr>
      <w:r>
        <w:rPr>
          <w:b/>
        </w:rPr>
        <w:t>Model 1: </w:t>
      </w:r>
      <w:r>
        <w:rPr/>
        <w:t>ARIMA (0,1,0) with drift for TEU of Northen</w:t>
      </w:r>
    </w:p>
    <w:p>
      <w:pPr>
        <w:spacing w:before="1"/>
        <w:ind w:left="882" w:right="4965" w:firstLine="0"/>
        <w:jc w:val="left"/>
        <w:rPr>
          <w:sz w:val="26"/>
        </w:rPr>
      </w:pPr>
      <w:r>
        <w:rPr>
          <w:b/>
          <w:sz w:val="26"/>
        </w:rPr>
        <w:t>Model 2: </w:t>
      </w:r>
      <w:r>
        <w:rPr>
          <w:sz w:val="26"/>
        </w:rPr>
        <w:t>ARIMA (0,2,2) for TEU of Central </w:t>
      </w:r>
      <w:r>
        <w:rPr>
          <w:b/>
          <w:sz w:val="26"/>
        </w:rPr>
        <w:t>Model 3: </w:t>
      </w:r>
      <w:r>
        <w:rPr>
          <w:sz w:val="26"/>
        </w:rPr>
        <w:t>ARIMA (0,2,1) for TEU of Southen </w:t>
      </w:r>
      <w:r>
        <w:rPr>
          <w:b/>
          <w:sz w:val="26"/>
        </w:rPr>
        <w:t>Model 4: </w:t>
      </w:r>
      <w:r>
        <w:rPr>
          <w:sz w:val="26"/>
        </w:rPr>
        <w:t>ARIMA (0,2,1) for TEU of Viet Nam</w:t>
      </w:r>
    </w:p>
    <w:p>
      <w:pPr>
        <w:pStyle w:val="BodyText"/>
        <w:spacing w:before="2"/>
      </w:pPr>
    </w:p>
    <w:p>
      <w:pPr>
        <w:pStyle w:val="Heading6"/>
        <w:ind w:left="940" w:right="952"/>
        <w:jc w:val="center"/>
      </w:pPr>
      <w:r>
        <w:rPr/>
        <w:t>Bảng 4.4 Kết quả ước lượng mô hình ARIMA cho các chuỗi dữ liệu</w:t>
      </w:r>
    </w:p>
    <w:p>
      <w:pPr>
        <w:pStyle w:val="BodyText"/>
        <w:spacing w:before="9" w:after="1"/>
        <w:rPr>
          <w:b/>
          <w:sz w:val="12"/>
        </w:rPr>
      </w:pPr>
    </w:p>
    <w:tbl>
      <w:tblPr>
        <w:tblW w:w="0" w:type="auto"/>
        <w:jc w:val="left"/>
        <w:tblInd w:w="136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1219"/>
        <w:gridCol w:w="2067"/>
        <w:gridCol w:w="1764"/>
        <w:gridCol w:w="1612"/>
        <w:gridCol w:w="1454"/>
      </w:tblGrid>
      <w:tr>
        <w:trPr>
          <w:trHeight w:val="448" w:hRule="atLeast"/>
        </w:trPr>
        <w:tc>
          <w:tcPr>
            <w:tcW w:w="1219" w:type="dxa"/>
          </w:tcPr>
          <w:p>
            <w:pPr>
              <w:pStyle w:val="TableParagraph"/>
              <w:spacing w:before="2"/>
              <w:ind w:left="149" w:right="144"/>
              <w:jc w:val="center"/>
              <w:rPr>
                <w:b/>
                <w:sz w:val="26"/>
              </w:rPr>
            </w:pPr>
            <w:r>
              <w:rPr>
                <w:b/>
                <w:sz w:val="26"/>
              </w:rPr>
              <w:t>Models</w:t>
            </w:r>
          </w:p>
        </w:tc>
        <w:tc>
          <w:tcPr>
            <w:tcW w:w="2067" w:type="dxa"/>
          </w:tcPr>
          <w:p>
            <w:pPr>
              <w:pStyle w:val="TableParagraph"/>
              <w:spacing w:before="2"/>
              <w:ind w:left="759" w:right="751"/>
              <w:jc w:val="center"/>
              <w:rPr>
                <w:b/>
                <w:sz w:val="26"/>
              </w:rPr>
            </w:pPr>
            <w:r>
              <w:rPr>
                <w:b/>
                <w:sz w:val="26"/>
              </w:rPr>
              <w:t>drift</w:t>
            </w:r>
          </w:p>
        </w:tc>
        <w:tc>
          <w:tcPr>
            <w:tcW w:w="1764" w:type="dxa"/>
          </w:tcPr>
          <w:p>
            <w:pPr>
              <w:pStyle w:val="TableParagraph"/>
              <w:spacing w:before="2"/>
              <w:ind w:left="623" w:right="614"/>
              <w:jc w:val="center"/>
              <w:rPr>
                <w:b/>
                <w:sz w:val="26"/>
              </w:rPr>
            </w:pPr>
            <w:r>
              <w:rPr>
                <w:b/>
                <w:sz w:val="26"/>
              </w:rPr>
              <w:t>ma1</w:t>
            </w:r>
          </w:p>
        </w:tc>
        <w:tc>
          <w:tcPr>
            <w:tcW w:w="1612" w:type="dxa"/>
          </w:tcPr>
          <w:p>
            <w:pPr>
              <w:pStyle w:val="TableParagraph"/>
              <w:spacing w:before="2"/>
              <w:ind w:left="547" w:right="538"/>
              <w:jc w:val="center"/>
              <w:rPr>
                <w:b/>
                <w:sz w:val="26"/>
              </w:rPr>
            </w:pPr>
            <w:r>
              <w:rPr>
                <w:b/>
                <w:sz w:val="26"/>
              </w:rPr>
              <w:t>ma2</w:t>
            </w:r>
          </w:p>
        </w:tc>
        <w:tc>
          <w:tcPr>
            <w:tcW w:w="1454" w:type="dxa"/>
          </w:tcPr>
          <w:p>
            <w:pPr>
              <w:pStyle w:val="TableParagraph"/>
              <w:spacing w:before="2"/>
              <w:ind w:left="262"/>
              <w:rPr>
                <w:b/>
                <w:sz w:val="26"/>
              </w:rPr>
            </w:pPr>
            <w:r>
              <w:rPr>
                <w:b/>
                <w:sz w:val="26"/>
              </w:rPr>
              <w:t>sigma^2</w:t>
            </w:r>
          </w:p>
        </w:tc>
      </w:tr>
      <w:tr>
        <w:trPr>
          <w:trHeight w:val="897" w:hRule="atLeast"/>
        </w:trPr>
        <w:tc>
          <w:tcPr>
            <w:tcW w:w="1219" w:type="dxa"/>
          </w:tcPr>
          <w:p>
            <w:pPr>
              <w:pStyle w:val="TableParagraph"/>
              <w:spacing w:before="2"/>
              <w:ind w:left="151" w:right="144"/>
              <w:jc w:val="center"/>
              <w:rPr>
                <w:sz w:val="26"/>
              </w:rPr>
            </w:pPr>
            <w:r>
              <w:rPr>
                <w:sz w:val="26"/>
              </w:rPr>
              <w:t>Model 1</w:t>
            </w:r>
          </w:p>
        </w:tc>
        <w:tc>
          <w:tcPr>
            <w:tcW w:w="2067" w:type="dxa"/>
          </w:tcPr>
          <w:p>
            <w:pPr>
              <w:pStyle w:val="TableParagraph"/>
              <w:spacing w:before="2"/>
              <w:ind w:left="165"/>
              <w:rPr>
                <w:sz w:val="26"/>
              </w:rPr>
            </w:pPr>
            <w:r>
              <w:rPr>
                <w:sz w:val="26"/>
              </w:rPr>
              <w:t>174746.90 (***)</w:t>
            </w:r>
          </w:p>
          <w:p>
            <w:pPr>
              <w:pStyle w:val="TableParagraph"/>
              <w:spacing w:before="149"/>
              <w:ind w:left="285"/>
              <w:rPr>
                <w:sz w:val="26"/>
              </w:rPr>
            </w:pPr>
            <w:r>
              <w:rPr>
                <w:sz w:val="26"/>
              </w:rPr>
              <w:t>(s.e 39670.66)</w:t>
            </w:r>
          </w:p>
        </w:tc>
        <w:tc>
          <w:tcPr>
            <w:tcW w:w="1764" w:type="dxa"/>
          </w:tcPr>
          <w:p>
            <w:pPr>
              <w:pStyle w:val="TableParagraph"/>
              <w:spacing w:before="2"/>
              <w:ind w:left="7"/>
              <w:jc w:val="center"/>
              <w:rPr>
                <w:b/>
                <w:sz w:val="26"/>
              </w:rPr>
            </w:pPr>
            <w:r>
              <w:rPr>
                <w:b/>
                <w:w w:val="99"/>
                <w:sz w:val="26"/>
              </w:rPr>
              <w:t>-</w:t>
            </w:r>
          </w:p>
        </w:tc>
        <w:tc>
          <w:tcPr>
            <w:tcW w:w="1612" w:type="dxa"/>
          </w:tcPr>
          <w:p>
            <w:pPr>
              <w:pStyle w:val="TableParagraph"/>
              <w:spacing w:before="2"/>
              <w:ind w:left="11"/>
              <w:jc w:val="center"/>
              <w:rPr>
                <w:sz w:val="26"/>
              </w:rPr>
            </w:pPr>
            <w:r>
              <w:rPr>
                <w:w w:val="99"/>
                <w:sz w:val="26"/>
              </w:rPr>
              <w:t>-</w:t>
            </w:r>
          </w:p>
        </w:tc>
        <w:tc>
          <w:tcPr>
            <w:tcW w:w="1454" w:type="dxa"/>
          </w:tcPr>
          <w:p>
            <w:pPr>
              <w:pStyle w:val="TableParagraph"/>
              <w:spacing w:before="2"/>
              <w:ind w:right="164"/>
              <w:jc w:val="right"/>
              <w:rPr>
                <w:sz w:val="26"/>
              </w:rPr>
            </w:pPr>
            <w:r>
              <w:rPr>
                <w:w w:val="95"/>
                <w:sz w:val="26"/>
              </w:rPr>
              <w:t>3.313e+10</w:t>
            </w:r>
          </w:p>
        </w:tc>
      </w:tr>
      <w:tr>
        <w:trPr>
          <w:trHeight w:val="895" w:hRule="atLeast"/>
        </w:trPr>
        <w:tc>
          <w:tcPr>
            <w:tcW w:w="1219" w:type="dxa"/>
          </w:tcPr>
          <w:p>
            <w:pPr>
              <w:pStyle w:val="TableParagraph"/>
              <w:spacing w:before="2"/>
              <w:ind w:left="151" w:right="144"/>
              <w:jc w:val="center"/>
              <w:rPr>
                <w:sz w:val="26"/>
              </w:rPr>
            </w:pPr>
            <w:r>
              <w:rPr>
                <w:sz w:val="26"/>
              </w:rPr>
              <w:t>Model 2</w:t>
            </w:r>
          </w:p>
        </w:tc>
        <w:tc>
          <w:tcPr>
            <w:tcW w:w="2067" w:type="dxa"/>
          </w:tcPr>
          <w:p>
            <w:pPr>
              <w:pStyle w:val="TableParagraph"/>
              <w:spacing w:before="2"/>
              <w:ind w:left="8"/>
              <w:jc w:val="center"/>
              <w:rPr>
                <w:b/>
                <w:sz w:val="26"/>
              </w:rPr>
            </w:pPr>
            <w:r>
              <w:rPr>
                <w:b/>
                <w:w w:val="99"/>
                <w:sz w:val="26"/>
              </w:rPr>
              <w:t>-</w:t>
            </w:r>
          </w:p>
        </w:tc>
        <w:tc>
          <w:tcPr>
            <w:tcW w:w="1764" w:type="dxa"/>
          </w:tcPr>
          <w:p>
            <w:pPr>
              <w:pStyle w:val="TableParagraph"/>
              <w:spacing w:before="2"/>
              <w:ind w:left="165"/>
              <w:rPr>
                <w:sz w:val="26"/>
              </w:rPr>
            </w:pPr>
            <w:r>
              <w:rPr>
                <w:sz w:val="26"/>
              </w:rPr>
              <w:t>-1.2533 (***)</w:t>
            </w:r>
          </w:p>
          <w:p>
            <w:pPr>
              <w:pStyle w:val="TableParagraph"/>
              <w:spacing w:before="150"/>
              <w:ind w:left="264"/>
              <w:rPr>
                <w:sz w:val="26"/>
              </w:rPr>
            </w:pPr>
            <w:r>
              <w:rPr>
                <w:sz w:val="26"/>
              </w:rPr>
              <w:t>(s.e 0.3135)</w:t>
            </w:r>
          </w:p>
        </w:tc>
        <w:tc>
          <w:tcPr>
            <w:tcW w:w="1612" w:type="dxa"/>
          </w:tcPr>
          <w:p>
            <w:pPr>
              <w:pStyle w:val="TableParagraph"/>
              <w:spacing w:before="2"/>
              <w:ind w:left="134"/>
              <w:rPr>
                <w:sz w:val="26"/>
              </w:rPr>
            </w:pPr>
            <w:r>
              <w:rPr>
                <w:sz w:val="26"/>
              </w:rPr>
              <w:t>0.6385 (***)</w:t>
            </w:r>
          </w:p>
          <w:p>
            <w:pPr>
              <w:pStyle w:val="TableParagraph"/>
              <w:spacing w:before="150"/>
              <w:ind w:left="187"/>
              <w:rPr>
                <w:sz w:val="26"/>
              </w:rPr>
            </w:pPr>
            <w:r>
              <w:rPr>
                <w:sz w:val="26"/>
              </w:rPr>
              <w:t>(s.e 0.2989)</w:t>
            </w:r>
          </w:p>
        </w:tc>
        <w:tc>
          <w:tcPr>
            <w:tcW w:w="1454" w:type="dxa"/>
          </w:tcPr>
          <w:p>
            <w:pPr>
              <w:pStyle w:val="TableParagraph"/>
              <w:spacing w:before="2"/>
              <w:ind w:right="229"/>
              <w:jc w:val="right"/>
              <w:rPr>
                <w:sz w:val="26"/>
              </w:rPr>
            </w:pPr>
            <w:r>
              <w:rPr>
                <w:w w:val="95"/>
                <w:sz w:val="26"/>
              </w:rPr>
              <w:t>8.07e+08</w:t>
            </w:r>
          </w:p>
        </w:tc>
      </w:tr>
      <w:tr>
        <w:trPr>
          <w:trHeight w:val="897" w:hRule="atLeast"/>
        </w:trPr>
        <w:tc>
          <w:tcPr>
            <w:tcW w:w="1219" w:type="dxa"/>
          </w:tcPr>
          <w:p>
            <w:pPr>
              <w:pStyle w:val="TableParagraph"/>
              <w:spacing w:before="4"/>
              <w:ind w:left="151" w:right="144"/>
              <w:jc w:val="center"/>
              <w:rPr>
                <w:sz w:val="26"/>
              </w:rPr>
            </w:pPr>
            <w:r>
              <w:rPr>
                <w:sz w:val="26"/>
              </w:rPr>
              <w:t>Model 3</w:t>
            </w:r>
          </w:p>
        </w:tc>
        <w:tc>
          <w:tcPr>
            <w:tcW w:w="2067" w:type="dxa"/>
          </w:tcPr>
          <w:p>
            <w:pPr>
              <w:pStyle w:val="TableParagraph"/>
              <w:spacing w:before="4"/>
              <w:ind w:left="8"/>
              <w:jc w:val="center"/>
              <w:rPr>
                <w:b/>
                <w:sz w:val="26"/>
              </w:rPr>
            </w:pPr>
            <w:r>
              <w:rPr>
                <w:b/>
                <w:w w:val="99"/>
                <w:sz w:val="26"/>
              </w:rPr>
              <w:t>-</w:t>
            </w:r>
          </w:p>
        </w:tc>
        <w:tc>
          <w:tcPr>
            <w:tcW w:w="1764" w:type="dxa"/>
          </w:tcPr>
          <w:p>
            <w:pPr>
              <w:pStyle w:val="TableParagraph"/>
              <w:spacing w:before="4"/>
              <w:ind w:left="165"/>
              <w:rPr>
                <w:sz w:val="26"/>
              </w:rPr>
            </w:pPr>
            <w:r>
              <w:rPr>
                <w:sz w:val="26"/>
              </w:rPr>
              <w:t>-0.6665 (***)</w:t>
            </w:r>
          </w:p>
          <w:p>
            <w:pPr>
              <w:pStyle w:val="TableParagraph"/>
              <w:spacing w:before="147"/>
              <w:ind w:left="264"/>
              <w:rPr>
                <w:sz w:val="26"/>
              </w:rPr>
            </w:pPr>
            <w:r>
              <w:rPr>
                <w:sz w:val="26"/>
              </w:rPr>
              <w:t>(s.e 0.1689)</w:t>
            </w:r>
          </w:p>
        </w:tc>
        <w:tc>
          <w:tcPr>
            <w:tcW w:w="1612" w:type="dxa"/>
          </w:tcPr>
          <w:p>
            <w:pPr>
              <w:pStyle w:val="TableParagraph"/>
              <w:spacing w:before="4"/>
              <w:ind w:left="11"/>
              <w:jc w:val="center"/>
              <w:rPr>
                <w:sz w:val="26"/>
              </w:rPr>
            </w:pPr>
            <w:r>
              <w:rPr>
                <w:w w:val="99"/>
                <w:sz w:val="26"/>
              </w:rPr>
              <w:t>-</w:t>
            </w:r>
          </w:p>
        </w:tc>
        <w:tc>
          <w:tcPr>
            <w:tcW w:w="1454" w:type="dxa"/>
          </w:tcPr>
          <w:p>
            <w:pPr>
              <w:pStyle w:val="TableParagraph"/>
              <w:spacing w:before="4"/>
              <w:ind w:right="229"/>
              <w:jc w:val="right"/>
              <w:rPr>
                <w:sz w:val="26"/>
              </w:rPr>
            </w:pPr>
            <w:r>
              <w:rPr>
                <w:w w:val="95"/>
                <w:sz w:val="26"/>
              </w:rPr>
              <w:t>2.01e+11</w:t>
            </w:r>
          </w:p>
        </w:tc>
      </w:tr>
      <w:tr>
        <w:trPr>
          <w:trHeight w:val="897" w:hRule="atLeast"/>
        </w:trPr>
        <w:tc>
          <w:tcPr>
            <w:tcW w:w="1219" w:type="dxa"/>
          </w:tcPr>
          <w:p>
            <w:pPr>
              <w:pStyle w:val="TableParagraph"/>
              <w:spacing w:before="2"/>
              <w:ind w:left="151" w:right="144"/>
              <w:jc w:val="center"/>
              <w:rPr>
                <w:sz w:val="26"/>
              </w:rPr>
            </w:pPr>
            <w:r>
              <w:rPr>
                <w:sz w:val="26"/>
              </w:rPr>
              <w:t>Model 4</w:t>
            </w:r>
          </w:p>
        </w:tc>
        <w:tc>
          <w:tcPr>
            <w:tcW w:w="2067" w:type="dxa"/>
          </w:tcPr>
          <w:p>
            <w:pPr>
              <w:pStyle w:val="TableParagraph"/>
              <w:spacing w:before="2"/>
              <w:ind w:left="8"/>
              <w:jc w:val="center"/>
              <w:rPr>
                <w:b/>
                <w:sz w:val="26"/>
              </w:rPr>
            </w:pPr>
            <w:r>
              <w:rPr>
                <w:b/>
                <w:w w:val="99"/>
                <w:sz w:val="26"/>
              </w:rPr>
              <w:t>-</w:t>
            </w:r>
          </w:p>
        </w:tc>
        <w:tc>
          <w:tcPr>
            <w:tcW w:w="1764" w:type="dxa"/>
          </w:tcPr>
          <w:p>
            <w:pPr>
              <w:pStyle w:val="TableParagraph"/>
              <w:spacing w:before="2"/>
              <w:ind w:left="165"/>
              <w:rPr>
                <w:sz w:val="26"/>
              </w:rPr>
            </w:pPr>
            <w:r>
              <w:rPr>
                <w:sz w:val="26"/>
              </w:rPr>
              <w:t>-0.6884 (***)</w:t>
            </w:r>
          </w:p>
          <w:p>
            <w:pPr>
              <w:pStyle w:val="TableParagraph"/>
              <w:spacing w:before="149"/>
              <w:ind w:left="264"/>
              <w:rPr>
                <w:sz w:val="26"/>
              </w:rPr>
            </w:pPr>
            <w:r>
              <w:rPr>
                <w:sz w:val="26"/>
              </w:rPr>
              <w:t>(s.e 0.1788)</w:t>
            </w:r>
          </w:p>
        </w:tc>
        <w:tc>
          <w:tcPr>
            <w:tcW w:w="1612" w:type="dxa"/>
          </w:tcPr>
          <w:p>
            <w:pPr>
              <w:pStyle w:val="TableParagraph"/>
              <w:spacing w:before="2"/>
              <w:ind w:left="11"/>
              <w:jc w:val="center"/>
              <w:rPr>
                <w:sz w:val="26"/>
              </w:rPr>
            </w:pPr>
            <w:r>
              <w:rPr>
                <w:w w:val="99"/>
                <w:sz w:val="26"/>
              </w:rPr>
              <w:t>-</w:t>
            </w:r>
          </w:p>
        </w:tc>
        <w:tc>
          <w:tcPr>
            <w:tcW w:w="1454" w:type="dxa"/>
          </w:tcPr>
          <w:p>
            <w:pPr>
              <w:pStyle w:val="TableParagraph"/>
              <w:spacing w:before="2"/>
              <w:ind w:right="164"/>
              <w:jc w:val="right"/>
              <w:rPr>
                <w:sz w:val="26"/>
              </w:rPr>
            </w:pPr>
            <w:r>
              <w:rPr>
                <w:w w:val="95"/>
                <w:sz w:val="26"/>
              </w:rPr>
              <w:t>3.741e+11</w:t>
            </w:r>
          </w:p>
        </w:tc>
      </w:tr>
    </w:tbl>
    <w:p>
      <w:pPr>
        <w:spacing w:before="2"/>
        <w:ind w:left="942" w:right="952" w:firstLine="0"/>
        <w:jc w:val="center"/>
        <w:rPr>
          <w:i/>
          <w:sz w:val="26"/>
        </w:rPr>
      </w:pPr>
      <w:r>
        <w:rPr>
          <w:b/>
          <w:i/>
          <w:sz w:val="26"/>
        </w:rPr>
        <w:t>(Ghi chú: </w:t>
      </w:r>
      <w:r>
        <w:rPr>
          <w:i/>
          <w:sz w:val="26"/>
        </w:rPr>
        <w:t>(***) có ý nghĩa thống kê mức 1%)</w:t>
      </w:r>
    </w:p>
    <w:p>
      <w:pPr>
        <w:spacing w:after="0"/>
        <w:jc w:val="center"/>
        <w:rPr>
          <w:sz w:val="26"/>
        </w:rPr>
        <w:sectPr>
          <w:pgSz w:w="11910" w:h="16850"/>
          <w:pgMar w:header="751" w:footer="0" w:top="960" w:bottom="280" w:left="820" w:right="240"/>
        </w:sectPr>
      </w:pPr>
    </w:p>
    <w:p>
      <w:pPr>
        <w:pStyle w:val="BodyText"/>
        <w:rPr>
          <w:i/>
          <w:sz w:val="20"/>
        </w:rPr>
      </w:pPr>
    </w:p>
    <w:p>
      <w:pPr>
        <w:pStyle w:val="BodyText"/>
        <w:rPr>
          <w:i/>
          <w:sz w:val="20"/>
        </w:rPr>
      </w:pPr>
    </w:p>
    <w:p>
      <w:pPr>
        <w:pStyle w:val="BodyText"/>
        <w:rPr>
          <w:i/>
          <w:sz w:val="20"/>
        </w:rPr>
      </w:pPr>
    </w:p>
    <w:p>
      <w:pPr>
        <w:pStyle w:val="BodyText"/>
        <w:rPr>
          <w:i/>
          <w:sz w:val="20"/>
        </w:rPr>
      </w:pPr>
    </w:p>
    <w:p>
      <w:pPr>
        <w:pStyle w:val="BodyText"/>
        <w:spacing w:before="5"/>
        <w:rPr>
          <w:i/>
          <w:sz w:val="14"/>
        </w:rPr>
      </w:pPr>
    </w:p>
    <w:p>
      <w:pPr>
        <w:pStyle w:val="BodyText"/>
        <w:ind w:left="1971"/>
        <w:rPr>
          <w:sz w:val="20"/>
        </w:rPr>
      </w:pPr>
      <w:r>
        <w:rPr>
          <w:sz w:val="20"/>
        </w:rPr>
        <w:drawing>
          <wp:inline distT="0" distB="0" distL="0" distR="0">
            <wp:extent cx="4381453" cy="2444686"/>
            <wp:effectExtent l="0" t="0" r="0" b="0"/>
            <wp:docPr id="23" name="image24.png" descr="Diagram, schematic  Description automatically generated"/>
            <wp:cNvGraphicFramePr>
              <a:graphicFrameLocks noChangeAspect="1"/>
            </wp:cNvGraphicFramePr>
            <a:graphic>
              <a:graphicData uri="http://schemas.openxmlformats.org/drawingml/2006/picture">
                <pic:pic>
                  <pic:nvPicPr>
                    <pic:cNvPr id="24" name="image24.png"/>
                    <pic:cNvPicPr/>
                  </pic:nvPicPr>
                  <pic:blipFill>
                    <a:blip r:embed="rId33" cstate="print"/>
                    <a:stretch>
                      <a:fillRect/>
                    </a:stretch>
                  </pic:blipFill>
                  <pic:spPr>
                    <a:xfrm>
                      <a:off x="0" y="0"/>
                      <a:ext cx="4381453" cy="2444686"/>
                    </a:xfrm>
                    <a:prstGeom prst="rect">
                      <a:avLst/>
                    </a:prstGeom>
                  </pic:spPr>
                </pic:pic>
              </a:graphicData>
            </a:graphic>
          </wp:inline>
        </w:drawing>
      </w:r>
      <w:r>
        <w:rPr>
          <w:sz w:val="20"/>
        </w:rPr>
      </w:r>
    </w:p>
    <w:p>
      <w:pPr>
        <w:pStyle w:val="BodyText"/>
        <w:rPr>
          <w:i/>
          <w:sz w:val="20"/>
        </w:rPr>
      </w:pPr>
    </w:p>
    <w:p>
      <w:pPr>
        <w:pStyle w:val="Heading6"/>
        <w:spacing w:before="208"/>
        <w:ind w:left="940" w:right="952"/>
        <w:jc w:val="center"/>
      </w:pPr>
      <w:r>
        <w:rPr/>
        <w:t>Hình 4.8 Đồ thị của phần dư của các mô hình ARIMA</w:t>
      </w:r>
    </w:p>
    <w:p>
      <w:pPr>
        <w:pStyle w:val="BodyText"/>
        <w:spacing w:before="11"/>
        <w:rPr>
          <w:b/>
          <w:sz w:val="25"/>
        </w:rPr>
      </w:pPr>
    </w:p>
    <w:p>
      <w:pPr>
        <w:pStyle w:val="BodyText"/>
        <w:ind w:left="943" w:right="952"/>
        <w:jc w:val="center"/>
      </w:pPr>
      <w:r>
        <w:rPr>
          <w:b/>
        </w:rPr>
        <w:t>Bảng 4.5 </w:t>
      </w:r>
      <w:r>
        <w:rPr/>
        <w:t>Kiểm định phần dư của mô hình có phải là nhiễu trắng bằng Ljung-Box test</w:t>
      </w:r>
    </w:p>
    <w:p>
      <w:pPr>
        <w:pStyle w:val="BodyText"/>
        <w:spacing w:before="10"/>
        <w:rPr>
          <w:sz w:val="12"/>
        </w:rPr>
      </w:pPr>
    </w:p>
    <w:tbl>
      <w:tblPr>
        <w:tblW w:w="0" w:type="auto"/>
        <w:jc w:val="left"/>
        <w:tblInd w:w="284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1431"/>
        <w:gridCol w:w="1382"/>
        <w:gridCol w:w="1094"/>
        <w:gridCol w:w="1257"/>
      </w:tblGrid>
      <w:tr>
        <w:trPr>
          <w:trHeight w:val="299" w:hRule="atLeast"/>
        </w:trPr>
        <w:tc>
          <w:tcPr>
            <w:tcW w:w="1431" w:type="dxa"/>
          </w:tcPr>
          <w:p>
            <w:pPr>
              <w:pStyle w:val="TableParagraph"/>
              <w:spacing w:line="278" w:lineRule="exact" w:before="2"/>
              <w:ind w:left="307"/>
              <w:rPr>
                <w:b/>
                <w:sz w:val="26"/>
              </w:rPr>
            </w:pPr>
            <w:r>
              <w:rPr>
                <w:b/>
                <w:sz w:val="26"/>
              </w:rPr>
              <w:t>Models</w:t>
            </w:r>
          </w:p>
        </w:tc>
        <w:tc>
          <w:tcPr>
            <w:tcW w:w="1382" w:type="dxa"/>
          </w:tcPr>
          <w:p>
            <w:pPr>
              <w:pStyle w:val="TableParagraph"/>
              <w:spacing w:line="278" w:lineRule="exact" w:before="2"/>
              <w:ind w:left="309" w:right="180"/>
              <w:jc w:val="center"/>
              <w:rPr>
                <w:b/>
                <w:sz w:val="26"/>
              </w:rPr>
            </w:pPr>
            <w:r>
              <w:rPr>
                <w:b/>
                <w:sz w:val="26"/>
              </w:rPr>
              <w:t>Q*</w:t>
            </w:r>
          </w:p>
        </w:tc>
        <w:tc>
          <w:tcPr>
            <w:tcW w:w="1094" w:type="dxa"/>
          </w:tcPr>
          <w:p>
            <w:pPr>
              <w:pStyle w:val="TableParagraph"/>
              <w:spacing w:line="278" w:lineRule="exact" w:before="2"/>
              <w:ind w:left="432"/>
              <w:rPr>
                <w:b/>
                <w:sz w:val="26"/>
              </w:rPr>
            </w:pPr>
            <w:r>
              <w:rPr>
                <w:b/>
                <w:sz w:val="26"/>
              </w:rPr>
              <w:t>df</w:t>
            </w:r>
          </w:p>
        </w:tc>
        <w:tc>
          <w:tcPr>
            <w:tcW w:w="1257" w:type="dxa"/>
          </w:tcPr>
          <w:p>
            <w:pPr>
              <w:pStyle w:val="TableParagraph"/>
              <w:spacing w:line="278" w:lineRule="exact" w:before="2"/>
              <w:ind w:left="195" w:right="188"/>
              <w:jc w:val="center"/>
              <w:rPr>
                <w:b/>
                <w:sz w:val="26"/>
              </w:rPr>
            </w:pPr>
            <w:r>
              <w:rPr>
                <w:b/>
                <w:sz w:val="26"/>
              </w:rPr>
              <w:t>p-value</w:t>
            </w:r>
          </w:p>
        </w:tc>
      </w:tr>
      <w:tr>
        <w:trPr>
          <w:trHeight w:val="410" w:hRule="atLeast"/>
        </w:trPr>
        <w:tc>
          <w:tcPr>
            <w:tcW w:w="1431" w:type="dxa"/>
          </w:tcPr>
          <w:p>
            <w:pPr>
              <w:pStyle w:val="TableParagraph"/>
              <w:spacing w:before="2"/>
              <w:ind w:left="275"/>
              <w:rPr>
                <w:sz w:val="26"/>
              </w:rPr>
            </w:pPr>
            <w:r>
              <w:rPr>
                <w:sz w:val="26"/>
              </w:rPr>
              <w:t>Model 1</w:t>
            </w:r>
          </w:p>
        </w:tc>
        <w:tc>
          <w:tcPr>
            <w:tcW w:w="1382" w:type="dxa"/>
          </w:tcPr>
          <w:p>
            <w:pPr>
              <w:pStyle w:val="TableParagraph"/>
              <w:spacing w:before="2"/>
              <w:ind w:left="309" w:right="307"/>
              <w:jc w:val="center"/>
              <w:rPr>
                <w:sz w:val="26"/>
              </w:rPr>
            </w:pPr>
            <w:r>
              <w:rPr>
                <w:sz w:val="26"/>
              </w:rPr>
              <w:t>4.2249</w:t>
            </w:r>
          </w:p>
        </w:tc>
        <w:tc>
          <w:tcPr>
            <w:tcW w:w="1094" w:type="dxa"/>
          </w:tcPr>
          <w:p>
            <w:pPr>
              <w:pStyle w:val="TableParagraph"/>
              <w:spacing w:before="2"/>
              <w:ind w:left="483"/>
              <w:rPr>
                <w:sz w:val="26"/>
              </w:rPr>
            </w:pPr>
            <w:r>
              <w:rPr>
                <w:w w:val="99"/>
                <w:sz w:val="26"/>
              </w:rPr>
              <w:t>3</w:t>
            </w:r>
          </w:p>
        </w:tc>
        <w:tc>
          <w:tcPr>
            <w:tcW w:w="1257" w:type="dxa"/>
          </w:tcPr>
          <w:p>
            <w:pPr>
              <w:pStyle w:val="TableParagraph"/>
              <w:spacing w:before="2"/>
              <w:ind w:left="193" w:right="188"/>
              <w:jc w:val="center"/>
              <w:rPr>
                <w:sz w:val="26"/>
              </w:rPr>
            </w:pPr>
            <w:r>
              <w:rPr>
                <w:sz w:val="26"/>
              </w:rPr>
              <w:t>0.2382</w:t>
            </w:r>
          </w:p>
        </w:tc>
      </w:tr>
      <w:tr>
        <w:trPr>
          <w:trHeight w:val="405" w:hRule="atLeast"/>
        </w:trPr>
        <w:tc>
          <w:tcPr>
            <w:tcW w:w="1431" w:type="dxa"/>
          </w:tcPr>
          <w:p>
            <w:pPr>
              <w:pStyle w:val="TableParagraph"/>
              <w:spacing w:before="2"/>
              <w:ind w:left="275"/>
              <w:rPr>
                <w:sz w:val="26"/>
              </w:rPr>
            </w:pPr>
            <w:r>
              <w:rPr>
                <w:sz w:val="26"/>
              </w:rPr>
              <w:t>Model 2</w:t>
            </w:r>
          </w:p>
        </w:tc>
        <w:tc>
          <w:tcPr>
            <w:tcW w:w="1382" w:type="dxa"/>
          </w:tcPr>
          <w:p>
            <w:pPr>
              <w:pStyle w:val="TableParagraph"/>
              <w:spacing w:before="2"/>
              <w:ind w:left="309" w:right="307"/>
              <w:jc w:val="center"/>
              <w:rPr>
                <w:sz w:val="26"/>
              </w:rPr>
            </w:pPr>
            <w:r>
              <w:rPr>
                <w:sz w:val="26"/>
              </w:rPr>
              <w:t>3.8623</w:t>
            </w:r>
          </w:p>
        </w:tc>
        <w:tc>
          <w:tcPr>
            <w:tcW w:w="1094" w:type="dxa"/>
          </w:tcPr>
          <w:p>
            <w:pPr>
              <w:pStyle w:val="TableParagraph"/>
              <w:spacing w:before="2"/>
              <w:ind w:left="483"/>
              <w:rPr>
                <w:sz w:val="26"/>
              </w:rPr>
            </w:pPr>
            <w:r>
              <w:rPr>
                <w:w w:val="99"/>
                <w:sz w:val="26"/>
              </w:rPr>
              <w:t>3</w:t>
            </w:r>
          </w:p>
        </w:tc>
        <w:tc>
          <w:tcPr>
            <w:tcW w:w="1257" w:type="dxa"/>
          </w:tcPr>
          <w:p>
            <w:pPr>
              <w:pStyle w:val="TableParagraph"/>
              <w:spacing w:before="2"/>
              <w:ind w:left="193" w:right="188"/>
              <w:jc w:val="center"/>
              <w:rPr>
                <w:sz w:val="26"/>
              </w:rPr>
            </w:pPr>
            <w:r>
              <w:rPr>
                <w:sz w:val="26"/>
              </w:rPr>
              <w:t>0.2767</w:t>
            </w:r>
          </w:p>
        </w:tc>
      </w:tr>
      <w:tr>
        <w:trPr>
          <w:trHeight w:val="299" w:hRule="atLeast"/>
        </w:trPr>
        <w:tc>
          <w:tcPr>
            <w:tcW w:w="1431" w:type="dxa"/>
          </w:tcPr>
          <w:p>
            <w:pPr>
              <w:pStyle w:val="TableParagraph"/>
              <w:spacing w:line="278" w:lineRule="exact" w:before="2"/>
              <w:ind w:left="275"/>
              <w:rPr>
                <w:sz w:val="26"/>
              </w:rPr>
            </w:pPr>
            <w:r>
              <w:rPr>
                <w:sz w:val="26"/>
              </w:rPr>
              <w:t>Model 3</w:t>
            </w:r>
          </w:p>
        </w:tc>
        <w:tc>
          <w:tcPr>
            <w:tcW w:w="1382" w:type="dxa"/>
          </w:tcPr>
          <w:p>
            <w:pPr>
              <w:pStyle w:val="TableParagraph"/>
              <w:spacing w:line="278" w:lineRule="exact" w:before="2"/>
              <w:ind w:left="309" w:right="307"/>
              <w:jc w:val="center"/>
              <w:rPr>
                <w:sz w:val="26"/>
              </w:rPr>
            </w:pPr>
            <w:r>
              <w:rPr>
                <w:sz w:val="26"/>
              </w:rPr>
              <w:t>3.3984</w:t>
            </w:r>
          </w:p>
        </w:tc>
        <w:tc>
          <w:tcPr>
            <w:tcW w:w="1094" w:type="dxa"/>
          </w:tcPr>
          <w:p>
            <w:pPr>
              <w:pStyle w:val="TableParagraph"/>
              <w:spacing w:line="278" w:lineRule="exact" w:before="2"/>
              <w:ind w:left="483"/>
              <w:rPr>
                <w:sz w:val="26"/>
              </w:rPr>
            </w:pPr>
            <w:r>
              <w:rPr>
                <w:w w:val="99"/>
                <w:sz w:val="26"/>
              </w:rPr>
              <w:t>3</w:t>
            </w:r>
          </w:p>
        </w:tc>
        <w:tc>
          <w:tcPr>
            <w:tcW w:w="1257" w:type="dxa"/>
          </w:tcPr>
          <w:p>
            <w:pPr>
              <w:pStyle w:val="TableParagraph"/>
              <w:spacing w:line="278" w:lineRule="exact" w:before="2"/>
              <w:ind w:left="193" w:right="188"/>
              <w:jc w:val="center"/>
              <w:rPr>
                <w:sz w:val="26"/>
              </w:rPr>
            </w:pPr>
            <w:r>
              <w:rPr>
                <w:sz w:val="26"/>
              </w:rPr>
              <w:t>0.3342</w:t>
            </w:r>
          </w:p>
        </w:tc>
      </w:tr>
      <w:tr>
        <w:trPr>
          <w:trHeight w:val="410" w:hRule="atLeast"/>
        </w:trPr>
        <w:tc>
          <w:tcPr>
            <w:tcW w:w="1431" w:type="dxa"/>
          </w:tcPr>
          <w:p>
            <w:pPr>
              <w:pStyle w:val="TableParagraph"/>
              <w:spacing w:before="2"/>
              <w:ind w:left="275"/>
              <w:rPr>
                <w:sz w:val="26"/>
              </w:rPr>
            </w:pPr>
            <w:r>
              <w:rPr>
                <w:sz w:val="26"/>
              </w:rPr>
              <w:t>Model 4</w:t>
            </w:r>
          </w:p>
        </w:tc>
        <w:tc>
          <w:tcPr>
            <w:tcW w:w="1382" w:type="dxa"/>
          </w:tcPr>
          <w:p>
            <w:pPr>
              <w:pStyle w:val="TableParagraph"/>
              <w:spacing w:before="2"/>
              <w:ind w:left="309" w:right="307"/>
              <w:jc w:val="center"/>
              <w:rPr>
                <w:sz w:val="26"/>
              </w:rPr>
            </w:pPr>
            <w:r>
              <w:rPr>
                <w:sz w:val="26"/>
              </w:rPr>
              <w:t>3.8336</w:t>
            </w:r>
          </w:p>
        </w:tc>
        <w:tc>
          <w:tcPr>
            <w:tcW w:w="1094" w:type="dxa"/>
          </w:tcPr>
          <w:p>
            <w:pPr>
              <w:pStyle w:val="TableParagraph"/>
              <w:spacing w:before="2"/>
              <w:ind w:left="483"/>
              <w:rPr>
                <w:sz w:val="26"/>
              </w:rPr>
            </w:pPr>
            <w:r>
              <w:rPr>
                <w:w w:val="99"/>
                <w:sz w:val="26"/>
              </w:rPr>
              <w:t>3</w:t>
            </w:r>
          </w:p>
        </w:tc>
        <w:tc>
          <w:tcPr>
            <w:tcW w:w="1257" w:type="dxa"/>
          </w:tcPr>
          <w:p>
            <w:pPr>
              <w:pStyle w:val="TableParagraph"/>
              <w:spacing w:before="2"/>
              <w:ind w:left="193" w:right="188"/>
              <w:jc w:val="center"/>
              <w:rPr>
                <w:sz w:val="26"/>
              </w:rPr>
            </w:pPr>
            <w:r>
              <w:rPr>
                <w:sz w:val="26"/>
              </w:rPr>
              <w:t>0.28</w:t>
            </w:r>
          </w:p>
        </w:tc>
      </w:tr>
    </w:tbl>
    <w:p>
      <w:pPr>
        <w:pStyle w:val="BodyText"/>
        <w:spacing w:before="1"/>
        <w:ind w:left="1602"/>
      </w:pPr>
      <w:r>
        <w:rPr>
          <w:position w:val="2"/>
        </w:rPr>
        <w:t>H</w:t>
      </w:r>
      <w:r>
        <w:rPr>
          <w:sz w:val="17"/>
        </w:rPr>
        <w:t>0</w:t>
      </w:r>
      <w:r>
        <w:rPr>
          <w:position w:val="2"/>
        </w:rPr>
        <w:t>: Phần dư của mô hình là nhiễu trắng</w:t>
      </w:r>
    </w:p>
    <w:p>
      <w:pPr>
        <w:pStyle w:val="BodyText"/>
        <w:spacing w:line="360" w:lineRule="auto" w:before="149"/>
        <w:ind w:left="882" w:right="1218" w:firstLine="719"/>
      </w:pPr>
      <w:r>
        <w:rPr>
          <w:position w:val="2"/>
        </w:rPr>
        <w:t>Do các mô hình đều có p-value &gt; 0.05 nên ta chấp nhận H</w:t>
      </w:r>
      <w:r>
        <w:rPr>
          <w:sz w:val="17"/>
        </w:rPr>
        <w:t>0 </w:t>
      </w:r>
      <w:r>
        <w:rPr>
          <w:position w:val="2"/>
        </w:rPr>
        <w:t>với mức ý nghĩa </w:t>
      </w:r>
      <w:r>
        <w:rPr/>
        <w:t>5%. Như vậy, ta có thể kết luận phần dư của các mô hình này đều là nhiễu trắng với mức ý nghĩa 5%.</w:t>
      </w:r>
    </w:p>
    <w:p>
      <w:pPr>
        <w:pStyle w:val="BodyText"/>
        <w:spacing w:before="2"/>
        <w:ind w:left="1477"/>
      </w:pPr>
      <w:r>
        <w:rPr>
          <w:b/>
        </w:rPr>
        <w:t>Bảng 4.6 </w:t>
      </w:r>
      <w:r>
        <w:rPr/>
        <w:t>Kiểm định tính dừng của phần dư của các mô hình bằng ADF test</w:t>
      </w:r>
    </w:p>
    <w:p>
      <w:pPr>
        <w:pStyle w:val="BodyText"/>
        <w:spacing w:before="9"/>
        <w:rPr>
          <w:sz w:val="12"/>
        </w:rPr>
      </w:pPr>
    </w:p>
    <w:tbl>
      <w:tblPr>
        <w:tblW w:w="0" w:type="auto"/>
        <w:jc w:val="left"/>
        <w:tblInd w:w="214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1489"/>
        <w:gridCol w:w="2158"/>
        <w:gridCol w:w="1525"/>
        <w:gridCol w:w="1376"/>
      </w:tblGrid>
      <w:tr>
        <w:trPr>
          <w:trHeight w:val="299" w:hRule="atLeast"/>
        </w:trPr>
        <w:tc>
          <w:tcPr>
            <w:tcW w:w="1489" w:type="dxa"/>
          </w:tcPr>
          <w:p>
            <w:pPr>
              <w:pStyle w:val="TableParagraph"/>
              <w:spacing w:line="278" w:lineRule="exact" w:before="2"/>
              <w:ind w:left="338"/>
              <w:rPr>
                <w:b/>
                <w:sz w:val="26"/>
              </w:rPr>
            </w:pPr>
            <w:r>
              <w:rPr>
                <w:b/>
                <w:sz w:val="26"/>
              </w:rPr>
              <w:t>Models</w:t>
            </w:r>
          </w:p>
        </w:tc>
        <w:tc>
          <w:tcPr>
            <w:tcW w:w="2158" w:type="dxa"/>
          </w:tcPr>
          <w:p>
            <w:pPr>
              <w:pStyle w:val="TableParagraph"/>
              <w:spacing w:line="278" w:lineRule="exact" w:before="2"/>
              <w:ind w:left="357" w:right="220"/>
              <w:jc w:val="center"/>
              <w:rPr>
                <w:b/>
                <w:sz w:val="26"/>
              </w:rPr>
            </w:pPr>
            <w:r>
              <w:rPr>
                <w:b/>
                <w:sz w:val="26"/>
              </w:rPr>
              <w:t>Dickey-Fuller</w:t>
            </w:r>
          </w:p>
        </w:tc>
        <w:tc>
          <w:tcPr>
            <w:tcW w:w="1525" w:type="dxa"/>
          </w:tcPr>
          <w:p>
            <w:pPr>
              <w:pStyle w:val="TableParagraph"/>
              <w:spacing w:line="278" w:lineRule="exact" w:before="2"/>
              <w:ind w:left="178" w:right="176"/>
              <w:jc w:val="center"/>
              <w:rPr>
                <w:b/>
                <w:sz w:val="26"/>
              </w:rPr>
            </w:pPr>
            <w:r>
              <w:rPr>
                <w:b/>
                <w:sz w:val="26"/>
              </w:rPr>
              <w:t>Lag order</w:t>
            </w:r>
          </w:p>
        </w:tc>
        <w:tc>
          <w:tcPr>
            <w:tcW w:w="1376" w:type="dxa"/>
          </w:tcPr>
          <w:p>
            <w:pPr>
              <w:pStyle w:val="TableParagraph"/>
              <w:spacing w:line="278" w:lineRule="exact" w:before="2"/>
              <w:ind w:left="274"/>
              <w:rPr>
                <w:b/>
                <w:sz w:val="26"/>
              </w:rPr>
            </w:pPr>
            <w:r>
              <w:rPr>
                <w:b/>
                <w:sz w:val="26"/>
              </w:rPr>
              <w:t>p-value</w:t>
            </w:r>
          </w:p>
        </w:tc>
      </w:tr>
      <w:tr>
        <w:trPr>
          <w:trHeight w:val="385" w:hRule="atLeast"/>
        </w:trPr>
        <w:tc>
          <w:tcPr>
            <w:tcW w:w="1489" w:type="dxa"/>
          </w:tcPr>
          <w:p>
            <w:pPr>
              <w:pStyle w:val="TableParagraph"/>
              <w:spacing w:line="298" w:lineRule="exact"/>
              <w:ind w:left="307"/>
              <w:rPr>
                <w:sz w:val="26"/>
              </w:rPr>
            </w:pPr>
            <w:r>
              <w:rPr>
                <w:sz w:val="26"/>
              </w:rPr>
              <w:t>Model 1</w:t>
            </w:r>
          </w:p>
        </w:tc>
        <w:tc>
          <w:tcPr>
            <w:tcW w:w="2158" w:type="dxa"/>
          </w:tcPr>
          <w:p>
            <w:pPr>
              <w:pStyle w:val="TableParagraph"/>
              <w:spacing w:line="298" w:lineRule="exact"/>
              <w:ind w:left="223" w:right="220"/>
              <w:jc w:val="center"/>
              <w:rPr>
                <w:sz w:val="26"/>
              </w:rPr>
            </w:pPr>
            <w:r>
              <w:rPr>
                <w:sz w:val="26"/>
              </w:rPr>
              <w:t>-3.6166</w:t>
            </w:r>
          </w:p>
        </w:tc>
        <w:tc>
          <w:tcPr>
            <w:tcW w:w="1525" w:type="dxa"/>
          </w:tcPr>
          <w:p>
            <w:pPr>
              <w:pStyle w:val="TableParagraph"/>
              <w:spacing w:line="298" w:lineRule="exact"/>
              <w:ind w:left="5"/>
              <w:jc w:val="center"/>
              <w:rPr>
                <w:sz w:val="26"/>
              </w:rPr>
            </w:pPr>
            <w:r>
              <w:rPr>
                <w:w w:val="99"/>
                <w:sz w:val="26"/>
              </w:rPr>
              <w:t>2</w:t>
            </w:r>
          </w:p>
        </w:tc>
        <w:tc>
          <w:tcPr>
            <w:tcW w:w="1376" w:type="dxa"/>
          </w:tcPr>
          <w:p>
            <w:pPr>
              <w:pStyle w:val="TableParagraph"/>
              <w:spacing w:line="298" w:lineRule="exact"/>
              <w:ind w:left="262"/>
              <w:rPr>
                <w:sz w:val="26"/>
              </w:rPr>
            </w:pPr>
            <w:r>
              <w:rPr>
                <w:sz w:val="26"/>
              </w:rPr>
              <w:t>0.04881</w:t>
            </w:r>
          </w:p>
        </w:tc>
      </w:tr>
      <w:tr>
        <w:trPr>
          <w:trHeight w:val="381" w:hRule="atLeast"/>
        </w:trPr>
        <w:tc>
          <w:tcPr>
            <w:tcW w:w="1489" w:type="dxa"/>
          </w:tcPr>
          <w:p>
            <w:pPr>
              <w:pStyle w:val="TableParagraph"/>
              <w:spacing w:before="2"/>
              <w:ind w:left="307"/>
              <w:rPr>
                <w:sz w:val="26"/>
              </w:rPr>
            </w:pPr>
            <w:r>
              <w:rPr>
                <w:sz w:val="26"/>
              </w:rPr>
              <w:t>Model 2</w:t>
            </w:r>
          </w:p>
        </w:tc>
        <w:tc>
          <w:tcPr>
            <w:tcW w:w="2158" w:type="dxa"/>
          </w:tcPr>
          <w:p>
            <w:pPr>
              <w:pStyle w:val="TableParagraph"/>
              <w:spacing w:before="2"/>
              <w:ind w:left="223" w:right="220"/>
              <w:jc w:val="center"/>
              <w:rPr>
                <w:sz w:val="26"/>
              </w:rPr>
            </w:pPr>
            <w:r>
              <w:rPr>
                <w:sz w:val="26"/>
              </w:rPr>
              <w:t>-3.4356</w:t>
            </w:r>
          </w:p>
        </w:tc>
        <w:tc>
          <w:tcPr>
            <w:tcW w:w="1525" w:type="dxa"/>
          </w:tcPr>
          <w:p>
            <w:pPr>
              <w:pStyle w:val="TableParagraph"/>
              <w:spacing w:before="2"/>
              <w:ind w:left="5"/>
              <w:jc w:val="center"/>
              <w:rPr>
                <w:sz w:val="26"/>
              </w:rPr>
            </w:pPr>
            <w:r>
              <w:rPr>
                <w:w w:val="99"/>
                <w:sz w:val="26"/>
              </w:rPr>
              <w:t>2</w:t>
            </w:r>
          </w:p>
        </w:tc>
        <w:tc>
          <w:tcPr>
            <w:tcW w:w="1376" w:type="dxa"/>
          </w:tcPr>
          <w:p>
            <w:pPr>
              <w:pStyle w:val="TableParagraph"/>
              <w:spacing w:before="2"/>
              <w:ind w:left="262"/>
              <w:rPr>
                <w:sz w:val="26"/>
              </w:rPr>
            </w:pPr>
            <w:r>
              <w:rPr>
                <w:sz w:val="26"/>
              </w:rPr>
              <w:t>0.07284</w:t>
            </w:r>
          </w:p>
        </w:tc>
      </w:tr>
      <w:tr>
        <w:trPr>
          <w:trHeight w:val="299" w:hRule="atLeast"/>
        </w:trPr>
        <w:tc>
          <w:tcPr>
            <w:tcW w:w="1489" w:type="dxa"/>
          </w:tcPr>
          <w:p>
            <w:pPr>
              <w:pStyle w:val="TableParagraph"/>
              <w:spacing w:line="278" w:lineRule="exact" w:before="2"/>
              <w:ind w:left="307"/>
              <w:rPr>
                <w:sz w:val="26"/>
              </w:rPr>
            </w:pPr>
            <w:r>
              <w:rPr>
                <w:sz w:val="26"/>
              </w:rPr>
              <w:t>Model 3</w:t>
            </w:r>
          </w:p>
        </w:tc>
        <w:tc>
          <w:tcPr>
            <w:tcW w:w="2158" w:type="dxa"/>
          </w:tcPr>
          <w:p>
            <w:pPr>
              <w:pStyle w:val="TableParagraph"/>
              <w:spacing w:line="278" w:lineRule="exact" w:before="2"/>
              <w:ind w:left="223" w:right="220"/>
              <w:jc w:val="center"/>
              <w:rPr>
                <w:sz w:val="26"/>
              </w:rPr>
            </w:pPr>
            <w:r>
              <w:rPr>
                <w:sz w:val="26"/>
              </w:rPr>
              <w:t>-3.3939</w:t>
            </w:r>
          </w:p>
        </w:tc>
        <w:tc>
          <w:tcPr>
            <w:tcW w:w="1525" w:type="dxa"/>
          </w:tcPr>
          <w:p>
            <w:pPr>
              <w:pStyle w:val="TableParagraph"/>
              <w:spacing w:line="278" w:lineRule="exact" w:before="2"/>
              <w:ind w:left="5"/>
              <w:jc w:val="center"/>
              <w:rPr>
                <w:sz w:val="26"/>
              </w:rPr>
            </w:pPr>
            <w:r>
              <w:rPr>
                <w:w w:val="99"/>
                <w:sz w:val="26"/>
              </w:rPr>
              <w:t>2</w:t>
            </w:r>
          </w:p>
        </w:tc>
        <w:tc>
          <w:tcPr>
            <w:tcW w:w="1376" w:type="dxa"/>
          </w:tcPr>
          <w:p>
            <w:pPr>
              <w:pStyle w:val="TableParagraph"/>
              <w:spacing w:line="278" w:lineRule="exact" w:before="2"/>
              <w:ind w:left="262"/>
              <w:rPr>
                <w:sz w:val="26"/>
              </w:rPr>
            </w:pPr>
            <w:r>
              <w:rPr>
                <w:sz w:val="26"/>
              </w:rPr>
              <w:t>0.07863</w:t>
            </w:r>
          </w:p>
        </w:tc>
      </w:tr>
      <w:tr>
        <w:trPr>
          <w:trHeight w:val="385" w:hRule="atLeast"/>
        </w:trPr>
        <w:tc>
          <w:tcPr>
            <w:tcW w:w="1489" w:type="dxa"/>
          </w:tcPr>
          <w:p>
            <w:pPr>
              <w:pStyle w:val="TableParagraph"/>
              <w:spacing w:line="298" w:lineRule="exact"/>
              <w:ind w:left="307"/>
              <w:rPr>
                <w:sz w:val="26"/>
              </w:rPr>
            </w:pPr>
            <w:r>
              <w:rPr>
                <w:sz w:val="26"/>
              </w:rPr>
              <w:t>Model 4</w:t>
            </w:r>
          </w:p>
        </w:tc>
        <w:tc>
          <w:tcPr>
            <w:tcW w:w="2158" w:type="dxa"/>
          </w:tcPr>
          <w:p>
            <w:pPr>
              <w:pStyle w:val="TableParagraph"/>
              <w:spacing w:line="298" w:lineRule="exact"/>
              <w:ind w:left="223" w:right="220"/>
              <w:jc w:val="center"/>
              <w:rPr>
                <w:sz w:val="26"/>
              </w:rPr>
            </w:pPr>
            <w:r>
              <w:rPr>
                <w:sz w:val="26"/>
              </w:rPr>
              <w:t>-3.9322</w:t>
            </w:r>
          </w:p>
        </w:tc>
        <w:tc>
          <w:tcPr>
            <w:tcW w:w="1525" w:type="dxa"/>
          </w:tcPr>
          <w:p>
            <w:pPr>
              <w:pStyle w:val="TableParagraph"/>
              <w:spacing w:line="298" w:lineRule="exact"/>
              <w:ind w:left="5"/>
              <w:jc w:val="center"/>
              <w:rPr>
                <w:sz w:val="26"/>
              </w:rPr>
            </w:pPr>
            <w:r>
              <w:rPr>
                <w:w w:val="99"/>
                <w:sz w:val="26"/>
              </w:rPr>
              <w:t>2</w:t>
            </w:r>
          </w:p>
        </w:tc>
        <w:tc>
          <w:tcPr>
            <w:tcW w:w="1376" w:type="dxa"/>
          </w:tcPr>
          <w:p>
            <w:pPr>
              <w:pStyle w:val="TableParagraph"/>
              <w:spacing w:line="298" w:lineRule="exact"/>
              <w:ind w:left="262"/>
              <w:rPr>
                <w:sz w:val="26"/>
              </w:rPr>
            </w:pPr>
            <w:r>
              <w:rPr>
                <w:sz w:val="26"/>
              </w:rPr>
              <w:t>0.02627</w:t>
            </w:r>
          </w:p>
        </w:tc>
      </w:tr>
    </w:tbl>
    <w:p>
      <w:pPr>
        <w:pStyle w:val="BodyText"/>
        <w:spacing w:before="1"/>
        <w:rPr>
          <w:sz w:val="39"/>
        </w:rPr>
      </w:pPr>
    </w:p>
    <w:p>
      <w:pPr>
        <w:pStyle w:val="BodyText"/>
        <w:ind w:left="1602"/>
      </w:pPr>
      <w:r>
        <w:rPr>
          <w:position w:val="2"/>
        </w:rPr>
        <w:t>H</w:t>
      </w:r>
      <w:r>
        <w:rPr>
          <w:sz w:val="17"/>
        </w:rPr>
        <w:t>0</w:t>
      </w:r>
      <w:r>
        <w:rPr>
          <w:position w:val="2"/>
        </w:rPr>
        <w:t>: Phần dư của mô hình không có tính dừng</w:t>
      </w:r>
    </w:p>
    <w:p>
      <w:pPr>
        <w:pStyle w:val="BodyText"/>
        <w:spacing w:before="150"/>
        <w:ind w:left="1602"/>
      </w:pPr>
      <w:r>
        <w:rPr/>
        <w:t>Phần dư của các mô đều có tính dừng với mức ý nghĩa tương ứng 5% và 10%</w:t>
      </w:r>
    </w:p>
    <w:p>
      <w:pPr>
        <w:spacing w:after="0"/>
        <w:sectPr>
          <w:pgSz w:w="11910" w:h="16850"/>
          <w:pgMar w:header="751" w:footer="0" w:top="960" w:bottom="280" w:left="820" w:right="240"/>
        </w:sectPr>
      </w:pPr>
    </w:p>
    <w:p>
      <w:pPr>
        <w:pStyle w:val="BodyText"/>
        <w:rPr>
          <w:sz w:val="20"/>
        </w:rPr>
      </w:pPr>
    </w:p>
    <w:p>
      <w:pPr>
        <w:pStyle w:val="BodyText"/>
        <w:rPr>
          <w:sz w:val="20"/>
        </w:rPr>
      </w:pPr>
    </w:p>
    <w:p>
      <w:pPr>
        <w:pStyle w:val="BodyText"/>
        <w:rPr>
          <w:sz w:val="20"/>
        </w:rPr>
      </w:pPr>
    </w:p>
    <w:p>
      <w:pPr>
        <w:pStyle w:val="BodyText"/>
        <w:spacing w:before="8"/>
        <w:rPr>
          <w:sz w:val="22"/>
        </w:rPr>
      </w:pPr>
    </w:p>
    <w:p>
      <w:pPr>
        <w:pStyle w:val="BodyText"/>
        <w:spacing w:before="88"/>
        <w:ind w:left="903"/>
      </w:pPr>
      <w:r>
        <w:rPr>
          <w:b/>
        </w:rPr>
        <w:t>Bảng 4.7 </w:t>
      </w:r>
      <w:r>
        <w:rPr/>
        <w:t>Kiểm định tính phân phối chuẩn của phần dư mô hình bằng Jarque Bera Test</w:t>
      </w:r>
    </w:p>
    <w:p>
      <w:pPr>
        <w:pStyle w:val="BodyText"/>
        <w:spacing w:before="10"/>
        <w:rPr>
          <w:sz w:val="12"/>
        </w:rPr>
      </w:pPr>
    </w:p>
    <w:tbl>
      <w:tblPr>
        <w:tblW w:w="0" w:type="auto"/>
        <w:jc w:val="left"/>
        <w:tblInd w:w="226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1436"/>
        <w:gridCol w:w="2081"/>
        <w:gridCol w:w="1472"/>
        <w:gridCol w:w="1326"/>
      </w:tblGrid>
      <w:tr>
        <w:trPr>
          <w:trHeight w:val="297" w:hRule="atLeast"/>
        </w:trPr>
        <w:tc>
          <w:tcPr>
            <w:tcW w:w="1436" w:type="dxa"/>
          </w:tcPr>
          <w:p>
            <w:pPr>
              <w:pStyle w:val="TableParagraph"/>
              <w:spacing w:line="277" w:lineRule="exact"/>
              <w:ind w:left="309"/>
              <w:rPr>
                <w:b/>
                <w:sz w:val="26"/>
              </w:rPr>
            </w:pPr>
            <w:r>
              <w:rPr>
                <w:b/>
                <w:sz w:val="26"/>
              </w:rPr>
              <w:t>Models</w:t>
            </w:r>
          </w:p>
        </w:tc>
        <w:tc>
          <w:tcPr>
            <w:tcW w:w="2081" w:type="dxa"/>
          </w:tcPr>
          <w:p>
            <w:pPr>
              <w:pStyle w:val="TableParagraph"/>
              <w:spacing w:line="277" w:lineRule="exact"/>
              <w:ind w:left="465" w:right="394"/>
              <w:jc w:val="center"/>
              <w:rPr>
                <w:b/>
                <w:sz w:val="26"/>
              </w:rPr>
            </w:pPr>
            <w:r>
              <w:rPr>
                <w:b/>
                <w:sz w:val="26"/>
              </w:rPr>
              <w:t>X-squared</w:t>
            </w:r>
          </w:p>
        </w:tc>
        <w:tc>
          <w:tcPr>
            <w:tcW w:w="1472" w:type="dxa"/>
          </w:tcPr>
          <w:p>
            <w:pPr>
              <w:pStyle w:val="TableParagraph"/>
              <w:spacing w:line="277" w:lineRule="exact"/>
              <w:ind w:left="595" w:right="594"/>
              <w:jc w:val="center"/>
              <w:rPr>
                <w:b/>
                <w:sz w:val="26"/>
              </w:rPr>
            </w:pPr>
            <w:r>
              <w:rPr>
                <w:b/>
                <w:sz w:val="26"/>
              </w:rPr>
              <w:t>df</w:t>
            </w:r>
          </w:p>
        </w:tc>
        <w:tc>
          <w:tcPr>
            <w:tcW w:w="1326" w:type="dxa"/>
          </w:tcPr>
          <w:p>
            <w:pPr>
              <w:pStyle w:val="TableParagraph"/>
              <w:spacing w:line="277" w:lineRule="exact"/>
              <w:ind w:left="217" w:right="211"/>
              <w:jc w:val="center"/>
              <w:rPr>
                <w:b/>
                <w:sz w:val="26"/>
              </w:rPr>
            </w:pPr>
            <w:r>
              <w:rPr>
                <w:b/>
                <w:sz w:val="26"/>
              </w:rPr>
              <w:t>p-value</w:t>
            </w:r>
          </w:p>
        </w:tc>
      </w:tr>
      <w:tr>
        <w:trPr>
          <w:trHeight w:val="345" w:hRule="atLeast"/>
        </w:trPr>
        <w:tc>
          <w:tcPr>
            <w:tcW w:w="1436" w:type="dxa"/>
          </w:tcPr>
          <w:p>
            <w:pPr>
              <w:pStyle w:val="TableParagraph"/>
              <w:spacing w:before="2"/>
              <w:ind w:left="278"/>
              <w:rPr>
                <w:sz w:val="26"/>
              </w:rPr>
            </w:pPr>
            <w:r>
              <w:rPr>
                <w:sz w:val="26"/>
              </w:rPr>
              <w:t>Model 1</w:t>
            </w:r>
          </w:p>
        </w:tc>
        <w:tc>
          <w:tcPr>
            <w:tcW w:w="2081" w:type="dxa"/>
          </w:tcPr>
          <w:p>
            <w:pPr>
              <w:pStyle w:val="TableParagraph"/>
              <w:spacing w:before="2"/>
              <w:ind w:left="398" w:right="394"/>
              <w:jc w:val="center"/>
              <w:rPr>
                <w:sz w:val="26"/>
              </w:rPr>
            </w:pPr>
            <w:r>
              <w:rPr>
                <w:sz w:val="26"/>
              </w:rPr>
              <w:t>3.5092</w:t>
            </w:r>
          </w:p>
        </w:tc>
        <w:tc>
          <w:tcPr>
            <w:tcW w:w="1472" w:type="dxa"/>
          </w:tcPr>
          <w:p>
            <w:pPr>
              <w:pStyle w:val="TableParagraph"/>
              <w:spacing w:before="2"/>
              <w:ind w:left="1"/>
              <w:jc w:val="center"/>
              <w:rPr>
                <w:sz w:val="26"/>
              </w:rPr>
            </w:pPr>
            <w:r>
              <w:rPr>
                <w:w w:val="99"/>
                <w:sz w:val="26"/>
              </w:rPr>
              <w:t>2</w:t>
            </w:r>
          </w:p>
        </w:tc>
        <w:tc>
          <w:tcPr>
            <w:tcW w:w="1326" w:type="dxa"/>
          </w:tcPr>
          <w:p>
            <w:pPr>
              <w:pStyle w:val="TableParagraph"/>
              <w:spacing w:before="2"/>
              <w:ind w:left="217" w:right="213"/>
              <w:jc w:val="center"/>
              <w:rPr>
                <w:sz w:val="26"/>
              </w:rPr>
            </w:pPr>
            <w:r>
              <w:rPr>
                <w:sz w:val="26"/>
              </w:rPr>
              <w:t>0.173</w:t>
            </w:r>
          </w:p>
        </w:tc>
      </w:tr>
      <w:tr>
        <w:trPr>
          <w:trHeight w:val="337" w:hRule="atLeast"/>
        </w:trPr>
        <w:tc>
          <w:tcPr>
            <w:tcW w:w="1436" w:type="dxa"/>
          </w:tcPr>
          <w:p>
            <w:pPr>
              <w:pStyle w:val="TableParagraph"/>
              <w:spacing w:before="2"/>
              <w:ind w:left="278"/>
              <w:rPr>
                <w:sz w:val="26"/>
              </w:rPr>
            </w:pPr>
            <w:r>
              <w:rPr>
                <w:sz w:val="26"/>
              </w:rPr>
              <w:t>Model 2</w:t>
            </w:r>
          </w:p>
        </w:tc>
        <w:tc>
          <w:tcPr>
            <w:tcW w:w="2081" w:type="dxa"/>
          </w:tcPr>
          <w:p>
            <w:pPr>
              <w:pStyle w:val="TableParagraph"/>
              <w:spacing w:before="2"/>
              <w:ind w:left="398" w:right="394"/>
              <w:jc w:val="center"/>
              <w:rPr>
                <w:sz w:val="26"/>
              </w:rPr>
            </w:pPr>
            <w:r>
              <w:rPr>
                <w:sz w:val="26"/>
              </w:rPr>
              <w:t>2.7619</w:t>
            </w:r>
          </w:p>
        </w:tc>
        <w:tc>
          <w:tcPr>
            <w:tcW w:w="1472" w:type="dxa"/>
          </w:tcPr>
          <w:p>
            <w:pPr>
              <w:pStyle w:val="TableParagraph"/>
              <w:spacing w:before="2"/>
              <w:ind w:left="1"/>
              <w:jc w:val="center"/>
              <w:rPr>
                <w:sz w:val="26"/>
              </w:rPr>
            </w:pPr>
            <w:r>
              <w:rPr>
                <w:w w:val="99"/>
                <w:sz w:val="26"/>
              </w:rPr>
              <w:t>2</w:t>
            </w:r>
          </w:p>
        </w:tc>
        <w:tc>
          <w:tcPr>
            <w:tcW w:w="1326" w:type="dxa"/>
          </w:tcPr>
          <w:p>
            <w:pPr>
              <w:pStyle w:val="TableParagraph"/>
              <w:spacing w:before="2"/>
              <w:ind w:left="217" w:right="213"/>
              <w:jc w:val="center"/>
              <w:rPr>
                <w:sz w:val="26"/>
              </w:rPr>
            </w:pPr>
            <w:r>
              <w:rPr>
                <w:sz w:val="26"/>
              </w:rPr>
              <w:t>0.2513</w:t>
            </w:r>
          </w:p>
        </w:tc>
      </w:tr>
      <w:tr>
        <w:trPr>
          <w:trHeight w:val="299" w:hRule="atLeast"/>
        </w:trPr>
        <w:tc>
          <w:tcPr>
            <w:tcW w:w="1436" w:type="dxa"/>
          </w:tcPr>
          <w:p>
            <w:pPr>
              <w:pStyle w:val="TableParagraph"/>
              <w:spacing w:line="278" w:lineRule="exact" w:before="2"/>
              <w:ind w:left="278"/>
              <w:rPr>
                <w:sz w:val="26"/>
              </w:rPr>
            </w:pPr>
            <w:r>
              <w:rPr>
                <w:sz w:val="26"/>
              </w:rPr>
              <w:t>Model 3</w:t>
            </w:r>
          </w:p>
        </w:tc>
        <w:tc>
          <w:tcPr>
            <w:tcW w:w="2081" w:type="dxa"/>
          </w:tcPr>
          <w:p>
            <w:pPr>
              <w:pStyle w:val="TableParagraph"/>
              <w:spacing w:line="278" w:lineRule="exact" w:before="2"/>
              <w:ind w:left="398" w:right="394"/>
              <w:jc w:val="center"/>
              <w:rPr>
                <w:sz w:val="26"/>
              </w:rPr>
            </w:pPr>
            <w:r>
              <w:rPr>
                <w:sz w:val="26"/>
              </w:rPr>
              <w:t>1.0424</w:t>
            </w:r>
          </w:p>
        </w:tc>
        <w:tc>
          <w:tcPr>
            <w:tcW w:w="1472" w:type="dxa"/>
          </w:tcPr>
          <w:p>
            <w:pPr>
              <w:pStyle w:val="TableParagraph"/>
              <w:spacing w:line="278" w:lineRule="exact" w:before="2"/>
              <w:ind w:left="1"/>
              <w:jc w:val="center"/>
              <w:rPr>
                <w:sz w:val="26"/>
              </w:rPr>
            </w:pPr>
            <w:r>
              <w:rPr>
                <w:w w:val="99"/>
                <w:sz w:val="26"/>
              </w:rPr>
              <w:t>2</w:t>
            </w:r>
          </w:p>
        </w:tc>
        <w:tc>
          <w:tcPr>
            <w:tcW w:w="1326" w:type="dxa"/>
          </w:tcPr>
          <w:p>
            <w:pPr>
              <w:pStyle w:val="TableParagraph"/>
              <w:spacing w:line="278" w:lineRule="exact" w:before="2"/>
              <w:ind w:left="217" w:right="213"/>
              <w:jc w:val="center"/>
              <w:rPr>
                <w:sz w:val="26"/>
              </w:rPr>
            </w:pPr>
            <w:r>
              <w:rPr>
                <w:sz w:val="26"/>
              </w:rPr>
              <w:t>0.5938</w:t>
            </w:r>
          </w:p>
        </w:tc>
      </w:tr>
      <w:tr>
        <w:trPr>
          <w:trHeight w:val="345" w:hRule="atLeast"/>
        </w:trPr>
        <w:tc>
          <w:tcPr>
            <w:tcW w:w="1436" w:type="dxa"/>
          </w:tcPr>
          <w:p>
            <w:pPr>
              <w:pStyle w:val="TableParagraph"/>
              <w:spacing w:before="2"/>
              <w:ind w:left="278"/>
              <w:rPr>
                <w:sz w:val="26"/>
              </w:rPr>
            </w:pPr>
            <w:r>
              <w:rPr>
                <w:sz w:val="26"/>
              </w:rPr>
              <w:t>Model 4</w:t>
            </w:r>
          </w:p>
        </w:tc>
        <w:tc>
          <w:tcPr>
            <w:tcW w:w="2081" w:type="dxa"/>
          </w:tcPr>
          <w:p>
            <w:pPr>
              <w:pStyle w:val="TableParagraph"/>
              <w:spacing w:before="2"/>
              <w:ind w:left="398" w:right="394"/>
              <w:jc w:val="center"/>
              <w:rPr>
                <w:sz w:val="26"/>
              </w:rPr>
            </w:pPr>
            <w:r>
              <w:rPr>
                <w:sz w:val="26"/>
              </w:rPr>
              <w:t>4.9811</w:t>
            </w:r>
          </w:p>
        </w:tc>
        <w:tc>
          <w:tcPr>
            <w:tcW w:w="1472" w:type="dxa"/>
          </w:tcPr>
          <w:p>
            <w:pPr>
              <w:pStyle w:val="TableParagraph"/>
              <w:spacing w:before="2"/>
              <w:ind w:left="1"/>
              <w:jc w:val="center"/>
              <w:rPr>
                <w:sz w:val="26"/>
              </w:rPr>
            </w:pPr>
            <w:r>
              <w:rPr>
                <w:w w:val="99"/>
                <w:sz w:val="26"/>
              </w:rPr>
              <w:t>2</w:t>
            </w:r>
          </w:p>
        </w:tc>
        <w:tc>
          <w:tcPr>
            <w:tcW w:w="1326" w:type="dxa"/>
          </w:tcPr>
          <w:p>
            <w:pPr>
              <w:pStyle w:val="TableParagraph"/>
              <w:spacing w:before="2"/>
              <w:ind w:left="217" w:right="213"/>
              <w:jc w:val="center"/>
              <w:rPr>
                <w:sz w:val="26"/>
              </w:rPr>
            </w:pPr>
            <w:r>
              <w:rPr>
                <w:sz w:val="26"/>
              </w:rPr>
              <w:t>0.08287</w:t>
            </w:r>
          </w:p>
        </w:tc>
      </w:tr>
    </w:tbl>
    <w:p>
      <w:pPr>
        <w:pStyle w:val="BodyText"/>
        <w:spacing w:before="1"/>
        <w:ind w:left="1602"/>
        <w:jc w:val="both"/>
      </w:pPr>
      <w:r>
        <w:rPr>
          <w:position w:val="2"/>
        </w:rPr>
        <w:t>H</w:t>
      </w:r>
      <w:r>
        <w:rPr>
          <w:sz w:val="17"/>
        </w:rPr>
        <w:t>0</w:t>
      </w:r>
      <w:r>
        <w:rPr>
          <w:position w:val="2"/>
        </w:rPr>
        <w:t>: Phần dư của mô hình tuân theo phân phối chuẩn</w:t>
      </w:r>
    </w:p>
    <w:p>
      <w:pPr>
        <w:pStyle w:val="BodyText"/>
        <w:spacing w:line="360" w:lineRule="auto" w:before="150"/>
        <w:ind w:left="882" w:right="892" w:firstLine="719"/>
        <w:jc w:val="both"/>
      </w:pPr>
      <w:r>
        <w:rPr/>
        <w:t>Bảng kết quả trên cho thấy phần dư của tất cả các mô hình đều tuân theo phân phối chuẩn. Như vậy, ta có thể sử dụng các mô hình này để dự báo số TEU trong các năm tiếp theo.</w:t>
      </w:r>
    </w:p>
    <w:p>
      <w:pPr>
        <w:pStyle w:val="BodyText"/>
      </w:pPr>
    </w:p>
    <w:p>
      <w:pPr>
        <w:pStyle w:val="Heading6"/>
        <w:spacing w:line="360" w:lineRule="auto"/>
        <w:ind w:left="4768" w:right="1121" w:hanging="3642"/>
        <w:jc w:val="left"/>
      </w:pPr>
      <w:r>
        <w:rPr/>
        <w:t>Bảng 4.8 Dự báo sản lượng container thông qua cụm cảng miền bắc giai đoạn 2021 –</w:t>
      </w:r>
      <w:r>
        <w:rPr>
          <w:spacing w:val="-3"/>
        </w:rPr>
        <w:t> </w:t>
      </w:r>
      <w:r>
        <w:rPr/>
        <w:t>2025</w:t>
      </w:r>
    </w:p>
    <w:tbl>
      <w:tblPr>
        <w:tblW w:w="0" w:type="auto"/>
        <w:jc w:val="left"/>
        <w:tblInd w:w="183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960"/>
        <w:gridCol w:w="1712"/>
        <w:gridCol w:w="1126"/>
        <w:gridCol w:w="1126"/>
        <w:gridCol w:w="1126"/>
        <w:gridCol w:w="1129"/>
      </w:tblGrid>
      <w:tr>
        <w:trPr>
          <w:trHeight w:val="302" w:hRule="atLeast"/>
        </w:trPr>
        <w:tc>
          <w:tcPr>
            <w:tcW w:w="960" w:type="dxa"/>
          </w:tcPr>
          <w:p>
            <w:pPr>
              <w:pStyle w:val="TableParagraph"/>
              <w:rPr>
                <w:sz w:val="22"/>
              </w:rPr>
            </w:pPr>
          </w:p>
        </w:tc>
        <w:tc>
          <w:tcPr>
            <w:tcW w:w="1712" w:type="dxa"/>
          </w:tcPr>
          <w:p>
            <w:pPr>
              <w:pStyle w:val="TableParagraph"/>
              <w:spacing w:line="281" w:lineRule="exact" w:before="1"/>
              <w:ind w:right="99"/>
              <w:jc w:val="right"/>
              <w:rPr>
                <w:sz w:val="26"/>
              </w:rPr>
            </w:pPr>
            <w:r>
              <w:rPr>
                <w:w w:val="95"/>
                <w:sz w:val="26"/>
              </w:rPr>
              <w:t>Point.Forecast</w:t>
            </w:r>
          </w:p>
        </w:tc>
        <w:tc>
          <w:tcPr>
            <w:tcW w:w="1126" w:type="dxa"/>
          </w:tcPr>
          <w:p>
            <w:pPr>
              <w:pStyle w:val="TableParagraph"/>
              <w:spacing w:line="281" w:lineRule="exact" w:before="1"/>
              <w:ind w:left="107"/>
              <w:rPr>
                <w:sz w:val="26"/>
              </w:rPr>
            </w:pPr>
            <w:r>
              <w:rPr>
                <w:sz w:val="26"/>
              </w:rPr>
              <w:t>Lo.80</w:t>
            </w:r>
          </w:p>
        </w:tc>
        <w:tc>
          <w:tcPr>
            <w:tcW w:w="1126" w:type="dxa"/>
          </w:tcPr>
          <w:p>
            <w:pPr>
              <w:pStyle w:val="TableParagraph"/>
              <w:spacing w:line="281" w:lineRule="exact" w:before="1"/>
              <w:ind w:left="107"/>
              <w:rPr>
                <w:sz w:val="26"/>
              </w:rPr>
            </w:pPr>
            <w:r>
              <w:rPr>
                <w:sz w:val="26"/>
              </w:rPr>
              <w:t>Hi.80</w:t>
            </w:r>
          </w:p>
        </w:tc>
        <w:tc>
          <w:tcPr>
            <w:tcW w:w="1126" w:type="dxa"/>
          </w:tcPr>
          <w:p>
            <w:pPr>
              <w:pStyle w:val="TableParagraph"/>
              <w:spacing w:line="281" w:lineRule="exact" w:before="1"/>
              <w:ind w:left="107"/>
              <w:rPr>
                <w:sz w:val="26"/>
              </w:rPr>
            </w:pPr>
            <w:r>
              <w:rPr>
                <w:sz w:val="26"/>
              </w:rPr>
              <w:t>Lo.95</w:t>
            </w:r>
          </w:p>
        </w:tc>
        <w:tc>
          <w:tcPr>
            <w:tcW w:w="1129" w:type="dxa"/>
          </w:tcPr>
          <w:p>
            <w:pPr>
              <w:pStyle w:val="TableParagraph"/>
              <w:spacing w:line="281" w:lineRule="exact" w:before="1"/>
              <w:ind w:left="106"/>
              <w:rPr>
                <w:sz w:val="26"/>
              </w:rPr>
            </w:pPr>
            <w:r>
              <w:rPr>
                <w:sz w:val="26"/>
              </w:rPr>
              <w:t>Hi.95</w:t>
            </w:r>
          </w:p>
        </w:tc>
      </w:tr>
      <w:tr>
        <w:trPr>
          <w:trHeight w:val="299" w:hRule="atLeast"/>
        </w:trPr>
        <w:tc>
          <w:tcPr>
            <w:tcW w:w="960" w:type="dxa"/>
          </w:tcPr>
          <w:p>
            <w:pPr>
              <w:pStyle w:val="TableParagraph"/>
              <w:spacing w:line="280" w:lineRule="exact"/>
              <w:ind w:left="107"/>
              <w:rPr>
                <w:sz w:val="26"/>
              </w:rPr>
            </w:pPr>
            <w:r>
              <w:rPr>
                <w:sz w:val="26"/>
              </w:rPr>
              <w:t>2021</w:t>
            </w:r>
          </w:p>
        </w:tc>
        <w:tc>
          <w:tcPr>
            <w:tcW w:w="1712" w:type="dxa"/>
          </w:tcPr>
          <w:p>
            <w:pPr>
              <w:pStyle w:val="TableParagraph"/>
              <w:spacing w:line="280" w:lineRule="exact"/>
              <w:ind w:right="98"/>
              <w:jc w:val="right"/>
              <w:rPr>
                <w:sz w:val="26"/>
              </w:rPr>
            </w:pPr>
            <w:r>
              <w:rPr>
                <w:w w:val="95"/>
                <w:sz w:val="26"/>
              </w:rPr>
              <w:t>3891067</w:t>
            </w:r>
          </w:p>
        </w:tc>
        <w:tc>
          <w:tcPr>
            <w:tcW w:w="1126" w:type="dxa"/>
          </w:tcPr>
          <w:p>
            <w:pPr>
              <w:pStyle w:val="TableParagraph"/>
              <w:spacing w:line="280" w:lineRule="exact"/>
              <w:ind w:left="107"/>
              <w:rPr>
                <w:sz w:val="26"/>
              </w:rPr>
            </w:pPr>
            <w:r>
              <w:rPr>
                <w:sz w:val="26"/>
              </w:rPr>
              <w:t>3657801</w:t>
            </w:r>
          </w:p>
        </w:tc>
        <w:tc>
          <w:tcPr>
            <w:tcW w:w="1126" w:type="dxa"/>
          </w:tcPr>
          <w:p>
            <w:pPr>
              <w:pStyle w:val="TableParagraph"/>
              <w:spacing w:line="280" w:lineRule="exact"/>
              <w:ind w:left="107"/>
              <w:rPr>
                <w:sz w:val="26"/>
              </w:rPr>
            </w:pPr>
            <w:r>
              <w:rPr>
                <w:sz w:val="26"/>
              </w:rPr>
              <w:t>4124333</w:t>
            </w:r>
          </w:p>
        </w:tc>
        <w:tc>
          <w:tcPr>
            <w:tcW w:w="1126" w:type="dxa"/>
          </w:tcPr>
          <w:p>
            <w:pPr>
              <w:pStyle w:val="TableParagraph"/>
              <w:spacing w:line="280" w:lineRule="exact"/>
              <w:ind w:left="107"/>
              <w:rPr>
                <w:sz w:val="26"/>
              </w:rPr>
            </w:pPr>
            <w:r>
              <w:rPr>
                <w:sz w:val="26"/>
              </w:rPr>
              <w:t>3534317</w:t>
            </w:r>
          </w:p>
        </w:tc>
        <w:tc>
          <w:tcPr>
            <w:tcW w:w="1129" w:type="dxa"/>
          </w:tcPr>
          <w:p>
            <w:pPr>
              <w:pStyle w:val="TableParagraph"/>
              <w:spacing w:line="280" w:lineRule="exact"/>
              <w:ind w:left="106"/>
              <w:rPr>
                <w:sz w:val="26"/>
              </w:rPr>
            </w:pPr>
            <w:r>
              <w:rPr>
                <w:sz w:val="26"/>
              </w:rPr>
              <w:t>4247817</w:t>
            </w:r>
          </w:p>
        </w:tc>
      </w:tr>
      <w:tr>
        <w:trPr>
          <w:trHeight w:val="299" w:hRule="atLeast"/>
        </w:trPr>
        <w:tc>
          <w:tcPr>
            <w:tcW w:w="960" w:type="dxa"/>
          </w:tcPr>
          <w:p>
            <w:pPr>
              <w:pStyle w:val="TableParagraph"/>
              <w:spacing w:line="280" w:lineRule="exact"/>
              <w:ind w:left="107"/>
              <w:rPr>
                <w:sz w:val="26"/>
              </w:rPr>
            </w:pPr>
            <w:r>
              <w:rPr>
                <w:sz w:val="26"/>
              </w:rPr>
              <w:t>2022</w:t>
            </w:r>
          </w:p>
        </w:tc>
        <w:tc>
          <w:tcPr>
            <w:tcW w:w="1712" w:type="dxa"/>
          </w:tcPr>
          <w:p>
            <w:pPr>
              <w:pStyle w:val="TableParagraph"/>
              <w:spacing w:line="280" w:lineRule="exact"/>
              <w:ind w:right="98"/>
              <w:jc w:val="right"/>
              <w:rPr>
                <w:sz w:val="26"/>
              </w:rPr>
            </w:pPr>
            <w:r>
              <w:rPr>
                <w:w w:val="95"/>
                <w:sz w:val="26"/>
              </w:rPr>
              <w:t>4065814</w:t>
            </w:r>
          </w:p>
        </w:tc>
        <w:tc>
          <w:tcPr>
            <w:tcW w:w="1126" w:type="dxa"/>
          </w:tcPr>
          <w:p>
            <w:pPr>
              <w:pStyle w:val="TableParagraph"/>
              <w:spacing w:line="280" w:lineRule="exact"/>
              <w:ind w:left="107"/>
              <w:rPr>
                <w:sz w:val="26"/>
              </w:rPr>
            </w:pPr>
            <w:r>
              <w:rPr>
                <w:sz w:val="26"/>
              </w:rPr>
              <w:t>3735926</w:t>
            </w:r>
          </w:p>
        </w:tc>
        <w:tc>
          <w:tcPr>
            <w:tcW w:w="1126" w:type="dxa"/>
          </w:tcPr>
          <w:p>
            <w:pPr>
              <w:pStyle w:val="TableParagraph"/>
              <w:spacing w:line="280" w:lineRule="exact"/>
              <w:ind w:left="107"/>
              <w:rPr>
                <w:sz w:val="26"/>
              </w:rPr>
            </w:pPr>
            <w:r>
              <w:rPr>
                <w:sz w:val="26"/>
              </w:rPr>
              <w:t>4395702</w:t>
            </w:r>
          </w:p>
        </w:tc>
        <w:tc>
          <w:tcPr>
            <w:tcW w:w="1126" w:type="dxa"/>
          </w:tcPr>
          <w:p>
            <w:pPr>
              <w:pStyle w:val="TableParagraph"/>
              <w:spacing w:line="280" w:lineRule="exact"/>
              <w:ind w:left="107"/>
              <w:rPr>
                <w:sz w:val="26"/>
              </w:rPr>
            </w:pPr>
            <w:r>
              <w:rPr>
                <w:sz w:val="26"/>
              </w:rPr>
              <w:t>3561293</w:t>
            </w:r>
          </w:p>
        </w:tc>
        <w:tc>
          <w:tcPr>
            <w:tcW w:w="1129" w:type="dxa"/>
          </w:tcPr>
          <w:p>
            <w:pPr>
              <w:pStyle w:val="TableParagraph"/>
              <w:spacing w:line="280" w:lineRule="exact"/>
              <w:ind w:left="106"/>
              <w:rPr>
                <w:sz w:val="26"/>
              </w:rPr>
            </w:pPr>
            <w:r>
              <w:rPr>
                <w:sz w:val="26"/>
              </w:rPr>
              <w:t>4570334</w:t>
            </w:r>
          </w:p>
        </w:tc>
      </w:tr>
      <w:tr>
        <w:trPr>
          <w:trHeight w:val="299" w:hRule="atLeast"/>
        </w:trPr>
        <w:tc>
          <w:tcPr>
            <w:tcW w:w="960" w:type="dxa"/>
          </w:tcPr>
          <w:p>
            <w:pPr>
              <w:pStyle w:val="TableParagraph"/>
              <w:spacing w:line="280" w:lineRule="exact"/>
              <w:ind w:left="107"/>
              <w:rPr>
                <w:sz w:val="26"/>
              </w:rPr>
            </w:pPr>
            <w:r>
              <w:rPr>
                <w:sz w:val="26"/>
              </w:rPr>
              <w:t>2023</w:t>
            </w:r>
          </w:p>
        </w:tc>
        <w:tc>
          <w:tcPr>
            <w:tcW w:w="1712" w:type="dxa"/>
          </w:tcPr>
          <w:p>
            <w:pPr>
              <w:pStyle w:val="TableParagraph"/>
              <w:spacing w:line="280" w:lineRule="exact"/>
              <w:ind w:right="98"/>
              <w:jc w:val="right"/>
              <w:rPr>
                <w:sz w:val="26"/>
              </w:rPr>
            </w:pPr>
            <w:r>
              <w:rPr>
                <w:w w:val="95"/>
                <w:sz w:val="26"/>
              </w:rPr>
              <w:t>4240561</w:t>
            </w:r>
          </w:p>
        </w:tc>
        <w:tc>
          <w:tcPr>
            <w:tcW w:w="1126" w:type="dxa"/>
          </w:tcPr>
          <w:p>
            <w:pPr>
              <w:pStyle w:val="TableParagraph"/>
              <w:spacing w:line="280" w:lineRule="exact"/>
              <w:ind w:left="107"/>
              <w:rPr>
                <w:sz w:val="26"/>
              </w:rPr>
            </w:pPr>
            <w:r>
              <w:rPr>
                <w:sz w:val="26"/>
              </w:rPr>
              <w:t>3836532</w:t>
            </w:r>
          </w:p>
        </w:tc>
        <w:tc>
          <w:tcPr>
            <w:tcW w:w="1126" w:type="dxa"/>
          </w:tcPr>
          <w:p>
            <w:pPr>
              <w:pStyle w:val="TableParagraph"/>
              <w:spacing w:line="280" w:lineRule="exact"/>
              <w:ind w:left="107"/>
              <w:rPr>
                <w:sz w:val="26"/>
              </w:rPr>
            </w:pPr>
            <w:r>
              <w:rPr>
                <w:sz w:val="26"/>
              </w:rPr>
              <w:t>4644589</w:t>
            </w:r>
          </w:p>
        </w:tc>
        <w:tc>
          <w:tcPr>
            <w:tcW w:w="1126" w:type="dxa"/>
          </w:tcPr>
          <w:p>
            <w:pPr>
              <w:pStyle w:val="TableParagraph"/>
              <w:spacing w:line="280" w:lineRule="exact"/>
              <w:ind w:left="107"/>
              <w:rPr>
                <w:sz w:val="26"/>
              </w:rPr>
            </w:pPr>
            <w:r>
              <w:rPr>
                <w:sz w:val="26"/>
              </w:rPr>
              <w:t>3622652</w:t>
            </w:r>
          </w:p>
        </w:tc>
        <w:tc>
          <w:tcPr>
            <w:tcW w:w="1129" w:type="dxa"/>
          </w:tcPr>
          <w:p>
            <w:pPr>
              <w:pStyle w:val="TableParagraph"/>
              <w:spacing w:line="280" w:lineRule="exact"/>
              <w:ind w:left="106"/>
              <w:rPr>
                <w:sz w:val="26"/>
              </w:rPr>
            </w:pPr>
            <w:r>
              <w:rPr>
                <w:sz w:val="26"/>
              </w:rPr>
              <w:t>4858469</w:t>
            </w:r>
          </w:p>
        </w:tc>
      </w:tr>
      <w:tr>
        <w:trPr>
          <w:trHeight w:val="299" w:hRule="atLeast"/>
        </w:trPr>
        <w:tc>
          <w:tcPr>
            <w:tcW w:w="960" w:type="dxa"/>
          </w:tcPr>
          <w:p>
            <w:pPr>
              <w:pStyle w:val="TableParagraph"/>
              <w:spacing w:line="280" w:lineRule="exact"/>
              <w:ind w:left="107"/>
              <w:rPr>
                <w:sz w:val="26"/>
              </w:rPr>
            </w:pPr>
            <w:r>
              <w:rPr>
                <w:sz w:val="26"/>
              </w:rPr>
              <w:t>2024</w:t>
            </w:r>
          </w:p>
        </w:tc>
        <w:tc>
          <w:tcPr>
            <w:tcW w:w="1712" w:type="dxa"/>
          </w:tcPr>
          <w:p>
            <w:pPr>
              <w:pStyle w:val="TableParagraph"/>
              <w:spacing w:line="280" w:lineRule="exact"/>
              <w:ind w:right="98"/>
              <w:jc w:val="right"/>
              <w:rPr>
                <w:sz w:val="26"/>
              </w:rPr>
            </w:pPr>
            <w:r>
              <w:rPr>
                <w:w w:val="95"/>
                <w:sz w:val="26"/>
              </w:rPr>
              <w:t>4415308</w:t>
            </w:r>
          </w:p>
        </w:tc>
        <w:tc>
          <w:tcPr>
            <w:tcW w:w="1126" w:type="dxa"/>
          </w:tcPr>
          <w:p>
            <w:pPr>
              <w:pStyle w:val="TableParagraph"/>
              <w:spacing w:line="280" w:lineRule="exact"/>
              <w:ind w:left="107"/>
              <w:rPr>
                <w:sz w:val="26"/>
              </w:rPr>
            </w:pPr>
            <w:r>
              <w:rPr>
                <w:sz w:val="26"/>
              </w:rPr>
              <w:t>3948775</w:t>
            </w:r>
          </w:p>
        </w:tc>
        <w:tc>
          <w:tcPr>
            <w:tcW w:w="1126" w:type="dxa"/>
          </w:tcPr>
          <w:p>
            <w:pPr>
              <w:pStyle w:val="TableParagraph"/>
              <w:spacing w:line="280" w:lineRule="exact"/>
              <w:ind w:left="107"/>
              <w:rPr>
                <w:sz w:val="26"/>
              </w:rPr>
            </w:pPr>
            <w:r>
              <w:rPr>
                <w:sz w:val="26"/>
              </w:rPr>
              <w:t>4881840</w:t>
            </w:r>
          </w:p>
        </w:tc>
        <w:tc>
          <w:tcPr>
            <w:tcW w:w="1126" w:type="dxa"/>
          </w:tcPr>
          <w:p>
            <w:pPr>
              <w:pStyle w:val="TableParagraph"/>
              <w:spacing w:line="280" w:lineRule="exact"/>
              <w:ind w:left="107"/>
              <w:rPr>
                <w:sz w:val="26"/>
              </w:rPr>
            </w:pPr>
            <w:r>
              <w:rPr>
                <w:sz w:val="26"/>
              </w:rPr>
              <w:t>3701808</w:t>
            </w:r>
          </w:p>
        </w:tc>
        <w:tc>
          <w:tcPr>
            <w:tcW w:w="1129" w:type="dxa"/>
          </w:tcPr>
          <w:p>
            <w:pPr>
              <w:pStyle w:val="TableParagraph"/>
              <w:spacing w:line="280" w:lineRule="exact"/>
              <w:ind w:left="106"/>
              <w:rPr>
                <w:sz w:val="26"/>
              </w:rPr>
            </w:pPr>
            <w:r>
              <w:rPr>
                <w:sz w:val="26"/>
              </w:rPr>
              <w:t>5128807</w:t>
            </w:r>
          </w:p>
        </w:tc>
      </w:tr>
      <w:tr>
        <w:trPr>
          <w:trHeight w:val="302" w:hRule="atLeast"/>
        </w:trPr>
        <w:tc>
          <w:tcPr>
            <w:tcW w:w="960" w:type="dxa"/>
          </w:tcPr>
          <w:p>
            <w:pPr>
              <w:pStyle w:val="TableParagraph"/>
              <w:spacing w:line="282" w:lineRule="exact"/>
              <w:ind w:left="107"/>
              <w:rPr>
                <w:sz w:val="26"/>
              </w:rPr>
            </w:pPr>
            <w:r>
              <w:rPr>
                <w:sz w:val="26"/>
              </w:rPr>
              <w:t>2025</w:t>
            </w:r>
          </w:p>
        </w:tc>
        <w:tc>
          <w:tcPr>
            <w:tcW w:w="1712" w:type="dxa"/>
          </w:tcPr>
          <w:p>
            <w:pPr>
              <w:pStyle w:val="TableParagraph"/>
              <w:spacing w:line="282" w:lineRule="exact"/>
              <w:ind w:right="98"/>
              <w:jc w:val="right"/>
              <w:rPr>
                <w:sz w:val="26"/>
              </w:rPr>
            </w:pPr>
            <w:r>
              <w:rPr>
                <w:w w:val="95"/>
                <w:sz w:val="26"/>
              </w:rPr>
              <w:t>4590054</w:t>
            </w:r>
          </w:p>
        </w:tc>
        <w:tc>
          <w:tcPr>
            <w:tcW w:w="1126" w:type="dxa"/>
          </w:tcPr>
          <w:p>
            <w:pPr>
              <w:pStyle w:val="TableParagraph"/>
              <w:spacing w:line="282" w:lineRule="exact"/>
              <w:ind w:left="107"/>
              <w:rPr>
                <w:sz w:val="26"/>
              </w:rPr>
            </w:pPr>
            <w:r>
              <w:rPr>
                <w:sz w:val="26"/>
              </w:rPr>
              <w:t>4068456</w:t>
            </w:r>
          </w:p>
        </w:tc>
        <w:tc>
          <w:tcPr>
            <w:tcW w:w="1126" w:type="dxa"/>
          </w:tcPr>
          <w:p>
            <w:pPr>
              <w:pStyle w:val="TableParagraph"/>
              <w:spacing w:line="282" w:lineRule="exact"/>
              <w:ind w:left="107"/>
              <w:rPr>
                <w:sz w:val="26"/>
              </w:rPr>
            </w:pPr>
            <w:r>
              <w:rPr>
                <w:sz w:val="26"/>
              </w:rPr>
              <w:t>5111653</w:t>
            </w:r>
          </w:p>
        </w:tc>
        <w:tc>
          <w:tcPr>
            <w:tcW w:w="1126" w:type="dxa"/>
          </w:tcPr>
          <w:p>
            <w:pPr>
              <w:pStyle w:val="TableParagraph"/>
              <w:spacing w:line="282" w:lineRule="exact"/>
              <w:ind w:left="107"/>
              <w:rPr>
                <w:sz w:val="26"/>
              </w:rPr>
            </w:pPr>
            <w:r>
              <w:rPr>
                <w:sz w:val="26"/>
              </w:rPr>
              <w:t>3792338</w:t>
            </w:r>
          </w:p>
        </w:tc>
        <w:tc>
          <w:tcPr>
            <w:tcW w:w="1129" w:type="dxa"/>
          </w:tcPr>
          <w:p>
            <w:pPr>
              <w:pStyle w:val="TableParagraph"/>
              <w:spacing w:line="282" w:lineRule="exact"/>
              <w:ind w:left="106"/>
              <w:rPr>
                <w:sz w:val="26"/>
              </w:rPr>
            </w:pPr>
            <w:r>
              <w:rPr>
                <w:sz w:val="26"/>
              </w:rPr>
              <w:t>5387771</w:t>
            </w:r>
          </w:p>
        </w:tc>
      </w:tr>
    </w:tbl>
    <w:p>
      <w:pPr>
        <w:pStyle w:val="BodyText"/>
        <w:spacing w:before="9"/>
        <w:rPr>
          <w:b/>
          <w:sz w:val="25"/>
        </w:rPr>
      </w:pPr>
    </w:p>
    <w:p>
      <w:pPr>
        <w:spacing w:line="360" w:lineRule="auto" w:before="0"/>
        <w:ind w:left="4768" w:right="1005" w:hanging="3757"/>
        <w:jc w:val="left"/>
        <w:rPr>
          <w:b/>
          <w:sz w:val="26"/>
        </w:rPr>
      </w:pPr>
      <w:r>
        <w:rPr>
          <w:b/>
          <w:sz w:val="26"/>
        </w:rPr>
        <w:t>Bảng 4.9 Dự báo sản lượng container thông qua cụm cảng miền trung giai đoạn 2021 –</w:t>
      </w:r>
      <w:r>
        <w:rPr>
          <w:b/>
          <w:spacing w:val="-3"/>
          <w:sz w:val="26"/>
        </w:rPr>
        <w:t> </w:t>
      </w:r>
      <w:r>
        <w:rPr>
          <w:b/>
          <w:sz w:val="26"/>
        </w:rPr>
        <w:t>2025</w:t>
      </w:r>
    </w:p>
    <w:tbl>
      <w:tblPr>
        <w:tblW w:w="0" w:type="auto"/>
        <w:jc w:val="left"/>
        <w:tblInd w:w="170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960"/>
        <w:gridCol w:w="1712"/>
        <w:gridCol w:w="1191"/>
        <w:gridCol w:w="1191"/>
        <w:gridCol w:w="1193"/>
        <w:gridCol w:w="1191"/>
      </w:tblGrid>
      <w:tr>
        <w:trPr>
          <w:trHeight w:val="299" w:hRule="atLeast"/>
        </w:trPr>
        <w:tc>
          <w:tcPr>
            <w:tcW w:w="960" w:type="dxa"/>
          </w:tcPr>
          <w:p>
            <w:pPr>
              <w:pStyle w:val="TableParagraph"/>
              <w:rPr>
                <w:sz w:val="22"/>
              </w:rPr>
            </w:pPr>
          </w:p>
        </w:tc>
        <w:tc>
          <w:tcPr>
            <w:tcW w:w="1712" w:type="dxa"/>
          </w:tcPr>
          <w:p>
            <w:pPr>
              <w:pStyle w:val="TableParagraph"/>
              <w:spacing w:line="278" w:lineRule="exact" w:before="2"/>
              <w:ind w:right="100"/>
              <w:jc w:val="right"/>
              <w:rPr>
                <w:sz w:val="26"/>
              </w:rPr>
            </w:pPr>
            <w:r>
              <w:rPr>
                <w:w w:val="95"/>
                <w:sz w:val="26"/>
              </w:rPr>
              <w:t>Point.Forecast</w:t>
            </w:r>
          </w:p>
        </w:tc>
        <w:tc>
          <w:tcPr>
            <w:tcW w:w="1191" w:type="dxa"/>
          </w:tcPr>
          <w:p>
            <w:pPr>
              <w:pStyle w:val="TableParagraph"/>
              <w:spacing w:line="278" w:lineRule="exact" w:before="2"/>
              <w:ind w:left="105"/>
              <w:rPr>
                <w:sz w:val="26"/>
              </w:rPr>
            </w:pPr>
            <w:r>
              <w:rPr>
                <w:sz w:val="26"/>
              </w:rPr>
              <w:t>Lo.80</w:t>
            </w:r>
          </w:p>
        </w:tc>
        <w:tc>
          <w:tcPr>
            <w:tcW w:w="1191" w:type="dxa"/>
          </w:tcPr>
          <w:p>
            <w:pPr>
              <w:pStyle w:val="TableParagraph"/>
              <w:spacing w:line="278" w:lineRule="exact" w:before="2"/>
              <w:ind w:left="106"/>
              <w:rPr>
                <w:sz w:val="26"/>
              </w:rPr>
            </w:pPr>
            <w:r>
              <w:rPr>
                <w:sz w:val="26"/>
              </w:rPr>
              <w:t>Hi.80</w:t>
            </w:r>
          </w:p>
        </w:tc>
        <w:tc>
          <w:tcPr>
            <w:tcW w:w="1193" w:type="dxa"/>
          </w:tcPr>
          <w:p>
            <w:pPr>
              <w:pStyle w:val="TableParagraph"/>
              <w:spacing w:line="278" w:lineRule="exact" w:before="2"/>
              <w:ind w:left="106"/>
              <w:rPr>
                <w:sz w:val="26"/>
              </w:rPr>
            </w:pPr>
            <w:r>
              <w:rPr>
                <w:sz w:val="26"/>
              </w:rPr>
              <w:t>Lo.95</w:t>
            </w:r>
          </w:p>
        </w:tc>
        <w:tc>
          <w:tcPr>
            <w:tcW w:w="1191" w:type="dxa"/>
          </w:tcPr>
          <w:p>
            <w:pPr>
              <w:pStyle w:val="TableParagraph"/>
              <w:spacing w:line="278" w:lineRule="exact" w:before="2"/>
              <w:ind w:left="104"/>
              <w:rPr>
                <w:sz w:val="26"/>
              </w:rPr>
            </w:pPr>
            <w:r>
              <w:rPr>
                <w:sz w:val="26"/>
              </w:rPr>
              <w:t>Hi.95</w:t>
            </w:r>
          </w:p>
        </w:tc>
      </w:tr>
      <w:tr>
        <w:trPr>
          <w:trHeight w:val="299" w:hRule="atLeast"/>
        </w:trPr>
        <w:tc>
          <w:tcPr>
            <w:tcW w:w="960" w:type="dxa"/>
          </w:tcPr>
          <w:p>
            <w:pPr>
              <w:pStyle w:val="TableParagraph"/>
              <w:spacing w:line="278" w:lineRule="exact" w:before="2"/>
              <w:ind w:left="107"/>
              <w:rPr>
                <w:sz w:val="26"/>
              </w:rPr>
            </w:pPr>
            <w:r>
              <w:rPr>
                <w:sz w:val="26"/>
              </w:rPr>
              <w:t>2021</w:t>
            </w:r>
          </w:p>
        </w:tc>
        <w:tc>
          <w:tcPr>
            <w:tcW w:w="1712" w:type="dxa"/>
          </w:tcPr>
          <w:p>
            <w:pPr>
              <w:pStyle w:val="TableParagraph"/>
              <w:spacing w:line="278" w:lineRule="exact" w:before="2"/>
              <w:ind w:right="98"/>
              <w:jc w:val="right"/>
              <w:rPr>
                <w:sz w:val="26"/>
              </w:rPr>
            </w:pPr>
            <w:r>
              <w:rPr>
                <w:w w:val="95"/>
                <w:sz w:val="26"/>
              </w:rPr>
              <w:t>844274.6</w:t>
            </w:r>
          </w:p>
        </w:tc>
        <w:tc>
          <w:tcPr>
            <w:tcW w:w="1191" w:type="dxa"/>
          </w:tcPr>
          <w:p>
            <w:pPr>
              <w:pStyle w:val="TableParagraph"/>
              <w:spacing w:line="278" w:lineRule="exact" w:before="2"/>
              <w:ind w:left="105"/>
              <w:rPr>
                <w:sz w:val="26"/>
              </w:rPr>
            </w:pPr>
            <w:r>
              <w:rPr>
                <w:sz w:val="26"/>
              </w:rPr>
              <w:t>807866.2</w:t>
            </w:r>
          </w:p>
        </w:tc>
        <w:tc>
          <w:tcPr>
            <w:tcW w:w="1191" w:type="dxa"/>
          </w:tcPr>
          <w:p>
            <w:pPr>
              <w:pStyle w:val="TableParagraph"/>
              <w:spacing w:line="278" w:lineRule="exact" w:before="2"/>
              <w:ind w:left="301"/>
              <w:rPr>
                <w:sz w:val="26"/>
              </w:rPr>
            </w:pPr>
            <w:r>
              <w:rPr>
                <w:sz w:val="26"/>
              </w:rPr>
              <w:t>880683</w:t>
            </w:r>
          </w:p>
        </w:tc>
        <w:tc>
          <w:tcPr>
            <w:tcW w:w="1193" w:type="dxa"/>
          </w:tcPr>
          <w:p>
            <w:pPr>
              <w:pStyle w:val="TableParagraph"/>
              <w:spacing w:line="278" w:lineRule="exact" w:before="2"/>
              <w:ind w:left="106"/>
              <w:rPr>
                <w:sz w:val="26"/>
              </w:rPr>
            </w:pPr>
            <w:r>
              <w:rPr>
                <w:sz w:val="26"/>
              </w:rPr>
              <w:t>788592.7</w:t>
            </w:r>
          </w:p>
        </w:tc>
        <w:tc>
          <w:tcPr>
            <w:tcW w:w="1191" w:type="dxa"/>
          </w:tcPr>
          <w:p>
            <w:pPr>
              <w:pStyle w:val="TableParagraph"/>
              <w:spacing w:line="278" w:lineRule="exact" w:before="2"/>
              <w:ind w:left="104"/>
              <w:rPr>
                <w:sz w:val="26"/>
              </w:rPr>
            </w:pPr>
            <w:r>
              <w:rPr>
                <w:sz w:val="26"/>
              </w:rPr>
              <w:t>899956.5</w:t>
            </w:r>
          </w:p>
        </w:tc>
      </w:tr>
      <w:tr>
        <w:trPr>
          <w:trHeight w:val="299" w:hRule="atLeast"/>
        </w:trPr>
        <w:tc>
          <w:tcPr>
            <w:tcW w:w="960" w:type="dxa"/>
          </w:tcPr>
          <w:p>
            <w:pPr>
              <w:pStyle w:val="TableParagraph"/>
              <w:spacing w:line="278" w:lineRule="exact" w:before="2"/>
              <w:ind w:left="107"/>
              <w:rPr>
                <w:sz w:val="26"/>
              </w:rPr>
            </w:pPr>
            <w:r>
              <w:rPr>
                <w:sz w:val="26"/>
              </w:rPr>
              <w:t>2022</w:t>
            </w:r>
          </w:p>
        </w:tc>
        <w:tc>
          <w:tcPr>
            <w:tcW w:w="1712" w:type="dxa"/>
          </w:tcPr>
          <w:p>
            <w:pPr>
              <w:pStyle w:val="TableParagraph"/>
              <w:spacing w:line="278" w:lineRule="exact" w:before="2"/>
              <w:ind w:right="98"/>
              <w:jc w:val="right"/>
              <w:rPr>
                <w:sz w:val="26"/>
              </w:rPr>
            </w:pPr>
            <w:r>
              <w:rPr>
                <w:w w:val="95"/>
                <w:sz w:val="26"/>
              </w:rPr>
              <w:t>930257.6</w:t>
            </w:r>
          </w:p>
        </w:tc>
        <w:tc>
          <w:tcPr>
            <w:tcW w:w="1191" w:type="dxa"/>
          </w:tcPr>
          <w:p>
            <w:pPr>
              <w:pStyle w:val="TableParagraph"/>
              <w:spacing w:line="278" w:lineRule="exact" w:before="2"/>
              <w:ind w:left="105"/>
              <w:rPr>
                <w:sz w:val="26"/>
              </w:rPr>
            </w:pPr>
            <w:r>
              <w:rPr>
                <w:sz w:val="26"/>
              </w:rPr>
              <w:t>884817.5</w:t>
            </w:r>
          </w:p>
        </w:tc>
        <w:tc>
          <w:tcPr>
            <w:tcW w:w="1191" w:type="dxa"/>
          </w:tcPr>
          <w:p>
            <w:pPr>
              <w:pStyle w:val="TableParagraph"/>
              <w:spacing w:line="278" w:lineRule="exact" w:before="2"/>
              <w:ind w:left="106"/>
              <w:rPr>
                <w:sz w:val="26"/>
              </w:rPr>
            </w:pPr>
            <w:r>
              <w:rPr>
                <w:sz w:val="26"/>
              </w:rPr>
              <w:t>975697.8</w:t>
            </w:r>
          </w:p>
        </w:tc>
        <w:tc>
          <w:tcPr>
            <w:tcW w:w="1193" w:type="dxa"/>
          </w:tcPr>
          <w:p>
            <w:pPr>
              <w:pStyle w:val="TableParagraph"/>
              <w:spacing w:line="278" w:lineRule="exact" w:before="2"/>
              <w:ind w:left="301"/>
              <w:rPr>
                <w:sz w:val="26"/>
              </w:rPr>
            </w:pPr>
            <w:r>
              <w:rPr>
                <w:sz w:val="26"/>
              </w:rPr>
              <w:t>860763</w:t>
            </w:r>
          </w:p>
        </w:tc>
        <w:tc>
          <w:tcPr>
            <w:tcW w:w="1191" w:type="dxa"/>
          </w:tcPr>
          <w:p>
            <w:pPr>
              <w:pStyle w:val="TableParagraph"/>
              <w:spacing w:line="278" w:lineRule="exact" w:before="2"/>
              <w:ind w:left="104"/>
              <w:rPr>
                <w:sz w:val="26"/>
              </w:rPr>
            </w:pPr>
            <w:r>
              <w:rPr>
                <w:sz w:val="26"/>
              </w:rPr>
              <w:t>999752.3</w:t>
            </w:r>
          </w:p>
        </w:tc>
      </w:tr>
      <w:tr>
        <w:trPr>
          <w:trHeight w:val="302" w:hRule="atLeast"/>
        </w:trPr>
        <w:tc>
          <w:tcPr>
            <w:tcW w:w="960" w:type="dxa"/>
          </w:tcPr>
          <w:p>
            <w:pPr>
              <w:pStyle w:val="TableParagraph"/>
              <w:spacing w:line="278" w:lineRule="exact" w:before="4"/>
              <w:ind w:left="107"/>
              <w:rPr>
                <w:sz w:val="26"/>
              </w:rPr>
            </w:pPr>
            <w:r>
              <w:rPr>
                <w:sz w:val="26"/>
              </w:rPr>
              <w:t>2023</w:t>
            </w:r>
          </w:p>
        </w:tc>
        <w:tc>
          <w:tcPr>
            <w:tcW w:w="1712" w:type="dxa"/>
          </w:tcPr>
          <w:p>
            <w:pPr>
              <w:pStyle w:val="TableParagraph"/>
              <w:spacing w:line="278" w:lineRule="exact" w:before="4"/>
              <w:ind w:right="98"/>
              <w:jc w:val="right"/>
              <w:rPr>
                <w:sz w:val="26"/>
              </w:rPr>
            </w:pPr>
            <w:r>
              <w:rPr>
                <w:w w:val="95"/>
                <w:sz w:val="26"/>
              </w:rPr>
              <w:t>1016241</w:t>
            </w:r>
          </w:p>
        </w:tc>
        <w:tc>
          <w:tcPr>
            <w:tcW w:w="1191" w:type="dxa"/>
          </w:tcPr>
          <w:p>
            <w:pPr>
              <w:pStyle w:val="TableParagraph"/>
              <w:spacing w:line="278" w:lineRule="exact" w:before="4"/>
              <w:ind w:left="105"/>
              <w:rPr>
                <w:sz w:val="26"/>
              </w:rPr>
            </w:pPr>
            <w:r>
              <w:rPr>
                <w:sz w:val="26"/>
              </w:rPr>
              <w:t>954894.1</w:t>
            </w:r>
          </w:p>
        </w:tc>
        <w:tc>
          <w:tcPr>
            <w:tcW w:w="1191" w:type="dxa"/>
          </w:tcPr>
          <w:p>
            <w:pPr>
              <w:pStyle w:val="TableParagraph"/>
              <w:spacing w:line="278" w:lineRule="exact" w:before="4"/>
              <w:ind w:left="171"/>
              <w:rPr>
                <w:sz w:val="26"/>
              </w:rPr>
            </w:pPr>
            <w:r>
              <w:rPr>
                <w:sz w:val="26"/>
              </w:rPr>
              <w:t>1077587</w:t>
            </w:r>
          </w:p>
        </w:tc>
        <w:tc>
          <w:tcPr>
            <w:tcW w:w="1193" w:type="dxa"/>
          </w:tcPr>
          <w:p>
            <w:pPr>
              <w:pStyle w:val="TableParagraph"/>
              <w:spacing w:line="278" w:lineRule="exact" w:before="4"/>
              <w:ind w:left="106"/>
              <w:rPr>
                <w:sz w:val="26"/>
              </w:rPr>
            </w:pPr>
            <w:r>
              <w:rPr>
                <w:sz w:val="26"/>
              </w:rPr>
              <w:t>922419.2</w:t>
            </w:r>
          </w:p>
        </w:tc>
        <w:tc>
          <w:tcPr>
            <w:tcW w:w="1191" w:type="dxa"/>
          </w:tcPr>
          <w:p>
            <w:pPr>
              <w:pStyle w:val="TableParagraph"/>
              <w:spacing w:line="278" w:lineRule="exact" w:before="4"/>
              <w:ind w:right="102"/>
              <w:jc w:val="right"/>
              <w:rPr>
                <w:sz w:val="26"/>
              </w:rPr>
            </w:pPr>
            <w:r>
              <w:rPr>
                <w:w w:val="95"/>
                <w:sz w:val="26"/>
              </w:rPr>
              <w:t>1110062</w:t>
            </w:r>
          </w:p>
        </w:tc>
      </w:tr>
      <w:tr>
        <w:trPr>
          <w:trHeight w:val="299" w:hRule="atLeast"/>
        </w:trPr>
        <w:tc>
          <w:tcPr>
            <w:tcW w:w="960" w:type="dxa"/>
          </w:tcPr>
          <w:p>
            <w:pPr>
              <w:pStyle w:val="TableParagraph"/>
              <w:spacing w:line="278" w:lineRule="exact" w:before="2"/>
              <w:ind w:left="107"/>
              <w:rPr>
                <w:sz w:val="26"/>
              </w:rPr>
            </w:pPr>
            <w:r>
              <w:rPr>
                <w:sz w:val="26"/>
              </w:rPr>
              <w:t>2024</w:t>
            </w:r>
          </w:p>
        </w:tc>
        <w:tc>
          <w:tcPr>
            <w:tcW w:w="1712" w:type="dxa"/>
          </w:tcPr>
          <w:p>
            <w:pPr>
              <w:pStyle w:val="TableParagraph"/>
              <w:spacing w:line="278" w:lineRule="exact" w:before="2"/>
              <w:ind w:right="98"/>
              <w:jc w:val="right"/>
              <w:rPr>
                <w:sz w:val="26"/>
              </w:rPr>
            </w:pPr>
            <w:r>
              <w:rPr>
                <w:w w:val="95"/>
                <w:sz w:val="26"/>
              </w:rPr>
              <w:t>1102224</w:t>
            </w:r>
          </w:p>
        </w:tc>
        <w:tc>
          <w:tcPr>
            <w:tcW w:w="1191" w:type="dxa"/>
          </w:tcPr>
          <w:p>
            <w:pPr>
              <w:pStyle w:val="TableParagraph"/>
              <w:spacing w:line="278" w:lineRule="exact" w:before="2"/>
              <w:ind w:right="101"/>
              <w:jc w:val="right"/>
              <w:rPr>
                <w:sz w:val="26"/>
              </w:rPr>
            </w:pPr>
            <w:r>
              <w:rPr>
                <w:w w:val="95"/>
                <w:sz w:val="26"/>
              </w:rPr>
              <w:t>1019672</w:t>
            </w:r>
          </w:p>
        </w:tc>
        <w:tc>
          <w:tcPr>
            <w:tcW w:w="1191" w:type="dxa"/>
          </w:tcPr>
          <w:p>
            <w:pPr>
              <w:pStyle w:val="TableParagraph"/>
              <w:spacing w:line="278" w:lineRule="exact" w:before="2"/>
              <w:ind w:left="171"/>
              <w:rPr>
                <w:sz w:val="26"/>
              </w:rPr>
            </w:pPr>
            <w:r>
              <w:rPr>
                <w:sz w:val="26"/>
              </w:rPr>
              <w:t>1184775</w:t>
            </w:r>
          </w:p>
        </w:tc>
        <w:tc>
          <w:tcPr>
            <w:tcW w:w="1193" w:type="dxa"/>
          </w:tcPr>
          <w:p>
            <w:pPr>
              <w:pStyle w:val="TableParagraph"/>
              <w:spacing w:line="278" w:lineRule="exact" w:before="2"/>
              <w:ind w:left="106"/>
              <w:rPr>
                <w:sz w:val="26"/>
              </w:rPr>
            </w:pPr>
            <w:r>
              <w:rPr>
                <w:sz w:val="26"/>
              </w:rPr>
              <w:t>975971.9</w:t>
            </w:r>
          </w:p>
        </w:tc>
        <w:tc>
          <w:tcPr>
            <w:tcW w:w="1191" w:type="dxa"/>
          </w:tcPr>
          <w:p>
            <w:pPr>
              <w:pStyle w:val="TableParagraph"/>
              <w:spacing w:line="278" w:lineRule="exact" w:before="2"/>
              <w:ind w:right="102"/>
              <w:jc w:val="right"/>
              <w:rPr>
                <w:sz w:val="26"/>
              </w:rPr>
            </w:pPr>
            <w:r>
              <w:rPr>
                <w:w w:val="95"/>
                <w:sz w:val="26"/>
              </w:rPr>
              <w:t>1228476</w:t>
            </w:r>
          </w:p>
        </w:tc>
      </w:tr>
      <w:tr>
        <w:trPr>
          <w:trHeight w:val="299" w:hRule="atLeast"/>
        </w:trPr>
        <w:tc>
          <w:tcPr>
            <w:tcW w:w="960" w:type="dxa"/>
          </w:tcPr>
          <w:p>
            <w:pPr>
              <w:pStyle w:val="TableParagraph"/>
              <w:spacing w:line="278" w:lineRule="exact" w:before="2"/>
              <w:ind w:left="107"/>
              <w:rPr>
                <w:sz w:val="26"/>
              </w:rPr>
            </w:pPr>
            <w:r>
              <w:rPr>
                <w:sz w:val="26"/>
              </w:rPr>
              <w:t>2025</w:t>
            </w:r>
          </w:p>
        </w:tc>
        <w:tc>
          <w:tcPr>
            <w:tcW w:w="1712" w:type="dxa"/>
          </w:tcPr>
          <w:p>
            <w:pPr>
              <w:pStyle w:val="TableParagraph"/>
              <w:spacing w:line="278" w:lineRule="exact" w:before="2"/>
              <w:ind w:right="98"/>
              <w:jc w:val="right"/>
              <w:rPr>
                <w:sz w:val="26"/>
              </w:rPr>
            </w:pPr>
            <w:r>
              <w:rPr>
                <w:w w:val="95"/>
                <w:sz w:val="26"/>
              </w:rPr>
              <w:t>1188207</w:t>
            </w:r>
          </w:p>
        </w:tc>
        <w:tc>
          <w:tcPr>
            <w:tcW w:w="1191" w:type="dxa"/>
          </w:tcPr>
          <w:p>
            <w:pPr>
              <w:pStyle w:val="TableParagraph"/>
              <w:spacing w:line="278" w:lineRule="exact" w:before="2"/>
              <w:ind w:right="101"/>
              <w:jc w:val="right"/>
              <w:rPr>
                <w:sz w:val="26"/>
              </w:rPr>
            </w:pPr>
            <w:r>
              <w:rPr>
                <w:w w:val="95"/>
                <w:sz w:val="26"/>
              </w:rPr>
              <w:t>1080446</w:t>
            </w:r>
          </w:p>
        </w:tc>
        <w:tc>
          <w:tcPr>
            <w:tcW w:w="1191" w:type="dxa"/>
          </w:tcPr>
          <w:p>
            <w:pPr>
              <w:pStyle w:val="TableParagraph"/>
              <w:spacing w:line="278" w:lineRule="exact" w:before="2"/>
              <w:ind w:left="171"/>
              <w:rPr>
                <w:sz w:val="26"/>
              </w:rPr>
            </w:pPr>
            <w:r>
              <w:rPr>
                <w:sz w:val="26"/>
              </w:rPr>
              <w:t>1295967</w:t>
            </w:r>
          </w:p>
        </w:tc>
        <w:tc>
          <w:tcPr>
            <w:tcW w:w="1193" w:type="dxa"/>
          </w:tcPr>
          <w:p>
            <w:pPr>
              <w:pStyle w:val="TableParagraph"/>
              <w:spacing w:line="278" w:lineRule="exact" w:before="2"/>
              <w:ind w:left="171"/>
              <w:rPr>
                <w:sz w:val="26"/>
              </w:rPr>
            </w:pPr>
            <w:r>
              <w:rPr>
                <w:sz w:val="26"/>
              </w:rPr>
              <w:t>1023401</w:t>
            </w:r>
          </w:p>
        </w:tc>
        <w:tc>
          <w:tcPr>
            <w:tcW w:w="1191" w:type="dxa"/>
          </w:tcPr>
          <w:p>
            <w:pPr>
              <w:pStyle w:val="TableParagraph"/>
              <w:spacing w:line="278" w:lineRule="exact" w:before="2"/>
              <w:ind w:right="102"/>
              <w:jc w:val="right"/>
              <w:rPr>
                <w:sz w:val="26"/>
              </w:rPr>
            </w:pPr>
            <w:r>
              <w:rPr>
                <w:w w:val="95"/>
                <w:sz w:val="26"/>
              </w:rPr>
              <w:t>1353012</w:t>
            </w:r>
          </w:p>
        </w:tc>
      </w:tr>
    </w:tbl>
    <w:p>
      <w:pPr>
        <w:pStyle w:val="BodyText"/>
        <w:spacing w:before="2"/>
        <w:rPr>
          <w:b/>
        </w:rPr>
      </w:pPr>
    </w:p>
    <w:p>
      <w:pPr>
        <w:spacing w:line="357" w:lineRule="auto" w:before="0" w:after="2"/>
        <w:ind w:left="4768" w:right="1005" w:hanging="3757"/>
        <w:jc w:val="left"/>
        <w:rPr>
          <w:b/>
          <w:sz w:val="26"/>
        </w:rPr>
      </w:pPr>
      <w:r>
        <w:rPr>
          <w:b/>
          <w:sz w:val="26"/>
        </w:rPr>
        <w:t>Bảng 4.10 Dự báo sản lượng container thông qua cụm cảng miền nam giai đoạn 2021 –</w:t>
      </w:r>
      <w:r>
        <w:rPr>
          <w:b/>
          <w:spacing w:val="-3"/>
          <w:sz w:val="26"/>
        </w:rPr>
        <w:t> </w:t>
      </w:r>
      <w:r>
        <w:rPr>
          <w:b/>
          <w:sz w:val="26"/>
        </w:rPr>
        <w:t>2025</w:t>
      </w:r>
    </w:p>
    <w:tbl>
      <w:tblPr>
        <w:tblW w:w="0" w:type="auto"/>
        <w:jc w:val="left"/>
        <w:tblInd w:w="15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960"/>
        <w:gridCol w:w="1712"/>
        <w:gridCol w:w="1255"/>
        <w:gridCol w:w="1255"/>
        <w:gridCol w:w="1257"/>
        <w:gridCol w:w="1255"/>
      </w:tblGrid>
      <w:tr>
        <w:trPr>
          <w:trHeight w:val="301" w:hRule="atLeast"/>
        </w:trPr>
        <w:tc>
          <w:tcPr>
            <w:tcW w:w="960" w:type="dxa"/>
          </w:tcPr>
          <w:p>
            <w:pPr>
              <w:pStyle w:val="TableParagraph"/>
              <w:rPr>
                <w:sz w:val="22"/>
              </w:rPr>
            </w:pPr>
          </w:p>
        </w:tc>
        <w:tc>
          <w:tcPr>
            <w:tcW w:w="1712" w:type="dxa"/>
          </w:tcPr>
          <w:p>
            <w:pPr>
              <w:pStyle w:val="TableParagraph"/>
              <w:spacing w:line="278" w:lineRule="exact" w:before="4"/>
              <w:ind w:right="103"/>
              <w:jc w:val="right"/>
              <w:rPr>
                <w:sz w:val="26"/>
              </w:rPr>
            </w:pPr>
            <w:r>
              <w:rPr>
                <w:w w:val="95"/>
                <w:sz w:val="26"/>
              </w:rPr>
              <w:t>Point.Forecast</w:t>
            </w:r>
          </w:p>
        </w:tc>
        <w:tc>
          <w:tcPr>
            <w:tcW w:w="1255" w:type="dxa"/>
          </w:tcPr>
          <w:p>
            <w:pPr>
              <w:pStyle w:val="TableParagraph"/>
              <w:spacing w:line="278" w:lineRule="exact" w:before="4"/>
              <w:ind w:left="105"/>
              <w:rPr>
                <w:sz w:val="26"/>
              </w:rPr>
            </w:pPr>
            <w:r>
              <w:rPr>
                <w:sz w:val="26"/>
              </w:rPr>
              <w:t>Lo.80</w:t>
            </w:r>
          </w:p>
        </w:tc>
        <w:tc>
          <w:tcPr>
            <w:tcW w:w="1255" w:type="dxa"/>
          </w:tcPr>
          <w:p>
            <w:pPr>
              <w:pStyle w:val="TableParagraph"/>
              <w:spacing w:line="278" w:lineRule="exact" w:before="4"/>
              <w:ind w:left="107"/>
              <w:rPr>
                <w:sz w:val="26"/>
              </w:rPr>
            </w:pPr>
            <w:r>
              <w:rPr>
                <w:sz w:val="26"/>
              </w:rPr>
              <w:t>Hi.80</w:t>
            </w:r>
          </w:p>
        </w:tc>
        <w:tc>
          <w:tcPr>
            <w:tcW w:w="1257" w:type="dxa"/>
          </w:tcPr>
          <w:p>
            <w:pPr>
              <w:pStyle w:val="TableParagraph"/>
              <w:spacing w:line="278" w:lineRule="exact" w:before="4"/>
              <w:ind w:left="108"/>
              <w:rPr>
                <w:sz w:val="26"/>
              </w:rPr>
            </w:pPr>
            <w:r>
              <w:rPr>
                <w:sz w:val="26"/>
              </w:rPr>
              <w:t>Lo.95</w:t>
            </w:r>
          </w:p>
        </w:tc>
        <w:tc>
          <w:tcPr>
            <w:tcW w:w="1255" w:type="dxa"/>
          </w:tcPr>
          <w:p>
            <w:pPr>
              <w:pStyle w:val="TableParagraph"/>
              <w:spacing w:line="278" w:lineRule="exact" w:before="4"/>
              <w:ind w:left="106"/>
              <w:rPr>
                <w:sz w:val="26"/>
              </w:rPr>
            </w:pPr>
            <w:r>
              <w:rPr>
                <w:sz w:val="26"/>
              </w:rPr>
              <w:t>Hi.95</w:t>
            </w:r>
          </w:p>
        </w:tc>
      </w:tr>
      <w:tr>
        <w:trPr>
          <w:trHeight w:val="299" w:hRule="atLeast"/>
        </w:trPr>
        <w:tc>
          <w:tcPr>
            <w:tcW w:w="960" w:type="dxa"/>
          </w:tcPr>
          <w:p>
            <w:pPr>
              <w:pStyle w:val="TableParagraph"/>
              <w:spacing w:line="278" w:lineRule="exact" w:before="2"/>
              <w:ind w:left="105"/>
              <w:rPr>
                <w:sz w:val="26"/>
              </w:rPr>
            </w:pPr>
            <w:r>
              <w:rPr>
                <w:sz w:val="26"/>
              </w:rPr>
              <w:t>2021</w:t>
            </w:r>
          </w:p>
        </w:tc>
        <w:tc>
          <w:tcPr>
            <w:tcW w:w="1712" w:type="dxa"/>
          </w:tcPr>
          <w:p>
            <w:pPr>
              <w:pStyle w:val="TableParagraph"/>
              <w:spacing w:line="278" w:lineRule="exact" w:before="2"/>
              <w:ind w:right="101"/>
              <w:jc w:val="right"/>
              <w:rPr>
                <w:sz w:val="26"/>
              </w:rPr>
            </w:pPr>
            <w:r>
              <w:rPr>
                <w:w w:val="95"/>
                <w:sz w:val="26"/>
              </w:rPr>
              <w:t>13495111</w:t>
            </w:r>
          </w:p>
        </w:tc>
        <w:tc>
          <w:tcPr>
            <w:tcW w:w="1255" w:type="dxa"/>
          </w:tcPr>
          <w:p>
            <w:pPr>
              <w:pStyle w:val="TableParagraph"/>
              <w:spacing w:line="278" w:lineRule="exact" w:before="2"/>
              <w:ind w:left="105"/>
              <w:rPr>
                <w:sz w:val="26"/>
              </w:rPr>
            </w:pPr>
            <w:r>
              <w:rPr>
                <w:sz w:val="26"/>
              </w:rPr>
              <w:t>12920584</w:t>
            </w:r>
          </w:p>
        </w:tc>
        <w:tc>
          <w:tcPr>
            <w:tcW w:w="1255" w:type="dxa"/>
          </w:tcPr>
          <w:p>
            <w:pPr>
              <w:pStyle w:val="TableParagraph"/>
              <w:spacing w:line="278" w:lineRule="exact" w:before="2"/>
              <w:ind w:left="107"/>
              <w:rPr>
                <w:sz w:val="26"/>
              </w:rPr>
            </w:pPr>
            <w:r>
              <w:rPr>
                <w:sz w:val="26"/>
              </w:rPr>
              <w:t>14069639</w:t>
            </w:r>
          </w:p>
        </w:tc>
        <w:tc>
          <w:tcPr>
            <w:tcW w:w="1257" w:type="dxa"/>
          </w:tcPr>
          <w:p>
            <w:pPr>
              <w:pStyle w:val="TableParagraph"/>
              <w:spacing w:line="278" w:lineRule="exact" w:before="2"/>
              <w:ind w:left="108"/>
              <w:rPr>
                <w:sz w:val="26"/>
              </w:rPr>
            </w:pPr>
            <w:r>
              <w:rPr>
                <w:sz w:val="26"/>
              </w:rPr>
              <w:t>12616447</w:t>
            </w:r>
          </w:p>
        </w:tc>
        <w:tc>
          <w:tcPr>
            <w:tcW w:w="1255" w:type="dxa"/>
          </w:tcPr>
          <w:p>
            <w:pPr>
              <w:pStyle w:val="TableParagraph"/>
              <w:spacing w:line="278" w:lineRule="exact" w:before="2"/>
              <w:ind w:left="106"/>
              <w:rPr>
                <w:sz w:val="26"/>
              </w:rPr>
            </w:pPr>
            <w:r>
              <w:rPr>
                <w:sz w:val="26"/>
              </w:rPr>
              <w:t>14373775</w:t>
            </w:r>
          </w:p>
        </w:tc>
      </w:tr>
      <w:tr>
        <w:trPr>
          <w:trHeight w:val="299" w:hRule="atLeast"/>
        </w:trPr>
        <w:tc>
          <w:tcPr>
            <w:tcW w:w="960" w:type="dxa"/>
          </w:tcPr>
          <w:p>
            <w:pPr>
              <w:pStyle w:val="TableParagraph"/>
              <w:spacing w:line="278" w:lineRule="exact" w:before="2"/>
              <w:ind w:left="105"/>
              <w:rPr>
                <w:sz w:val="26"/>
              </w:rPr>
            </w:pPr>
            <w:r>
              <w:rPr>
                <w:sz w:val="26"/>
              </w:rPr>
              <w:t>2022</w:t>
            </w:r>
          </w:p>
        </w:tc>
        <w:tc>
          <w:tcPr>
            <w:tcW w:w="1712" w:type="dxa"/>
          </w:tcPr>
          <w:p>
            <w:pPr>
              <w:pStyle w:val="TableParagraph"/>
              <w:spacing w:line="278" w:lineRule="exact" w:before="2"/>
              <w:ind w:right="101"/>
              <w:jc w:val="right"/>
              <w:rPr>
                <w:sz w:val="26"/>
              </w:rPr>
            </w:pPr>
            <w:r>
              <w:rPr>
                <w:w w:val="95"/>
                <w:sz w:val="26"/>
              </w:rPr>
              <w:t>14560546</w:t>
            </w:r>
          </w:p>
        </w:tc>
        <w:tc>
          <w:tcPr>
            <w:tcW w:w="1255" w:type="dxa"/>
          </w:tcPr>
          <w:p>
            <w:pPr>
              <w:pStyle w:val="TableParagraph"/>
              <w:spacing w:line="278" w:lineRule="exact" w:before="2"/>
              <w:ind w:left="105"/>
              <w:rPr>
                <w:sz w:val="26"/>
              </w:rPr>
            </w:pPr>
            <w:r>
              <w:rPr>
                <w:sz w:val="26"/>
              </w:rPr>
              <w:t>13602914</w:t>
            </w:r>
          </w:p>
        </w:tc>
        <w:tc>
          <w:tcPr>
            <w:tcW w:w="1255" w:type="dxa"/>
          </w:tcPr>
          <w:p>
            <w:pPr>
              <w:pStyle w:val="TableParagraph"/>
              <w:spacing w:line="278" w:lineRule="exact" w:before="2"/>
              <w:ind w:left="107"/>
              <w:rPr>
                <w:sz w:val="26"/>
              </w:rPr>
            </w:pPr>
            <w:r>
              <w:rPr>
                <w:sz w:val="26"/>
              </w:rPr>
              <w:t>15518179</w:t>
            </w:r>
          </w:p>
        </w:tc>
        <w:tc>
          <w:tcPr>
            <w:tcW w:w="1257" w:type="dxa"/>
          </w:tcPr>
          <w:p>
            <w:pPr>
              <w:pStyle w:val="TableParagraph"/>
              <w:spacing w:line="278" w:lineRule="exact" w:before="2"/>
              <w:ind w:left="108"/>
              <w:rPr>
                <w:sz w:val="26"/>
              </w:rPr>
            </w:pPr>
            <w:r>
              <w:rPr>
                <w:sz w:val="26"/>
              </w:rPr>
              <w:t>13095973</w:t>
            </w:r>
          </w:p>
        </w:tc>
        <w:tc>
          <w:tcPr>
            <w:tcW w:w="1255" w:type="dxa"/>
          </w:tcPr>
          <w:p>
            <w:pPr>
              <w:pStyle w:val="TableParagraph"/>
              <w:spacing w:line="278" w:lineRule="exact" w:before="2"/>
              <w:ind w:left="106"/>
              <w:rPr>
                <w:sz w:val="26"/>
              </w:rPr>
            </w:pPr>
            <w:r>
              <w:rPr>
                <w:sz w:val="26"/>
              </w:rPr>
              <w:t>16025119</w:t>
            </w:r>
          </w:p>
        </w:tc>
      </w:tr>
      <w:tr>
        <w:trPr>
          <w:trHeight w:val="299" w:hRule="atLeast"/>
        </w:trPr>
        <w:tc>
          <w:tcPr>
            <w:tcW w:w="960" w:type="dxa"/>
          </w:tcPr>
          <w:p>
            <w:pPr>
              <w:pStyle w:val="TableParagraph"/>
              <w:spacing w:line="278" w:lineRule="exact" w:before="2"/>
              <w:ind w:left="105"/>
              <w:rPr>
                <w:sz w:val="26"/>
              </w:rPr>
            </w:pPr>
            <w:r>
              <w:rPr>
                <w:sz w:val="26"/>
              </w:rPr>
              <w:t>2023</w:t>
            </w:r>
          </w:p>
        </w:tc>
        <w:tc>
          <w:tcPr>
            <w:tcW w:w="1712" w:type="dxa"/>
          </w:tcPr>
          <w:p>
            <w:pPr>
              <w:pStyle w:val="TableParagraph"/>
              <w:spacing w:line="278" w:lineRule="exact" w:before="2"/>
              <w:ind w:right="101"/>
              <w:jc w:val="right"/>
              <w:rPr>
                <w:sz w:val="26"/>
              </w:rPr>
            </w:pPr>
            <w:r>
              <w:rPr>
                <w:w w:val="95"/>
                <w:sz w:val="26"/>
              </w:rPr>
              <w:t>15625981</w:t>
            </w:r>
          </w:p>
        </w:tc>
        <w:tc>
          <w:tcPr>
            <w:tcW w:w="1255" w:type="dxa"/>
          </w:tcPr>
          <w:p>
            <w:pPr>
              <w:pStyle w:val="TableParagraph"/>
              <w:spacing w:line="278" w:lineRule="exact" w:before="2"/>
              <w:ind w:left="105"/>
              <w:rPr>
                <w:sz w:val="26"/>
              </w:rPr>
            </w:pPr>
            <w:r>
              <w:rPr>
                <w:sz w:val="26"/>
              </w:rPr>
              <w:t>14271592</w:t>
            </w:r>
          </w:p>
        </w:tc>
        <w:tc>
          <w:tcPr>
            <w:tcW w:w="1255" w:type="dxa"/>
          </w:tcPr>
          <w:p>
            <w:pPr>
              <w:pStyle w:val="TableParagraph"/>
              <w:spacing w:line="278" w:lineRule="exact" w:before="2"/>
              <w:ind w:left="107"/>
              <w:rPr>
                <w:sz w:val="26"/>
              </w:rPr>
            </w:pPr>
            <w:r>
              <w:rPr>
                <w:sz w:val="26"/>
              </w:rPr>
              <w:t>16980370</w:t>
            </w:r>
          </w:p>
        </w:tc>
        <w:tc>
          <w:tcPr>
            <w:tcW w:w="1257" w:type="dxa"/>
          </w:tcPr>
          <w:p>
            <w:pPr>
              <w:pStyle w:val="TableParagraph"/>
              <w:spacing w:line="278" w:lineRule="exact" w:before="2"/>
              <w:ind w:left="108"/>
              <w:rPr>
                <w:sz w:val="26"/>
              </w:rPr>
            </w:pPr>
            <w:r>
              <w:rPr>
                <w:sz w:val="26"/>
              </w:rPr>
              <w:t>13554622</w:t>
            </w:r>
          </w:p>
        </w:tc>
        <w:tc>
          <w:tcPr>
            <w:tcW w:w="1255" w:type="dxa"/>
          </w:tcPr>
          <w:p>
            <w:pPr>
              <w:pStyle w:val="TableParagraph"/>
              <w:spacing w:line="278" w:lineRule="exact" w:before="2"/>
              <w:ind w:left="106"/>
              <w:rPr>
                <w:sz w:val="26"/>
              </w:rPr>
            </w:pPr>
            <w:r>
              <w:rPr>
                <w:sz w:val="26"/>
              </w:rPr>
              <w:t>17697340</w:t>
            </w:r>
          </w:p>
        </w:tc>
      </w:tr>
      <w:tr>
        <w:trPr>
          <w:trHeight w:val="299" w:hRule="atLeast"/>
        </w:trPr>
        <w:tc>
          <w:tcPr>
            <w:tcW w:w="960" w:type="dxa"/>
          </w:tcPr>
          <w:p>
            <w:pPr>
              <w:pStyle w:val="TableParagraph"/>
              <w:spacing w:line="278" w:lineRule="exact" w:before="2"/>
              <w:ind w:left="105"/>
              <w:rPr>
                <w:sz w:val="26"/>
              </w:rPr>
            </w:pPr>
            <w:r>
              <w:rPr>
                <w:sz w:val="26"/>
              </w:rPr>
              <w:t>2024</w:t>
            </w:r>
          </w:p>
        </w:tc>
        <w:tc>
          <w:tcPr>
            <w:tcW w:w="1712" w:type="dxa"/>
          </w:tcPr>
          <w:p>
            <w:pPr>
              <w:pStyle w:val="TableParagraph"/>
              <w:spacing w:line="278" w:lineRule="exact" w:before="2"/>
              <w:ind w:right="101"/>
              <w:jc w:val="right"/>
              <w:rPr>
                <w:sz w:val="26"/>
              </w:rPr>
            </w:pPr>
            <w:r>
              <w:rPr>
                <w:w w:val="95"/>
                <w:sz w:val="26"/>
              </w:rPr>
              <w:t>16691416</w:t>
            </w:r>
          </w:p>
        </w:tc>
        <w:tc>
          <w:tcPr>
            <w:tcW w:w="1255" w:type="dxa"/>
          </w:tcPr>
          <w:p>
            <w:pPr>
              <w:pStyle w:val="TableParagraph"/>
              <w:spacing w:line="278" w:lineRule="exact" w:before="2"/>
              <w:ind w:left="105"/>
              <w:rPr>
                <w:sz w:val="26"/>
              </w:rPr>
            </w:pPr>
            <w:r>
              <w:rPr>
                <w:sz w:val="26"/>
              </w:rPr>
              <w:t>14915059</w:t>
            </w:r>
          </w:p>
        </w:tc>
        <w:tc>
          <w:tcPr>
            <w:tcW w:w="1255" w:type="dxa"/>
          </w:tcPr>
          <w:p>
            <w:pPr>
              <w:pStyle w:val="TableParagraph"/>
              <w:spacing w:line="278" w:lineRule="exact" w:before="2"/>
              <w:ind w:left="107"/>
              <w:rPr>
                <w:sz w:val="26"/>
              </w:rPr>
            </w:pPr>
            <w:r>
              <w:rPr>
                <w:sz w:val="26"/>
              </w:rPr>
              <w:t>18467773</w:t>
            </w:r>
          </w:p>
        </w:tc>
        <w:tc>
          <w:tcPr>
            <w:tcW w:w="1257" w:type="dxa"/>
          </w:tcPr>
          <w:p>
            <w:pPr>
              <w:pStyle w:val="TableParagraph"/>
              <w:spacing w:line="278" w:lineRule="exact" w:before="2"/>
              <w:ind w:left="108"/>
              <w:rPr>
                <w:sz w:val="26"/>
              </w:rPr>
            </w:pPr>
            <w:r>
              <w:rPr>
                <w:sz w:val="26"/>
              </w:rPr>
              <w:t>13974712</w:t>
            </w:r>
          </w:p>
        </w:tc>
        <w:tc>
          <w:tcPr>
            <w:tcW w:w="1255" w:type="dxa"/>
          </w:tcPr>
          <w:p>
            <w:pPr>
              <w:pStyle w:val="TableParagraph"/>
              <w:spacing w:line="278" w:lineRule="exact" w:before="2"/>
              <w:ind w:left="106"/>
              <w:rPr>
                <w:sz w:val="26"/>
              </w:rPr>
            </w:pPr>
            <w:r>
              <w:rPr>
                <w:sz w:val="26"/>
              </w:rPr>
              <w:t>19408120</w:t>
            </w:r>
          </w:p>
        </w:tc>
      </w:tr>
      <w:tr>
        <w:trPr>
          <w:trHeight w:val="301" w:hRule="atLeast"/>
        </w:trPr>
        <w:tc>
          <w:tcPr>
            <w:tcW w:w="960" w:type="dxa"/>
          </w:tcPr>
          <w:p>
            <w:pPr>
              <w:pStyle w:val="TableParagraph"/>
              <w:spacing w:line="280" w:lineRule="exact" w:before="1"/>
              <w:ind w:left="105"/>
              <w:rPr>
                <w:sz w:val="26"/>
              </w:rPr>
            </w:pPr>
            <w:r>
              <w:rPr>
                <w:sz w:val="26"/>
              </w:rPr>
              <w:t>2025</w:t>
            </w:r>
          </w:p>
        </w:tc>
        <w:tc>
          <w:tcPr>
            <w:tcW w:w="1712" w:type="dxa"/>
          </w:tcPr>
          <w:p>
            <w:pPr>
              <w:pStyle w:val="TableParagraph"/>
              <w:spacing w:line="280" w:lineRule="exact" w:before="1"/>
              <w:ind w:right="101"/>
              <w:jc w:val="right"/>
              <w:rPr>
                <w:sz w:val="26"/>
              </w:rPr>
            </w:pPr>
            <w:r>
              <w:rPr>
                <w:w w:val="95"/>
                <w:sz w:val="26"/>
              </w:rPr>
              <w:t>17756851</w:t>
            </w:r>
          </w:p>
        </w:tc>
        <w:tc>
          <w:tcPr>
            <w:tcW w:w="1255" w:type="dxa"/>
          </w:tcPr>
          <w:p>
            <w:pPr>
              <w:pStyle w:val="TableParagraph"/>
              <w:spacing w:line="280" w:lineRule="exact" w:before="1"/>
              <w:ind w:left="105"/>
              <w:rPr>
                <w:sz w:val="26"/>
              </w:rPr>
            </w:pPr>
            <w:r>
              <w:rPr>
                <w:sz w:val="26"/>
              </w:rPr>
              <w:t>15531156</w:t>
            </w:r>
          </w:p>
        </w:tc>
        <w:tc>
          <w:tcPr>
            <w:tcW w:w="1255" w:type="dxa"/>
          </w:tcPr>
          <w:p>
            <w:pPr>
              <w:pStyle w:val="TableParagraph"/>
              <w:spacing w:line="280" w:lineRule="exact" w:before="1"/>
              <w:ind w:left="107"/>
              <w:rPr>
                <w:sz w:val="26"/>
              </w:rPr>
            </w:pPr>
            <w:r>
              <w:rPr>
                <w:sz w:val="26"/>
              </w:rPr>
              <w:t>19982547</w:t>
            </w:r>
          </w:p>
        </w:tc>
        <w:tc>
          <w:tcPr>
            <w:tcW w:w="1257" w:type="dxa"/>
          </w:tcPr>
          <w:p>
            <w:pPr>
              <w:pStyle w:val="TableParagraph"/>
              <w:spacing w:line="280" w:lineRule="exact" w:before="1"/>
              <w:ind w:left="108"/>
              <w:rPr>
                <w:sz w:val="26"/>
              </w:rPr>
            </w:pPr>
            <w:r>
              <w:rPr>
                <w:sz w:val="26"/>
              </w:rPr>
              <w:t>14352944</w:t>
            </w:r>
          </w:p>
        </w:tc>
        <w:tc>
          <w:tcPr>
            <w:tcW w:w="1255" w:type="dxa"/>
          </w:tcPr>
          <w:p>
            <w:pPr>
              <w:pStyle w:val="TableParagraph"/>
              <w:spacing w:line="280" w:lineRule="exact" w:before="1"/>
              <w:ind w:left="106"/>
              <w:rPr>
                <w:sz w:val="26"/>
              </w:rPr>
            </w:pPr>
            <w:r>
              <w:rPr>
                <w:sz w:val="26"/>
              </w:rPr>
              <w:t>21160759</w:t>
            </w:r>
          </w:p>
        </w:tc>
      </w:tr>
    </w:tbl>
    <w:p>
      <w:pPr>
        <w:spacing w:after="0" w:line="280" w:lineRule="exact"/>
        <w:rPr>
          <w:sz w:val="26"/>
        </w:rPr>
        <w:sectPr>
          <w:pgSz w:w="11910" w:h="16850"/>
          <w:pgMar w:header="751" w:footer="0" w:top="960" w:bottom="280" w:left="820" w:right="240"/>
        </w:sect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spacing w:before="3"/>
        <w:rPr>
          <w:b/>
          <w:sz w:val="23"/>
        </w:rPr>
      </w:pPr>
    </w:p>
    <w:p>
      <w:pPr>
        <w:spacing w:line="360" w:lineRule="auto" w:before="0"/>
        <w:ind w:left="4768" w:right="1026" w:hanging="3735"/>
        <w:jc w:val="left"/>
        <w:rPr>
          <w:b/>
          <w:sz w:val="26"/>
        </w:rPr>
      </w:pPr>
      <w:r>
        <w:rPr>
          <w:b/>
          <w:sz w:val="26"/>
        </w:rPr>
        <w:t>Bảng 4.11 Dự báo sản lượng container thông qua cảng biển Việt Nam giai đoạn 2021 – 2025</w:t>
      </w:r>
    </w:p>
    <w:tbl>
      <w:tblPr>
        <w:tblW w:w="0" w:type="auto"/>
        <w:jc w:val="left"/>
        <w:tblInd w:w="15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960"/>
        <w:gridCol w:w="1712"/>
        <w:gridCol w:w="1255"/>
        <w:gridCol w:w="1255"/>
        <w:gridCol w:w="1257"/>
        <w:gridCol w:w="1255"/>
      </w:tblGrid>
      <w:tr>
        <w:trPr>
          <w:trHeight w:val="299" w:hRule="atLeast"/>
        </w:trPr>
        <w:tc>
          <w:tcPr>
            <w:tcW w:w="960" w:type="dxa"/>
          </w:tcPr>
          <w:p>
            <w:pPr>
              <w:pStyle w:val="TableParagraph"/>
              <w:rPr>
                <w:sz w:val="22"/>
              </w:rPr>
            </w:pPr>
          </w:p>
        </w:tc>
        <w:tc>
          <w:tcPr>
            <w:tcW w:w="1712" w:type="dxa"/>
          </w:tcPr>
          <w:p>
            <w:pPr>
              <w:pStyle w:val="TableParagraph"/>
              <w:spacing w:line="278" w:lineRule="exact" w:before="2"/>
              <w:ind w:right="103"/>
              <w:jc w:val="right"/>
              <w:rPr>
                <w:sz w:val="26"/>
              </w:rPr>
            </w:pPr>
            <w:r>
              <w:rPr>
                <w:w w:val="95"/>
                <w:sz w:val="26"/>
              </w:rPr>
              <w:t>Point.Forecast</w:t>
            </w:r>
          </w:p>
        </w:tc>
        <w:tc>
          <w:tcPr>
            <w:tcW w:w="1255" w:type="dxa"/>
          </w:tcPr>
          <w:p>
            <w:pPr>
              <w:pStyle w:val="TableParagraph"/>
              <w:spacing w:line="278" w:lineRule="exact" w:before="2"/>
              <w:ind w:left="105"/>
              <w:rPr>
                <w:sz w:val="26"/>
              </w:rPr>
            </w:pPr>
            <w:r>
              <w:rPr>
                <w:sz w:val="26"/>
              </w:rPr>
              <w:t>Lo.80</w:t>
            </w:r>
          </w:p>
        </w:tc>
        <w:tc>
          <w:tcPr>
            <w:tcW w:w="1255" w:type="dxa"/>
          </w:tcPr>
          <w:p>
            <w:pPr>
              <w:pStyle w:val="TableParagraph"/>
              <w:spacing w:line="278" w:lineRule="exact" w:before="2"/>
              <w:ind w:left="107"/>
              <w:rPr>
                <w:sz w:val="26"/>
              </w:rPr>
            </w:pPr>
            <w:r>
              <w:rPr>
                <w:sz w:val="26"/>
              </w:rPr>
              <w:t>Hi.80</w:t>
            </w:r>
          </w:p>
        </w:tc>
        <w:tc>
          <w:tcPr>
            <w:tcW w:w="1257" w:type="dxa"/>
          </w:tcPr>
          <w:p>
            <w:pPr>
              <w:pStyle w:val="TableParagraph"/>
              <w:spacing w:line="278" w:lineRule="exact" w:before="2"/>
              <w:ind w:left="108"/>
              <w:rPr>
                <w:sz w:val="26"/>
              </w:rPr>
            </w:pPr>
            <w:r>
              <w:rPr>
                <w:sz w:val="26"/>
              </w:rPr>
              <w:t>Lo.95</w:t>
            </w:r>
          </w:p>
        </w:tc>
        <w:tc>
          <w:tcPr>
            <w:tcW w:w="1255" w:type="dxa"/>
          </w:tcPr>
          <w:p>
            <w:pPr>
              <w:pStyle w:val="TableParagraph"/>
              <w:spacing w:line="278" w:lineRule="exact" w:before="2"/>
              <w:ind w:left="106"/>
              <w:rPr>
                <w:sz w:val="26"/>
              </w:rPr>
            </w:pPr>
            <w:r>
              <w:rPr>
                <w:sz w:val="26"/>
              </w:rPr>
              <w:t>Hi.95</w:t>
            </w:r>
          </w:p>
        </w:tc>
      </w:tr>
      <w:tr>
        <w:trPr>
          <w:trHeight w:val="299" w:hRule="atLeast"/>
        </w:trPr>
        <w:tc>
          <w:tcPr>
            <w:tcW w:w="960" w:type="dxa"/>
          </w:tcPr>
          <w:p>
            <w:pPr>
              <w:pStyle w:val="TableParagraph"/>
              <w:spacing w:line="278" w:lineRule="exact" w:before="2"/>
              <w:ind w:left="105"/>
              <w:rPr>
                <w:sz w:val="26"/>
              </w:rPr>
            </w:pPr>
            <w:r>
              <w:rPr>
                <w:sz w:val="26"/>
              </w:rPr>
              <w:t>2021</w:t>
            </w:r>
          </w:p>
        </w:tc>
        <w:tc>
          <w:tcPr>
            <w:tcW w:w="1712" w:type="dxa"/>
          </w:tcPr>
          <w:p>
            <w:pPr>
              <w:pStyle w:val="TableParagraph"/>
              <w:spacing w:line="278" w:lineRule="exact" w:before="2"/>
              <w:ind w:right="101"/>
              <w:jc w:val="right"/>
              <w:rPr>
                <w:sz w:val="26"/>
              </w:rPr>
            </w:pPr>
            <w:r>
              <w:rPr>
                <w:w w:val="95"/>
                <w:sz w:val="26"/>
              </w:rPr>
              <w:t>18277197</w:t>
            </w:r>
          </w:p>
        </w:tc>
        <w:tc>
          <w:tcPr>
            <w:tcW w:w="1255" w:type="dxa"/>
          </w:tcPr>
          <w:p>
            <w:pPr>
              <w:pStyle w:val="TableParagraph"/>
              <w:spacing w:line="278" w:lineRule="exact" w:before="2"/>
              <w:ind w:left="105"/>
              <w:rPr>
                <w:sz w:val="26"/>
              </w:rPr>
            </w:pPr>
            <w:r>
              <w:rPr>
                <w:sz w:val="26"/>
              </w:rPr>
              <w:t>17493401</w:t>
            </w:r>
          </w:p>
        </w:tc>
        <w:tc>
          <w:tcPr>
            <w:tcW w:w="1255" w:type="dxa"/>
          </w:tcPr>
          <w:p>
            <w:pPr>
              <w:pStyle w:val="TableParagraph"/>
              <w:spacing w:line="278" w:lineRule="exact" w:before="2"/>
              <w:ind w:left="107"/>
              <w:rPr>
                <w:sz w:val="26"/>
              </w:rPr>
            </w:pPr>
            <w:r>
              <w:rPr>
                <w:sz w:val="26"/>
              </w:rPr>
              <w:t>19060993</w:t>
            </w:r>
          </w:p>
        </w:tc>
        <w:tc>
          <w:tcPr>
            <w:tcW w:w="1257" w:type="dxa"/>
          </w:tcPr>
          <w:p>
            <w:pPr>
              <w:pStyle w:val="TableParagraph"/>
              <w:spacing w:line="278" w:lineRule="exact" w:before="2"/>
              <w:ind w:left="108"/>
              <w:rPr>
                <w:sz w:val="26"/>
              </w:rPr>
            </w:pPr>
            <w:r>
              <w:rPr>
                <w:sz w:val="26"/>
              </w:rPr>
              <w:t>17078484</w:t>
            </w:r>
          </w:p>
        </w:tc>
        <w:tc>
          <w:tcPr>
            <w:tcW w:w="1255" w:type="dxa"/>
          </w:tcPr>
          <w:p>
            <w:pPr>
              <w:pStyle w:val="TableParagraph"/>
              <w:spacing w:line="278" w:lineRule="exact" w:before="2"/>
              <w:ind w:left="106"/>
              <w:rPr>
                <w:sz w:val="26"/>
              </w:rPr>
            </w:pPr>
            <w:r>
              <w:rPr>
                <w:sz w:val="26"/>
              </w:rPr>
              <w:t>19475910</w:t>
            </w:r>
          </w:p>
        </w:tc>
      </w:tr>
      <w:tr>
        <w:trPr>
          <w:trHeight w:val="299" w:hRule="atLeast"/>
        </w:trPr>
        <w:tc>
          <w:tcPr>
            <w:tcW w:w="960" w:type="dxa"/>
          </w:tcPr>
          <w:p>
            <w:pPr>
              <w:pStyle w:val="TableParagraph"/>
              <w:spacing w:line="278" w:lineRule="exact" w:before="2"/>
              <w:ind w:left="105"/>
              <w:rPr>
                <w:sz w:val="26"/>
              </w:rPr>
            </w:pPr>
            <w:r>
              <w:rPr>
                <w:sz w:val="26"/>
              </w:rPr>
              <w:t>2022</w:t>
            </w:r>
          </w:p>
        </w:tc>
        <w:tc>
          <w:tcPr>
            <w:tcW w:w="1712" w:type="dxa"/>
          </w:tcPr>
          <w:p>
            <w:pPr>
              <w:pStyle w:val="TableParagraph"/>
              <w:spacing w:line="278" w:lineRule="exact" w:before="2"/>
              <w:ind w:right="101"/>
              <w:jc w:val="right"/>
              <w:rPr>
                <w:sz w:val="26"/>
              </w:rPr>
            </w:pPr>
            <w:r>
              <w:rPr>
                <w:w w:val="95"/>
                <w:sz w:val="26"/>
              </w:rPr>
              <w:t>19638657</w:t>
            </w:r>
          </w:p>
        </w:tc>
        <w:tc>
          <w:tcPr>
            <w:tcW w:w="1255" w:type="dxa"/>
          </w:tcPr>
          <w:p>
            <w:pPr>
              <w:pStyle w:val="TableParagraph"/>
              <w:spacing w:line="278" w:lineRule="exact" w:before="2"/>
              <w:ind w:left="105"/>
              <w:rPr>
                <w:sz w:val="26"/>
              </w:rPr>
            </w:pPr>
            <w:r>
              <w:rPr>
                <w:sz w:val="26"/>
              </w:rPr>
              <w:t>18345886</w:t>
            </w:r>
          </w:p>
        </w:tc>
        <w:tc>
          <w:tcPr>
            <w:tcW w:w="1255" w:type="dxa"/>
          </w:tcPr>
          <w:p>
            <w:pPr>
              <w:pStyle w:val="TableParagraph"/>
              <w:spacing w:line="278" w:lineRule="exact" w:before="2"/>
              <w:ind w:left="107"/>
              <w:rPr>
                <w:sz w:val="26"/>
              </w:rPr>
            </w:pPr>
            <w:r>
              <w:rPr>
                <w:sz w:val="26"/>
              </w:rPr>
              <w:t>20931427</w:t>
            </w:r>
          </w:p>
        </w:tc>
        <w:tc>
          <w:tcPr>
            <w:tcW w:w="1257" w:type="dxa"/>
          </w:tcPr>
          <w:p>
            <w:pPr>
              <w:pStyle w:val="TableParagraph"/>
              <w:spacing w:line="278" w:lineRule="exact" w:before="2"/>
              <w:ind w:left="108"/>
              <w:rPr>
                <w:sz w:val="26"/>
              </w:rPr>
            </w:pPr>
            <w:r>
              <w:rPr>
                <w:sz w:val="26"/>
              </w:rPr>
              <w:t>17661535</w:t>
            </w:r>
          </w:p>
        </w:tc>
        <w:tc>
          <w:tcPr>
            <w:tcW w:w="1255" w:type="dxa"/>
          </w:tcPr>
          <w:p>
            <w:pPr>
              <w:pStyle w:val="TableParagraph"/>
              <w:spacing w:line="278" w:lineRule="exact" w:before="2"/>
              <w:ind w:left="106"/>
              <w:rPr>
                <w:sz w:val="26"/>
              </w:rPr>
            </w:pPr>
            <w:r>
              <w:rPr>
                <w:sz w:val="26"/>
              </w:rPr>
              <w:t>21615778</w:t>
            </w:r>
          </w:p>
        </w:tc>
      </w:tr>
      <w:tr>
        <w:trPr>
          <w:trHeight w:val="299" w:hRule="atLeast"/>
        </w:trPr>
        <w:tc>
          <w:tcPr>
            <w:tcW w:w="960" w:type="dxa"/>
          </w:tcPr>
          <w:p>
            <w:pPr>
              <w:pStyle w:val="TableParagraph"/>
              <w:spacing w:line="278" w:lineRule="exact" w:before="2"/>
              <w:ind w:left="105"/>
              <w:rPr>
                <w:sz w:val="26"/>
              </w:rPr>
            </w:pPr>
            <w:r>
              <w:rPr>
                <w:sz w:val="26"/>
              </w:rPr>
              <w:t>2023</w:t>
            </w:r>
          </w:p>
        </w:tc>
        <w:tc>
          <w:tcPr>
            <w:tcW w:w="1712" w:type="dxa"/>
          </w:tcPr>
          <w:p>
            <w:pPr>
              <w:pStyle w:val="TableParagraph"/>
              <w:spacing w:line="278" w:lineRule="exact" w:before="2"/>
              <w:ind w:right="101"/>
              <w:jc w:val="right"/>
              <w:rPr>
                <w:sz w:val="26"/>
              </w:rPr>
            </w:pPr>
            <w:r>
              <w:rPr>
                <w:w w:val="95"/>
                <w:sz w:val="26"/>
              </w:rPr>
              <w:t>21000117</w:t>
            </w:r>
          </w:p>
        </w:tc>
        <w:tc>
          <w:tcPr>
            <w:tcW w:w="1255" w:type="dxa"/>
          </w:tcPr>
          <w:p>
            <w:pPr>
              <w:pStyle w:val="TableParagraph"/>
              <w:spacing w:line="278" w:lineRule="exact" w:before="2"/>
              <w:ind w:left="105"/>
              <w:rPr>
                <w:sz w:val="26"/>
              </w:rPr>
            </w:pPr>
            <w:r>
              <w:rPr>
                <w:sz w:val="26"/>
              </w:rPr>
              <w:t>19186256</w:t>
            </w:r>
          </w:p>
        </w:tc>
        <w:tc>
          <w:tcPr>
            <w:tcW w:w="1255" w:type="dxa"/>
          </w:tcPr>
          <w:p>
            <w:pPr>
              <w:pStyle w:val="TableParagraph"/>
              <w:spacing w:line="278" w:lineRule="exact" w:before="2"/>
              <w:ind w:left="107"/>
              <w:rPr>
                <w:sz w:val="26"/>
              </w:rPr>
            </w:pPr>
            <w:r>
              <w:rPr>
                <w:sz w:val="26"/>
              </w:rPr>
              <w:t>22813977</w:t>
            </w:r>
          </w:p>
        </w:tc>
        <w:tc>
          <w:tcPr>
            <w:tcW w:w="1257" w:type="dxa"/>
          </w:tcPr>
          <w:p>
            <w:pPr>
              <w:pStyle w:val="TableParagraph"/>
              <w:spacing w:line="278" w:lineRule="exact" w:before="2"/>
              <w:ind w:left="108"/>
              <w:rPr>
                <w:sz w:val="26"/>
              </w:rPr>
            </w:pPr>
            <w:r>
              <w:rPr>
                <w:sz w:val="26"/>
              </w:rPr>
              <w:t>18226056</w:t>
            </w:r>
          </w:p>
        </w:tc>
        <w:tc>
          <w:tcPr>
            <w:tcW w:w="1255" w:type="dxa"/>
          </w:tcPr>
          <w:p>
            <w:pPr>
              <w:pStyle w:val="TableParagraph"/>
              <w:spacing w:line="278" w:lineRule="exact" w:before="2"/>
              <w:ind w:left="106"/>
              <w:rPr>
                <w:sz w:val="26"/>
              </w:rPr>
            </w:pPr>
            <w:r>
              <w:rPr>
                <w:sz w:val="26"/>
              </w:rPr>
              <w:t>23774177</w:t>
            </w:r>
          </w:p>
        </w:tc>
      </w:tr>
      <w:tr>
        <w:trPr>
          <w:trHeight w:val="302" w:hRule="atLeast"/>
        </w:trPr>
        <w:tc>
          <w:tcPr>
            <w:tcW w:w="960" w:type="dxa"/>
          </w:tcPr>
          <w:p>
            <w:pPr>
              <w:pStyle w:val="TableParagraph"/>
              <w:spacing w:line="278" w:lineRule="exact" w:before="4"/>
              <w:ind w:left="105"/>
              <w:rPr>
                <w:sz w:val="26"/>
              </w:rPr>
            </w:pPr>
            <w:r>
              <w:rPr>
                <w:sz w:val="26"/>
              </w:rPr>
              <w:t>2024</w:t>
            </w:r>
          </w:p>
        </w:tc>
        <w:tc>
          <w:tcPr>
            <w:tcW w:w="1712" w:type="dxa"/>
          </w:tcPr>
          <w:p>
            <w:pPr>
              <w:pStyle w:val="TableParagraph"/>
              <w:spacing w:line="278" w:lineRule="exact" w:before="4"/>
              <w:ind w:right="101"/>
              <w:jc w:val="right"/>
              <w:rPr>
                <w:sz w:val="26"/>
              </w:rPr>
            </w:pPr>
            <w:r>
              <w:rPr>
                <w:w w:val="95"/>
                <w:sz w:val="26"/>
              </w:rPr>
              <w:t>22361576</w:t>
            </w:r>
          </w:p>
        </w:tc>
        <w:tc>
          <w:tcPr>
            <w:tcW w:w="1255" w:type="dxa"/>
          </w:tcPr>
          <w:p>
            <w:pPr>
              <w:pStyle w:val="TableParagraph"/>
              <w:spacing w:line="278" w:lineRule="exact" w:before="4"/>
              <w:ind w:left="105"/>
              <w:rPr>
                <w:sz w:val="26"/>
              </w:rPr>
            </w:pPr>
            <w:r>
              <w:rPr>
                <w:sz w:val="26"/>
              </w:rPr>
              <w:t>19997221</w:t>
            </w:r>
          </w:p>
        </w:tc>
        <w:tc>
          <w:tcPr>
            <w:tcW w:w="1255" w:type="dxa"/>
          </w:tcPr>
          <w:p>
            <w:pPr>
              <w:pStyle w:val="TableParagraph"/>
              <w:spacing w:line="278" w:lineRule="exact" w:before="4"/>
              <w:ind w:left="107"/>
              <w:rPr>
                <w:sz w:val="26"/>
              </w:rPr>
            </w:pPr>
            <w:r>
              <w:rPr>
                <w:sz w:val="26"/>
              </w:rPr>
              <w:t>24725932</w:t>
            </w:r>
          </w:p>
        </w:tc>
        <w:tc>
          <w:tcPr>
            <w:tcW w:w="1257" w:type="dxa"/>
          </w:tcPr>
          <w:p>
            <w:pPr>
              <w:pStyle w:val="TableParagraph"/>
              <w:spacing w:line="278" w:lineRule="exact" w:before="4"/>
              <w:ind w:left="108"/>
              <w:rPr>
                <w:sz w:val="26"/>
              </w:rPr>
            </w:pPr>
            <w:r>
              <w:rPr>
                <w:sz w:val="26"/>
              </w:rPr>
              <w:t>18745606</w:t>
            </w:r>
          </w:p>
        </w:tc>
        <w:tc>
          <w:tcPr>
            <w:tcW w:w="1255" w:type="dxa"/>
          </w:tcPr>
          <w:p>
            <w:pPr>
              <w:pStyle w:val="TableParagraph"/>
              <w:spacing w:line="278" w:lineRule="exact" w:before="4"/>
              <w:ind w:left="106"/>
              <w:rPr>
                <w:sz w:val="26"/>
              </w:rPr>
            </w:pPr>
            <w:r>
              <w:rPr>
                <w:sz w:val="26"/>
              </w:rPr>
              <w:t>25977547</w:t>
            </w:r>
          </w:p>
        </w:tc>
      </w:tr>
      <w:tr>
        <w:trPr>
          <w:trHeight w:val="299" w:hRule="atLeast"/>
        </w:trPr>
        <w:tc>
          <w:tcPr>
            <w:tcW w:w="960" w:type="dxa"/>
          </w:tcPr>
          <w:p>
            <w:pPr>
              <w:pStyle w:val="TableParagraph"/>
              <w:spacing w:line="278" w:lineRule="exact" w:before="2"/>
              <w:ind w:left="105"/>
              <w:rPr>
                <w:sz w:val="26"/>
              </w:rPr>
            </w:pPr>
            <w:r>
              <w:rPr>
                <w:sz w:val="26"/>
              </w:rPr>
              <w:t>2025</w:t>
            </w:r>
          </w:p>
        </w:tc>
        <w:tc>
          <w:tcPr>
            <w:tcW w:w="1712" w:type="dxa"/>
          </w:tcPr>
          <w:p>
            <w:pPr>
              <w:pStyle w:val="TableParagraph"/>
              <w:spacing w:line="278" w:lineRule="exact" w:before="2"/>
              <w:ind w:right="101"/>
              <w:jc w:val="right"/>
              <w:rPr>
                <w:sz w:val="26"/>
              </w:rPr>
            </w:pPr>
            <w:r>
              <w:rPr>
                <w:w w:val="95"/>
                <w:sz w:val="26"/>
              </w:rPr>
              <w:t>23723036</w:t>
            </w:r>
          </w:p>
        </w:tc>
        <w:tc>
          <w:tcPr>
            <w:tcW w:w="1255" w:type="dxa"/>
          </w:tcPr>
          <w:p>
            <w:pPr>
              <w:pStyle w:val="TableParagraph"/>
              <w:spacing w:line="278" w:lineRule="exact" w:before="2"/>
              <w:ind w:left="105"/>
              <w:rPr>
                <w:sz w:val="26"/>
              </w:rPr>
            </w:pPr>
            <w:r>
              <w:rPr>
                <w:sz w:val="26"/>
              </w:rPr>
              <w:t>20775011</w:t>
            </w:r>
          </w:p>
        </w:tc>
        <w:tc>
          <w:tcPr>
            <w:tcW w:w="1255" w:type="dxa"/>
          </w:tcPr>
          <w:p>
            <w:pPr>
              <w:pStyle w:val="TableParagraph"/>
              <w:spacing w:line="278" w:lineRule="exact" w:before="2"/>
              <w:ind w:left="107"/>
              <w:rPr>
                <w:sz w:val="26"/>
              </w:rPr>
            </w:pPr>
            <w:r>
              <w:rPr>
                <w:sz w:val="26"/>
              </w:rPr>
              <w:t>26671062</w:t>
            </w:r>
          </w:p>
        </w:tc>
        <w:tc>
          <w:tcPr>
            <w:tcW w:w="1257" w:type="dxa"/>
          </w:tcPr>
          <w:p>
            <w:pPr>
              <w:pStyle w:val="TableParagraph"/>
              <w:spacing w:line="278" w:lineRule="exact" w:before="2"/>
              <w:ind w:left="108"/>
              <w:rPr>
                <w:sz w:val="26"/>
              </w:rPr>
            </w:pPr>
            <w:r>
              <w:rPr>
                <w:sz w:val="26"/>
              </w:rPr>
              <w:t>19214421</w:t>
            </w:r>
          </w:p>
        </w:tc>
        <w:tc>
          <w:tcPr>
            <w:tcW w:w="1255" w:type="dxa"/>
          </w:tcPr>
          <w:p>
            <w:pPr>
              <w:pStyle w:val="TableParagraph"/>
              <w:spacing w:line="278" w:lineRule="exact" w:before="2"/>
              <w:ind w:left="106"/>
              <w:rPr>
                <w:sz w:val="26"/>
              </w:rPr>
            </w:pPr>
            <w:r>
              <w:rPr>
                <w:sz w:val="26"/>
              </w:rPr>
              <w:t>28231652</w:t>
            </w:r>
          </w:p>
        </w:tc>
      </w:tr>
    </w:tbl>
    <w:p>
      <w:pPr>
        <w:spacing w:before="1"/>
        <w:ind w:left="0" w:right="888" w:firstLine="0"/>
        <w:jc w:val="right"/>
        <w:rPr>
          <w:i/>
          <w:sz w:val="26"/>
        </w:rPr>
      </w:pPr>
      <w:r>
        <w:rPr>
          <w:i/>
          <w:sz w:val="26"/>
        </w:rPr>
        <w:t>Nguồn: tác giả thống kê</w:t>
      </w:r>
    </w:p>
    <w:p>
      <w:pPr>
        <w:pStyle w:val="Heading6"/>
        <w:spacing w:before="150"/>
        <w:ind w:left="943" w:right="952"/>
        <w:jc w:val="center"/>
      </w:pPr>
      <w:r>
        <w:rPr/>
        <w:t>Tóm tắt chương 4</w:t>
      </w:r>
    </w:p>
    <w:p>
      <w:pPr>
        <w:pStyle w:val="BodyText"/>
        <w:spacing w:line="360" w:lineRule="auto" w:before="150"/>
        <w:ind w:left="882" w:right="886"/>
        <w:jc w:val="both"/>
      </w:pPr>
      <w:r>
        <w:rPr/>
        <w:t>Chương 4 trình bày tổng quan về cảng container, phân loại và cấu trúc của cảng container. Bên cạnh đó chương 4 còn phân tích thực trạng cảng container Việt Nam và thực trạng các yếu tố ảnh hưởng đến lợi thế cạnh tranh cảng container Việt Nam. Cuối cùng chương 4 là trình bày kết quả dự báo sản lượng container thông qua cảng biển Việt Nam giai đoạn 2021-2025 là cơ sở để đưa ra giải pháp chương 5.</w:t>
      </w:r>
    </w:p>
    <w:p>
      <w:pPr>
        <w:spacing w:after="0" w:line="360" w:lineRule="auto"/>
        <w:jc w:val="both"/>
        <w:sectPr>
          <w:pgSz w:w="11910" w:h="16850"/>
          <w:pgMar w:header="751" w:footer="0" w:top="960" w:bottom="280" w:left="820" w:right="240"/>
        </w:sectPr>
      </w:pPr>
    </w:p>
    <w:p>
      <w:pPr>
        <w:pStyle w:val="BodyText"/>
        <w:rPr>
          <w:sz w:val="20"/>
        </w:rPr>
      </w:pPr>
    </w:p>
    <w:p>
      <w:pPr>
        <w:pStyle w:val="BodyText"/>
        <w:spacing w:before="7"/>
        <w:rPr>
          <w:sz w:val="23"/>
        </w:rPr>
      </w:pPr>
    </w:p>
    <w:p>
      <w:pPr>
        <w:pStyle w:val="Heading6"/>
        <w:spacing w:line="360" w:lineRule="auto" w:before="89"/>
        <w:ind w:left="2106" w:right="1239" w:hanging="862"/>
        <w:jc w:val="left"/>
      </w:pPr>
      <w:r>
        <w:rPr/>
        <w:t>CHƯƠNG 5: MỘT SỐ GIẢI PHÁP NHẰM NÂNG CAO LỢI THẾ CẠNH TRANH CHO CÁC CẢNG CONTAINER TẠI VIỆT NAM</w:t>
      </w:r>
    </w:p>
    <w:p>
      <w:pPr>
        <w:pStyle w:val="Heading6"/>
        <w:numPr>
          <w:ilvl w:val="1"/>
          <w:numId w:val="29"/>
        </w:numPr>
        <w:tabs>
          <w:tab w:pos="1271" w:val="left" w:leader="none"/>
        </w:tabs>
        <w:spacing w:line="240" w:lineRule="auto" w:before="0" w:after="0"/>
        <w:ind w:left="1270" w:right="0" w:hanging="389"/>
        <w:jc w:val="both"/>
      </w:pPr>
      <w:bookmarkStart w:name="_TOC_250009" w:id="47"/>
      <w:r>
        <w:rPr/>
        <w:t>Kết luận nghiên</w:t>
      </w:r>
      <w:r>
        <w:rPr>
          <w:spacing w:val="-3"/>
        </w:rPr>
        <w:t> </w:t>
      </w:r>
      <w:bookmarkEnd w:id="47"/>
      <w:r>
        <w:rPr/>
        <w:t>cứu</w:t>
      </w:r>
    </w:p>
    <w:p>
      <w:pPr>
        <w:pStyle w:val="BodyText"/>
        <w:spacing w:line="360" w:lineRule="auto" w:before="148"/>
        <w:ind w:left="882" w:right="888" w:firstLine="719"/>
        <w:jc w:val="both"/>
      </w:pPr>
      <w:r>
        <w:rPr/>
        <w:t>Nghiên cứu “Nâng cao lợi thế cạnh tranh cảng container tại Việt Nam” được đề xuất nghiên cứu trong bối cảnh tốc độ tăng trưởng kinh tế của Việt Nam rất tốt trong thời gian quan đồng thời cùng với hoạt động khai thác cũng như năng lực cạnh tranh của các cảng container Việt Nam kém hiệu quả, bên cạnh quyết định số 77/QĐ-TTg của Thủ tướng Chính phủ ngày 13/01/2020 về việc Phê duyệt Nhiệm vụ lập Quy  hoạch tổng thể phát triển hệ thống cảng biển Việt Nam thời kỳ 2021 - 2030, tầm nhìn đến năm 2050. Với phương pháp hỗn hợp cùng với nhiều công cụ kết hợp, thông qua hàng loạt các kỹ thuật phân tích như làm sạch dữ liệu, độ tin cậy Cronbach’s Alpha, phân tích nhân tố khám phá (EFA), phân tích nhân tố khẳng định (CFA), phân tích mô hình cấu trúc tuyến tính (SEM), Bootstrap, dự báo bằng mô hình ARIMA cùng bộ dữ liệu thu thập 516 khảo sát từ các nhà quản lý khách hàng của các cảng container. Kết quả nghiên cứu đã xây dựng và phát triển được 6 thang đo khái niệm là các yếu tố ảnh hưởng đến năng lực cạnh tranh cảng container tại Việt Nam như: Vị trí cảng container; Cơ sở vật chất hạ tầng cảng container; Năng lực kết nối nội địa cảng continer; Độ tin cậy của cảng container; Chi phí Logistics của cảng container; Chất lượng dịch vụ Logistics của cảng container trong lợi thế cạnh tranh của cảng được đo bằng các thành phần như hài lòng khách hàng cảng và lợi ích của khách hàng</w:t>
      </w:r>
      <w:r>
        <w:rPr>
          <w:spacing w:val="-6"/>
        </w:rPr>
        <w:t> </w:t>
      </w:r>
      <w:r>
        <w:rPr/>
        <w:t>cảng.</w:t>
      </w:r>
    </w:p>
    <w:p>
      <w:pPr>
        <w:pStyle w:val="Heading6"/>
        <w:numPr>
          <w:ilvl w:val="2"/>
          <w:numId w:val="29"/>
        </w:numPr>
        <w:tabs>
          <w:tab w:pos="1466" w:val="left" w:leader="none"/>
        </w:tabs>
        <w:spacing w:line="240" w:lineRule="auto" w:before="2" w:after="0"/>
        <w:ind w:left="1465" w:right="0" w:hanging="584"/>
        <w:jc w:val="both"/>
      </w:pPr>
      <w:bookmarkStart w:name="_TOC_250008" w:id="48"/>
      <w:bookmarkEnd w:id="48"/>
      <w:r>
        <w:rPr/>
        <w:t>Kết quả xây dựng và phát triển thang đo khái niệm</w:t>
      </w:r>
    </w:p>
    <w:p>
      <w:pPr>
        <w:pStyle w:val="BodyText"/>
        <w:spacing w:line="360" w:lineRule="auto" w:before="150"/>
        <w:ind w:left="882" w:right="891" w:firstLine="719"/>
        <w:jc w:val="both"/>
      </w:pPr>
      <w:r>
        <w:rPr/>
        <w:t>Kết quả nghiên cứu đã góp phần điều chỉnh bổ sung thang đo một số khái niệm phù hợp với ngành khai thác cảng container tại VN. Các thang đo đạt được đều có tính đơn hướng đạt độ tin cậy thang đo và có giá trị hội tụ. phân biệt cụ thể như sau:</w:t>
      </w:r>
    </w:p>
    <w:p>
      <w:pPr>
        <w:pStyle w:val="Heading6"/>
        <w:spacing w:line="357" w:lineRule="auto" w:before="1" w:after="3"/>
        <w:ind w:left="4117" w:right="1087" w:hanging="3039"/>
      </w:pPr>
      <w:r>
        <w:rPr/>
        <w:t>Bảng 5.1: Bảng tóm tắt thang đo khái niệm ảnh hưởng lợi thế cạnh tranh cảng container tại Việt Nam.</w:t>
      </w:r>
    </w:p>
    <w:tbl>
      <w:tblPr>
        <w:tblW w:w="0" w:type="auto"/>
        <w:jc w:val="left"/>
        <w:tblInd w:w="88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1418"/>
        <w:gridCol w:w="1843"/>
        <w:gridCol w:w="1274"/>
        <w:gridCol w:w="4537"/>
      </w:tblGrid>
      <w:tr>
        <w:trPr>
          <w:trHeight w:val="448" w:hRule="atLeast"/>
        </w:trPr>
        <w:tc>
          <w:tcPr>
            <w:tcW w:w="1418" w:type="dxa"/>
          </w:tcPr>
          <w:p>
            <w:pPr>
              <w:pStyle w:val="TableParagraph"/>
              <w:spacing w:before="2"/>
              <w:ind w:left="105" w:right="100"/>
              <w:jc w:val="center"/>
              <w:rPr>
                <w:b/>
                <w:sz w:val="26"/>
              </w:rPr>
            </w:pPr>
            <w:r>
              <w:rPr>
                <w:b/>
                <w:sz w:val="26"/>
              </w:rPr>
              <w:t>Khái niệm</w:t>
            </w:r>
          </w:p>
        </w:tc>
        <w:tc>
          <w:tcPr>
            <w:tcW w:w="1843" w:type="dxa"/>
          </w:tcPr>
          <w:p>
            <w:pPr>
              <w:pStyle w:val="TableParagraph"/>
              <w:spacing w:before="2"/>
              <w:ind w:left="122" w:right="116"/>
              <w:jc w:val="center"/>
              <w:rPr>
                <w:b/>
                <w:sz w:val="26"/>
              </w:rPr>
            </w:pPr>
            <w:r>
              <w:rPr>
                <w:b/>
                <w:sz w:val="26"/>
              </w:rPr>
              <w:t>Thành phần</w:t>
            </w:r>
          </w:p>
        </w:tc>
        <w:tc>
          <w:tcPr>
            <w:tcW w:w="1274" w:type="dxa"/>
          </w:tcPr>
          <w:p>
            <w:pPr>
              <w:pStyle w:val="TableParagraph"/>
              <w:spacing w:before="2"/>
              <w:ind w:left="200"/>
              <w:rPr>
                <w:b/>
                <w:sz w:val="26"/>
              </w:rPr>
            </w:pPr>
            <w:r>
              <w:rPr>
                <w:b/>
                <w:sz w:val="26"/>
              </w:rPr>
              <w:t>Ký hiệu</w:t>
            </w:r>
          </w:p>
        </w:tc>
        <w:tc>
          <w:tcPr>
            <w:tcW w:w="4537" w:type="dxa"/>
          </w:tcPr>
          <w:p>
            <w:pPr>
              <w:pStyle w:val="TableParagraph"/>
              <w:spacing w:before="2"/>
              <w:ind w:left="1753" w:right="1743"/>
              <w:jc w:val="center"/>
              <w:rPr>
                <w:b/>
                <w:sz w:val="26"/>
              </w:rPr>
            </w:pPr>
            <w:r>
              <w:rPr>
                <w:b/>
                <w:sz w:val="26"/>
              </w:rPr>
              <w:t>Diễn giải</w:t>
            </w:r>
          </w:p>
        </w:tc>
      </w:tr>
      <w:tr>
        <w:trPr>
          <w:trHeight w:val="385" w:hRule="atLeast"/>
        </w:trPr>
        <w:tc>
          <w:tcPr>
            <w:tcW w:w="1418" w:type="dxa"/>
            <w:tcBorders>
              <w:bottom w:val="nil"/>
            </w:tcBorders>
          </w:tcPr>
          <w:p>
            <w:pPr>
              <w:pStyle w:val="TableParagraph"/>
              <w:spacing w:before="9"/>
              <w:ind w:left="105" w:right="96"/>
              <w:jc w:val="center"/>
              <w:rPr>
                <w:b/>
                <w:sz w:val="26"/>
              </w:rPr>
            </w:pPr>
            <w:r>
              <w:rPr>
                <w:b/>
                <w:sz w:val="26"/>
              </w:rPr>
              <w:t>Lợi thế</w:t>
            </w:r>
          </w:p>
        </w:tc>
        <w:tc>
          <w:tcPr>
            <w:tcW w:w="1843" w:type="dxa"/>
            <w:tcBorders>
              <w:bottom w:val="nil"/>
            </w:tcBorders>
          </w:tcPr>
          <w:p>
            <w:pPr>
              <w:pStyle w:val="TableParagraph"/>
              <w:spacing w:before="2"/>
              <w:ind w:left="127" w:right="116"/>
              <w:jc w:val="center"/>
              <w:rPr>
                <w:sz w:val="26"/>
              </w:rPr>
            </w:pPr>
            <w:r>
              <w:rPr>
                <w:sz w:val="26"/>
              </w:rPr>
              <w:t>Lợi ích khách</w:t>
            </w:r>
          </w:p>
        </w:tc>
        <w:tc>
          <w:tcPr>
            <w:tcW w:w="1274" w:type="dxa"/>
            <w:tcBorders>
              <w:bottom w:val="nil"/>
            </w:tcBorders>
          </w:tcPr>
          <w:p>
            <w:pPr>
              <w:pStyle w:val="TableParagraph"/>
              <w:spacing w:before="2"/>
              <w:ind w:left="108"/>
              <w:rPr>
                <w:sz w:val="26"/>
              </w:rPr>
            </w:pPr>
            <w:r>
              <w:rPr>
                <w:sz w:val="26"/>
              </w:rPr>
              <w:t>LI1</w:t>
            </w:r>
          </w:p>
        </w:tc>
        <w:tc>
          <w:tcPr>
            <w:tcW w:w="4537" w:type="dxa"/>
            <w:tcBorders>
              <w:bottom w:val="nil"/>
            </w:tcBorders>
          </w:tcPr>
          <w:p>
            <w:pPr>
              <w:pStyle w:val="TableParagraph"/>
              <w:spacing w:before="2"/>
              <w:ind w:left="109"/>
              <w:rPr>
                <w:sz w:val="26"/>
              </w:rPr>
            </w:pPr>
            <w:r>
              <w:rPr>
                <w:sz w:val="26"/>
              </w:rPr>
              <w:t>Lợi ích khách hàng nhận được khi sử</w:t>
            </w:r>
          </w:p>
        </w:tc>
      </w:tr>
      <w:tr>
        <w:trPr>
          <w:trHeight w:val="447" w:hRule="atLeast"/>
        </w:trPr>
        <w:tc>
          <w:tcPr>
            <w:tcW w:w="1418" w:type="dxa"/>
            <w:tcBorders>
              <w:top w:val="nil"/>
              <w:bottom w:val="nil"/>
            </w:tcBorders>
          </w:tcPr>
          <w:p>
            <w:pPr>
              <w:pStyle w:val="TableParagraph"/>
              <w:spacing w:before="70"/>
              <w:ind w:left="105" w:right="98"/>
              <w:jc w:val="center"/>
              <w:rPr>
                <w:b/>
                <w:sz w:val="26"/>
              </w:rPr>
            </w:pPr>
            <w:r>
              <w:rPr>
                <w:b/>
                <w:sz w:val="26"/>
              </w:rPr>
              <w:t>cạnh</w:t>
            </w:r>
          </w:p>
        </w:tc>
        <w:tc>
          <w:tcPr>
            <w:tcW w:w="1843" w:type="dxa"/>
            <w:tcBorders>
              <w:top w:val="nil"/>
              <w:bottom w:val="nil"/>
            </w:tcBorders>
          </w:tcPr>
          <w:p>
            <w:pPr>
              <w:pStyle w:val="TableParagraph"/>
              <w:spacing w:before="65"/>
              <w:ind w:left="124" w:right="116"/>
              <w:jc w:val="center"/>
              <w:rPr>
                <w:sz w:val="26"/>
              </w:rPr>
            </w:pPr>
            <w:r>
              <w:rPr>
                <w:sz w:val="26"/>
              </w:rPr>
              <w:t>hàng cảng</w:t>
            </w:r>
          </w:p>
        </w:tc>
        <w:tc>
          <w:tcPr>
            <w:tcW w:w="1274" w:type="dxa"/>
            <w:tcBorders>
              <w:top w:val="nil"/>
              <w:bottom w:val="nil"/>
            </w:tcBorders>
          </w:tcPr>
          <w:p>
            <w:pPr>
              <w:pStyle w:val="TableParagraph"/>
              <w:rPr>
                <w:sz w:val="24"/>
              </w:rPr>
            </w:pPr>
          </w:p>
        </w:tc>
        <w:tc>
          <w:tcPr>
            <w:tcW w:w="4537" w:type="dxa"/>
            <w:tcBorders>
              <w:top w:val="nil"/>
              <w:bottom w:val="nil"/>
            </w:tcBorders>
          </w:tcPr>
          <w:p>
            <w:pPr>
              <w:pStyle w:val="TableParagraph"/>
              <w:spacing w:before="65"/>
              <w:ind w:left="109"/>
              <w:rPr>
                <w:sz w:val="26"/>
              </w:rPr>
            </w:pPr>
            <w:r>
              <w:rPr>
                <w:sz w:val="26"/>
              </w:rPr>
              <w:t>dụng dịch vụ cảng xứng đáng với thời</w:t>
            </w:r>
          </w:p>
        </w:tc>
      </w:tr>
      <w:tr>
        <w:trPr>
          <w:trHeight w:val="513" w:hRule="atLeast"/>
        </w:trPr>
        <w:tc>
          <w:tcPr>
            <w:tcW w:w="1418" w:type="dxa"/>
            <w:tcBorders>
              <w:top w:val="nil"/>
              <w:bottom w:val="nil"/>
            </w:tcBorders>
          </w:tcPr>
          <w:p>
            <w:pPr>
              <w:pStyle w:val="TableParagraph"/>
              <w:spacing w:before="71"/>
              <w:ind w:left="105" w:right="98"/>
              <w:jc w:val="center"/>
              <w:rPr>
                <w:b/>
                <w:sz w:val="26"/>
              </w:rPr>
            </w:pPr>
            <w:r>
              <w:rPr>
                <w:b/>
                <w:sz w:val="26"/>
              </w:rPr>
              <w:t>tranh</w:t>
            </w:r>
          </w:p>
        </w:tc>
        <w:tc>
          <w:tcPr>
            <w:tcW w:w="1843" w:type="dxa"/>
            <w:tcBorders>
              <w:top w:val="nil"/>
              <w:bottom w:val="nil"/>
            </w:tcBorders>
          </w:tcPr>
          <w:p>
            <w:pPr>
              <w:pStyle w:val="TableParagraph"/>
              <w:rPr>
                <w:sz w:val="24"/>
              </w:rPr>
            </w:pPr>
          </w:p>
        </w:tc>
        <w:tc>
          <w:tcPr>
            <w:tcW w:w="1274" w:type="dxa"/>
            <w:tcBorders>
              <w:top w:val="nil"/>
            </w:tcBorders>
          </w:tcPr>
          <w:p>
            <w:pPr>
              <w:pStyle w:val="TableParagraph"/>
              <w:rPr>
                <w:sz w:val="24"/>
              </w:rPr>
            </w:pPr>
          </w:p>
        </w:tc>
        <w:tc>
          <w:tcPr>
            <w:tcW w:w="4537" w:type="dxa"/>
            <w:tcBorders>
              <w:top w:val="nil"/>
            </w:tcBorders>
          </w:tcPr>
          <w:p>
            <w:pPr>
              <w:pStyle w:val="TableParagraph"/>
              <w:spacing w:before="66"/>
              <w:ind w:left="109"/>
              <w:rPr>
                <w:sz w:val="26"/>
              </w:rPr>
            </w:pPr>
            <w:r>
              <w:rPr>
                <w:sz w:val="26"/>
              </w:rPr>
              <w:t>gian bỏ ra</w:t>
            </w:r>
          </w:p>
        </w:tc>
      </w:tr>
      <w:tr>
        <w:trPr>
          <w:trHeight w:val="448" w:hRule="atLeast"/>
        </w:trPr>
        <w:tc>
          <w:tcPr>
            <w:tcW w:w="1418" w:type="dxa"/>
            <w:tcBorders>
              <w:top w:val="nil"/>
            </w:tcBorders>
          </w:tcPr>
          <w:p>
            <w:pPr>
              <w:pStyle w:val="TableParagraph"/>
              <w:spacing w:line="296" w:lineRule="exact"/>
              <w:ind w:left="105" w:right="98"/>
              <w:jc w:val="center"/>
              <w:rPr>
                <w:b/>
                <w:sz w:val="26"/>
              </w:rPr>
            </w:pPr>
            <w:r>
              <w:rPr>
                <w:b/>
                <w:sz w:val="26"/>
              </w:rPr>
              <w:t>cảng</w:t>
            </w:r>
          </w:p>
        </w:tc>
        <w:tc>
          <w:tcPr>
            <w:tcW w:w="1843" w:type="dxa"/>
            <w:tcBorders>
              <w:top w:val="nil"/>
            </w:tcBorders>
          </w:tcPr>
          <w:p>
            <w:pPr>
              <w:pStyle w:val="TableParagraph"/>
              <w:rPr>
                <w:sz w:val="24"/>
              </w:rPr>
            </w:pPr>
          </w:p>
        </w:tc>
        <w:tc>
          <w:tcPr>
            <w:tcW w:w="1274" w:type="dxa"/>
          </w:tcPr>
          <w:p>
            <w:pPr>
              <w:pStyle w:val="TableParagraph"/>
              <w:spacing w:before="2"/>
              <w:ind w:left="108"/>
              <w:rPr>
                <w:sz w:val="26"/>
              </w:rPr>
            </w:pPr>
            <w:r>
              <w:rPr>
                <w:sz w:val="26"/>
              </w:rPr>
              <w:t>LI2</w:t>
            </w:r>
          </w:p>
        </w:tc>
        <w:tc>
          <w:tcPr>
            <w:tcW w:w="4537" w:type="dxa"/>
          </w:tcPr>
          <w:p>
            <w:pPr>
              <w:pStyle w:val="TableParagraph"/>
              <w:spacing w:before="2"/>
              <w:ind w:left="109"/>
              <w:rPr>
                <w:sz w:val="26"/>
              </w:rPr>
            </w:pPr>
            <w:r>
              <w:rPr>
                <w:sz w:val="26"/>
              </w:rPr>
              <w:t>Lợi ích khách hàng nhận được khi sử</w:t>
            </w:r>
          </w:p>
        </w:tc>
      </w:tr>
    </w:tbl>
    <w:p>
      <w:pPr>
        <w:spacing w:after="0"/>
        <w:rPr>
          <w:sz w:val="26"/>
        </w:rPr>
        <w:sectPr>
          <w:pgSz w:w="11910" w:h="16850"/>
          <w:pgMar w:header="751" w:footer="0" w:top="960" w:bottom="280" w:left="820" w:right="240"/>
        </w:sectPr>
      </w:pPr>
    </w:p>
    <w:p>
      <w:pPr>
        <w:pStyle w:val="BodyText"/>
        <w:rPr>
          <w:b/>
          <w:sz w:val="20"/>
        </w:rPr>
      </w:pPr>
    </w:p>
    <w:p>
      <w:pPr>
        <w:pStyle w:val="BodyText"/>
        <w:rPr>
          <w:b/>
          <w:sz w:val="20"/>
        </w:rPr>
      </w:pPr>
    </w:p>
    <w:p>
      <w:pPr>
        <w:pStyle w:val="BodyText"/>
        <w:spacing w:before="1"/>
        <w:rPr>
          <w:b/>
          <w:sz w:val="11"/>
        </w:rPr>
      </w:pPr>
    </w:p>
    <w:tbl>
      <w:tblPr>
        <w:tblW w:w="0" w:type="auto"/>
        <w:jc w:val="left"/>
        <w:tblInd w:w="88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1418"/>
        <w:gridCol w:w="1843"/>
        <w:gridCol w:w="1274"/>
        <w:gridCol w:w="4537"/>
      </w:tblGrid>
      <w:tr>
        <w:trPr>
          <w:trHeight w:val="448" w:hRule="atLeast"/>
        </w:trPr>
        <w:tc>
          <w:tcPr>
            <w:tcW w:w="1418" w:type="dxa"/>
          </w:tcPr>
          <w:p>
            <w:pPr>
              <w:pStyle w:val="TableParagraph"/>
              <w:spacing w:before="2"/>
              <w:ind w:left="126"/>
              <w:rPr>
                <w:b/>
                <w:sz w:val="26"/>
              </w:rPr>
            </w:pPr>
            <w:r>
              <w:rPr>
                <w:b/>
                <w:sz w:val="26"/>
              </w:rPr>
              <w:t>Khái niệm</w:t>
            </w:r>
          </w:p>
        </w:tc>
        <w:tc>
          <w:tcPr>
            <w:tcW w:w="1843" w:type="dxa"/>
          </w:tcPr>
          <w:p>
            <w:pPr>
              <w:pStyle w:val="TableParagraph"/>
              <w:spacing w:before="2"/>
              <w:ind w:left="237"/>
              <w:rPr>
                <w:b/>
                <w:sz w:val="26"/>
              </w:rPr>
            </w:pPr>
            <w:r>
              <w:rPr>
                <w:b/>
                <w:sz w:val="26"/>
              </w:rPr>
              <w:t>Thành phần</w:t>
            </w:r>
          </w:p>
        </w:tc>
        <w:tc>
          <w:tcPr>
            <w:tcW w:w="1274" w:type="dxa"/>
          </w:tcPr>
          <w:p>
            <w:pPr>
              <w:pStyle w:val="TableParagraph"/>
              <w:spacing w:before="2"/>
              <w:ind w:left="200"/>
              <w:rPr>
                <w:b/>
                <w:sz w:val="26"/>
              </w:rPr>
            </w:pPr>
            <w:r>
              <w:rPr>
                <w:b/>
                <w:sz w:val="26"/>
              </w:rPr>
              <w:t>Ký hiệu</w:t>
            </w:r>
          </w:p>
        </w:tc>
        <w:tc>
          <w:tcPr>
            <w:tcW w:w="4537" w:type="dxa"/>
          </w:tcPr>
          <w:p>
            <w:pPr>
              <w:pStyle w:val="TableParagraph"/>
              <w:spacing w:before="2"/>
              <w:ind w:left="1753" w:right="1743"/>
              <w:jc w:val="center"/>
              <w:rPr>
                <w:b/>
                <w:sz w:val="26"/>
              </w:rPr>
            </w:pPr>
            <w:r>
              <w:rPr>
                <w:b/>
                <w:sz w:val="26"/>
              </w:rPr>
              <w:t>Diễn giải</w:t>
            </w:r>
          </w:p>
        </w:tc>
      </w:tr>
      <w:tr>
        <w:trPr>
          <w:trHeight w:val="897" w:hRule="atLeast"/>
        </w:trPr>
        <w:tc>
          <w:tcPr>
            <w:tcW w:w="1418" w:type="dxa"/>
            <w:vMerge w:val="restart"/>
          </w:tcPr>
          <w:p>
            <w:pPr>
              <w:pStyle w:val="TableParagraph"/>
              <w:rPr>
                <w:sz w:val="24"/>
              </w:rPr>
            </w:pPr>
          </w:p>
        </w:tc>
        <w:tc>
          <w:tcPr>
            <w:tcW w:w="1843" w:type="dxa"/>
            <w:vMerge w:val="restart"/>
          </w:tcPr>
          <w:p>
            <w:pPr>
              <w:pStyle w:val="TableParagraph"/>
              <w:rPr>
                <w:sz w:val="24"/>
              </w:rPr>
            </w:pPr>
          </w:p>
        </w:tc>
        <w:tc>
          <w:tcPr>
            <w:tcW w:w="1274" w:type="dxa"/>
          </w:tcPr>
          <w:p>
            <w:pPr>
              <w:pStyle w:val="TableParagraph"/>
              <w:rPr>
                <w:sz w:val="24"/>
              </w:rPr>
            </w:pPr>
          </w:p>
        </w:tc>
        <w:tc>
          <w:tcPr>
            <w:tcW w:w="4537" w:type="dxa"/>
          </w:tcPr>
          <w:p>
            <w:pPr>
              <w:pStyle w:val="TableParagraph"/>
              <w:spacing w:before="2"/>
              <w:ind w:left="109"/>
              <w:rPr>
                <w:sz w:val="26"/>
              </w:rPr>
            </w:pPr>
            <w:r>
              <w:rPr>
                <w:sz w:val="26"/>
              </w:rPr>
              <w:t>dụng dịch vụ cảng xứng đáng với chi phí</w:t>
            </w:r>
          </w:p>
          <w:p>
            <w:pPr>
              <w:pStyle w:val="TableParagraph"/>
              <w:spacing w:before="149"/>
              <w:ind w:left="109"/>
              <w:rPr>
                <w:sz w:val="26"/>
              </w:rPr>
            </w:pPr>
            <w:r>
              <w:rPr>
                <w:sz w:val="26"/>
              </w:rPr>
              <w:t>bỏ ra</w:t>
            </w:r>
          </w:p>
        </w:tc>
      </w:tr>
      <w:tr>
        <w:trPr>
          <w:trHeight w:val="897" w:hRule="atLeast"/>
        </w:trPr>
        <w:tc>
          <w:tcPr>
            <w:tcW w:w="1418" w:type="dxa"/>
            <w:vMerge/>
            <w:tcBorders>
              <w:top w:val="nil"/>
            </w:tcBorders>
          </w:tcPr>
          <w:p>
            <w:pPr>
              <w:rPr>
                <w:sz w:val="2"/>
                <w:szCs w:val="2"/>
              </w:rPr>
            </w:pPr>
          </w:p>
        </w:tc>
        <w:tc>
          <w:tcPr>
            <w:tcW w:w="1843" w:type="dxa"/>
            <w:vMerge/>
            <w:tcBorders>
              <w:top w:val="nil"/>
            </w:tcBorders>
          </w:tcPr>
          <w:p>
            <w:pPr>
              <w:rPr>
                <w:sz w:val="2"/>
                <w:szCs w:val="2"/>
              </w:rPr>
            </w:pPr>
          </w:p>
        </w:tc>
        <w:tc>
          <w:tcPr>
            <w:tcW w:w="1274" w:type="dxa"/>
          </w:tcPr>
          <w:p>
            <w:pPr>
              <w:pStyle w:val="TableParagraph"/>
              <w:spacing w:before="2"/>
              <w:ind w:left="108"/>
              <w:rPr>
                <w:sz w:val="26"/>
              </w:rPr>
            </w:pPr>
            <w:r>
              <w:rPr>
                <w:sz w:val="26"/>
              </w:rPr>
              <w:t>LI3</w:t>
            </w:r>
          </w:p>
        </w:tc>
        <w:tc>
          <w:tcPr>
            <w:tcW w:w="4537" w:type="dxa"/>
          </w:tcPr>
          <w:p>
            <w:pPr>
              <w:pStyle w:val="TableParagraph"/>
              <w:spacing w:before="2"/>
              <w:ind w:left="109"/>
              <w:rPr>
                <w:sz w:val="26"/>
              </w:rPr>
            </w:pPr>
            <w:r>
              <w:rPr>
                <w:sz w:val="26"/>
              </w:rPr>
              <w:t>Khách hàng có thể sử dụng nhiều dịch vụ</w:t>
            </w:r>
          </w:p>
          <w:p>
            <w:pPr>
              <w:pStyle w:val="TableParagraph"/>
              <w:spacing w:before="149"/>
              <w:ind w:left="109"/>
              <w:rPr>
                <w:sz w:val="26"/>
              </w:rPr>
            </w:pPr>
            <w:r>
              <w:rPr>
                <w:sz w:val="26"/>
              </w:rPr>
              <w:t>hơn so với nhu cầu</w:t>
            </w:r>
          </w:p>
        </w:tc>
      </w:tr>
      <w:tr>
        <w:trPr>
          <w:trHeight w:val="897" w:hRule="atLeast"/>
        </w:trPr>
        <w:tc>
          <w:tcPr>
            <w:tcW w:w="1418" w:type="dxa"/>
            <w:vMerge/>
            <w:tcBorders>
              <w:top w:val="nil"/>
            </w:tcBorders>
          </w:tcPr>
          <w:p>
            <w:pPr>
              <w:rPr>
                <w:sz w:val="2"/>
                <w:szCs w:val="2"/>
              </w:rPr>
            </w:pPr>
          </w:p>
        </w:tc>
        <w:tc>
          <w:tcPr>
            <w:tcW w:w="1843" w:type="dxa"/>
            <w:vMerge w:val="restart"/>
          </w:tcPr>
          <w:p>
            <w:pPr>
              <w:pStyle w:val="TableParagraph"/>
              <w:spacing w:before="2"/>
              <w:rPr>
                <w:b/>
                <w:sz w:val="39"/>
              </w:rPr>
            </w:pPr>
          </w:p>
          <w:p>
            <w:pPr>
              <w:pStyle w:val="TableParagraph"/>
              <w:spacing w:line="360" w:lineRule="auto"/>
              <w:ind w:left="127" w:right="116"/>
              <w:jc w:val="center"/>
              <w:rPr>
                <w:sz w:val="26"/>
              </w:rPr>
            </w:pPr>
            <w:r>
              <w:rPr>
                <w:sz w:val="26"/>
              </w:rPr>
              <w:t>Hài lòng khách hàng cảng container</w:t>
            </w:r>
          </w:p>
        </w:tc>
        <w:tc>
          <w:tcPr>
            <w:tcW w:w="1274" w:type="dxa"/>
          </w:tcPr>
          <w:p>
            <w:pPr>
              <w:pStyle w:val="TableParagraph"/>
              <w:spacing w:before="2"/>
              <w:ind w:left="108"/>
              <w:rPr>
                <w:sz w:val="26"/>
              </w:rPr>
            </w:pPr>
            <w:r>
              <w:rPr>
                <w:sz w:val="26"/>
              </w:rPr>
              <w:t>HL1</w:t>
            </w:r>
          </w:p>
        </w:tc>
        <w:tc>
          <w:tcPr>
            <w:tcW w:w="4537" w:type="dxa"/>
          </w:tcPr>
          <w:p>
            <w:pPr>
              <w:pStyle w:val="TableParagraph"/>
              <w:spacing w:before="2"/>
              <w:ind w:left="109"/>
              <w:rPr>
                <w:sz w:val="26"/>
              </w:rPr>
            </w:pPr>
            <w:r>
              <w:rPr>
                <w:sz w:val="26"/>
              </w:rPr>
              <w:t>Người gửi hàng rất hài lòng vào dịch vụ</w:t>
            </w:r>
          </w:p>
          <w:p>
            <w:pPr>
              <w:pStyle w:val="TableParagraph"/>
              <w:spacing w:before="149"/>
              <w:ind w:left="109"/>
              <w:rPr>
                <w:sz w:val="26"/>
              </w:rPr>
            </w:pPr>
            <w:r>
              <w:rPr>
                <w:sz w:val="26"/>
              </w:rPr>
              <w:t>cảng</w:t>
            </w:r>
          </w:p>
        </w:tc>
      </w:tr>
      <w:tr>
        <w:trPr>
          <w:trHeight w:val="448" w:hRule="atLeast"/>
        </w:trPr>
        <w:tc>
          <w:tcPr>
            <w:tcW w:w="1418" w:type="dxa"/>
            <w:vMerge/>
            <w:tcBorders>
              <w:top w:val="nil"/>
            </w:tcBorders>
          </w:tcPr>
          <w:p>
            <w:pPr>
              <w:rPr>
                <w:sz w:val="2"/>
                <w:szCs w:val="2"/>
              </w:rPr>
            </w:pPr>
          </w:p>
        </w:tc>
        <w:tc>
          <w:tcPr>
            <w:tcW w:w="1843" w:type="dxa"/>
            <w:vMerge/>
            <w:tcBorders>
              <w:top w:val="nil"/>
            </w:tcBorders>
          </w:tcPr>
          <w:p>
            <w:pPr>
              <w:rPr>
                <w:sz w:val="2"/>
                <w:szCs w:val="2"/>
              </w:rPr>
            </w:pPr>
          </w:p>
        </w:tc>
        <w:tc>
          <w:tcPr>
            <w:tcW w:w="1274" w:type="dxa"/>
          </w:tcPr>
          <w:p>
            <w:pPr>
              <w:pStyle w:val="TableParagraph"/>
              <w:spacing w:before="2"/>
              <w:ind w:left="108"/>
              <w:rPr>
                <w:sz w:val="26"/>
              </w:rPr>
            </w:pPr>
            <w:r>
              <w:rPr>
                <w:sz w:val="26"/>
              </w:rPr>
              <w:t>HL2</w:t>
            </w:r>
          </w:p>
        </w:tc>
        <w:tc>
          <w:tcPr>
            <w:tcW w:w="4537" w:type="dxa"/>
          </w:tcPr>
          <w:p>
            <w:pPr>
              <w:pStyle w:val="TableParagraph"/>
              <w:spacing w:before="2"/>
              <w:ind w:left="109"/>
              <w:rPr>
                <w:sz w:val="26"/>
              </w:rPr>
            </w:pPr>
            <w:r>
              <w:rPr>
                <w:sz w:val="26"/>
              </w:rPr>
              <w:t>Chủ tàu rất hài lòng về dịch vụ cảng</w:t>
            </w:r>
          </w:p>
        </w:tc>
      </w:tr>
      <w:tr>
        <w:trPr>
          <w:trHeight w:val="897" w:hRule="atLeast"/>
        </w:trPr>
        <w:tc>
          <w:tcPr>
            <w:tcW w:w="1418" w:type="dxa"/>
            <w:vMerge/>
            <w:tcBorders>
              <w:top w:val="nil"/>
            </w:tcBorders>
          </w:tcPr>
          <w:p>
            <w:pPr>
              <w:rPr>
                <w:sz w:val="2"/>
                <w:szCs w:val="2"/>
              </w:rPr>
            </w:pPr>
          </w:p>
        </w:tc>
        <w:tc>
          <w:tcPr>
            <w:tcW w:w="1843" w:type="dxa"/>
            <w:vMerge/>
            <w:tcBorders>
              <w:top w:val="nil"/>
            </w:tcBorders>
          </w:tcPr>
          <w:p>
            <w:pPr>
              <w:rPr>
                <w:sz w:val="2"/>
                <w:szCs w:val="2"/>
              </w:rPr>
            </w:pPr>
          </w:p>
        </w:tc>
        <w:tc>
          <w:tcPr>
            <w:tcW w:w="1274" w:type="dxa"/>
          </w:tcPr>
          <w:p>
            <w:pPr>
              <w:pStyle w:val="TableParagraph"/>
              <w:spacing w:before="2"/>
              <w:ind w:left="108"/>
              <w:rPr>
                <w:sz w:val="26"/>
              </w:rPr>
            </w:pPr>
            <w:r>
              <w:rPr>
                <w:sz w:val="26"/>
              </w:rPr>
              <w:t>HL3</w:t>
            </w:r>
          </w:p>
        </w:tc>
        <w:tc>
          <w:tcPr>
            <w:tcW w:w="4537" w:type="dxa"/>
          </w:tcPr>
          <w:p>
            <w:pPr>
              <w:pStyle w:val="TableParagraph"/>
              <w:spacing w:before="2"/>
              <w:ind w:left="109"/>
              <w:rPr>
                <w:sz w:val="26"/>
              </w:rPr>
            </w:pPr>
            <w:r>
              <w:rPr>
                <w:sz w:val="26"/>
              </w:rPr>
              <w:t>Đại lý và các công ty giao nhận rất hài</w:t>
            </w:r>
          </w:p>
          <w:p>
            <w:pPr>
              <w:pStyle w:val="TableParagraph"/>
              <w:spacing w:before="150"/>
              <w:ind w:left="109"/>
              <w:rPr>
                <w:sz w:val="26"/>
              </w:rPr>
            </w:pPr>
            <w:r>
              <w:rPr>
                <w:sz w:val="26"/>
              </w:rPr>
              <w:t>lòng về dịch vụ cảng</w:t>
            </w:r>
          </w:p>
        </w:tc>
      </w:tr>
      <w:tr>
        <w:trPr>
          <w:trHeight w:val="448" w:hRule="atLeast"/>
        </w:trPr>
        <w:tc>
          <w:tcPr>
            <w:tcW w:w="1418" w:type="dxa"/>
            <w:vMerge w:val="restart"/>
          </w:tcPr>
          <w:p>
            <w:pPr>
              <w:pStyle w:val="TableParagraph"/>
              <w:rPr>
                <w:b/>
                <w:sz w:val="28"/>
              </w:rPr>
            </w:pPr>
          </w:p>
          <w:p>
            <w:pPr>
              <w:pStyle w:val="TableParagraph"/>
              <w:rPr>
                <w:b/>
                <w:sz w:val="28"/>
              </w:rPr>
            </w:pPr>
          </w:p>
          <w:p>
            <w:pPr>
              <w:pStyle w:val="TableParagraph"/>
              <w:rPr>
                <w:b/>
                <w:sz w:val="28"/>
              </w:rPr>
            </w:pPr>
          </w:p>
          <w:p>
            <w:pPr>
              <w:pStyle w:val="TableParagraph"/>
              <w:rPr>
                <w:b/>
                <w:sz w:val="28"/>
              </w:rPr>
            </w:pPr>
          </w:p>
          <w:p>
            <w:pPr>
              <w:pStyle w:val="TableParagraph"/>
              <w:rPr>
                <w:b/>
                <w:sz w:val="28"/>
              </w:rPr>
            </w:pPr>
          </w:p>
          <w:p>
            <w:pPr>
              <w:pStyle w:val="TableParagraph"/>
              <w:rPr>
                <w:b/>
                <w:sz w:val="28"/>
              </w:rPr>
            </w:pPr>
          </w:p>
          <w:p>
            <w:pPr>
              <w:pStyle w:val="TableParagraph"/>
              <w:rPr>
                <w:b/>
                <w:sz w:val="28"/>
              </w:rPr>
            </w:pPr>
          </w:p>
          <w:p>
            <w:pPr>
              <w:pStyle w:val="TableParagraph"/>
              <w:rPr>
                <w:b/>
                <w:sz w:val="28"/>
              </w:rPr>
            </w:pPr>
          </w:p>
          <w:p>
            <w:pPr>
              <w:pStyle w:val="TableParagraph"/>
              <w:rPr>
                <w:b/>
                <w:sz w:val="28"/>
              </w:rPr>
            </w:pPr>
          </w:p>
          <w:p>
            <w:pPr>
              <w:pStyle w:val="TableParagraph"/>
              <w:rPr>
                <w:b/>
                <w:sz w:val="28"/>
              </w:rPr>
            </w:pPr>
          </w:p>
          <w:p>
            <w:pPr>
              <w:pStyle w:val="TableParagraph"/>
              <w:spacing w:line="360" w:lineRule="auto" w:before="214"/>
              <w:ind w:left="141" w:right="131"/>
              <w:jc w:val="center"/>
              <w:rPr>
                <w:b/>
                <w:sz w:val="26"/>
              </w:rPr>
            </w:pPr>
            <w:r>
              <w:rPr>
                <w:b/>
                <w:sz w:val="26"/>
              </w:rPr>
              <w:t>Yếu tố tác động lợi thế cạnh tranh cảng container</w:t>
            </w:r>
          </w:p>
        </w:tc>
        <w:tc>
          <w:tcPr>
            <w:tcW w:w="1843" w:type="dxa"/>
            <w:vMerge w:val="restart"/>
          </w:tcPr>
          <w:p>
            <w:pPr>
              <w:pStyle w:val="TableParagraph"/>
              <w:rPr>
                <w:b/>
                <w:sz w:val="28"/>
              </w:rPr>
            </w:pPr>
          </w:p>
          <w:p>
            <w:pPr>
              <w:pStyle w:val="TableParagraph"/>
              <w:rPr>
                <w:b/>
                <w:sz w:val="28"/>
              </w:rPr>
            </w:pPr>
          </w:p>
          <w:p>
            <w:pPr>
              <w:pStyle w:val="TableParagraph"/>
              <w:rPr>
                <w:b/>
                <w:sz w:val="28"/>
              </w:rPr>
            </w:pPr>
          </w:p>
          <w:p>
            <w:pPr>
              <w:pStyle w:val="TableParagraph"/>
              <w:rPr>
                <w:b/>
                <w:sz w:val="33"/>
              </w:rPr>
            </w:pPr>
          </w:p>
          <w:p>
            <w:pPr>
              <w:pStyle w:val="TableParagraph"/>
              <w:spacing w:line="360" w:lineRule="auto"/>
              <w:ind w:left="127" w:right="114"/>
              <w:jc w:val="center"/>
              <w:rPr>
                <w:sz w:val="26"/>
              </w:rPr>
            </w:pPr>
            <w:r>
              <w:rPr>
                <w:sz w:val="26"/>
              </w:rPr>
              <w:t>Cơ sở vật chất hạ tầng cảng container</w:t>
            </w:r>
          </w:p>
        </w:tc>
        <w:tc>
          <w:tcPr>
            <w:tcW w:w="1274" w:type="dxa"/>
          </w:tcPr>
          <w:p>
            <w:pPr>
              <w:pStyle w:val="TableParagraph"/>
              <w:spacing w:before="2"/>
              <w:ind w:left="108"/>
              <w:rPr>
                <w:sz w:val="26"/>
              </w:rPr>
            </w:pPr>
            <w:r>
              <w:rPr>
                <w:color w:val="0D0D0D"/>
                <w:sz w:val="26"/>
              </w:rPr>
              <w:t>HT1</w:t>
            </w:r>
          </w:p>
        </w:tc>
        <w:tc>
          <w:tcPr>
            <w:tcW w:w="4537" w:type="dxa"/>
          </w:tcPr>
          <w:p>
            <w:pPr>
              <w:pStyle w:val="TableParagraph"/>
              <w:spacing w:before="2"/>
              <w:ind w:left="109"/>
              <w:rPr>
                <w:sz w:val="26"/>
              </w:rPr>
            </w:pPr>
            <w:r>
              <w:rPr>
                <w:color w:val="0D0D0D"/>
                <w:sz w:val="26"/>
              </w:rPr>
              <w:t>Trang thiết bị cảng hiện đại</w:t>
            </w:r>
          </w:p>
        </w:tc>
      </w:tr>
      <w:tr>
        <w:trPr>
          <w:trHeight w:val="894" w:hRule="atLeast"/>
        </w:trPr>
        <w:tc>
          <w:tcPr>
            <w:tcW w:w="1418" w:type="dxa"/>
            <w:vMerge/>
            <w:tcBorders>
              <w:top w:val="nil"/>
            </w:tcBorders>
          </w:tcPr>
          <w:p>
            <w:pPr>
              <w:rPr>
                <w:sz w:val="2"/>
                <w:szCs w:val="2"/>
              </w:rPr>
            </w:pPr>
          </w:p>
        </w:tc>
        <w:tc>
          <w:tcPr>
            <w:tcW w:w="1843" w:type="dxa"/>
            <w:vMerge/>
            <w:tcBorders>
              <w:top w:val="nil"/>
            </w:tcBorders>
          </w:tcPr>
          <w:p>
            <w:pPr>
              <w:rPr>
                <w:sz w:val="2"/>
                <w:szCs w:val="2"/>
              </w:rPr>
            </w:pPr>
          </w:p>
        </w:tc>
        <w:tc>
          <w:tcPr>
            <w:tcW w:w="1274" w:type="dxa"/>
          </w:tcPr>
          <w:p>
            <w:pPr>
              <w:pStyle w:val="TableParagraph"/>
              <w:spacing w:before="2"/>
              <w:ind w:left="108"/>
              <w:rPr>
                <w:sz w:val="26"/>
              </w:rPr>
            </w:pPr>
            <w:r>
              <w:rPr>
                <w:color w:val="0D0D0D"/>
                <w:sz w:val="26"/>
              </w:rPr>
              <w:t>HT2</w:t>
            </w:r>
          </w:p>
        </w:tc>
        <w:tc>
          <w:tcPr>
            <w:tcW w:w="4537" w:type="dxa"/>
          </w:tcPr>
          <w:p>
            <w:pPr>
              <w:pStyle w:val="TableParagraph"/>
              <w:spacing w:before="2"/>
              <w:ind w:left="109"/>
              <w:rPr>
                <w:sz w:val="26"/>
              </w:rPr>
            </w:pPr>
            <w:r>
              <w:rPr>
                <w:color w:val="0D0D0D"/>
                <w:sz w:val="26"/>
              </w:rPr>
              <w:t>Hệ thống cứu chữa sự cố ở cảng đạt tiêu</w:t>
            </w:r>
          </w:p>
          <w:p>
            <w:pPr>
              <w:pStyle w:val="TableParagraph"/>
              <w:spacing w:before="149"/>
              <w:ind w:left="109"/>
              <w:rPr>
                <w:sz w:val="26"/>
              </w:rPr>
            </w:pPr>
            <w:r>
              <w:rPr>
                <w:color w:val="0D0D0D"/>
                <w:sz w:val="26"/>
              </w:rPr>
              <w:t>chuẩn</w:t>
            </w:r>
          </w:p>
        </w:tc>
      </w:tr>
      <w:tr>
        <w:trPr>
          <w:trHeight w:val="897" w:hRule="atLeast"/>
        </w:trPr>
        <w:tc>
          <w:tcPr>
            <w:tcW w:w="1418" w:type="dxa"/>
            <w:vMerge/>
            <w:tcBorders>
              <w:top w:val="nil"/>
            </w:tcBorders>
          </w:tcPr>
          <w:p>
            <w:pPr>
              <w:rPr>
                <w:sz w:val="2"/>
                <w:szCs w:val="2"/>
              </w:rPr>
            </w:pPr>
          </w:p>
        </w:tc>
        <w:tc>
          <w:tcPr>
            <w:tcW w:w="1843" w:type="dxa"/>
            <w:vMerge/>
            <w:tcBorders>
              <w:top w:val="nil"/>
            </w:tcBorders>
          </w:tcPr>
          <w:p>
            <w:pPr>
              <w:rPr>
                <w:sz w:val="2"/>
                <w:szCs w:val="2"/>
              </w:rPr>
            </w:pPr>
          </w:p>
        </w:tc>
        <w:tc>
          <w:tcPr>
            <w:tcW w:w="1274" w:type="dxa"/>
          </w:tcPr>
          <w:p>
            <w:pPr>
              <w:pStyle w:val="TableParagraph"/>
              <w:spacing w:before="4"/>
              <w:ind w:left="108"/>
              <w:rPr>
                <w:sz w:val="26"/>
              </w:rPr>
            </w:pPr>
            <w:r>
              <w:rPr>
                <w:color w:val="0D0D0D"/>
                <w:sz w:val="26"/>
              </w:rPr>
              <w:t>HT4</w:t>
            </w:r>
          </w:p>
        </w:tc>
        <w:tc>
          <w:tcPr>
            <w:tcW w:w="4537" w:type="dxa"/>
          </w:tcPr>
          <w:p>
            <w:pPr>
              <w:pStyle w:val="TableParagraph"/>
              <w:spacing w:before="4"/>
              <w:ind w:left="109"/>
              <w:rPr>
                <w:sz w:val="26"/>
              </w:rPr>
            </w:pPr>
            <w:r>
              <w:rPr>
                <w:color w:val="0D0D0D"/>
                <w:sz w:val="26"/>
              </w:rPr>
              <w:t>Điều kiện cơ sở hạ tầng đạt tiêu chuẩn</w:t>
            </w:r>
          </w:p>
          <w:p>
            <w:pPr>
              <w:pStyle w:val="TableParagraph"/>
              <w:spacing w:before="147"/>
              <w:ind w:left="109"/>
              <w:rPr>
                <w:sz w:val="26"/>
              </w:rPr>
            </w:pPr>
            <w:r>
              <w:rPr>
                <w:color w:val="0D0D0D"/>
                <w:sz w:val="26"/>
              </w:rPr>
              <w:t>cao</w:t>
            </w:r>
          </w:p>
        </w:tc>
      </w:tr>
      <w:tr>
        <w:trPr>
          <w:trHeight w:val="448" w:hRule="atLeast"/>
        </w:trPr>
        <w:tc>
          <w:tcPr>
            <w:tcW w:w="1418" w:type="dxa"/>
            <w:vMerge/>
            <w:tcBorders>
              <w:top w:val="nil"/>
            </w:tcBorders>
          </w:tcPr>
          <w:p>
            <w:pPr>
              <w:rPr>
                <w:sz w:val="2"/>
                <w:szCs w:val="2"/>
              </w:rPr>
            </w:pPr>
          </w:p>
        </w:tc>
        <w:tc>
          <w:tcPr>
            <w:tcW w:w="1843" w:type="dxa"/>
            <w:vMerge/>
            <w:tcBorders>
              <w:top w:val="nil"/>
            </w:tcBorders>
          </w:tcPr>
          <w:p>
            <w:pPr>
              <w:rPr>
                <w:sz w:val="2"/>
                <w:szCs w:val="2"/>
              </w:rPr>
            </w:pPr>
          </w:p>
        </w:tc>
        <w:tc>
          <w:tcPr>
            <w:tcW w:w="1274" w:type="dxa"/>
          </w:tcPr>
          <w:p>
            <w:pPr>
              <w:pStyle w:val="TableParagraph"/>
              <w:spacing w:before="2"/>
              <w:ind w:left="108"/>
              <w:rPr>
                <w:sz w:val="26"/>
              </w:rPr>
            </w:pPr>
            <w:r>
              <w:rPr>
                <w:color w:val="0D0D0D"/>
                <w:sz w:val="26"/>
              </w:rPr>
              <w:t>HT5</w:t>
            </w:r>
          </w:p>
        </w:tc>
        <w:tc>
          <w:tcPr>
            <w:tcW w:w="4537" w:type="dxa"/>
          </w:tcPr>
          <w:p>
            <w:pPr>
              <w:pStyle w:val="TableParagraph"/>
              <w:spacing w:before="2"/>
              <w:ind w:left="109"/>
              <w:rPr>
                <w:sz w:val="26"/>
              </w:rPr>
            </w:pPr>
            <w:r>
              <w:rPr>
                <w:color w:val="0D0D0D"/>
                <w:sz w:val="26"/>
              </w:rPr>
              <w:t>Số lượng bến đậu tàu nhiều</w:t>
            </w:r>
          </w:p>
        </w:tc>
      </w:tr>
      <w:tr>
        <w:trPr>
          <w:trHeight w:val="448" w:hRule="atLeast"/>
        </w:trPr>
        <w:tc>
          <w:tcPr>
            <w:tcW w:w="1418" w:type="dxa"/>
            <w:vMerge/>
            <w:tcBorders>
              <w:top w:val="nil"/>
            </w:tcBorders>
          </w:tcPr>
          <w:p>
            <w:pPr>
              <w:rPr>
                <w:sz w:val="2"/>
                <w:szCs w:val="2"/>
              </w:rPr>
            </w:pPr>
          </w:p>
        </w:tc>
        <w:tc>
          <w:tcPr>
            <w:tcW w:w="1843" w:type="dxa"/>
            <w:vMerge/>
            <w:tcBorders>
              <w:top w:val="nil"/>
            </w:tcBorders>
          </w:tcPr>
          <w:p>
            <w:pPr>
              <w:rPr>
                <w:sz w:val="2"/>
                <w:szCs w:val="2"/>
              </w:rPr>
            </w:pPr>
          </w:p>
        </w:tc>
        <w:tc>
          <w:tcPr>
            <w:tcW w:w="1274" w:type="dxa"/>
          </w:tcPr>
          <w:p>
            <w:pPr>
              <w:pStyle w:val="TableParagraph"/>
              <w:spacing w:before="2"/>
              <w:ind w:left="108"/>
              <w:rPr>
                <w:sz w:val="26"/>
              </w:rPr>
            </w:pPr>
            <w:r>
              <w:rPr>
                <w:color w:val="0D0D0D"/>
                <w:sz w:val="26"/>
              </w:rPr>
              <w:t>HT6</w:t>
            </w:r>
          </w:p>
        </w:tc>
        <w:tc>
          <w:tcPr>
            <w:tcW w:w="4537" w:type="dxa"/>
          </w:tcPr>
          <w:p>
            <w:pPr>
              <w:pStyle w:val="TableParagraph"/>
              <w:spacing w:before="2"/>
              <w:ind w:left="109"/>
              <w:rPr>
                <w:sz w:val="26"/>
              </w:rPr>
            </w:pPr>
            <w:r>
              <w:rPr>
                <w:color w:val="0D0D0D"/>
                <w:sz w:val="26"/>
              </w:rPr>
              <w:t>Số lượng cầu tàu nước sâu nhiều</w:t>
            </w:r>
          </w:p>
        </w:tc>
      </w:tr>
      <w:tr>
        <w:trPr>
          <w:trHeight w:val="448" w:hRule="atLeast"/>
        </w:trPr>
        <w:tc>
          <w:tcPr>
            <w:tcW w:w="1418" w:type="dxa"/>
            <w:vMerge/>
            <w:tcBorders>
              <w:top w:val="nil"/>
            </w:tcBorders>
          </w:tcPr>
          <w:p>
            <w:pPr>
              <w:rPr>
                <w:sz w:val="2"/>
                <w:szCs w:val="2"/>
              </w:rPr>
            </w:pPr>
          </w:p>
        </w:tc>
        <w:tc>
          <w:tcPr>
            <w:tcW w:w="1843" w:type="dxa"/>
            <w:vMerge/>
            <w:tcBorders>
              <w:top w:val="nil"/>
            </w:tcBorders>
          </w:tcPr>
          <w:p>
            <w:pPr>
              <w:rPr>
                <w:sz w:val="2"/>
                <w:szCs w:val="2"/>
              </w:rPr>
            </w:pPr>
          </w:p>
        </w:tc>
        <w:tc>
          <w:tcPr>
            <w:tcW w:w="1274" w:type="dxa"/>
          </w:tcPr>
          <w:p>
            <w:pPr>
              <w:pStyle w:val="TableParagraph"/>
              <w:spacing w:before="4"/>
              <w:ind w:left="108"/>
              <w:rPr>
                <w:sz w:val="26"/>
              </w:rPr>
            </w:pPr>
            <w:r>
              <w:rPr>
                <w:color w:val="0D0D0D"/>
                <w:sz w:val="26"/>
              </w:rPr>
              <w:t>HT7</w:t>
            </w:r>
          </w:p>
        </w:tc>
        <w:tc>
          <w:tcPr>
            <w:tcW w:w="4537" w:type="dxa"/>
          </w:tcPr>
          <w:p>
            <w:pPr>
              <w:pStyle w:val="TableParagraph"/>
              <w:spacing w:before="4"/>
              <w:ind w:left="109"/>
              <w:rPr>
                <w:sz w:val="26"/>
              </w:rPr>
            </w:pPr>
            <w:r>
              <w:rPr>
                <w:color w:val="0D0D0D"/>
                <w:sz w:val="26"/>
              </w:rPr>
              <w:t>Số lượng trang thiết bị xếp dỡ nhiều</w:t>
            </w:r>
          </w:p>
        </w:tc>
      </w:tr>
      <w:tr>
        <w:trPr>
          <w:trHeight w:val="448" w:hRule="atLeast"/>
        </w:trPr>
        <w:tc>
          <w:tcPr>
            <w:tcW w:w="1418" w:type="dxa"/>
            <w:vMerge/>
            <w:tcBorders>
              <w:top w:val="nil"/>
            </w:tcBorders>
          </w:tcPr>
          <w:p>
            <w:pPr>
              <w:rPr>
                <w:sz w:val="2"/>
                <w:szCs w:val="2"/>
              </w:rPr>
            </w:pPr>
          </w:p>
        </w:tc>
        <w:tc>
          <w:tcPr>
            <w:tcW w:w="1843" w:type="dxa"/>
            <w:vMerge w:val="restart"/>
          </w:tcPr>
          <w:p>
            <w:pPr>
              <w:pStyle w:val="TableParagraph"/>
              <w:rPr>
                <w:b/>
                <w:sz w:val="28"/>
              </w:rPr>
            </w:pPr>
          </w:p>
          <w:p>
            <w:pPr>
              <w:pStyle w:val="TableParagraph"/>
              <w:rPr>
                <w:b/>
                <w:sz w:val="28"/>
              </w:rPr>
            </w:pPr>
          </w:p>
          <w:p>
            <w:pPr>
              <w:pStyle w:val="TableParagraph"/>
              <w:rPr>
                <w:b/>
                <w:sz w:val="28"/>
              </w:rPr>
            </w:pPr>
          </w:p>
          <w:p>
            <w:pPr>
              <w:pStyle w:val="TableParagraph"/>
              <w:rPr>
                <w:b/>
                <w:sz w:val="28"/>
              </w:rPr>
            </w:pPr>
          </w:p>
          <w:p>
            <w:pPr>
              <w:pStyle w:val="TableParagraph"/>
              <w:rPr>
                <w:b/>
                <w:sz w:val="28"/>
              </w:rPr>
            </w:pPr>
          </w:p>
          <w:p>
            <w:pPr>
              <w:pStyle w:val="TableParagraph"/>
              <w:spacing w:line="360" w:lineRule="auto" w:before="187"/>
              <w:ind w:left="436" w:right="335" w:hanging="70"/>
              <w:rPr>
                <w:sz w:val="26"/>
              </w:rPr>
            </w:pPr>
            <w:r>
              <w:rPr>
                <w:color w:val="0D0D0D"/>
                <w:sz w:val="26"/>
              </w:rPr>
              <w:t>Vị trí cảng container</w:t>
            </w:r>
          </w:p>
        </w:tc>
        <w:tc>
          <w:tcPr>
            <w:tcW w:w="1274" w:type="dxa"/>
          </w:tcPr>
          <w:p>
            <w:pPr>
              <w:pStyle w:val="TableParagraph"/>
              <w:spacing w:before="4"/>
              <w:ind w:left="108"/>
              <w:rPr>
                <w:sz w:val="26"/>
              </w:rPr>
            </w:pPr>
            <w:r>
              <w:rPr>
                <w:color w:val="0D0D0D"/>
                <w:sz w:val="26"/>
              </w:rPr>
              <w:t>VT2</w:t>
            </w:r>
          </w:p>
        </w:tc>
        <w:tc>
          <w:tcPr>
            <w:tcW w:w="4537" w:type="dxa"/>
          </w:tcPr>
          <w:p>
            <w:pPr>
              <w:pStyle w:val="TableParagraph"/>
              <w:spacing w:before="4"/>
              <w:ind w:left="109"/>
              <w:rPr>
                <w:sz w:val="26"/>
              </w:rPr>
            </w:pPr>
            <w:r>
              <w:rPr>
                <w:color w:val="0D0D0D"/>
                <w:sz w:val="26"/>
              </w:rPr>
              <w:t>Khoảng cách luồng ngắn</w:t>
            </w:r>
          </w:p>
        </w:tc>
      </w:tr>
      <w:tr>
        <w:trPr>
          <w:trHeight w:val="897" w:hRule="atLeast"/>
        </w:trPr>
        <w:tc>
          <w:tcPr>
            <w:tcW w:w="1418" w:type="dxa"/>
            <w:vMerge/>
            <w:tcBorders>
              <w:top w:val="nil"/>
            </w:tcBorders>
          </w:tcPr>
          <w:p>
            <w:pPr>
              <w:rPr>
                <w:sz w:val="2"/>
                <w:szCs w:val="2"/>
              </w:rPr>
            </w:pPr>
          </w:p>
        </w:tc>
        <w:tc>
          <w:tcPr>
            <w:tcW w:w="1843" w:type="dxa"/>
            <w:vMerge/>
            <w:tcBorders>
              <w:top w:val="nil"/>
            </w:tcBorders>
          </w:tcPr>
          <w:p>
            <w:pPr>
              <w:rPr>
                <w:sz w:val="2"/>
                <w:szCs w:val="2"/>
              </w:rPr>
            </w:pPr>
          </w:p>
        </w:tc>
        <w:tc>
          <w:tcPr>
            <w:tcW w:w="1274" w:type="dxa"/>
          </w:tcPr>
          <w:p>
            <w:pPr>
              <w:pStyle w:val="TableParagraph"/>
              <w:spacing w:before="4"/>
              <w:ind w:left="108"/>
              <w:rPr>
                <w:sz w:val="26"/>
              </w:rPr>
            </w:pPr>
            <w:r>
              <w:rPr>
                <w:color w:val="0D0D0D"/>
                <w:sz w:val="26"/>
              </w:rPr>
              <w:t>VT3</w:t>
            </w:r>
          </w:p>
        </w:tc>
        <w:tc>
          <w:tcPr>
            <w:tcW w:w="4537" w:type="dxa"/>
          </w:tcPr>
          <w:p>
            <w:pPr>
              <w:pStyle w:val="TableParagraph"/>
              <w:spacing w:before="4"/>
              <w:ind w:left="109"/>
              <w:rPr>
                <w:sz w:val="26"/>
              </w:rPr>
            </w:pPr>
            <w:r>
              <w:rPr>
                <w:color w:val="0D0D0D"/>
                <w:sz w:val="26"/>
              </w:rPr>
              <w:t>Cảng gần các khu công nghiệp. khu chế</w:t>
            </w:r>
          </w:p>
          <w:p>
            <w:pPr>
              <w:pStyle w:val="TableParagraph"/>
              <w:spacing w:before="147"/>
              <w:ind w:left="109"/>
              <w:rPr>
                <w:sz w:val="26"/>
              </w:rPr>
            </w:pPr>
            <w:r>
              <w:rPr>
                <w:color w:val="0D0D0D"/>
                <w:sz w:val="26"/>
              </w:rPr>
              <w:t>xuất</w:t>
            </w:r>
          </w:p>
        </w:tc>
      </w:tr>
      <w:tr>
        <w:trPr>
          <w:trHeight w:val="1346" w:hRule="atLeast"/>
        </w:trPr>
        <w:tc>
          <w:tcPr>
            <w:tcW w:w="1418" w:type="dxa"/>
            <w:vMerge/>
            <w:tcBorders>
              <w:top w:val="nil"/>
            </w:tcBorders>
          </w:tcPr>
          <w:p>
            <w:pPr>
              <w:rPr>
                <w:sz w:val="2"/>
                <w:szCs w:val="2"/>
              </w:rPr>
            </w:pPr>
          </w:p>
        </w:tc>
        <w:tc>
          <w:tcPr>
            <w:tcW w:w="1843" w:type="dxa"/>
            <w:vMerge/>
            <w:tcBorders>
              <w:top w:val="nil"/>
            </w:tcBorders>
          </w:tcPr>
          <w:p>
            <w:pPr>
              <w:rPr>
                <w:sz w:val="2"/>
                <w:szCs w:val="2"/>
              </w:rPr>
            </w:pPr>
          </w:p>
        </w:tc>
        <w:tc>
          <w:tcPr>
            <w:tcW w:w="1274" w:type="dxa"/>
          </w:tcPr>
          <w:p>
            <w:pPr>
              <w:pStyle w:val="TableParagraph"/>
              <w:spacing w:before="2"/>
              <w:ind w:left="108"/>
              <w:rPr>
                <w:sz w:val="26"/>
              </w:rPr>
            </w:pPr>
            <w:r>
              <w:rPr>
                <w:color w:val="0D0D0D"/>
                <w:sz w:val="26"/>
              </w:rPr>
              <w:t>VT5</w:t>
            </w:r>
          </w:p>
        </w:tc>
        <w:tc>
          <w:tcPr>
            <w:tcW w:w="4537" w:type="dxa"/>
          </w:tcPr>
          <w:p>
            <w:pPr>
              <w:pStyle w:val="TableParagraph"/>
              <w:spacing w:line="360" w:lineRule="auto" w:before="2"/>
              <w:ind w:left="109" w:right="205"/>
              <w:rPr>
                <w:sz w:val="26"/>
              </w:rPr>
            </w:pPr>
            <w:r>
              <w:rPr>
                <w:color w:val="0D0D0D"/>
                <w:sz w:val="26"/>
              </w:rPr>
              <w:t>Tuyến đường liên kết liên hợp đến cảng phù hợp cho vận tải lượng hàng lớn (vd:</w:t>
            </w:r>
          </w:p>
          <w:p>
            <w:pPr>
              <w:pStyle w:val="TableParagraph"/>
              <w:ind w:left="109"/>
              <w:rPr>
                <w:sz w:val="26"/>
              </w:rPr>
            </w:pPr>
            <w:r>
              <w:rPr>
                <w:color w:val="0D0D0D"/>
                <w:sz w:val="26"/>
              </w:rPr>
              <w:t>đường sắt. xa lộ. sà lan...)</w:t>
            </w:r>
          </w:p>
        </w:tc>
      </w:tr>
      <w:tr>
        <w:trPr>
          <w:trHeight w:val="897" w:hRule="atLeast"/>
        </w:trPr>
        <w:tc>
          <w:tcPr>
            <w:tcW w:w="1418" w:type="dxa"/>
            <w:vMerge/>
            <w:tcBorders>
              <w:top w:val="nil"/>
            </w:tcBorders>
          </w:tcPr>
          <w:p>
            <w:pPr>
              <w:rPr>
                <w:sz w:val="2"/>
                <w:szCs w:val="2"/>
              </w:rPr>
            </w:pPr>
          </w:p>
        </w:tc>
        <w:tc>
          <w:tcPr>
            <w:tcW w:w="1843" w:type="dxa"/>
            <w:vMerge/>
            <w:tcBorders>
              <w:top w:val="nil"/>
            </w:tcBorders>
          </w:tcPr>
          <w:p>
            <w:pPr>
              <w:rPr>
                <w:sz w:val="2"/>
                <w:szCs w:val="2"/>
              </w:rPr>
            </w:pPr>
          </w:p>
        </w:tc>
        <w:tc>
          <w:tcPr>
            <w:tcW w:w="1274" w:type="dxa"/>
          </w:tcPr>
          <w:p>
            <w:pPr>
              <w:pStyle w:val="TableParagraph"/>
              <w:spacing w:before="2"/>
              <w:ind w:left="108"/>
              <w:rPr>
                <w:sz w:val="26"/>
              </w:rPr>
            </w:pPr>
            <w:r>
              <w:rPr>
                <w:color w:val="0D0D0D"/>
                <w:sz w:val="26"/>
              </w:rPr>
              <w:t>VT6</w:t>
            </w:r>
          </w:p>
        </w:tc>
        <w:tc>
          <w:tcPr>
            <w:tcW w:w="4537" w:type="dxa"/>
          </w:tcPr>
          <w:p>
            <w:pPr>
              <w:pStyle w:val="TableParagraph"/>
              <w:spacing w:before="2"/>
              <w:ind w:left="109"/>
              <w:rPr>
                <w:sz w:val="26"/>
              </w:rPr>
            </w:pPr>
            <w:r>
              <w:rPr>
                <w:color w:val="0D0D0D"/>
                <w:sz w:val="26"/>
              </w:rPr>
              <w:t>Cảng gần các cảng liên kết khác bao gồm</w:t>
            </w:r>
          </w:p>
          <w:p>
            <w:pPr>
              <w:pStyle w:val="TableParagraph"/>
              <w:spacing w:before="149"/>
              <w:ind w:left="109"/>
              <w:rPr>
                <w:sz w:val="26"/>
              </w:rPr>
            </w:pPr>
            <w:r>
              <w:rPr>
                <w:color w:val="0D0D0D"/>
                <w:sz w:val="26"/>
              </w:rPr>
              <w:t>các Depot</w:t>
            </w:r>
          </w:p>
        </w:tc>
      </w:tr>
      <w:tr>
        <w:trPr>
          <w:trHeight w:val="448" w:hRule="atLeast"/>
        </w:trPr>
        <w:tc>
          <w:tcPr>
            <w:tcW w:w="1418" w:type="dxa"/>
            <w:vMerge/>
            <w:tcBorders>
              <w:top w:val="nil"/>
            </w:tcBorders>
          </w:tcPr>
          <w:p>
            <w:pPr>
              <w:rPr>
                <w:sz w:val="2"/>
                <w:szCs w:val="2"/>
              </w:rPr>
            </w:pPr>
          </w:p>
        </w:tc>
        <w:tc>
          <w:tcPr>
            <w:tcW w:w="1843" w:type="dxa"/>
            <w:vMerge/>
            <w:tcBorders>
              <w:top w:val="nil"/>
            </w:tcBorders>
          </w:tcPr>
          <w:p>
            <w:pPr>
              <w:rPr>
                <w:sz w:val="2"/>
                <w:szCs w:val="2"/>
              </w:rPr>
            </w:pPr>
          </w:p>
        </w:tc>
        <w:tc>
          <w:tcPr>
            <w:tcW w:w="1274" w:type="dxa"/>
          </w:tcPr>
          <w:p>
            <w:pPr>
              <w:pStyle w:val="TableParagraph"/>
              <w:spacing w:before="2"/>
              <w:ind w:left="108"/>
              <w:rPr>
                <w:sz w:val="26"/>
              </w:rPr>
            </w:pPr>
            <w:r>
              <w:rPr>
                <w:color w:val="0D0D0D"/>
                <w:sz w:val="26"/>
              </w:rPr>
              <w:t>VT7</w:t>
            </w:r>
          </w:p>
        </w:tc>
        <w:tc>
          <w:tcPr>
            <w:tcW w:w="4537" w:type="dxa"/>
          </w:tcPr>
          <w:p>
            <w:pPr>
              <w:pStyle w:val="TableParagraph"/>
              <w:spacing w:before="2"/>
              <w:ind w:left="109"/>
              <w:rPr>
                <w:sz w:val="26"/>
              </w:rPr>
            </w:pPr>
            <w:r>
              <w:rPr>
                <w:color w:val="0D0D0D"/>
                <w:sz w:val="26"/>
              </w:rPr>
              <w:t>Vị trí địa lý thuận lợi</w:t>
            </w:r>
          </w:p>
        </w:tc>
      </w:tr>
      <w:tr>
        <w:trPr>
          <w:trHeight w:val="448" w:hRule="atLeast"/>
        </w:trPr>
        <w:tc>
          <w:tcPr>
            <w:tcW w:w="1418" w:type="dxa"/>
            <w:vMerge/>
            <w:tcBorders>
              <w:top w:val="nil"/>
            </w:tcBorders>
          </w:tcPr>
          <w:p>
            <w:pPr>
              <w:rPr>
                <w:sz w:val="2"/>
                <w:szCs w:val="2"/>
              </w:rPr>
            </w:pPr>
          </w:p>
        </w:tc>
        <w:tc>
          <w:tcPr>
            <w:tcW w:w="1843" w:type="dxa"/>
            <w:vMerge/>
            <w:tcBorders>
              <w:top w:val="nil"/>
            </w:tcBorders>
          </w:tcPr>
          <w:p>
            <w:pPr>
              <w:rPr>
                <w:sz w:val="2"/>
                <w:szCs w:val="2"/>
              </w:rPr>
            </w:pPr>
          </w:p>
        </w:tc>
        <w:tc>
          <w:tcPr>
            <w:tcW w:w="1274" w:type="dxa"/>
          </w:tcPr>
          <w:p>
            <w:pPr>
              <w:pStyle w:val="TableParagraph"/>
              <w:spacing w:before="2"/>
              <w:ind w:left="108"/>
              <w:rPr>
                <w:sz w:val="26"/>
              </w:rPr>
            </w:pPr>
            <w:r>
              <w:rPr>
                <w:color w:val="0D0D0D"/>
                <w:sz w:val="26"/>
              </w:rPr>
              <w:t>VT9</w:t>
            </w:r>
          </w:p>
        </w:tc>
        <w:tc>
          <w:tcPr>
            <w:tcW w:w="4537" w:type="dxa"/>
          </w:tcPr>
          <w:p>
            <w:pPr>
              <w:pStyle w:val="TableParagraph"/>
              <w:spacing w:before="2"/>
              <w:ind w:left="109"/>
              <w:rPr>
                <w:sz w:val="26"/>
              </w:rPr>
            </w:pPr>
            <w:r>
              <w:rPr>
                <w:color w:val="0D0D0D"/>
                <w:sz w:val="26"/>
              </w:rPr>
              <w:t>Cảng gần các trung tâm thương mại</w:t>
            </w:r>
          </w:p>
        </w:tc>
      </w:tr>
      <w:tr>
        <w:trPr>
          <w:trHeight w:val="448" w:hRule="atLeast"/>
        </w:trPr>
        <w:tc>
          <w:tcPr>
            <w:tcW w:w="1418" w:type="dxa"/>
            <w:vMerge/>
            <w:tcBorders>
              <w:top w:val="nil"/>
            </w:tcBorders>
          </w:tcPr>
          <w:p>
            <w:pPr>
              <w:rPr>
                <w:sz w:val="2"/>
                <w:szCs w:val="2"/>
              </w:rPr>
            </w:pPr>
          </w:p>
        </w:tc>
        <w:tc>
          <w:tcPr>
            <w:tcW w:w="1843" w:type="dxa"/>
            <w:vMerge w:val="restart"/>
          </w:tcPr>
          <w:p>
            <w:pPr>
              <w:pStyle w:val="TableParagraph"/>
              <w:rPr>
                <w:b/>
                <w:sz w:val="26"/>
              </w:rPr>
            </w:pPr>
          </w:p>
          <w:p>
            <w:pPr>
              <w:pStyle w:val="TableParagraph"/>
              <w:spacing w:line="450" w:lineRule="atLeast"/>
              <w:ind w:left="108" w:right="167"/>
              <w:rPr>
                <w:sz w:val="26"/>
              </w:rPr>
            </w:pPr>
            <w:r>
              <w:rPr>
                <w:sz w:val="26"/>
              </w:rPr>
              <w:t>Năng lực kết nối nội địa của</w:t>
            </w:r>
          </w:p>
        </w:tc>
        <w:tc>
          <w:tcPr>
            <w:tcW w:w="1274" w:type="dxa"/>
          </w:tcPr>
          <w:p>
            <w:pPr>
              <w:pStyle w:val="TableParagraph"/>
              <w:spacing w:before="2"/>
              <w:ind w:left="108"/>
              <w:rPr>
                <w:sz w:val="26"/>
              </w:rPr>
            </w:pPr>
            <w:r>
              <w:rPr>
                <w:color w:val="0D0D0D"/>
                <w:sz w:val="26"/>
              </w:rPr>
              <w:t>ND1</w:t>
            </w:r>
          </w:p>
        </w:tc>
        <w:tc>
          <w:tcPr>
            <w:tcW w:w="4537" w:type="dxa"/>
          </w:tcPr>
          <w:p>
            <w:pPr>
              <w:pStyle w:val="TableParagraph"/>
              <w:spacing w:before="2"/>
              <w:ind w:left="109"/>
              <w:rPr>
                <w:sz w:val="26"/>
              </w:rPr>
            </w:pPr>
            <w:r>
              <w:rPr>
                <w:color w:val="0D0D0D"/>
                <w:sz w:val="26"/>
              </w:rPr>
              <w:t>Có nhiều tuyến đường sông đến cảng</w:t>
            </w:r>
          </w:p>
        </w:tc>
      </w:tr>
      <w:tr>
        <w:trPr>
          <w:trHeight w:val="448" w:hRule="atLeast"/>
        </w:trPr>
        <w:tc>
          <w:tcPr>
            <w:tcW w:w="1418" w:type="dxa"/>
            <w:vMerge/>
            <w:tcBorders>
              <w:top w:val="nil"/>
            </w:tcBorders>
          </w:tcPr>
          <w:p>
            <w:pPr>
              <w:rPr>
                <w:sz w:val="2"/>
                <w:szCs w:val="2"/>
              </w:rPr>
            </w:pPr>
          </w:p>
        </w:tc>
        <w:tc>
          <w:tcPr>
            <w:tcW w:w="1843" w:type="dxa"/>
            <w:vMerge/>
            <w:tcBorders>
              <w:top w:val="nil"/>
            </w:tcBorders>
          </w:tcPr>
          <w:p>
            <w:pPr>
              <w:rPr>
                <w:sz w:val="2"/>
                <w:szCs w:val="2"/>
              </w:rPr>
            </w:pPr>
          </w:p>
        </w:tc>
        <w:tc>
          <w:tcPr>
            <w:tcW w:w="1274" w:type="dxa"/>
          </w:tcPr>
          <w:p>
            <w:pPr>
              <w:pStyle w:val="TableParagraph"/>
              <w:spacing w:before="1"/>
              <w:ind w:left="108"/>
              <w:rPr>
                <w:sz w:val="26"/>
              </w:rPr>
            </w:pPr>
            <w:r>
              <w:rPr>
                <w:color w:val="0D0D0D"/>
                <w:sz w:val="26"/>
              </w:rPr>
              <w:t>ND2</w:t>
            </w:r>
          </w:p>
        </w:tc>
        <w:tc>
          <w:tcPr>
            <w:tcW w:w="4537" w:type="dxa"/>
          </w:tcPr>
          <w:p>
            <w:pPr>
              <w:pStyle w:val="TableParagraph"/>
              <w:spacing w:before="1"/>
              <w:ind w:left="109"/>
              <w:rPr>
                <w:sz w:val="26"/>
              </w:rPr>
            </w:pPr>
            <w:r>
              <w:rPr>
                <w:color w:val="0D0D0D"/>
                <w:sz w:val="26"/>
              </w:rPr>
              <w:t>Có nhiều tuyến đường bộ đến cảng</w:t>
            </w:r>
          </w:p>
        </w:tc>
      </w:tr>
      <w:tr>
        <w:trPr>
          <w:trHeight w:val="448" w:hRule="atLeast"/>
        </w:trPr>
        <w:tc>
          <w:tcPr>
            <w:tcW w:w="1418" w:type="dxa"/>
            <w:vMerge/>
            <w:tcBorders>
              <w:top w:val="nil"/>
            </w:tcBorders>
          </w:tcPr>
          <w:p>
            <w:pPr>
              <w:rPr>
                <w:sz w:val="2"/>
                <w:szCs w:val="2"/>
              </w:rPr>
            </w:pPr>
          </w:p>
        </w:tc>
        <w:tc>
          <w:tcPr>
            <w:tcW w:w="1843" w:type="dxa"/>
            <w:vMerge/>
            <w:tcBorders>
              <w:top w:val="nil"/>
            </w:tcBorders>
          </w:tcPr>
          <w:p>
            <w:pPr>
              <w:rPr>
                <w:sz w:val="2"/>
                <w:szCs w:val="2"/>
              </w:rPr>
            </w:pPr>
          </w:p>
        </w:tc>
        <w:tc>
          <w:tcPr>
            <w:tcW w:w="1274" w:type="dxa"/>
          </w:tcPr>
          <w:p>
            <w:pPr>
              <w:pStyle w:val="TableParagraph"/>
              <w:spacing w:before="2"/>
              <w:ind w:left="108"/>
              <w:rPr>
                <w:sz w:val="26"/>
              </w:rPr>
            </w:pPr>
            <w:r>
              <w:rPr>
                <w:color w:val="0D0D0D"/>
                <w:sz w:val="26"/>
              </w:rPr>
              <w:t>ND3</w:t>
            </w:r>
          </w:p>
        </w:tc>
        <w:tc>
          <w:tcPr>
            <w:tcW w:w="4537" w:type="dxa"/>
          </w:tcPr>
          <w:p>
            <w:pPr>
              <w:pStyle w:val="TableParagraph"/>
              <w:spacing w:before="2"/>
              <w:ind w:left="109"/>
              <w:rPr>
                <w:sz w:val="26"/>
              </w:rPr>
            </w:pPr>
            <w:r>
              <w:rPr>
                <w:color w:val="0D0D0D"/>
                <w:sz w:val="26"/>
              </w:rPr>
              <w:t>Khả năng kết nối của cảng với các mạng</w:t>
            </w:r>
          </w:p>
        </w:tc>
      </w:tr>
    </w:tbl>
    <w:p>
      <w:pPr>
        <w:spacing w:after="0"/>
        <w:rPr>
          <w:sz w:val="26"/>
        </w:rPr>
        <w:sectPr>
          <w:pgSz w:w="11910" w:h="16850"/>
          <w:pgMar w:header="751" w:footer="0" w:top="960" w:bottom="280" w:left="820" w:right="240"/>
        </w:sectPr>
      </w:pPr>
    </w:p>
    <w:p>
      <w:pPr>
        <w:pStyle w:val="BodyText"/>
        <w:rPr>
          <w:b/>
          <w:sz w:val="20"/>
        </w:rPr>
      </w:pPr>
    </w:p>
    <w:p>
      <w:pPr>
        <w:pStyle w:val="BodyText"/>
        <w:rPr>
          <w:b/>
          <w:sz w:val="20"/>
        </w:rPr>
      </w:pPr>
    </w:p>
    <w:p>
      <w:pPr>
        <w:pStyle w:val="BodyText"/>
        <w:spacing w:before="1"/>
        <w:rPr>
          <w:b/>
          <w:sz w:val="11"/>
        </w:rPr>
      </w:pPr>
    </w:p>
    <w:tbl>
      <w:tblPr>
        <w:tblW w:w="0" w:type="auto"/>
        <w:jc w:val="left"/>
        <w:tblInd w:w="88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1418"/>
        <w:gridCol w:w="1843"/>
        <w:gridCol w:w="1274"/>
        <w:gridCol w:w="4537"/>
      </w:tblGrid>
      <w:tr>
        <w:trPr>
          <w:trHeight w:val="448" w:hRule="atLeast"/>
        </w:trPr>
        <w:tc>
          <w:tcPr>
            <w:tcW w:w="1418" w:type="dxa"/>
          </w:tcPr>
          <w:p>
            <w:pPr>
              <w:pStyle w:val="TableParagraph"/>
              <w:spacing w:before="2"/>
              <w:ind w:left="126"/>
              <w:rPr>
                <w:b/>
                <w:sz w:val="26"/>
              </w:rPr>
            </w:pPr>
            <w:r>
              <w:rPr>
                <w:b/>
                <w:sz w:val="26"/>
              </w:rPr>
              <w:t>Khái niệm</w:t>
            </w:r>
          </w:p>
        </w:tc>
        <w:tc>
          <w:tcPr>
            <w:tcW w:w="1843" w:type="dxa"/>
          </w:tcPr>
          <w:p>
            <w:pPr>
              <w:pStyle w:val="TableParagraph"/>
              <w:spacing w:before="2"/>
              <w:ind w:left="237"/>
              <w:rPr>
                <w:b/>
                <w:sz w:val="26"/>
              </w:rPr>
            </w:pPr>
            <w:r>
              <w:rPr>
                <w:b/>
                <w:sz w:val="26"/>
              </w:rPr>
              <w:t>Thành phần</w:t>
            </w:r>
          </w:p>
        </w:tc>
        <w:tc>
          <w:tcPr>
            <w:tcW w:w="1274" w:type="dxa"/>
          </w:tcPr>
          <w:p>
            <w:pPr>
              <w:pStyle w:val="TableParagraph"/>
              <w:spacing w:before="2"/>
              <w:ind w:left="200"/>
              <w:rPr>
                <w:b/>
                <w:sz w:val="26"/>
              </w:rPr>
            </w:pPr>
            <w:r>
              <w:rPr>
                <w:b/>
                <w:sz w:val="26"/>
              </w:rPr>
              <w:t>Ký hiệu</w:t>
            </w:r>
          </w:p>
        </w:tc>
        <w:tc>
          <w:tcPr>
            <w:tcW w:w="4537" w:type="dxa"/>
          </w:tcPr>
          <w:p>
            <w:pPr>
              <w:pStyle w:val="TableParagraph"/>
              <w:spacing w:before="2"/>
              <w:ind w:left="1753" w:right="1743"/>
              <w:jc w:val="center"/>
              <w:rPr>
                <w:b/>
                <w:sz w:val="26"/>
              </w:rPr>
            </w:pPr>
            <w:r>
              <w:rPr>
                <w:b/>
                <w:sz w:val="26"/>
              </w:rPr>
              <w:t>Diễn giải</w:t>
            </w:r>
          </w:p>
        </w:tc>
      </w:tr>
      <w:tr>
        <w:trPr>
          <w:trHeight w:val="448" w:hRule="atLeast"/>
        </w:trPr>
        <w:tc>
          <w:tcPr>
            <w:tcW w:w="1418" w:type="dxa"/>
            <w:vMerge w:val="restart"/>
          </w:tcPr>
          <w:p>
            <w:pPr>
              <w:pStyle w:val="TableParagraph"/>
              <w:rPr>
                <w:sz w:val="24"/>
              </w:rPr>
            </w:pPr>
          </w:p>
        </w:tc>
        <w:tc>
          <w:tcPr>
            <w:tcW w:w="1843" w:type="dxa"/>
            <w:vMerge w:val="restart"/>
          </w:tcPr>
          <w:p>
            <w:pPr>
              <w:pStyle w:val="TableParagraph"/>
              <w:spacing w:before="2"/>
              <w:ind w:left="108"/>
              <w:rPr>
                <w:sz w:val="26"/>
              </w:rPr>
            </w:pPr>
            <w:r>
              <w:rPr>
                <w:sz w:val="26"/>
              </w:rPr>
              <w:t>cảng container</w:t>
            </w:r>
          </w:p>
        </w:tc>
        <w:tc>
          <w:tcPr>
            <w:tcW w:w="1274" w:type="dxa"/>
          </w:tcPr>
          <w:p>
            <w:pPr>
              <w:pStyle w:val="TableParagraph"/>
              <w:rPr>
                <w:sz w:val="24"/>
              </w:rPr>
            </w:pPr>
          </w:p>
        </w:tc>
        <w:tc>
          <w:tcPr>
            <w:tcW w:w="4537" w:type="dxa"/>
          </w:tcPr>
          <w:p>
            <w:pPr>
              <w:pStyle w:val="TableParagraph"/>
              <w:spacing w:before="2"/>
              <w:ind w:left="109"/>
              <w:rPr>
                <w:sz w:val="26"/>
              </w:rPr>
            </w:pPr>
            <w:r>
              <w:rPr>
                <w:color w:val="0D0D0D"/>
                <w:sz w:val="26"/>
              </w:rPr>
              <w:t>lưới Logistics nội địa cao</w:t>
            </w:r>
          </w:p>
        </w:tc>
      </w:tr>
      <w:tr>
        <w:trPr>
          <w:trHeight w:val="897" w:hRule="atLeast"/>
        </w:trPr>
        <w:tc>
          <w:tcPr>
            <w:tcW w:w="1418" w:type="dxa"/>
            <w:vMerge/>
            <w:tcBorders>
              <w:top w:val="nil"/>
            </w:tcBorders>
          </w:tcPr>
          <w:p>
            <w:pPr>
              <w:rPr>
                <w:sz w:val="2"/>
                <w:szCs w:val="2"/>
              </w:rPr>
            </w:pPr>
          </w:p>
        </w:tc>
        <w:tc>
          <w:tcPr>
            <w:tcW w:w="1843" w:type="dxa"/>
            <w:vMerge/>
            <w:tcBorders>
              <w:top w:val="nil"/>
            </w:tcBorders>
          </w:tcPr>
          <w:p>
            <w:pPr>
              <w:rPr>
                <w:sz w:val="2"/>
                <w:szCs w:val="2"/>
              </w:rPr>
            </w:pPr>
          </w:p>
        </w:tc>
        <w:tc>
          <w:tcPr>
            <w:tcW w:w="1274" w:type="dxa"/>
          </w:tcPr>
          <w:p>
            <w:pPr>
              <w:pStyle w:val="TableParagraph"/>
              <w:spacing w:before="2"/>
              <w:ind w:left="108"/>
              <w:rPr>
                <w:sz w:val="26"/>
              </w:rPr>
            </w:pPr>
            <w:r>
              <w:rPr>
                <w:color w:val="0D0D0D"/>
                <w:sz w:val="26"/>
              </w:rPr>
              <w:t>ND4</w:t>
            </w:r>
          </w:p>
        </w:tc>
        <w:tc>
          <w:tcPr>
            <w:tcW w:w="4537" w:type="dxa"/>
          </w:tcPr>
          <w:p>
            <w:pPr>
              <w:pStyle w:val="TableParagraph"/>
              <w:spacing w:before="2"/>
              <w:ind w:left="109"/>
              <w:rPr>
                <w:sz w:val="26"/>
              </w:rPr>
            </w:pPr>
            <w:r>
              <w:rPr>
                <w:color w:val="0D0D0D"/>
                <w:sz w:val="26"/>
              </w:rPr>
              <w:t>Lợi thế vận tải của các công ty Logistics</w:t>
            </w:r>
          </w:p>
          <w:p>
            <w:pPr>
              <w:pStyle w:val="TableParagraph"/>
              <w:spacing w:before="149"/>
              <w:ind w:left="109"/>
              <w:rPr>
                <w:sz w:val="26"/>
              </w:rPr>
            </w:pPr>
            <w:r>
              <w:rPr>
                <w:color w:val="0D0D0D"/>
                <w:sz w:val="26"/>
              </w:rPr>
              <w:t>trong khu vực lớn</w:t>
            </w:r>
          </w:p>
        </w:tc>
      </w:tr>
      <w:tr>
        <w:trPr>
          <w:trHeight w:val="897" w:hRule="atLeast"/>
        </w:trPr>
        <w:tc>
          <w:tcPr>
            <w:tcW w:w="1418" w:type="dxa"/>
            <w:vMerge/>
            <w:tcBorders>
              <w:top w:val="nil"/>
            </w:tcBorders>
          </w:tcPr>
          <w:p>
            <w:pPr>
              <w:rPr>
                <w:sz w:val="2"/>
                <w:szCs w:val="2"/>
              </w:rPr>
            </w:pPr>
          </w:p>
        </w:tc>
        <w:tc>
          <w:tcPr>
            <w:tcW w:w="1843" w:type="dxa"/>
            <w:vMerge/>
            <w:tcBorders>
              <w:top w:val="nil"/>
            </w:tcBorders>
          </w:tcPr>
          <w:p>
            <w:pPr>
              <w:rPr>
                <w:sz w:val="2"/>
                <w:szCs w:val="2"/>
              </w:rPr>
            </w:pPr>
          </w:p>
        </w:tc>
        <w:tc>
          <w:tcPr>
            <w:tcW w:w="1274" w:type="dxa"/>
          </w:tcPr>
          <w:p>
            <w:pPr>
              <w:pStyle w:val="TableParagraph"/>
              <w:spacing w:before="2"/>
              <w:ind w:left="108"/>
              <w:rPr>
                <w:sz w:val="26"/>
              </w:rPr>
            </w:pPr>
            <w:r>
              <w:rPr>
                <w:color w:val="0D0D0D"/>
                <w:sz w:val="26"/>
              </w:rPr>
              <w:t>ND5</w:t>
            </w:r>
          </w:p>
        </w:tc>
        <w:tc>
          <w:tcPr>
            <w:tcW w:w="4537" w:type="dxa"/>
          </w:tcPr>
          <w:p>
            <w:pPr>
              <w:pStyle w:val="TableParagraph"/>
              <w:spacing w:before="2"/>
              <w:ind w:left="109"/>
              <w:rPr>
                <w:sz w:val="26"/>
              </w:rPr>
            </w:pPr>
            <w:r>
              <w:rPr>
                <w:color w:val="0D0D0D"/>
                <w:sz w:val="26"/>
              </w:rPr>
              <w:t>Khả năng kết nối mạng lưới đường sông</w:t>
            </w:r>
          </w:p>
          <w:p>
            <w:pPr>
              <w:pStyle w:val="TableParagraph"/>
              <w:spacing w:before="149"/>
              <w:ind w:left="109"/>
              <w:rPr>
                <w:sz w:val="26"/>
              </w:rPr>
            </w:pPr>
            <w:r>
              <w:rPr>
                <w:color w:val="0D0D0D"/>
                <w:sz w:val="26"/>
              </w:rPr>
              <w:t>và đường bộ vào các bãi container</w:t>
            </w:r>
          </w:p>
        </w:tc>
      </w:tr>
      <w:tr>
        <w:trPr>
          <w:trHeight w:val="448" w:hRule="atLeast"/>
        </w:trPr>
        <w:tc>
          <w:tcPr>
            <w:tcW w:w="1418" w:type="dxa"/>
            <w:vMerge/>
            <w:tcBorders>
              <w:top w:val="nil"/>
            </w:tcBorders>
          </w:tcPr>
          <w:p>
            <w:pPr>
              <w:rPr>
                <w:sz w:val="2"/>
                <w:szCs w:val="2"/>
              </w:rPr>
            </w:pPr>
          </w:p>
        </w:tc>
        <w:tc>
          <w:tcPr>
            <w:tcW w:w="1843" w:type="dxa"/>
            <w:vMerge w:val="restart"/>
          </w:tcPr>
          <w:p>
            <w:pPr>
              <w:pStyle w:val="TableParagraph"/>
              <w:spacing w:before="2"/>
              <w:rPr>
                <w:b/>
                <w:sz w:val="39"/>
              </w:rPr>
            </w:pPr>
          </w:p>
          <w:p>
            <w:pPr>
              <w:pStyle w:val="TableParagraph"/>
              <w:spacing w:line="360" w:lineRule="auto"/>
              <w:ind w:left="158" w:right="131" w:firstLine="9"/>
              <w:rPr>
                <w:sz w:val="26"/>
              </w:rPr>
            </w:pPr>
            <w:r>
              <w:rPr>
                <w:sz w:val="26"/>
              </w:rPr>
              <w:t>Độ tin cậy của cảng container</w:t>
            </w:r>
          </w:p>
        </w:tc>
        <w:tc>
          <w:tcPr>
            <w:tcW w:w="1274" w:type="dxa"/>
          </w:tcPr>
          <w:p>
            <w:pPr>
              <w:pStyle w:val="TableParagraph"/>
              <w:spacing w:before="2"/>
              <w:ind w:left="108"/>
              <w:rPr>
                <w:sz w:val="26"/>
              </w:rPr>
            </w:pPr>
            <w:r>
              <w:rPr>
                <w:color w:val="0D0D0D"/>
                <w:sz w:val="26"/>
              </w:rPr>
              <w:t>TC1</w:t>
            </w:r>
          </w:p>
        </w:tc>
        <w:tc>
          <w:tcPr>
            <w:tcW w:w="4537" w:type="dxa"/>
          </w:tcPr>
          <w:p>
            <w:pPr>
              <w:pStyle w:val="TableParagraph"/>
              <w:spacing w:before="2"/>
              <w:ind w:left="109"/>
              <w:rPr>
                <w:sz w:val="26"/>
              </w:rPr>
            </w:pPr>
            <w:r>
              <w:rPr>
                <w:sz w:val="26"/>
              </w:rPr>
              <w:t>Khả năng đáp ứng nhanh của cảng</w:t>
            </w:r>
          </w:p>
        </w:tc>
      </w:tr>
      <w:tr>
        <w:trPr>
          <w:trHeight w:val="448" w:hRule="atLeast"/>
        </w:trPr>
        <w:tc>
          <w:tcPr>
            <w:tcW w:w="1418" w:type="dxa"/>
            <w:vMerge/>
            <w:tcBorders>
              <w:top w:val="nil"/>
            </w:tcBorders>
          </w:tcPr>
          <w:p>
            <w:pPr>
              <w:rPr>
                <w:sz w:val="2"/>
                <w:szCs w:val="2"/>
              </w:rPr>
            </w:pPr>
          </w:p>
        </w:tc>
        <w:tc>
          <w:tcPr>
            <w:tcW w:w="1843" w:type="dxa"/>
            <w:vMerge/>
            <w:tcBorders>
              <w:top w:val="nil"/>
            </w:tcBorders>
          </w:tcPr>
          <w:p>
            <w:pPr>
              <w:rPr>
                <w:sz w:val="2"/>
                <w:szCs w:val="2"/>
              </w:rPr>
            </w:pPr>
          </w:p>
        </w:tc>
        <w:tc>
          <w:tcPr>
            <w:tcW w:w="1274" w:type="dxa"/>
          </w:tcPr>
          <w:p>
            <w:pPr>
              <w:pStyle w:val="TableParagraph"/>
              <w:spacing w:before="2"/>
              <w:ind w:left="108"/>
              <w:rPr>
                <w:sz w:val="26"/>
              </w:rPr>
            </w:pPr>
            <w:r>
              <w:rPr>
                <w:color w:val="0D0D0D"/>
                <w:sz w:val="26"/>
              </w:rPr>
              <w:t>TC2</w:t>
            </w:r>
          </w:p>
        </w:tc>
        <w:tc>
          <w:tcPr>
            <w:tcW w:w="4537" w:type="dxa"/>
          </w:tcPr>
          <w:p>
            <w:pPr>
              <w:pStyle w:val="TableParagraph"/>
              <w:spacing w:before="2"/>
              <w:ind w:left="109"/>
              <w:rPr>
                <w:sz w:val="26"/>
              </w:rPr>
            </w:pPr>
            <w:r>
              <w:rPr>
                <w:sz w:val="26"/>
              </w:rPr>
              <w:t>Uy tín cảng về thiệt hại hàng hóa</w:t>
            </w:r>
          </w:p>
        </w:tc>
      </w:tr>
      <w:tr>
        <w:trPr>
          <w:trHeight w:val="448" w:hRule="atLeast"/>
        </w:trPr>
        <w:tc>
          <w:tcPr>
            <w:tcW w:w="1418" w:type="dxa"/>
            <w:vMerge/>
            <w:tcBorders>
              <w:top w:val="nil"/>
            </w:tcBorders>
          </w:tcPr>
          <w:p>
            <w:pPr>
              <w:rPr>
                <w:sz w:val="2"/>
                <w:szCs w:val="2"/>
              </w:rPr>
            </w:pPr>
          </w:p>
        </w:tc>
        <w:tc>
          <w:tcPr>
            <w:tcW w:w="1843" w:type="dxa"/>
            <w:vMerge/>
            <w:tcBorders>
              <w:top w:val="nil"/>
            </w:tcBorders>
          </w:tcPr>
          <w:p>
            <w:pPr>
              <w:rPr>
                <w:sz w:val="2"/>
                <w:szCs w:val="2"/>
              </w:rPr>
            </w:pPr>
          </w:p>
        </w:tc>
        <w:tc>
          <w:tcPr>
            <w:tcW w:w="1274" w:type="dxa"/>
          </w:tcPr>
          <w:p>
            <w:pPr>
              <w:pStyle w:val="TableParagraph"/>
              <w:spacing w:before="2"/>
              <w:ind w:left="108"/>
              <w:rPr>
                <w:sz w:val="26"/>
              </w:rPr>
            </w:pPr>
            <w:r>
              <w:rPr>
                <w:color w:val="0D0D0D"/>
                <w:sz w:val="26"/>
              </w:rPr>
              <w:t>TC3</w:t>
            </w:r>
          </w:p>
        </w:tc>
        <w:tc>
          <w:tcPr>
            <w:tcW w:w="4537" w:type="dxa"/>
          </w:tcPr>
          <w:p>
            <w:pPr>
              <w:pStyle w:val="TableParagraph"/>
              <w:spacing w:before="2"/>
              <w:ind w:left="109"/>
              <w:rPr>
                <w:sz w:val="26"/>
              </w:rPr>
            </w:pPr>
            <w:r>
              <w:rPr>
                <w:sz w:val="26"/>
              </w:rPr>
              <w:t>Hệ thống quản lý tốt</w:t>
            </w:r>
          </w:p>
        </w:tc>
      </w:tr>
      <w:tr>
        <w:trPr>
          <w:trHeight w:val="448" w:hRule="atLeast"/>
        </w:trPr>
        <w:tc>
          <w:tcPr>
            <w:tcW w:w="1418" w:type="dxa"/>
            <w:vMerge/>
            <w:tcBorders>
              <w:top w:val="nil"/>
            </w:tcBorders>
          </w:tcPr>
          <w:p>
            <w:pPr>
              <w:rPr>
                <w:sz w:val="2"/>
                <w:szCs w:val="2"/>
              </w:rPr>
            </w:pPr>
          </w:p>
        </w:tc>
        <w:tc>
          <w:tcPr>
            <w:tcW w:w="1843" w:type="dxa"/>
            <w:vMerge/>
            <w:tcBorders>
              <w:top w:val="nil"/>
            </w:tcBorders>
          </w:tcPr>
          <w:p>
            <w:pPr>
              <w:rPr>
                <w:sz w:val="2"/>
                <w:szCs w:val="2"/>
              </w:rPr>
            </w:pPr>
          </w:p>
        </w:tc>
        <w:tc>
          <w:tcPr>
            <w:tcW w:w="1274" w:type="dxa"/>
          </w:tcPr>
          <w:p>
            <w:pPr>
              <w:pStyle w:val="TableParagraph"/>
              <w:spacing w:before="2"/>
              <w:ind w:left="108"/>
              <w:rPr>
                <w:sz w:val="26"/>
              </w:rPr>
            </w:pPr>
            <w:r>
              <w:rPr>
                <w:color w:val="0D0D0D"/>
                <w:sz w:val="26"/>
              </w:rPr>
              <w:t>TC4</w:t>
            </w:r>
          </w:p>
        </w:tc>
        <w:tc>
          <w:tcPr>
            <w:tcW w:w="4537" w:type="dxa"/>
          </w:tcPr>
          <w:p>
            <w:pPr>
              <w:pStyle w:val="TableParagraph"/>
              <w:spacing w:before="2"/>
              <w:ind w:left="109"/>
              <w:rPr>
                <w:sz w:val="26"/>
              </w:rPr>
            </w:pPr>
            <w:r>
              <w:rPr>
                <w:sz w:val="26"/>
              </w:rPr>
              <w:t>Hệ thống thông tin nhanh chóng, kịp thời</w:t>
            </w:r>
          </w:p>
        </w:tc>
      </w:tr>
      <w:tr>
        <w:trPr>
          <w:trHeight w:val="479" w:hRule="atLeast"/>
        </w:trPr>
        <w:tc>
          <w:tcPr>
            <w:tcW w:w="1418" w:type="dxa"/>
            <w:vMerge/>
            <w:tcBorders>
              <w:top w:val="nil"/>
            </w:tcBorders>
          </w:tcPr>
          <w:p>
            <w:pPr>
              <w:rPr>
                <w:sz w:val="2"/>
                <w:szCs w:val="2"/>
              </w:rPr>
            </w:pPr>
          </w:p>
        </w:tc>
        <w:tc>
          <w:tcPr>
            <w:tcW w:w="1843" w:type="dxa"/>
            <w:vMerge w:val="restart"/>
          </w:tcPr>
          <w:p>
            <w:pPr>
              <w:pStyle w:val="TableParagraph"/>
              <w:rPr>
                <w:b/>
                <w:sz w:val="28"/>
              </w:rPr>
            </w:pPr>
          </w:p>
          <w:p>
            <w:pPr>
              <w:pStyle w:val="TableParagraph"/>
              <w:rPr>
                <w:b/>
                <w:sz w:val="28"/>
              </w:rPr>
            </w:pPr>
          </w:p>
          <w:p>
            <w:pPr>
              <w:pStyle w:val="TableParagraph"/>
              <w:spacing w:before="2"/>
              <w:rPr>
                <w:b/>
                <w:sz w:val="22"/>
              </w:rPr>
            </w:pPr>
          </w:p>
          <w:p>
            <w:pPr>
              <w:pStyle w:val="TableParagraph"/>
              <w:spacing w:line="360" w:lineRule="auto"/>
              <w:ind w:left="168" w:right="155" w:hanging="3"/>
              <w:jc w:val="center"/>
              <w:rPr>
                <w:sz w:val="26"/>
              </w:rPr>
            </w:pPr>
            <w:r>
              <w:rPr>
                <w:sz w:val="26"/>
              </w:rPr>
              <w:t>Chi phí Logistics cảng container</w:t>
            </w:r>
          </w:p>
        </w:tc>
        <w:tc>
          <w:tcPr>
            <w:tcW w:w="1274" w:type="dxa"/>
          </w:tcPr>
          <w:p>
            <w:pPr>
              <w:pStyle w:val="TableParagraph"/>
              <w:spacing w:before="2"/>
              <w:ind w:left="108"/>
              <w:rPr>
                <w:sz w:val="26"/>
              </w:rPr>
            </w:pPr>
            <w:r>
              <w:rPr>
                <w:color w:val="0D0D0D"/>
                <w:sz w:val="26"/>
              </w:rPr>
              <w:t>CP1</w:t>
            </w:r>
          </w:p>
        </w:tc>
        <w:tc>
          <w:tcPr>
            <w:tcW w:w="4537" w:type="dxa"/>
          </w:tcPr>
          <w:p>
            <w:pPr>
              <w:pStyle w:val="TableParagraph"/>
              <w:spacing w:before="32"/>
              <w:ind w:left="109"/>
              <w:rPr>
                <w:sz w:val="24"/>
              </w:rPr>
            </w:pPr>
            <w:r>
              <w:rPr>
                <w:sz w:val="24"/>
              </w:rPr>
              <w:t>Chi phí cảng phù hợp với chất lượng dịch vụ</w:t>
            </w:r>
          </w:p>
        </w:tc>
      </w:tr>
      <w:tr>
        <w:trPr>
          <w:trHeight w:val="448" w:hRule="atLeast"/>
        </w:trPr>
        <w:tc>
          <w:tcPr>
            <w:tcW w:w="1418" w:type="dxa"/>
            <w:vMerge/>
            <w:tcBorders>
              <w:top w:val="nil"/>
            </w:tcBorders>
          </w:tcPr>
          <w:p>
            <w:pPr>
              <w:rPr>
                <w:sz w:val="2"/>
                <w:szCs w:val="2"/>
              </w:rPr>
            </w:pPr>
          </w:p>
        </w:tc>
        <w:tc>
          <w:tcPr>
            <w:tcW w:w="1843" w:type="dxa"/>
            <w:vMerge/>
            <w:tcBorders>
              <w:top w:val="nil"/>
            </w:tcBorders>
          </w:tcPr>
          <w:p>
            <w:pPr>
              <w:rPr>
                <w:sz w:val="2"/>
                <w:szCs w:val="2"/>
              </w:rPr>
            </w:pPr>
          </w:p>
        </w:tc>
        <w:tc>
          <w:tcPr>
            <w:tcW w:w="1274" w:type="dxa"/>
          </w:tcPr>
          <w:p>
            <w:pPr>
              <w:pStyle w:val="TableParagraph"/>
              <w:spacing w:before="2"/>
              <w:ind w:left="108"/>
              <w:rPr>
                <w:sz w:val="26"/>
              </w:rPr>
            </w:pPr>
            <w:r>
              <w:rPr>
                <w:color w:val="0D0D0D"/>
                <w:sz w:val="26"/>
              </w:rPr>
              <w:t>CP2</w:t>
            </w:r>
          </w:p>
        </w:tc>
        <w:tc>
          <w:tcPr>
            <w:tcW w:w="4537" w:type="dxa"/>
          </w:tcPr>
          <w:p>
            <w:pPr>
              <w:pStyle w:val="TableParagraph"/>
              <w:spacing w:before="15"/>
              <w:ind w:left="109"/>
              <w:rPr>
                <w:sz w:val="24"/>
              </w:rPr>
            </w:pPr>
            <w:r>
              <w:rPr>
                <w:sz w:val="24"/>
              </w:rPr>
              <w:t>Chi phí cảng ổn định</w:t>
            </w:r>
          </w:p>
        </w:tc>
      </w:tr>
      <w:tr>
        <w:trPr>
          <w:trHeight w:val="448" w:hRule="atLeast"/>
        </w:trPr>
        <w:tc>
          <w:tcPr>
            <w:tcW w:w="1418" w:type="dxa"/>
            <w:vMerge/>
            <w:tcBorders>
              <w:top w:val="nil"/>
            </w:tcBorders>
          </w:tcPr>
          <w:p>
            <w:pPr>
              <w:rPr>
                <w:sz w:val="2"/>
                <w:szCs w:val="2"/>
              </w:rPr>
            </w:pPr>
          </w:p>
        </w:tc>
        <w:tc>
          <w:tcPr>
            <w:tcW w:w="1843" w:type="dxa"/>
            <w:vMerge/>
            <w:tcBorders>
              <w:top w:val="nil"/>
            </w:tcBorders>
          </w:tcPr>
          <w:p>
            <w:pPr>
              <w:rPr>
                <w:sz w:val="2"/>
                <w:szCs w:val="2"/>
              </w:rPr>
            </w:pPr>
          </w:p>
        </w:tc>
        <w:tc>
          <w:tcPr>
            <w:tcW w:w="1274" w:type="dxa"/>
          </w:tcPr>
          <w:p>
            <w:pPr>
              <w:pStyle w:val="TableParagraph"/>
              <w:spacing w:before="2"/>
              <w:ind w:left="108"/>
              <w:rPr>
                <w:sz w:val="26"/>
              </w:rPr>
            </w:pPr>
            <w:r>
              <w:rPr>
                <w:color w:val="0D0D0D"/>
                <w:sz w:val="26"/>
              </w:rPr>
              <w:t>CP3</w:t>
            </w:r>
          </w:p>
        </w:tc>
        <w:tc>
          <w:tcPr>
            <w:tcW w:w="4537" w:type="dxa"/>
          </w:tcPr>
          <w:p>
            <w:pPr>
              <w:pStyle w:val="TableParagraph"/>
              <w:spacing w:before="15"/>
              <w:ind w:left="109"/>
              <w:rPr>
                <w:sz w:val="24"/>
              </w:rPr>
            </w:pPr>
            <w:r>
              <w:rPr>
                <w:sz w:val="24"/>
              </w:rPr>
              <w:t>Cảng phí thấp</w:t>
            </w:r>
          </w:p>
        </w:tc>
      </w:tr>
      <w:tr>
        <w:trPr>
          <w:trHeight w:val="448" w:hRule="atLeast"/>
        </w:trPr>
        <w:tc>
          <w:tcPr>
            <w:tcW w:w="1418" w:type="dxa"/>
            <w:vMerge/>
            <w:tcBorders>
              <w:top w:val="nil"/>
            </w:tcBorders>
          </w:tcPr>
          <w:p>
            <w:pPr>
              <w:rPr>
                <w:sz w:val="2"/>
                <w:szCs w:val="2"/>
              </w:rPr>
            </w:pPr>
          </w:p>
        </w:tc>
        <w:tc>
          <w:tcPr>
            <w:tcW w:w="1843" w:type="dxa"/>
            <w:vMerge/>
            <w:tcBorders>
              <w:top w:val="nil"/>
            </w:tcBorders>
          </w:tcPr>
          <w:p>
            <w:pPr>
              <w:rPr>
                <w:sz w:val="2"/>
                <w:szCs w:val="2"/>
              </w:rPr>
            </w:pPr>
          </w:p>
        </w:tc>
        <w:tc>
          <w:tcPr>
            <w:tcW w:w="1274" w:type="dxa"/>
          </w:tcPr>
          <w:p>
            <w:pPr>
              <w:pStyle w:val="TableParagraph"/>
              <w:spacing w:before="2"/>
              <w:ind w:left="108"/>
              <w:rPr>
                <w:sz w:val="26"/>
              </w:rPr>
            </w:pPr>
            <w:r>
              <w:rPr>
                <w:color w:val="0D0D0D"/>
                <w:sz w:val="26"/>
              </w:rPr>
              <w:t>CP4</w:t>
            </w:r>
          </w:p>
        </w:tc>
        <w:tc>
          <w:tcPr>
            <w:tcW w:w="4537" w:type="dxa"/>
          </w:tcPr>
          <w:p>
            <w:pPr>
              <w:pStyle w:val="TableParagraph"/>
              <w:spacing w:before="15"/>
              <w:ind w:left="109"/>
              <w:rPr>
                <w:sz w:val="24"/>
              </w:rPr>
            </w:pPr>
            <w:r>
              <w:rPr>
                <w:sz w:val="24"/>
              </w:rPr>
              <w:t>Chi phí phụ trợ phù hợp</w:t>
            </w:r>
          </w:p>
        </w:tc>
      </w:tr>
      <w:tr>
        <w:trPr>
          <w:trHeight w:val="448" w:hRule="atLeast"/>
        </w:trPr>
        <w:tc>
          <w:tcPr>
            <w:tcW w:w="1418" w:type="dxa"/>
            <w:vMerge/>
            <w:tcBorders>
              <w:top w:val="nil"/>
            </w:tcBorders>
          </w:tcPr>
          <w:p>
            <w:pPr>
              <w:rPr>
                <w:sz w:val="2"/>
                <w:szCs w:val="2"/>
              </w:rPr>
            </w:pPr>
          </w:p>
        </w:tc>
        <w:tc>
          <w:tcPr>
            <w:tcW w:w="1843" w:type="dxa"/>
            <w:vMerge/>
            <w:tcBorders>
              <w:top w:val="nil"/>
            </w:tcBorders>
          </w:tcPr>
          <w:p>
            <w:pPr>
              <w:rPr>
                <w:sz w:val="2"/>
                <w:szCs w:val="2"/>
              </w:rPr>
            </w:pPr>
          </w:p>
        </w:tc>
        <w:tc>
          <w:tcPr>
            <w:tcW w:w="1274" w:type="dxa"/>
          </w:tcPr>
          <w:p>
            <w:pPr>
              <w:pStyle w:val="TableParagraph"/>
              <w:spacing w:before="2"/>
              <w:ind w:left="108"/>
              <w:rPr>
                <w:sz w:val="26"/>
              </w:rPr>
            </w:pPr>
            <w:r>
              <w:rPr>
                <w:color w:val="0D0D0D"/>
                <w:sz w:val="26"/>
              </w:rPr>
              <w:t>CP5</w:t>
            </w:r>
          </w:p>
        </w:tc>
        <w:tc>
          <w:tcPr>
            <w:tcW w:w="4537" w:type="dxa"/>
          </w:tcPr>
          <w:p>
            <w:pPr>
              <w:pStyle w:val="TableParagraph"/>
              <w:spacing w:before="15"/>
              <w:ind w:left="109"/>
              <w:rPr>
                <w:sz w:val="24"/>
              </w:rPr>
            </w:pPr>
            <w:r>
              <w:rPr>
                <w:sz w:val="24"/>
              </w:rPr>
              <w:t>Chi phí cảng luôn cạnh tranh.</w:t>
            </w:r>
          </w:p>
        </w:tc>
      </w:tr>
      <w:tr>
        <w:trPr>
          <w:trHeight w:val="448" w:hRule="atLeast"/>
        </w:trPr>
        <w:tc>
          <w:tcPr>
            <w:tcW w:w="1418" w:type="dxa"/>
            <w:vMerge/>
            <w:tcBorders>
              <w:top w:val="nil"/>
            </w:tcBorders>
          </w:tcPr>
          <w:p>
            <w:pPr>
              <w:rPr>
                <w:sz w:val="2"/>
                <w:szCs w:val="2"/>
              </w:rPr>
            </w:pPr>
          </w:p>
        </w:tc>
        <w:tc>
          <w:tcPr>
            <w:tcW w:w="1843" w:type="dxa"/>
            <w:vMerge/>
            <w:tcBorders>
              <w:top w:val="nil"/>
            </w:tcBorders>
          </w:tcPr>
          <w:p>
            <w:pPr>
              <w:rPr>
                <w:sz w:val="2"/>
                <w:szCs w:val="2"/>
              </w:rPr>
            </w:pPr>
          </w:p>
        </w:tc>
        <w:tc>
          <w:tcPr>
            <w:tcW w:w="1274" w:type="dxa"/>
          </w:tcPr>
          <w:p>
            <w:pPr>
              <w:pStyle w:val="TableParagraph"/>
              <w:spacing w:before="2"/>
              <w:ind w:left="108"/>
              <w:rPr>
                <w:sz w:val="26"/>
              </w:rPr>
            </w:pPr>
            <w:r>
              <w:rPr>
                <w:color w:val="0D0D0D"/>
                <w:sz w:val="26"/>
              </w:rPr>
              <w:t>CP6</w:t>
            </w:r>
          </w:p>
        </w:tc>
        <w:tc>
          <w:tcPr>
            <w:tcW w:w="4537" w:type="dxa"/>
          </w:tcPr>
          <w:p>
            <w:pPr>
              <w:pStyle w:val="TableParagraph"/>
              <w:spacing w:before="2"/>
              <w:ind w:left="109"/>
              <w:rPr>
                <w:sz w:val="26"/>
              </w:rPr>
            </w:pPr>
            <w:r>
              <w:rPr>
                <w:color w:val="0D0D0D"/>
                <w:sz w:val="26"/>
              </w:rPr>
              <w:t>Chi phí cảng có nhiều ưu đãi</w:t>
            </w:r>
          </w:p>
        </w:tc>
      </w:tr>
      <w:tr>
        <w:trPr>
          <w:trHeight w:val="448" w:hRule="atLeast"/>
        </w:trPr>
        <w:tc>
          <w:tcPr>
            <w:tcW w:w="1418" w:type="dxa"/>
            <w:vMerge/>
            <w:tcBorders>
              <w:top w:val="nil"/>
            </w:tcBorders>
          </w:tcPr>
          <w:p>
            <w:pPr>
              <w:rPr>
                <w:sz w:val="2"/>
                <w:szCs w:val="2"/>
              </w:rPr>
            </w:pPr>
          </w:p>
        </w:tc>
        <w:tc>
          <w:tcPr>
            <w:tcW w:w="1843" w:type="dxa"/>
            <w:vMerge w:val="restart"/>
          </w:tcPr>
          <w:p>
            <w:pPr>
              <w:pStyle w:val="TableParagraph"/>
              <w:spacing w:line="360" w:lineRule="auto" w:before="2"/>
              <w:ind w:left="168" w:right="155" w:hanging="3"/>
              <w:jc w:val="center"/>
              <w:rPr>
                <w:sz w:val="26"/>
              </w:rPr>
            </w:pPr>
            <w:r>
              <w:rPr>
                <w:sz w:val="26"/>
              </w:rPr>
              <w:t>Chất lượng dịch vụ Logistics cảng container</w:t>
            </w:r>
          </w:p>
        </w:tc>
        <w:tc>
          <w:tcPr>
            <w:tcW w:w="1274" w:type="dxa"/>
          </w:tcPr>
          <w:p>
            <w:pPr>
              <w:pStyle w:val="TableParagraph"/>
              <w:spacing w:before="2"/>
              <w:ind w:left="108"/>
              <w:rPr>
                <w:sz w:val="26"/>
              </w:rPr>
            </w:pPr>
            <w:r>
              <w:rPr>
                <w:color w:val="0D0D0D"/>
                <w:sz w:val="26"/>
              </w:rPr>
              <w:t>CLDV1</w:t>
            </w:r>
          </w:p>
        </w:tc>
        <w:tc>
          <w:tcPr>
            <w:tcW w:w="4537" w:type="dxa"/>
          </w:tcPr>
          <w:p>
            <w:pPr>
              <w:pStyle w:val="TableParagraph"/>
              <w:spacing w:before="2"/>
              <w:ind w:left="109"/>
              <w:rPr>
                <w:sz w:val="26"/>
              </w:rPr>
            </w:pPr>
            <w:r>
              <w:rPr>
                <w:sz w:val="26"/>
              </w:rPr>
              <w:t>Năng lực cung cấp container</w:t>
            </w:r>
          </w:p>
        </w:tc>
      </w:tr>
      <w:tr>
        <w:trPr>
          <w:trHeight w:val="448" w:hRule="atLeast"/>
        </w:trPr>
        <w:tc>
          <w:tcPr>
            <w:tcW w:w="1418" w:type="dxa"/>
            <w:vMerge/>
            <w:tcBorders>
              <w:top w:val="nil"/>
            </w:tcBorders>
          </w:tcPr>
          <w:p>
            <w:pPr>
              <w:rPr>
                <w:sz w:val="2"/>
                <w:szCs w:val="2"/>
              </w:rPr>
            </w:pPr>
          </w:p>
        </w:tc>
        <w:tc>
          <w:tcPr>
            <w:tcW w:w="1843" w:type="dxa"/>
            <w:vMerge/>
            <w:tcBorders>
              <w:top w:val="nil"/>
            </w:tcBorders>
          </w:tcPr>
          <w:p>
            <w:pPr>
              <w:rPr>
                <w:sz w:val="2"/>
                <w:szCs w:val="2"/>
              </w:rPr>
            </w:pPr>
          </w:p>
        </w:tc>
        <w:tc>
          <w:tcPr>
            <w:tcW w:w="1274" w:type="dxa"/>
          </w:tcPr>
          <w:p>
            <w:pPr>
              <w:pStyle w:val="TableParagraph"/>
              <w:spacing w:before="2"/>
              <w:ind w:left="108"/>
              <w:rPr>
                <w:sz w:val="26"/>
              </w:rPr>
            </w:pPr>
            <w:r>
              <w:rPr>
                <w:color w:val="0D0D0D"/>
                <w:sz w:val="26"/>
              </w:rPr>
              <w:t>CLDV3</w:t>
            </w:r>
          </w:p>
        </w:tc>
        <w:tc>
          <w:tcPr>
            <w:tcW w:w="4537" w:type="dxa"/>
          </w:tcPr>
          <w:p>
            <w:pPr>
              <w:pStyle w:val="TableParagraph"/>
              <w:spacing w:before="2"/>
              <w:ind w:left="109"/>
              <w:rPr>
                <w:sz w:val="26"/>
              </w:rPr>
            </w:pPr>
            <w:r>
              <w:rPr>
                <w:sz w:val="26"/>
              </w:rPr>
              <w:t>Hệ thống thông tin nhanh chóng, kịp thời</w:t>
            </w:r>
          </w:p>
        </w:tc>
      </w:tr>
      <w:tr>
        <w:trPr>
          <w:trHeight w:val="1345" w:hRule="atLeast"/>
        </w:trPr>
        <w:tc>
          <w:tcPr>
            <w:tcW w:w="1418" w:type="dxa"/>
            <w:vMerge/>
            <w:tcBorders>
              <w:top w:val="nil"/>
            </w:tcBorders>
          </w:tcPr>
          <w:p>
            <w:pPr>
              <w:rPr>
                <w:sz w:val="2"/>
                <w:szCs w:val="2"/>
              </w:rPr>
            </w:pPr>
          </w:p>
        </w:tc>
        <w:tc>
          <w:tcPr>
            <w:tcW w:w="1843" w:type="dxa"/>
            <w:vMerge/>
            <w:tcBorders>
              <w:top w:val="nil"/>
            </w:tcBorders>
          </w:tcPr>
          <w:p>
            <w:pPr>
              <w:rPr>
                <w:sz w:val="2"/>
                <w:szCs w:val="2"/>
              </w:rPr>
            </w:pPr>
          </w:p>
        </w:tc>
        <w:tc>
          <w:tcPr>
            <w:tcW w:w="1274" w:type="dxa"/>
          </w:tcPr>
          <w:p>
            <w:pPr>
              <w:pStyle w:val="TableParagraph"/>
              <w:spacing w:before="2"/>
              <w:ind w:left="108"/>
              <w:rPr>
                <w:sz w:val="26"/>
              </w:rPr>
            </w:pPr>
            <w:r>
              <w:rPr>
                <w:color w:val="0D0D0D"/>
                <w:sz w:val="26"/>
              </w:rPr>
              <w:t>CLDV4</w:t>
            </w:r>
          </w:p>
        </w:tc>
        <w:tc>
          <w:tcPr>
            <w:tcW w:w="4537" w:type="dxa"/>
          </w:tcPr>
          <w:p>
            <w:pPr>
              <w:pStyle w:val="TableParagraph"/>
              <w:spacing w:line="360" w:lineRule="auto" w:before="2"/>
              <w:ind w:left="109" w:right="437"/>
              <w:rPr>
                <w:sz w:val="26"/>
              </w:rPr>
            </w:pPr>
            <w:r>
              <w:rPr>
                <w:sz w:val="26"/>
              </w:rPr>
              <w:t>Cấu trúc tổ chức bến cảng tiện lợi cho việc sử dụng làm giảm chi phí và thời</w:t>
            </w:r>
          </w:p>
          <w:p>
            <w:pPr>
              <w:pStyle w:val="TableParagraph"/>
              <w:ind w:left="109"/>
              <w:rPr>
                <w:sz w:val="26"/>
              </w:rPr>
            </w:pPr>
            <w:r>
              <w:rPr>
                <w:sz w:val="26"/>
              </w:rPr>
              <w:t>gian cho khách hàng</w:t>
            </w:r>
          </w:p>
        </w:tc>
      </w:tr>
      <w:tr>
        <w:trPr>
          <w:trHeight w:val="448" w:hRule="atLeast"/>
        </w:trPr>
        <w:tc>
          <w:tcPr>
            <w:tcW w:w="1418" w:type="dxa"/>
            <w:vMerge/>
            <w:tcBorders>
              <w:top w:val="nil"/>
            </w:tcBorders>
          </w:tcPr>
          <w:p>
            <w:pPr>
              <w:rPr>
                <w:sz w:val="2"/>
                <w:szCs w:val="2"/>
              </w:rPr>
            </w:pPr>
          </w:p>
        </w:tc>
        <w:tc>
          <w:tcPr>
            <w:tcW w:w="1843" w:type="dxa"/>
            <w:vMerge/>
            <w:tcBorders>
              <w:top w:val="nil"/>
            </w:tcBorders>
          </w:tcPr>
          <w:p>
            <w:pPr>
              <w:rPr>
                <w:sz w:val="2"/>
                <w:szCs w:val="2"/>
              </w:rPr>
            </w:pPr>
          </w:p>
        </w:tc>
        <w:tc>
          <w:tcPr>
            <w:tcW w:w="1274" w:type="dxa"/>
          </w:tcPr>
          <w:p>
            <w:pPr>
              <w:pStyle w:val="TableParagraph"/>
              <w:spacing w:before="2"/>
              <w:ind w:left="108"/>
              <w:rPr>
                <w:sz w:val="26"/>
              </w:rPr>
            </w:pPr>
            <w:r>
              <w:rPr>
                <w:color w:val="0D0D0D"/>
                <w:sz w:val="26"/>
              </w:rPr>
              <w:t>CLDV6</w:t>
            </w:r>
          </w:p>
        </w:tc>
        <w:tc>
          <w:tcPr>
            <w:tcW w:w="4537" w:type="dxa"/>
          </w:tcPr>
          <w:p>
            <w:pPr>
              <w:pStyle w:val="TableParagraph"/>
              <w:spacing w:before="2"/>
              <w:ind w:left="109"/>
              <w:rPr>
                <w:sz w:val="26"/>
              </w:rPr>
            </w:pPr>
            <w:r>
              <w:rPr>
                <w:sz w:val="26"/>
              </w:rPr>
              <w:t>Bố trí thiết bị xếp dỡ phù hợp</w:t>
            </w:r>
          </w:p>
        </w:tc>
      </w:tr>
      <w:tr>
        <w:trPr>
          <w:trHeight w:val="895" w:hRule="atLeast"/>
        </w:trPr>
        <w:tc>
          <w:tcPr>
            <w:tcW w:w="1418" w:type="dxa"/>
            <w:vMerge/>
            <w:tcBorders>
              <w:top w:val="nil"/>
            </w:tcBorders>
          </w:tcPr>
          <w:p>
            <w:pPr>
              <w:rPr>
                <w:sz w:val="2"/>
                <w:szCs w:val="2"/>
              </w:rPr>
            </w:pPr>
          </w:p>
        </w:tc>
        <w:tc>
          <w:tcPr>
            <w:tcW w:w="1843" w:type="dxa"/>
            <w:vMerge/>
            <w:tcBorders>
              <w:top w:val="nil"/>
            </w:tcBorders>
          </w:tcPr>
          <w:p>
            <w:pPr>
              <w:rPr>
                <w:sz w:val="2"/>
                <w:szCs w:val="2"/>
              </w:rPr>
            </w:pPr>
          </w:p>
        </w:tc>
        <w:tc>
          <w:tcPr>
            <w:tcW w:w="1274" w:type="dxa"/>
          </w:tcPr>
          <w:p>
            <w:pPr>
              <w:pStyle w:val="TableParagraph"/>
              <w:spacing w:before="2"/>
              <w:ind w:left="108"/>
              <w:rPr>
                <w:sz w:val="26"/>
              </w:rPr>
            </w:pPr>
            <w:r>
              <w:rPr>
                <w:color w:val="0D0D0D"/>
                <w:sz w:val="26"/>
              </w:rPr>
              <w:t>CLDV7</w:t>
            </w:r>
          </w:p>
        </w:tc>
        <w:tc>
          <w:tcPr>
            <w:tcW w:w="4537" w:type="dxa"/>
          </w:tcPr>
          <w:p>
            <w:pPr>
              <w:pStyle w:val="TableParagraph"/>
              <w:spacing w:before="2"/>
              <w:ind w:left="109"/>
              <w:rPr>
                <w:sz w:val="26"/>
              </w:rPr>
            </w:pPr>
            <w:r>
              <w:rPr>
                <w:sz w:val="26"/>
              </w:rPr>
              <w:t>Hoạt động khai thác của cảng định</w:t>
            </w:r>
          </w:p>
          <w:p>
            <w:pPr>
              <w:pStyle w:val="TableParagraph"/>
              <w:spacing w:before="149"/>
              <w:ind w:left="109"/>
              <w:rPr>
                <w:sz w:val="26"/>
              </w:rPr>
            </w:pPr>
            <w:r>
              <w:rPr>
                <w:sz w:val="26"/>
              </w:rPr>
              <w:t>hướng vào phục vụ khách hàng</w:t>
            </w:r>
          </w:p>
        </w:tc>
      </w:tr>
      <w:tr>
        <w:trPr>
          <w:trHeight w:val="448" w:hRule="atLeast"/>
        </w:trPr>
        <w:tc>
          <w:tcPr>
            <w:tcW w:w="1418" w:type="dxa"/>
            <w:vMerge/>
            <w:tcBorders>
              <w:top w:val="nil"/>
            </w:tcBorders>
          </w:tcPr>
          <w:p>
            <w:pPr>
              <w:rPr>
                <w:sz w:val="2"/>
                <w:szCs w:val="2"/>
              </w:rPr>
            </w:pPr>
          </w:p>
        </w:tc>
        <w:tc>
          <w:tcPr>
            <w:tcW w:w="1843" w:type="dxa"/>
            <w:vMerge/>
            <w:tcBorders>
              <w:top w:val="nil"/>
            </w:tcBorders>
          </w:tcPr>
          <w:p>
            <w:pPr>
              <w:rPr>
                <w:sz w:val="2"/>
                <w:szCs w:val="2"/>
              </w:rPr>
            </w:pPr>
          </w:p>
        </w:tc>
        <w:tc>
          <w:tcPr>
            <w:tcW w:w="1274" w:type="dxa"/>
          </w:tcPr>
          <w:p>
            <w:pPr>
              <w:pStyle w:val="TableParagraph"/>
              <w:spacing w:before="4"/>
              <w:ind w:left="108"/>
              <w:rPr>
                <w:sz w:val="26"/>
              </w:rPr>
            </w:pPr>
            <w:r>
              <w:rPr>
                <w:color w:val="0D0D0D"/>
                <w:sz w:val="26"/>
              </w:rPr>
              <w:t>CLDV8</w:t>
            </w:r>
          </w:p>
        </w:tc>
        <w:tc>
          <w:tcPr>
            <w:tcW w:w="4537" w:type="dxa"/>
          </w:tcPr>
          <w:p>
            <w:pPr>
              <w:pStyle w:val="TableParagraph"/>
              <w:spacing w:before="4"/>
              <w:ind w:left="109"/>
              <w:rPr>
                <w:sz w:val="26"/>
              </w:rPr>
            </w:pPr>
            <w:r>
              <w:rPr>
                <w:sz w:val="26"/>
              </w:rPr>
              <w:t>Dịch vụ thủ tục hải quan thuận lợi</w:t>
            </w:r>
          </w:p>
        </w:tc>
      </w:tr>
      <w:tr>
        <w:trPr>
          <w:trHeight w:val="897" w:hRule="atLeast"/>
        </w:trPr>
        <w:tc>
          <w:tcPr>
            <w:tcW w:w="1418" w:type="dxa"/>
            <w:vMerge/>
            <w:tcBorders>
              <w:top w:val="nil"/>
            </w:tcBorders>
          </w:tcPr>
          <w:p>
            <w:pPr>
              <w:rPr>
                <w:sz w:val="2"/>
                <w:szCs w:val="2"/>
              </w:rPr>
            </w:pPr>
          </w:p>
        </w:tc>
        <w:tc>
          <w:tcPr>
            <w:tcW w:w="1843" w:type="dxa"/>
            <w:vMerge/>
            <w:tcBorders>
              <w:top w:val="nil"/>
            </w:tcBorders>
          </w:tcPr>
          <w:p>
            <w:pPr>
              <w:rPr>
                <w:sz w:val="2"/>
                <w:szCs w:val="2"/>
              </w:rPr>
            </w:pPr>
          </w:p>
        </w:tc>
        <w:tc>
          <w:tcPr>
            <w:tcW w:w="1274" w:type="dxa"/>
          </w:tcPr>
          <w:p>
            <w:pPr>
              <w:pStyle w:val="TableParagraph"/>
              <w:spacing w:before="4"/>
              <w:ind w:left="108"/>
              <w:rPr>
                <w:sz w:val="26"/>
              </w:rPr>
            </w:pPr>
            <w:r>
              <w:rPr>
                <w:color w:val="0D0D0D"/>
                <w:sz w:val="26"/>
              </w:rPr>
              <w:t>CLDV10</w:t>
            </w:r>
          </w:p>
        </w:tc>
        <w:tc>
          <w:tcPr>
            <w:tcW w:w="4537" w:type="dxa"/>
          </w:tcPr>
          <w:p>
            <w:pPr>
              <w:pStyle w:val="TableParagraph"/>
              <w:spacing w:before="4"/>
              <w:ind w:left="109"/>
              <w:rPr>
                <w:sz w:val="26"/>
              </w:rPr>
            </w:pPr>
            <w:r>
              <w:rPr>
                <w:sz w:val="26"/>
              </w:rPr>
              <w:t>Năng lực hệ thống trao đổi dữ liệu điện</w:t>
            </w:r>
          </w:p>
          <w:p>
            <w:pPr>
              <w:pStyle w:val="TableParagraph"/>
              <w:spacing w:before="147"/>
              <w:ind w:left="109"/>
              <w:rPr>
                <w:sz w:val="26"/>
              </w:rPr>
            </w:pPr>
            <w:r>
              <w:rPr>
                <w:sz w:val="26"/>
              </w:rPr>
              <w:t>tử</w:t>
            </w:r>
          </w:p>
        </w:tc>
      </w:tr>
    </w:tbl>
    <w:p>
      <w:pPr>
        <w:spacing w:before="2"/>
        <w:ind w:left="7403" w:right="0" w:firstLine="0"/>
        <w:jc w:val="both"/>
        <w:rPr>
          <w:i/>
          <w:sz w:val="26"/>
        </w:rPr>
      </w:pPr>
      <w:r>
        <w:rPr>
          <w:i/>
          <w:sz w:val="26"/>
        </w:rPr>
        <w:t>Nguồn: tác giả tổng</w:t>
      </w:r>
      <w:r>
        <w:rPr>
          <w:i/>
          <w:spacing w:val="-7"/>
          <w:sz w:val="26"/>
        </w:rPr>
        <w:t> </w:t>
      </w:r>
      <w:r>
        <w:rPr>
          <w:i/>
          <w:sz w:val="26"/>
        </w:rPr>
        <w:t>hợp</w:t>
      </w:r>
    </w:p>
    <w:p>
      <w:pPr>
        <w:pStyle w:val="BodyText"/>
        <w:spacing w:line="360" w:lineRule="auto" w:before="150"/>
        <w:ind w:left="882" w:right="888" w:firstLine="719"/>
        <w:jc w:val="both"/>
      </w:pPr>
      <w:r>
        <w:rPr/>
        <w:t>Như vậy nghiên cứu này rất có ý nghĩa khi góp phần đóng góp xây dựng và phát triển thang đo các khái niệm ảnh hưởng đến lợi thế cạnh tranh cảng continer của Việt</w:t>
      </w:r>
      <w:r>
        <w:rPr>
          <w:spacing w:val="8"/>
        </w:rPr>
        <w:t> </w:t>
      </w:r>
      <w:r>
        <w:rPr/>
        <w:t>Nam</w:t>
      </w:r>
      <w:r>
        <w:rPr>
          <w:spacing w:val="12"/>
        </w:rPr>
        <w:t> </w:t>
      </w:r>
      <w:r>
        <w:rPr/>
        <w:t>trong</w:t>
      </w:r>
      <w:r>
        <w:rPr>
          <w:spacing w:val="8"/>
        </w:rPr>
        <w:t> </w:t>
      </w:r>
      <w:r>
        <w:rPr/>
        <w:t>bối</w:t>
      </w:r>
      <w:r>
        <w:rPr>
          <w:spacing w:val="9"/>
        </w:rPr>
        <w:t> </w:t>
      </w:r>
      <w:r>
        <w:rPr/>
        <w:t>cảnh</w:t>
      </w:r>
      <w:r>
        <w:rPr>
          <w:spacing w:val="8"/>
        </w:rPr>
        <w:t> </w:t>
      </w:r>
      <w:r>
        <w:rPr/>
        <w:t>nền</w:t>
      </w:r>
      <w:r>
        <w:rPr>
          <w:spacing w:val="9"/>
        </w:rPr>
        <w:t> </w:t>
      </w:r>
      <w:r>
        <w:rPr/>
        <w:t>kinh</w:t>
      </w:r>
      <w:r>
        <w:rPr>
          <w:spacing w:val="8"/>
        </w:rPr>
        <w:t> </w:t>
      </w:r>
      <w:r>
        <w:rPr/>
        <w:t>tế</w:t>
      </w:r>
      <w:r>
        <w:rPr>
          <w:spacing w:val="9"/>
        </w:rPr>
        <w:t> </w:t>
      </w:r>
      <w:r>
        <w:rPr/>
        <w:t>đang</w:t>
      </w:r>
      <w:r>
        <w:rPr>
          <w:spacing w:val="8"/>
        </w:rPr>
        <w:t> </w:t>
      </w:r>
      <w:r>
        <w:rPr/>
        <w:t>chuyển</w:t>
      </w:r>
      <w:r>
        <w:rPr>
          <w:spacing w:val="9"/>
        </w:rPr>
        <w:t> </w:t>
      </w:r>
      <w:r>
        <w:rPr/>
        <w:t>đổi</w:t>
      </w:r>
      <w:r>
        <w:rPr>
          <w:spacing w:val="10"/>
        </w:rPr>
        <w:t> </w:t>
      </w:r>
      <w:r>
        <w:rPr/>
        <w:t>như</w:t>
      </w:r>
      <w:r>
        <w:rPr>
          <w:spacing w:val="9"/>
        </w:rPr>
        <w:t> </w:t>
      </w:r>
      <w:r>
        <w:rPr/>
        <w:t>Việt</w:t>
      </w:r>
      <w:r>
        <w:rPr>
          <w:spacing w:val="8"/>
        </w:rPr>
        <w:t> </w:t>
      </w:r>
      <w:r>
        <w:rPr/>
        <w:t>Nam.</w:t>
      </w:r>
      <w:r>
        <w:rPr>
          <w:spacing w:val="9"/>
        </w:rPr>
        <w:t> </w:t>
      </w:r>
      <w:r>
        <w:rPr/>
        <w:t>kết</w:t>
      </w:r>
      <w:r>
        <w:rPr>
          <w:spacing w:val="8"/>
        </w:rPr>
        <w:t> </w:t>
      </w:r>
      <w:r>
        <w:rPr/>
        <w:t>quả</w:t>
      </w:r>
      <w:r>
        <w:rPr>
          <w:spacing w:val="11"/>
        </w:rPr>
        <w:t> </w:t>
      </w:r>
      <w:r>
        <w:rPr/>
        <w:t>này</w:t>
      </w:r>
      <w:r>
        <w:rPr>
          <w:spacing w:val="9"/>
        </w:rPr>
        <w:t> </w:t>
      </w:r>
      <w:r>
        <w:rPr/>
        <w:t>còn</w:t>
      </w:r>
    </w:p>
    <w:p>
      <w:pPr>
        <w:spacing w:after="0" w:line="360" w:lineRule="auto"/>
        <w:jc w:val="both"/>
        <w:sectPr>
          <w:pgSz w:w="11910" w:h="16850"/>
          <w:pgMar w:header="751" w:footer="0" w:top="960" w:bottom="280" w:left="820" w:right="240"/>
        </w:sectPr>
      </w:pPr>
    </w:p>
    <w:p>
      <w:pPr>
        <w:pStyle w:val="BodyText"/>
        <w:rPr>
          <w:sz w:val="20"/>
        </w:rPr>
      </w:pPr>
    </w:p>
    <w:p>
      <w:pPr>
        <w:pStyle w:val="BodyText"/>
        <w:spacing w:before="7"/>
        <w:rPr>
          <w:sz w:val="23"/>
        </w:rPr>
      </w:pPr>
    </w:p>
    <w:p>
      <w:pPr>
        <w:pStyle w:val="BodyText"/>
        <w:spacing w:line="360" w:lineRule="auto" w:before="89"/>
        <w:ind w:left="882" w:right="886"/>
        <w:jc w:val="both"/>
      </w:pPr>
      <w:r>
        <w:rPr/>
        <w:t>đóng góp giúp các nhà nghiên cứu về dịch vụ cảng container và các vấn đề liên quan khác có khung lý thuyết cơ bản về lợi thế cạnh tranh cảng coniner. Bên cạnh đó kết quả nghiên cứu này cũng có thể làm nền tản tham chiếu và áp dụng trong lĩnh vực khai thác cảng nói chung. Với kết quả này có ý nghĩa nâng cao vai trò quan trọng và dứt khoắc trong điều tiết, quản lý của nhà nước đối với hoạt động xây dựng và khái thác cảng cotainer, khắc phục tình trạng đầu tư dàn trãi, gây lãng phí nguồn lực xã hội, không tập trung được sức mạnh cả nước trong phát triển cảng biển và dịch vụ Logistics. Bên cạnh đó kết quả còn đóng góp về quy hoạch chi tiết theo quyết định 3655/QĐ-BGTVT ngày 27/12/2017 về phê duyệt quy hoạch chi tiết nhóm cảng biển Đông Nam Bộ (nhóm 5) đến năm 2020. định hướng đến năm 2030 cũng như quyết định số 995/QĐ-TTg ngày 9/8/2018 về quy hoạch tổng thể phát triển hệ thống cảng biển giai đoạn 2021-2030 tầm nhìn đến năm 2050 của Thủ Tướng Chính Phủ thực hiện theo nghị quyết số 36-NQ/TW về chiến lược phát triển bền vững kinh tế biển Việt Nam đến năm 2030. tầm nhìn đến năm 2045, hay quyết định số 77/QĐ-TTg của Thủ tướng Chính phủ ngày 13/01/2020 về việc Phê duyệt Nhiệm  vụ lập Quy hoạch tổng thể phát triển hệ thống cảng biển Việt Nam thời kỳ 2021 - 2030, tầm nhìn đến</w:t>
      </w:r>
      <w:r>
        <w:rPr>
          <w:spacing w:val="-10"/>
        </w:rPr>
        <w:t> </w:t>
      </w:r>
      <w:r>
        <w:rPr/>
        <w:t>năm</w:t>
      </w:r>
    </w:p>
    <w:p>
      <w:pPr>
        <w:pStyle w:val="BodyText"/>
        <w:spacing w:before="35"/>
        <w:ind w:left="882"/>
      </w:pPr>
      <w:r>
        <w:rPr/>
        <w:t>2050.</w:t>
      </w:r>
    </w:p>
    <w:p>
      <w:pPr>
        <w:pStyle w:val="Heading6"/>
        <w:numPr>
          <w:ilvl w:val="2"/>
          <w:numId w:val="29"/>
        </w:numPr>
        <w:tabs>
          <w:tab w:pos="1466" w:val="left" w:leader="none"/>
        </w:tabs>
        <w:spacing w:line="240" w:lineRule="auto" w:before="176" w:after="0"/>
        <w:ind w:left="1465" w:right="0" w:hanging="584"/>
        <w:jc w:val="both"/>
      </w:pPr>
      <w:bookmarkStart w:name="_TOC_250007" w:id="49"/>
      <w:bookmarkEnd w:id="49"/>
      <w:r>
        <w:rPr/>
        <w:t>Kết quả đề xuất mô hình lý thuyết</w:t>
      </w:r>
    </w:p>
    <w:p>
      <w:pPr>
        <w:pStyle w:val="BodyText"/>
        <w:spacing w:line="360" w:lineRule="auto" w:before="150"/>
        <w:ind w:left="882" w:right="886" w:firstLine="719"/>
        <w:jc w:val="both"/>
      </w:pPr>
      <w:r>
        <w:rPr/>
        <w:t>Kết quả kiểm định này cho thấy lợi thế cạnh tranh cảng container bị tác động bởi 6 yếu tố đó là: Chất lượng dịch vụ Logistics của cảng container; Chí phí Logistics của cảng container; Vị trí cảng container; Cơ sở hạ tầng cảng container; Độ tin cậy cảng container; Năng lực kết nối nội địa của cảng container. Kết quả này có ý nghĩa càng cũng cố thêm lý thuyết đã được phát hiện bởi các nhà nghiên cứu trong lĩnh vực cảng container như Tongzon. J. và Heng (2005) nghiên cứu về “Cảng tư nhân hiệu quả và lợi thế cạnh tranh: bằng chứng thực nghiệm từ các cảng container”; Vitor Caldeirinha (2013) nghiên cứu về “</w:t>
      </w:r>
      <w:r>
        <w:rPr>
          <w:i/>
        </w:rPr>
        <w:t>Ảnh hưởng của đặc tính khu bến container đến </w:t>
      </w:r>
      <w:r>
        <w:rPr>
          <w:i/>
        </w:rPr>
        <w:t>hiệu quả khai thác cảng</w:t>
      </w:r>
      <w:r>
        <w:rPr/>
        <w:t>”; Yap and Notteboom (2011) nghiên cứu về “ Sự năng động của lịch trình dịch vụ tàu chợ và tác động của nó vào năng lực cạnh tranh cảng container”; Ahmed Shaheen &amp; Hany Mahmoud (2018) nghiên cứu “Lợi thế cạnh tranh của cảng biển áp dụng cho các cảng Đông Port Said”; Elvira Haezendonck và cộng sự (2019)</w:t>
      </w:r>
      <w:r>
        <w:rPr>
          <w:spacing w:val="5"/>
        </w:rPr>
        <w:t> </w:t>
      </w:r>
      <w:r>
        <w:rPr/>
        <w:t>nghiên</w:t>
      </w:r>
      <w:r>
        <w:rPr>
          <w:spacing w:val="5"/>
        </w:rPr>
        <w:t> </w:t>
      </w:r>
      <w:r>
        <w:rPr/>
        <w:t>cứu</w:t>
      </w:r>
      <w:r>
        <w:rPr>
          <w:spacing w:val="6"/>
        </w:rPr>
        <w:t> </w:t>
      </w:r>
      <w:r>
        <w:rPr/>
        <w:t>“Tích</w:t>
      </w:r>
      <w:r>
        <w:rPr>
          <w:spacing w:val="5"/>
        </w:rPr>
        <w:t> </w:t>
      </w:r>
      <w:r>
        <w:rPr/>
        <w:t>hợp</w:t>
      </w:r>
      <w:r>
        <w:rPr>
          <w:spacing w:val="5"/>
        </w:rPr>
        <w:t> </w:t>
      </w:r>
      <w:r>
        <w:rPr/>
        <w:t>cụm</w:t>
      </w:r>
      <w:r>
        <w:rPr>
          <w:spacing w:val="5"/>
        </w:rPr>
        <w:t> </w:t>
      </w:r>
      <w:r>
        <w:rPr/>
        <w:t>cảng</w:t>
      </w:r>
      <w:r>
        <w:rPr>
          <w:spacing w:val="5"/>
        </w:rPr>
        <w:t> </w:t>
      </w:r>
      <w:r>
        <w:rPr/>
        <w:t>và</w:t>
      </w:r>
      <w:r>
        <w:rPr>
          <w:spacing w:val="5"/>
        </w:rPr>
        <w:t> </w:t>
      </w:r>
      <w:r>
        <w:rPr/>
        <w:t>lợi</w:t>
      </w:r>
      <w:r>
        <w:rPr>
          <w:spacing w:val="5"/>
        </w:rPr>
        <w:t> </w:t>
      </w:r>
      <w:r>
        <w:rPr/>
        <w:t>thế</w:t>
      </w:r>
      <w:r>
        <w:rPr>
          <w:spacing w:val="5"/>
        </w:rPr>
        <w:t> </w:t>
      </w:r>
      <w:r>
        <w:rPr/>
        <w:t>cạnh</w:t>
      </w:r>
      <w:r>
        <w:rPr>
          <w:spacing w:val="5"/>
        </w:rPr>
        <w:t> </w:t>
      </w:r>
      <w:r>
        <w:rPr/>
        <w:t>tranh</w:t>
      </w:r>
      <w:r>
        <w:rPr>
          <w:spacing w:val="5"/>
        </w:rPr>
        <w:t> </w:t>
      </w:r>
      <w:r>
        <w:rPr/>
        <w:t>trong</w:t>
      </w:r>
      <w:r>
        <w:rPr>
          <w:spacing w:val="5"/>
        </w:rPr>
        <w:t> </w:t>
      </w:r>
      <w:r>
        <w:rPr/>
        <w:t>nguồn</w:t>
      </w:r>
      <w:r>
        <w:rPr>
          <w:spacing w:val="6"/>
        </w:rPr>
        <w:t> </w:t>
      </w:r>
      <w:r>
        <w:rPr/>
        <w:t>lực</w:t>
      </w:r>
      <w:r>
        <w:rPr>
          <w:spacing w:val="5"/>
        </w:rPr>
        <w:t> </w:t>
      </w:r>
      <w:r>
        <w:rPr/>
        <w:t>mở</w:t>
      </w:r>
      <w:r>
        <w:rPr>
          <w:spacing w:val="5"/>
        </w:rPr>
        <w:t> </w:t>
      </w:r>
      <w:r>
        <w:rPr/>
        <w:t>rộng</w:t>
      </w:r>
    </w:p>
    <w:p>
      <w:pPr>
        <w:spacing w:after="0" w:line="360" w:lineRule="auto"/>
        <w:jc w:val="both"/>
        <w:sectPr>
          <w:pgSz w:w="11910" w:h="16850"/>
          <w:pgMar w:header="751" w:footer="0" w:top="960" w:bottom="280" w:left="820" w:right="240"/>
        </w:sectPr>
      </w:pPr>
    </w:p>
    <w:p>
      <w:pPr>
        <w:pStyle w:val="BodyText"/>
        <w:rPr>
          <w:sz w:val="20"/>
        </w:rPr>
      </w:pPr>
    </w:p>
    <w:p>
      <w:pPr>
        <w:pStyle w:val="BodyText"/>
        <w:spacing w:before="7"/>
        <w:rPr>
          <w:sz w:val="23"/>
        </w:rPr>
      </w:pPr>
    </w:p>
    <w:p>
      <w:pPr>
        <w:pStyle w:val="BodyText"/>
        <w:spacing w:line="360" w:lineRule="auto" w:before="89"/>
        <w:ind w:left="882" w:right="890"/>
        <w:jc w:val="both"/>
      </w:pPr>
      <w:r>
        <w:rPr/>
        <w:t>cảng biển Antwerp”. Bên cạnh đó lợi thế cạnh tranh của cảng container được đo lường bằng lợi ích khách hàng và sự hài lòng của khách hàng phát hiện này cũng phù hợp với nghiên cứu trước đó của M.E. Porter (1990); Nguyễn Xuân Hiệp (2011).</w:t>
      </w:r>
    </w:p>
    <w:p>
      <w:pPr>
        <w:pStyle w:val="Heading6"/>
        <w:numPr>
          <w:ilvl w:val="2"/>
          <w:numId w:val="29"/>
        </w:numPr>
        <w:tabs>
          <w:tab w:pos="1466" w:val="left" w:leader="none"/>
        </w:tabs>
        <w:spacing w:line="298" w:lineRule="exact" w:before="0" w:after="0"/>
        <w:ind w:left="1465" w:right="0" w:hanging="584"/>
        <w:jc w:val="both"/>
      </w:pPr>
      <w:bookmarkStart w:name="_TOC_250006" w:id="50"/>
      <w:r>
        <w:rPr/>
        <w:t>Kết quả mô hình dự</w:t>
      </w:r>
      <w:r>
        <w:rPr>
          <w:spacing w:val="-1"/>
        </w:rPr>
        <w:t> </w:t>
      </w:r>
      <w:bookmarkEnd w:id="50"/>
      <w:r>
        <w:rPr/>
        <w:t>báo</w:t>
      </w:r>
    </w:p>
    <w:p>
      <w:pPr>
        <w:pStyle w:val="BodyText"/>
        <w:spacing w:line="360" w:lineRule="auto" w:before="150"/>
        <w:ind w:left="882" w:right="888"/>
        <w:jc w:val="both"/>
      </w:pPr>
      <w:r>
        <w:rPr/>
        <w:t>Kết quả dự báo bằng mô hình ARIMA cho thấy tốc độ tăng trưởng sản lượng bình quân thông qua các cảng container tại Việt Nam giai đoạn 2021-2025 bình quân mỗi năm tăng 7,0% tương ứng 1.361.460 Teus, và chi tiết tốc độ tăng bình quân cụm cảng container ở khu vực miền bắc, miền trung và miền nam được trình bày chi tiết trong bảng 5.2 bên</w:t>
      </w:r>
      <w:r>
        <w:rPr>
          <w:spacing w:val="-4"/>
        </w:rPr>
        <w:t> </w:t>
      </w:r>
      <w:r>
        <w:rPr/>
        <w:t>dưới</w:t>
      </w:r>
    </w:p>
    <w:p>
      <w:pPr>
        <w:pStyle w:val="Heading6"/>
        <w:spacing w:line="360" w:lineRule="auto" w:before="2"/>
        <w:ind w:left="3407" w:right="964" w:hanging="2451"/>
      </w:pPr>
      <w:r>
        <w:rPr/>
        <w:t>Bảng 5.2 Thống kê tốc độ tăng trưởng cảng container tại Việt Nam theo mô hình dự báo ARIMA giai đoạn 2021-2025</w:t>
      </w:r>
    </w:p>
    <w:tbl>
      <w:tblPr>
        <w:tblW w:w="0" w:type="auto"/>
        <w:jc w:val="left"/>
        <w:tblInd w:w="77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2234"/>
        <w:gridCol w:w="1277"/>
        <w:gridCol w:w="1416"/>
        <w:gridCol w:w="1419"/>
        <w:gridCol w:w="1395"/>
        <w:gridCol w:w="1440"/>
      </w:tblGrid>
      <w:tr>
        <w:trPr>
          <w:trHeight w:val="448" w:hRule="atLeast"/>
        </w:trPr>
        <w:tc>
          <w:tcPr>
            <w:tcW w:w="2234" w:type="dxa"/>
          </w:tcPr>
          <w:p>
            <w:pPr>
              <w:pStyle w:val="TableParagraph"/>
              <w:ind w:left="87" w:right="80"/>
              <w:jc w:val="center"/>
              <w:rPr>
                <w:b/>
                <w:sz w:val="26"/>
              </w:rPr>
            </w:pPr>
            <w:r>
              <w:rPr>
                <w:b/>
                <w:sz w:val="26"/>
              </w:rPr>
              <w:t>Năm</w:t>
            </w:r>
          </w:p>
        </w:tc>
        <w:tc>
          <w:tcPr>
            <w:tcW w:w="1277" w:type="dxa"/>
          </w:tcPr>
          <w:p>
            <w:pPr>
              <w:pStyle w:val="TableParagraph"/>
              <w:ind w:left="377"/>
              <w:rPr>
                <w:b/>
                <w:sz w:val="26"/>
              </w:rPr>
            </w:pPr>
            <w:r>
              <w:rPr>
                <w:b/>
                <w:sz w:val="26"/>
              </w:rPr>
              <w:t>2021</w:t>
            </w:r>
          </w:p>
        </w:tc>
        <w:tc>
          <w:tcPr>
            <w:tcW w:w="1416" w:type="dxa"/>
          </w:tcPr>
          <w:p>
            <w:pPr>
              <w:pStyle w:val="TableParagraph"/>
              <w:ind w:left="446"/>
              <w:rPr>
                <w:b/>
                <w:sz w:val="26"/>
              </w:rPr>
            </w:pPr>
            <w:r>
              <w:rPr>
                <w:b/>
                <w:sz w:val="26"/>
              </w:rPr>
              <w:t>2022</w:t>
            </w:r>
          </w:p>
        </w:tc>
        <w:tc>
          <w:tcPr>
            <w:tcW w:w="1419" w:type="dxa"/>
          </w:tcPr>
          <w:p>
            <w:pPr>
              <w:pStyle w:val="TableParagraph"/>
              <w:ind w:left="447"/>
              <w:rPr>
                <w:b/>
                <w:sz w:val="26"/>
              </w:rPr>
            </w:pPr>
            <w:r>
              <w:rPr>
                <w:b/>
                <w:sz w:val="26"/>
              </w:rPr>
              <w:t>2023</w:t>
            </w:r>
          </w:p>
        </w:tc>
        <w:tc>
          <w:tcPr>
            <w:tcW w:w="1395" w:type="dxa"/>
          </w:tcPr>
          <w:p>
            <w:pPr>
              <w:pStyle w:val="TableParagraph"/>
              <w:ind w:left="437"/>
              <w:rPr>
                <w:b/>
                <w:sz w:val="26"/>
              </w:rPr>
            </w:pPr>
            <w:r>
              <w:rPr>
                <w:b/>
                <w:sz w:val="26"/>
              </w:rPr>
              <w:t>2024</w:t>
            </w:r>
          </w:p>
        </w:tc>
        <w:tc>
          <w:tcPr>
            <w:tcW w:w="1440" w:type="dxa"/>
          </w:tcPr>
          <w:p>
            <w:pPr>
              <w:pStyle w:val="TableParagraph"/>
              <w:ind w:left="458"/>
              <w:rPr>
                <w:b/>
                <w:sz w:val="26"/>
              </w:rPr>
            </w:pPr>
            <w:r>
              <w:rPr>
                <w:b/>
                <w:sz w:val="26"/>
              </w:rPr>
              <w:t>2025</w:t>
            </w:r>
          </w:p>
        </w:tc>
      </w:tr>
      <w:tr>
        <w:trPr>
          <w:trHeight w:val="448" w:hRule="atLeast"/>
        </w:trPr>
        <w:tc>
          <w:tcPr>
            <w:tcW w:w="9181" w:type="dxa"/>
            <w:gridSpan w:val="6"/>
          </w:tcPr>
          <w:p>
            <w:pPr>
              <w:pStyle w:val="TableParagraph"/>
              <w:ind w:left="2664" w:right="2657"/>
              <w:jc w:val="center"/>
              <w:rPr>
                <w:b/>
                <w:sz w:val="26"/>
              </w:rPr>
            </w:pPr>
            <w:r>
              <w:rPr>
                <w:b/>
                <w:sz w:val="26"/>
              </w:rPr>
              <w:t>CỤM CẢNG MIỀN BẮC</w:t>
            </w:r>
          </w:p>
        </w:tc>
      </w:tr>
      <w:tr>
        <w:trPr>
          <w:trHeight w:val="448" w:hRule="atLeast"/>
        </w:trPr>
        <w:tc>
          <w:tcPr>
            <w:tcW w:w="2234" w:type="dxa"/>
          </w:tcPr>
          <w:p>
            <w:pPr>
              <w:pStyle w:val="TableParagraph"/>
              <w:ind w:left="87" w:right="91"/>
              <w:jc w:val="center"/>
              <w:rPr>
                <w:sz w:val="26"/>
              </w:rPr>
            </w:pPr>
            <w:r>
              <w:rPr>
                <w:sz w:val="26"/>
              </w:rPr>
              <w:t>Tốc độ tăng trưởng</w:t>
            </w:r>
          </w:p>
        </w:tc>
        <w:tc>
          <w:tcPr>
            <w:tcW w:w="1277" w:type="dxa"/>
          </w:tcPr>
          <w:p>
            <w:pPr>
              <w:pStyle w:val="TableParagraph"/>
              <w:ind w:left="108"/>
              <w:rPr>
                <w:sz w:val="26"/>
              </w:rPr>
            </w:pPr>
            <w:r>
              <w:rPr>
                <w:sz w:val="26"/>
              </w:rPr>
              <w:t>4,7%</w:t>
            </w:r>
          </w:p>
        </w:tc>
        <w:tc>
          <w:tcPr>
            <w:tcW w:w="1416" w:type="dxa"/>
          </w:tcPr>
          <w:p>
            <w:pPr>
              <w:pStyle w:val="TableParagraph"/>
              <w:ind w:left="106"/>
              <w:rPr>
                <w:sz w:val="26"/>
              </w:rPr>
            </w:pPr>
            <w:r>
              <w:rPr>
                <w:sz w:val="26"/>
              </w:rPr>
              <w:t>4,5%</w:t>
            </w:r>
          </w:p>
        </w:tc>
        <w:tc>
          <w:tcPr>
            <w:tcW w:w="1419" w:type="dxa"/>
          </w:tcPr>
          <w:p>
            <w:pPr>
              <w:pStyle w:val="TableParagraph"/>
              <w:ind w:left="108"/>
              <w:rPr>
                <w:sz w:val="26"/>
              </w:rPr>
            </w:pPr>
            <w:r>
              <w:rPr>
                <w:sz w:val="26"/>
              </w:rPr>
              <w:t>4,3%</w:t>
            </w:r>
          </w:p>
        </w:tc>
        <w:tc>
          <w:tcPr>
            <w:tcW w:w="1395" w:type="dxa"/>
          </w:tcPr>
          <w:p>
            <w:pPr>
              <w:pStyle w:val="TableParagraph"/>
              <w:ind w:left="108"/>
              <w:rPr>
                <w:sz w:val="26"/>
              </w:rPr>
            </w:pPr>
            <w:r>
              <w:rPr>
                <w:sz w:val="26"/>
              </w:rPr>
              <w:t>4,1%</w:t>
            </w:r>
          </w:p>
        </w:tc>
        <w:tc>
          <w:tcPr>
            <w:tcW w:w="1440" w:type="dxa"/>
          </w:tcPr>
          <w:p>
            <w:pPr>
              <w:pStyle w:val="TableParagraph"/>
              <w:ind w:left="108"/>
              <w:rPr>
                <w:sz w:val="26"/>
              </w:rPr>
            </w:pPr>
            <w:r>
              <w:rPr>
                <w:sz w:val="26"/>
              </w:rPr>
              <w:t>4,0%</w:t>
            </w:r>
          </w:p>
        </w:tc>
      </w:tr>
      <w:tr>
        <w:trPr>
          <w:trHeight w:val="448" w:hRule="atLeast"/>
        </w:trPr>
        <w:tc>
          <w:tcPr>
            <w:tcW w:w="9181" w:type="dxa"/>
            <w:gridSpan w:val="6"/>
          </w:tcPr>
          <w:p>
            <w:pPr>
              <w:pStyle w:val="TableParagraph"/>
              <w:ind w:left="107"/>
              <w:rPr>
                <w:b/>
                <w:sz w:val="26"/>
              </w:rPr>
            </w:pPr>
            <w:r>
              <w:rPr>
                <w:b/>
                <w:sz w:val="26"/>
              </w:rPr>
              <w:t>Tốc độ tăng trưởng bình quân: 4,3% tương ứng 174.747 TEUs</w:t>
            </w:r>
          </w:p>
        </w:tc>
      </w:tr>
      <w:tr>
        <w:trPr>
          <w:trHeight w:val="448" w:hRule="atLeast"/>
        </w:trPr>
        <w:tc>
          <w:tcPr>
            <w:tcW w:w="9181" w:type="dxa"/>
            <w:gridSpan w:val="6"/>
          </w:tcPr>
          <w:p>
            <w:pPr>
              <w:pStyle w:val="TableParagraph"/>
              <w:ind w:left="2664" w:right="2657"/>
              <w:jc w:val="center"/>
              <w:rPr>
                <w:b/>
                <w:sz w:val="26"/>
              </w:rPr>
            </w:pPr>
            <w:r>
              <w:rPr>
                <w:b/>
                <w:sz w:val="26"/>
              </w:rPr>
              <w:t>CỤM CẢNG MIỀN TRUNG</w:t>
            </w:r>
          </w:p>
        </w:tc>
      </w:tr>
      <w:tr>
        <w:trPr>
          <w:trHeight w:val="451" w:hRule="atLeast"/>
        </w:trPr>
        <w:tc>
          <w:tcPr>
            <w:tcW w:w="2234" w:type="dxa"/>
          </w:tcPr>
          <w:p>
            <w:pPr>
              <w:pStyle w:val="TableParagraph"/>
              <w:spacing w:before="1"/>
              <w:ind w:left="87" w:right="91"/>
              <w:jc w:val="center"/>
              <w:rPr>
                <w:sz w:val="26"/>
              </w:rPr>
            </w:pPr>
            <w:r>
              <w:rPr>
                <w:sz w:val="26"/>
              </w:rPr>
              <w:t>Tốc độ tăng trưởng</w:t>
            </w:r>
          </w:p>
        </w:tc>
        <w:tc>
          <w:tcPr>
            <w:tcW w:w="1277" w:type="dxa"/>
          </w:tcPr>
          <w:p>
            <w:pPr>
              <w:pStyle w:val="TableParagraph"/>
              <w:spacing w:before="1"/>
              <w:ind w:left="108"/>
              <w:rPr>
                <w:sz w:val="26"/>
              </w:rPr>
            </w:pPr>
            <w:r>
              <w:rPr>
                <w:sz w:val="26"/>
              </w:rPr>
              <w:t>9,7%</w:t>
            </w:r>
          </w:p>
        </w:tc>
        <w:tc>
          <w:tcPr>
            <w:tcW w:w="1416" w:type="dxa"/>
          </w:tcPr>
          <w:p>
            <w:pPr>
              <w:pStyle w:val="TableParagraph"/>
              <w:spacing w:before="1"/>
              <w:ind w:left="106"/>
              <w:rPr>
                <w:sz w:val="26"/>
              </w:rPr>
            </w:pPr>
            <w:r>
              <w:rPr>
                <w:sz w:val="26"/>
              </w:rPr>
              <w:t>10,2%</w:t>
            </w:r>
          </w:p>
        </w:tc>
        <w:tc>
          <w:tcPr>
            <w:tcW w:w="1419" w:type="dxa"/>
          </w:tcPr>
          <w:p>
            <w:pPr>
              <w:pStyle w:val="TableParagraph"/>
              <w:spacing w:before="1"/>
              <w:ind w:left="108"/>
              <w:rPr>
                <w:sz w:val="26"/>
              </w:rPr>
            </w:pPr>
            <w:r>
              <w:rPr>
                <w:sz w:val="26"/>
              </w:rPr>
              <w:t>9,2%</w:t>
            </w:r>
          </w:p>
        </w:tc>
        <w:tc>
          <w:tcPr>
            <w:tcW w:w="1395" w:type="dxa"/>
          </w:tcPr>
          <w:p>
            <w:pPr>
              <w:pStyle w:val="TableParagraph"/>
              <w:spacing w:before="1"/>
              <w:ind w:left="108"/>
              <w:rPr>
                <w:sz w:val="26"/>
              </w:rPr>
            </w:pPr>
            <w:r>
              <w:rPr>
                <w:sz w:val="26"/>
              </w:rPr>
              <w:t>8,5%</w:t>
            </w:r>
          </w:p>
        </w:tc>
        <w:tc>
          <w:tcPr>
            <w:tcW w:w="1440" w:type="dxa"/>
          </w:tcPr>
          <w:p>
            <w:pPr>
              <w:pStyle w:val="TableParagraph"/>
              <w:spacing w:before="1"/>
              <w:ind w:left="108"/>
              <w:rPr>
                <w:sz w:val="26"/>
              </w:rPr>
            </w:pPr>
            <w:r>
              <w:rPr>
                <w:sz w:val="26"/>
              </w:rPr>
              <w:t>7,8%</w:t>
            </w:r>
          </w:p>
        </w:tc>
      </w:tr>
      <w:tr>
        <w:trPr>
          <w:trHeight w:val="448" w:hRule="atLeast"/>
        </w:trPr>
        <w:tc>
          <w:tcPr>
            <w:tcW w:w="9181" w:type="dxa"/>
            <w:gridSpan w:val="6"/>
          </w:tcPr>
          <w:p>
            <w:pPr>
              <w:pStyle w:val="TableParagraph"/>
              <w:spacing w:line="297" w:lineRule="exact"/>
              <w:ind w:left="107"/>
              <w:rPr>
                <w:b/>
                <w:sz w:val="26"/>
              </w:rPr>
            </w:pPr>
            <w:r>
              <w:rPr>
                <w:b/>
                <w:sz w:val="26"/>
              </w:rPr>
              <w:t>Tốc độ tăng trưởng bình quân: 9,1% tương ứng 83.693 TEUs</w:t>
            </w:r>
          </w:p>
        </w:tc>
      </w:tr>
      <w:tr>
        <w:trPr>
          <w:trHeight w:val="448" w:hRule="atLeast"/>
        </w:trPr>
        <w:tc>
          <w:tcPr>
            <w:tcW w:w="9181" w:type="dxa"/>
            <w:gridSpan w:val="6"/>
          </w:tcPr>
          <w:p>
            <w:pPr>
              <w:pStyle w:val="TableParagraph"/>
              <w:spacing w:line="297" w:lineRule="exact"/>
              <w:ind w:left="2664" w:right="2657"/>
              <w:jc w:val="center"/>
              <w:rPr>
                <w:b/>
                <w:sz w:val="26"/>
              </w:rPr>
            </w:pPr>
            <w:r>
              <w:rPr>
                <w:b/>
                <w:sz w:val="26"/>
              </w:rPr>
              <w:t>CỤM CẢNG MIỀN NAM</w:t>
            </w:r>
          </w:p>
        </w:tc>
      </w:tr>
      <w:tr>
        <w:trPr>
          <w:trHeight w:val="448" w:hRule="atLeast"/>
        </w:trPr>
        <w:tc>
          <w:tcPr>
            <w:tcW w:w="2234" w:type="dxa"/>
          </w:tcPr>
          <w:p>
            <w:pPr>
              <w:pStyle w:val="TableParagraph"/>
              <w:spacing w:line="297" w:lineRule="exact"/>
              <w:ind w:left="87" w:right="91"/>
              <w:jc w:val="center"/>
              <w:rPr>
                <w:sz w:val="26"/>
              </w:rPr>
            </w:pPr>
            <w:r>
              <w:rPr>
                <w:sz w:val="26"/>
              </w:rPr>
              <w:t>Tốc độ tăng trưởng</w:t>
            </w:r>
          </w:p>
        </w:tc>
        <w:tc>
          <w:tcPr>
            <w:tcW w:w="1277" w:type="dxa"/>
          </w:tcPr>
          <w:p>
            <w:pPr>
              <w:pStyle w:val="TableParagraph"/>
              <w:spacing w:line="297" w:lineRule="exact"/>
              <w:ind w:left="108"/>
              <w:rPr>
                <w:sz w:val="26"/>
              </w:rPr>
            </w:pPr>
            <w:r>
              <w:rPr>
                <w:sz w:val="26"/>
              </w:rPr>
              <w:t>8,6%</w:t>
            </w:r>
          </w:p>
        </w:tc>
        <w:tc>
          <w:tcPr>
            <w:tcW w:w="1416" w:type="dxa"/>
          </w:tcPr>
          <w:p>
            <w:pPr>
              <w:pStyle w:val="TableParagraph"/>
              <w:spacing w:line="297" w:lineRule="exact"/>
              <w:ind w:left="106"/>
              <w:rPr>
                <w:sz w:val="26"/>
              </w:rPr>
            </w:pPr>
            <w:r>
              <w:rPr>
                <w:sz w:val="26"/>
              </w:rPr>
              <w:t>7,9%</w:t>
            </w:r>
          </w:p>
        </w:tc>
        <w:tc>
          <w:tcPr>
            <w:tcW w:w="1419" w:type="dxa"/>
          </w:tcPr>
          <w:p>
            <w:pPr>
              <w:pStyle w:val="TableParagraph"/>
              <w:spacing w:line="297" w:lineRule="exact"/>
              <w:ind w:left="108"/>
              <w:rPr>
                <w:sz w:val="26"/>
              </w:rPr>
            </w:pPr>
            <w:r>
              <w:rPr>
                <w:sz w:val="26"/>
              </w:rPr>
              <w:t>7,3%</w:t>
            </w:r>
          </w:p>
        </w:tc>
        <w:tc>
          <w:tcPr>
            <w:tcW w:w="1395" w:type="dxa"/>
          </w:tcPr>
          <w:p>
            <w:pPr>
              <w:pStyle w:val="TableParagraph"/>
              <w:spacing w:line="297" w:lineRule="exact"/>
              <w:ind w:left="108"/>
              <w:rPr>
                <w:sz w:val="26"/>
              </w:rPr>
            </w:pPr>
            <w:r>
              <w:rPr>
                <w:sz w:val="26"/>
              </w:rPr>
              <w:t>6,8%</w:t>
            </w:r>
          </w:p>
        </w:tc>
        <w:tc>
          <w:tcPr>
            <w:tcW w:w="1440" w:type="dxa"/>
          </w:tcPr>
          <w:p>
            <w:pPr>
              <w:pStyle w:val="TableParagraph"/>
              <w:spacing w:line="297" w:lineRule="exact"/>
              <w:ind w:left="108"/>
              <w:rPr>
                <w:sz w:val="26"/>
              </w:rPr>
            </w:pPr>
            <w:r>
              <w:rPr>
                <w:sz w:val="26"/>
              </w:rPr>
              <w:t>6,4%</w:t>
            </w:r>
          </w:p>
        </w:tc>
      </w:tr>
      <w:tr>
        <w:trPr>
          <w:trHeight w:val="448" w:hRule="atLeast"/>
        </w:trPr>
        <w:tc>
          <w:tcPr>
            <w:tcW w:w="9181" w:type="dxa"/>
            <w:gridSpan w:val="6"/>
          </w:tcPr>
          <w:p>
            <w:pPr>
              <w:pStyle w:val="TableParagraph"/>
              <w:spacing w:line="297" w:lineRule="exact"/>
              <w:ind w:left="107"/>
              <w:rPr>
                <w:b/>
                <w:sz w:val="26"/>
              </w:rPr>
            </w:pPr>
            <w:r>
              <w:rPr>
                <w:b/>
                <w:sz w:val="26"/>
              </w:rPr>
              <w:t>Tốc độ tăng trưởng bình quân: 7,4% tương ứng 1.065.435 TEUs</w:t>
            </w:r>
          </w:p>
        </w:tc>
      </w:tr>
      <w:tr>
        <w:trPr>
          <w:trHeight w:val="448" w:hRule="atLeast"/>
        </w:trPr>
        <w:tc>
          <w:tcPr>
            <w:tcW w:w="9181" w:type="dxa"/>
            <w:gridSpan w:val="6"/>
          </w:tcPr>
          <w:p>
            <w:pPr>
              <w:pStyle w:val="TableParagraph"/>
              <w:spacing w:line="297" w:lineRule="exact"/>
              <w:ind w:left="2664" w:right="2660"/>
              <w:jc w:val="center"/>
              <w:rPr>
                <w:b/>
                <w:sz w:val="26"/>
              </w:rPr>
            </w:pPr>
            <w:r>
              <w:rPr>
                <w:b/>
                <w:sz w:val="26"/>
              </w:rPr>
              <w:t>CẢNG CONTAINER VIỆT NAM</w:t>
            </w:r>
          </w:p>
        </w:tc>
      </w:tr>
      <w:tr>
        <w:trPr>
          <w:trHeight w:val="448" w:hRule="atLeast"/>
        </w:trPr>
        <w:tc>
          <w:tcPr>
            <w:tcW w:w="2234" w:type="dxa"/>
          </w:tcPr>
          <w:p>
            <w:pPr>
              <w:pStyle w:val="TableParagraph"/>
              <w:spacing w:line="297" w:lineRule="exact"/>
              <w:ind w:left="87" w:right="91"/>
              <w:jc w:val="center"/>
              <w:rPr>
                <w:sz w:val="26"/>
              </w:rPr>
            </w:pPr>
            <w:r>
              <w:rPr>
                <w:sz w:val="26"/>
              </w:rPr>
              <w:t>Tốc độ tăng trưởng</w:t>
            </w:r>
          </w:p>
        </w:tc>
        <w:tc>
          <w:tcPr>
            <w:tcW w:w="1277" w:type="dxa"/>
          </w:tcPr>
          <w:p>
            <w:pPr>
              <w:pStyle w:val="TableParagraph"/>
              <w:spacing w:line="297" w:lineRule="exact"/>
              <w:ind w:left="108"/>
              <w:rPr>
                <w:sz w:val="26"/>
              </w:rPr>
            </w:pPr>
            <w:r>
              <w:rPr>
                <w:sz w:val="26"/>
              </w:rPr>
              <w:t>8,0%</w:t>
            </w:r>
          </w:p>
        </w:tc>
        <w:tc>
          <w:tcPr>
            <w:tcW w:w="1416" w:type="dxa"/>
          </w:tcPr>
          <w:p>
            <w:pPr>
              <w:pStyle w:val="TableParagraph"/>
              <w:spacing w:line="297" w:lineRule="exact"/>
              <w:ind w:left="106"/>
              <w:rPr>
                <w:sz w:val="26"/>
              </w:rPr>
            </w:pPr>
            <w:r>
              <w:rPr>
                <w:sz w:val="26"/>
              </w:rPr>
              <w:t>7,4%</w:t>
            </w:r>
          </w:p>
        </w:tc>
        <w:tc>
          <w:tcPr>
            <w:tcW w:w="1419" w:type="dxa"/>
          </w:tcPr>
          <w:p>
            <w:pPr>
              <w:pStyle w:val="TableParagraph"/>
              <w:spacing w:line="297" w:lineRule="exact"/>
              <w:ind w:left="108"/>
              <w:rPr>
                <w:sz w:val="26"/>
              </w:rPr>
            </w:pPr>
            <w:r>
              <w:rPr>
                <w:sz w:val="26"/>
              </w:rPr>
              <w:t>6,9%</w:t>
            </w:r>
          </w:p>
        </w:tc>
        <w:tc>
          <w:tcPr>
            <w:tcW w:w="1395" w:type="dxa"/>
          </w:tcPr>
          <w:p>
            <w:pPr>
              <w:pStyle w:val="TableParagraph"/>
              <w:spacing w:line="297" w:lineRule="exact"/>
              <w:ind w:left="108"/>
              <w:rPr>
                <w:sz w:val="26"/>
              </w:rPr>
            </w:pPr>
            <w:r>
              <w:rPr>
                <w:sz w:val="26"/>
              </w:rPr>
              <w:t>6,5%</w:t>
            </w:r>
          </w:p>
        </w:tc>
        <w:tc>
          <w:tcPr>
            <w:tcW w:w="1440" w:type="dxa"/>
          </w:tcPr>
          <w:p>
            <w:pPr>
              <w:pStyle w:val="TableParagraph"/>
              <w:spacing w:line="297" w:lineRule="exact"/>
              <w:ind w:left="108"/>
              <w:rPr>
                <w:sz w:val="26"/>
              </w:rPr>
            </w:pPr>
            <w:r>
              <w:rPr>
                <w:sz w:val="26"/>
              </w:rPr>
              <w:t>6,1%</w:t>
            </w:r>
          </w:p>
        </w:tc>
      </w:tr>
      <w:tr>
        <w:trPr>
          <w:trHeight w:val="446" w:hRule="atLeast"/>
        </w:trPr>
        <w:tc>
          <w:tcPr>
            <w:tcW w:w="9181" w:type="dxa"/>
            <w:gridSpan w:val="6"/>
            <w:tcBorders>
              <w:bottom w:val="single" w:sz="6" w:space="0" w:color="000000"/>
            </w:tcBorders>
          </w:tcPr>
          <w:p>
            <w:pPr>
              <w:pStyle w:val="TableParagraph"/>
              <w:spacing w:line="297" w:lineRule="exact"/>
              <w:ind w:left="107"/>
              <w:rPr>
                <w:b/>
                <w:sz w:val="26"/>
              </w:rPr>
            </w:pPr>
            <w:r>
              <w:rPr>
                <w:b/>
                <w:sz w:val="26"/>
              </w:rPr>
              <w:t>Tốc độ tăng trưởng bình quân: 7,0% tương ứng 1.361.460 TEUs</w:t>
            </w:r>
          </w:p>
        </w:tc>
      </w:tr>
    </w:tbl>
    <w:p>
      <w:pPr>
        <w:spacing w:before="0"/>
        <w:ind w:left="0" w:right="888" w:firstLine="0"/>
        <w:jc w:val="right"/>
        <w:rPr>
          <w:i/>
          <w:sz w:val="26"/>
        </w:rPr>
      </w:pPr>
      <w:r>
        <w:rPr>
          <w:i/>
          <w:sz w:val="26"/>
        </w:rPr>
        <w:t>Nguồn: Tác giả thống kê</w:t>
      </w:r>
    </w:p>
    <w:p>
      <w:pPr>
        <w:pStyle w:val="Heading6"/>
        <w:numPr>
          <w:ilvl w:val="1"/>
          <w:numId w:val="29"/>
        </w:numPr>
        <w:tabs>
          <w:tab w:pos="1271" w:val="left" w:leader="none"/>
        </w:tabs>
        <w:spacing w:line="240" w:lineRule="auto" w:before="150" w:after="0"/>
        <w:ind w:left="1270" w:right="0" w:hanging="389"/>
        <w:jc w:val="both"/>
      </w:pPr>
      <w:bookmarkStart w:name="_TOC_250005" w:id="51"/>
      <w:r>
        <w:rPr/>
        <w:t>Giải pháp nâng cao năng lực cạnh tranh cảng container tại Việt</w:t>
      </w:r>
      <w:r>
        <w:rPr>
          <w:spacing w:val="-9"/>
        </w:rPr>
        <w:t> </w:t>
      </w:r>
      <w:bookmarkEnd w:id="51"/>
      <w:r>
        <w:rPr/>
        <w:t>Nam</w:t>
      </w:r>
    </w:p>
    <w:p>
      <w:pPr>
        <w:pStyle w:val="Heading6"/>
        <w:numPr>
          <w:ilvl w:val="2"/>
          <w:numId w:val="29"/>
        </w:numPr>
        <w:tabs>
          <w:tab w:pos="1466" w:val="left" w:leader="none"/>
        </w:tabs>
        <w:spacing w:line="240" w:lineRule="auto" w:before="149" w:after="0"/>
        <w:ind w:left="1465" w:right="0" w:hanging="584"/>
        <w:jc w:val="both"/>
      </w:pPr>
      <w:bookmarkStart w:name="_TOC_250004" w:id="52"/>
      <w:bookmarkEnd w:id="52"/>
      <w:r>
        <w:rPr/>
        <w:t>Giải pháp tổng thể cho hệ thống cảng container Việt Nam</w:t>
      </w:r>
    </w:p>
    <w:p>
      <w:pPr>
        <w:pStyle w:val="BodyText"/>
        <w:spacing w:line="360" w:lineRule="auto" w:before="148"/>
        <w:ind w:left="882" w:right="888"/>
        <w:jc w:val="both"/>
      </w:pPr>
      <w:r>
        <w:rPr>
          <w:b/>
          <w:i/>
        </w:rPr>
        <w:t>Giải pháp 1: </w:t>
      </w:r>
      <w:r>
        <w:rPr/>
        <w:t>Phát triển cảng container Việt Nam theo hướng tích hợp chiến lược chuỗi cung ứng. Để thực hiện nhóm giải pháp này thì hệ thống cảng container Việt Nam cần triển khai một số giải pháp căng cơ sau đây:</w:t>
      </w:r>
    </w:p>
    <w:p>
      <w:pPr>
        <w:spacing w:after="0" w:line="360" w:lineRule="auto"/>
        <w:jc w:val="both"/>
        <w:sectPr>
          <w:pgSz w:w="11910" w:h="16850"/>
          <w:pgMar w:header="751" w:footer="0" w:top="960" w:bottom="280" w:left="820" w:right="240"/>
        </w:sectPr>
      </w:pPr>
    </w:p>
    <w:p>
      <w:pPr>
        <w:pStyle w:val="BodyText"/>
        <w:rPr>
          <w:sz w:val="20"/>
        </w:rPr>
      </w:pPr>
    </w:p>
    <w:p>
      <w:pPr>
        <w:pStyle w:val="BodyText"/>
        <w:spacing w:before="7"/>
        <w:rPr>
          <w:sz w:val="23"/>
        </w:rPr>
      </w:pPr>
    </w:p>
    <w:p>
      <w:pPr>
        <w:pStyle w:val="BodyText"/>
        <w:spacing w:line="360" w:lineRule="auto" w:before="89"/>
        <w:ind w:left="882" w:right="888"/>
        <w:jc w:val="both"/>
      </w:pPr>
      <w:r>
        <w:rPr/>
        <w:t>+ Tiếp tục hoàn thiện phát triển cơ sở hạ tầng, các điều kiện vật chất, tăng cường khả năng kết nối. Để thành công thì từng khu vực có hệ thống cảng và khu bến container phải xây dựng một cơ cấu vững chắc bao gồm hạ tầng phù hợp, quản lý kết hợp khéo léo với nghiệp vụ marketing và dịch vụ chuyên nghiệp. Kiểm soát đất đai tại tất cả các cảng, không nên áp dụng việc mua thuê đất đối với bên thứ ba, tránh cơ chế độc quyền trong vận hành khai thác cảng container.</w:t>
      </w:r>
    </w:p>
    <w:p>
      <w:pPr>
        <w:pStyle w:val="BodyText"/>
        <w:spacing w:line="360" w:lineRule="auto"/>
        <w:ind w:left="882" w:right="888"/>
        <w:jc w:val="both"/>
      </w:pPr>
      <w:r>
        <w:rPr/>
        <w:t>+ Tích hợp thành lập tập đoàn liên kết cảng container, hải quan và khu thương mại. Sự tích hợp này sẽ tạo thế một cửa, mộ dấu nhằm tăng cường tính hiệu quả. Bên cạnh đó cần phát triển thành các nhà điều hành cảng container xuyên quốc gia. Vì sự phát triển và tham gia của các nhà điều hành toàn cầu trong thị trường khai thác cảng trong vài năm trở lại đây đã đặt ra mối đe doạ lớn đến lợi thế cạnh tranh của hệ thống cảng container Việt Nam</w:t>
      </w:r>
    </w:p>
    <w:p>
      <w:pPr>
        <w:pStyle w:val="BodyText"/>
        <w:spacing w:line="360" w:lineRule="auto"/>
        <w:ind w:left="882" w:right="886"/>
        <w:jc w:val="both"/>
      </w:pPr>
      <w:r>
        <w:rPr/>
        <w:t>+ Thiết lập ban quản lý cảng hay còn gọi là chính quyền cảng chung và từng khu vực riêng có sự tham gia của UBND, Cục Hàng hải, nhà khai thác cảng trên cơ sở đó đề xuất những kế hoạch, quy hoạch phát triển với chính phủ, bộ GTVT cho phù hợp, Bên cạnh đó chính quyền cảng sẽ đưa ra các biện pháp thích hợp để khuyến khích đầu tư và khai thác cảng trong khu vực mình quản lý, tăng lợi ích hài hoà giữa các cảng từ đó tăng năng lực cạnh tranh.</w:t>
      </w:r>
    </w:p>
    <w:p>
      <w:pPr>
        <w:pStyle w:val="BodyText"/>
        <w:spacing w:line="360" w:lineRule="auto"/>
        <w:ind w:left="882" w:right="888"/>
        <w:jc w:val="both"/>
      </w:pPr>
      <w:r>
        <w:rPr>
          <w:b/>
        </w:rPr>
        <w:t>Giải pháp 2: </w:t>
      </w:r>
      <w:r>
        <w:rPr/>
        <w:t>Xây dựng và chuyển đổi các cảng và khu bến xếp dỡ container nằm sâu trong đất liền thành các điểm nút mở rộng của hệ thống cảng container nước sâu. Đây là giải pháp phát triển khả năng kết nối nội địa với hệ thống cảng nước sâu. Giải pháp này vừa tận dụng khả năng tiếp cận của các hãng tàu quốc gia, các tàu có trọng tải lớn vào cảng nước sâu đồng thời tối ưu hoá phương án vận chuyển và thời gian làm hàng, phát triển hệ thống vận tải Logistics nội địa</w:t>
      </w:r>
    </w:p>
    <w:p>
      <w:pPr>
        <w:pStyle w:val="BodyText"/>
        <w:spacing w:line="360" w:lineRule="auto" w:before="2"/>
        <w:ind w:left="882" w:right="890"/>
        <w:jc w:val="both"/>
      </w:pPr>
      <w:r>
        <w:rPr>
          <w:b/>
        </w:rPr>
        <w:t>Giải pháp 3: </w:t>
      </w:r>
      <w:r>
        <w:rPr/>
        <w:t>Tăng cường đầu tư phát triển hệ thống cảng biển container quốc gia. Việc đầu tư và phát triển cảng biển là một vấn đề rất quan trọng đối với nước ta. Do sự thiếu hụt về nhân lực có chuyên môn, nguồn vốn đầu tư và thiếu sự quy hoạch nên các cảng container tại Việt Nam vẫn chưa hoạt động hết công suất. Vì vây, Nhà Nước và các doanh nghiệp cảng cần có bài toán đầu tư và quy hoạch thật hợp</w:t>
      </w:r>
      <w:r>
        <w:rPr>
          <w:spacing w:val="-6"/>
        </w:rPr>
        <w:t> </w:t>
      </w:r>
      <w:r>
        <w:rPr/>
        <w:t>lý.</w:t>
      </w:r>
    </w:p>
    <w:p>
      <w:pPr>
        <w:pStyle w:val="BodyText"/>
        <w:spacing w:line="360" w:lineRule="auto"/>
        <w:ind w:left="882" w:right="888"/>
        <w:jc w:val="both"/>
      </w:pPr>
      <w:r>
        <w:rPr>
          <w:b/>
        </w:rPr>
        <w:t>Về phía Nhà Nước: </w:t>
      </w:r>
      <w:r>
        <w:rPr/>
        <w:t>Phần lớn các cảng container thuộc sở hữu của Nhà Nước. Vì vậy các cảng hoạt động không hiệu quả, các chính sách của nhà nước chưa thực sự minh</w:t>
      </w:r>
    </w:p>
    <w:p>
      <w:pPr>
        <w:spacing w:after="0" w:line="360" w:lineRule="auto"/>
        <w:jc w:val="both"/>
        <w:sectPr>
          <w:pgSz w:w="11910" w:h="16850"/>
          <w:pgMar w:header="751" w:footer="0" w:top="960" w:bottom="280" w:left="820" w:right="240"/>
        </w:sectPr>
      </w:pPr>
    </w:p>
    <w:p>
      <w:pPr>
        <w:pStyle w:val="BodyText"/>
        <w:rPr>
          <w:sz w:val="20"/>
        </w:rPr>
      </w:pPr>
    </w:p>
    <w:p>
      <w:pPr>
        <w:pStyle w:val="BodyText"/>
        <w:spacing w:before="7"/>
        <w:rPr>
          <w:sz w:val="23"/>
        </w:rPr>
      </w:pPr>
    </w:p>
    <w:p>
      <w:pPr>
        <w:pStyle w:val="BodyText"/>
        <w:spacing w:line="360" w:lineRule="auto" w:before="89"/>
        <w:ind w:left="882" w:right="888"/>
        <w:jc w:val="both"/>
      </w:pPr>
      <w:r>
        <w:rPr/>
        <w:t>bạch, cạnh tranh với các cảng thuộc doanh nghiệp tư nhân không lành mạnh. Để việc hoạt động và quản lý các cảng có hiệu quả hơn, ngân sách nhà nước nên giảm cấp vốn đầu tư cho các cảng, tiến hành cổ phần hóa các công ty cảng thuộc sở hữu Nhà Nước (như Tổng công ty Cảng Sài Gòn hiện nay), niêm yết cổ phiếu lên sàn chứng khoán, kêu gọi mọi thành phần dân cư tham gia đầu tư, Nhà nước chỉ nên nắm giữ một phần cổ phần để tiện cho việc quản lý các hoạt động thông quan hàng hóa, thống kê. </w:t>
      </w:r>
      <w:r>
        <w:rPr>
          <w:spacing w:val="-4"/>
        </w:rPr>
        <w:t>Việc</w:t>
      </w:r>
      <w:r>
        <w:rPr>
          <w:spacing w:val="57"/>
        </w:rPr>
        <w:t> </w:t>
      </w:r>
      <w:r>
        <w:rPr/>
        <w:t>tham gia quản lý và sở hữu tư nhân sẽ giúp các doanh nghiệp cảng hoạt động hiệu quả hơn, các đường lối và chính sách minh bạch hơn. Ngân sách nhà nước chỉ nên hỗ trợ các cảng trong việc xây dựng cơ sở hạ tầng giao thông như: các bãi hậu cần, mở rộng các tuyến đường nối thông các cảng với các khu công nghiệp giúp cho việc vận  chuyển hàng từ các kho, các khu công nghiệp đến cảng dễ dàng hơn. Xây dựng và phát triển các khu công nghiệp nằm ngay phía sau cảng nhằm giảm chi phí vận chuyển cho các doanh nghiệp, đảm bảo được nguồn hàng cung ứng đều đặn cho các cảng, tiến hành quy hoạch lại hoặc di dời các cảng hoạt động không hiệu quả hoặc nằm quá sâu trong đất liền. Áp dụng mức giá sàn dịch vụ tại cảng để tránh tình trạng cạnh tranh không lành mạnh tại các cảng. Do tình trạng cung vượt cầu nên các doanh nghiệp cảng thường hạ mức giá, hút hàng về cảng của mình dẫn đến có nhiều cảng hoạt động không hết công suất, thua</w:t>
      </w:r>
      <w:r>
        <w:rPr>
          <w:spacing w:val="-6"/>
        </w:rPr>
        <w:t> </w:t>
      </w:r>
      <w:r>
        <w:rPr/>
        <w:t>lỗ.</w:t>
      </w:r>
    </w:p>
    <w:p>
      <w:pPr>
        <w:pStyle w:val="BodyText"/>
        <w:spacing w:line="360" w:lineRule="auto"/>
        <w:ind w:left="882" w:right="888"/>
        <w:jc w:val="both"/>
      </w:pPr>
      <w:r>
        <w:rPr>
          <w:b/>
        </w:rPr>
        <w:t>Về phía các doanh nghiệp quản lý và khai thác cảng: </w:t>
      </w:r>
      <w:r>
        <w:rPr/>
        <w:t>Mặc dù việc đầu tư vào các cảng đòi hỏi nguồn vốn rất lớn, thời gian thu hồi vốn chậm nhưng lợi nhuận mang lại là khổng lồ. Vì vậy các doanh nghiệp cảng nên kêu gọi đầu tư từ các tổ chức nước ngoài, các định chế tài chính trong và ngoài nước (ngân hàng, công ty bảo hiểm, các tổ chức tài chính…), các doanh nghiệp trong nền kinh tế, … để tăng nguồn vốn hoạt động. Đầu tư vào hệ thống các phần mềm quản lý khai thác cảng, giám sát container, các ra-da kiểm soát các tàu ra vào (như phần mềm quản lý container– TOPOVN được Tổng công ty Tân Cảng Sài Gòn áp dụng tại Tân Cảng Cát Lái), cầu cảng, xe cẩu, xà lan kéo… giúp cảng hoạt động hiệu quả hơn. Kêu gọi đầu tư, chủ động liên kết hợp tác với các doanh nghiệp có khối lượng hàng xuất khẩu ra nước ngoài lớn, các doanh nghiệp lân cận khu vực cảng. Hợp tác với các công ty chuyên về Logistics, dịch vụ  hậu cần để phục vụ nhu cầu của khách hàng. Chủ động liên hệ với các hãng tàu, các công</w:t>
      </w:r>
      <w:r>
        <w:rPr>
          <w:spacing w:val="14"/>
        </w:rPr>
        <w:t> </w:t>
      </w:r>
      <w:r>
        <w:rPr/>
        <w:t>ty</w:t>
      </w:r>
      <w:r>
        <w:rPr>
          <w:spacing w:val="15"/>
        </w:rPr>
        <w:t> </w:t>
      </w:r>
      <w:r>
        <w:rPr/>
        <w:t>giao</w:t>
      </w:r>
      <w:r>
        <w:rPr>
          <w:spacing w:val="15"/>
        </w:rPr>
        <w:t> </w:t>
      </w:r>
      <w:r>
        <w:rPr/>
        <w:t>nhận</w:t>
      </w:r>
      <w:r>
        <w:rPr>
          <w:spacing w:val="15"/>
        </w:rPr>
        <w:t> </w:t>
      </w:r>
      <w:r>
        <w:rPr/>
        <w:t>để</w:t>
      </w:r>
      <w:r>
        <w:rPr>
          <w:spacing w:val="16"/>
        </w:rPr>
        <w:t> </w:t>
      </w:r>
      <w:r>
        <w:rPr/>
        <w:t>đảm</w:t>
      </w:r>
      <w:r>
        <w:rPr>
          <w:spacing w:val="15"/>
        </w:rPr>
        <w:t> </w:t>
      </w:r>
      <w:r>
        <w:rPr/>
        <w:t>bảo</w:t>
      </w:r>
      <w:r>
        <w:rPr>
          <w:spacing w:val="15"/>
        </w:rPr>
        <w:t> </w:t>
      </w:r>
      <w:r>
        <w:rPr/>
        <w:t>có</w:t>
      </w:r>
      <w:r>
        <w:rPr>
          <w:spacing w:val="14"/>
        </w:rPr>
        <w:t> </w:t>
      </w:r>
      <w:r>
        <w:rPr/>
        <w:t>được</w:t>
      </w:r>
      <w:r>
        <w:rPr>
          <w:spacing w:val="15"/>
        </w:rPr>
        <w:t> </w:t>
      </w:r>
      <w:r>
        <w:rPr/>
        <w:t>nguồn</w:t>
      </w:r>
      <w:r>
        <w:rPr>
          <w:spacing w:val="17"/>
        </w:rPr>
        <w:t> </w:t>
      </w:r>
      <w:r>
        <w:rPr/>
        <w:t>hàng</w:t>
      </w:r>
      <w:r>
        <w:rPr>
          <w:spacing w:val="15"/>
        </w:rPr>
        <w:t> </w:t>
      </w:r>
      <w:r>
        <w:rPr/>
        <w:t>liên</w:t>
      </w:r>
      <w:r>
        <w:rPr>
          <w:spacing w:val="15"/>
        </w:rPr>
        <w:t> </w:t>
      </w:r>
      <w:r>
        <w:rPr/>
        <w:t>tục.</w:t>
      </w:r>
      <w:r>
        <w:rPr>
          <w:spacing w:val="15"/>
        </w:rPr>
        <w:t> </w:t>
      </w:r>
      <w:r>
        <w:rPr/>
        <w:t>Kết</w:t>
      </w:r>
      <w:r>
        <w:rPr>
          <w:spacing w:val="15"/>
        </w:rPr>
        <w:t> </w:t>
      </w:r>
      <w:r>
        <w:rPr/>
        <w:t>hợp</w:t>
      </w:r>
      <w:r>
        <w:rPr>
          <w:spacing w:val="16"/>
        </w:rPr>
        <w:t> </w:t>
      </w:r>
      <w:r>
        <w:rPr/>
        <w:t>với</w:t>
      </w:r>
      <w:r>
        <w:rPr>
          <w:spacing w:val="15"/>
        </w:rPr>
        <w:t> </w:t>
      </w:r>
      <w:r>
        <w:rPr/>
        <w:t>nguồn</w:t>
      </w:r>
      <w:r>
        <w:rPr>
          <w:spacing w:val="15"/>
        </w:rPr>
        <w:t> </w:t>
      </w:r>
      <w:r>
        <w:rPr/>
        <w:t>ngân</w:t>
      </w:r>
    </w:p>
    <w:p>
      <w:pPr>
        <w:spacing w:after="0" w:line="360" w:lineRule="auto"/>
        <w:jc w:val="both"/>
        <w:sectPr>
          <w:pgSz w:w="11910" w:h="16850"/>
          <w:pgMar w:header="751" w:footer="0" w:top="960" w:bottom="280" w:left="820" w:right="240"/>
        </w:sectPr>
      </w:pPr>
    </w:p>
    <w:p>
      <w:pPr>
        <w:pStyle w:val="BodyText"/>
        <w:rPr>
          <w:sz w:val="20"/>
        </w:rPr>
      </w:pPr>
    </w:p>
    <w:p>
      <w:pPr>
        <w:pStyle w:val="BodyText"/>
        <w:spacing w:before="7"/>
        <w:rPr>
          <w:sz w:val="23"/>
        </w:rPr>
      </w:pPr>
    </w:p>
    <w:p>
      <w:pPr>
        <w:pStyle w:val="BodyText"/>
        <w:spacing w:line="360" w:lineRule="auto" w:before="89"/>
        <w:ind w:left="882" w:right="888"/>
        <w:jc w:val="both"/>
      </w:pPr>
      <w:r>
        <w:rPr/>
        <w:t>sách của nhà nước, cũng như các nguồn vốn ODA tiến hành nạo vét các sông, rạch giúp các tàu có công suất lớn ra vào các cảng dễ dàng. Các doanh nghiệp cảng cần có mối liên kết với nhau, hỗ trợ nhau cùng phát triển, xây dựng các chính sách giá cả, lệ phí hợp lý. Hợp tác với các hãng tàu, các cảng lớn ở nước ngoài như Singapore, Hồng Kông, Hàn Quốc…để hỗ trợ làm nơi trung chuyển.</w:t>
      </w:r>
    </w:p>
    <w:p>
      <w:pPr>
        <w:pStyle w:val="Heading6"/>
        <w:numPr>
          <w:ilvl w:val="2"/>
          <w:numId w:val="29"/>
        </w:numPr>
        <w:tabs>
          <w:tab w:pos="1477" w:val="left" w:leader="none"/>
        </w:tabs>
        <w:spacing w:line="360" w:lineRule="auto" w:before="0" w:after="0"/>
        <w:ind w:left="882" w:right="888" w:firstLine="0"/>
        <w:jc w:val="both"/>
      </w:pPr>
      <w:r>
        <w:rPr/>
        <w:t>Giải pháp chi tiết để nâng cao năng lực cạnh tranh cho cảng container Việt Nam</w:t>
      </w:r>
    </w:p>
    <w:p>
      <w:pPr>
        <w:pStyle w:val="Heading7"/>
        <w:spacing w:line="360" w:lineRule="auto"/>
        <w:ind w:right="891"/>
      </w:pPr>
      <w:r>
        <w:rPr>
          <w:i/>
        </w:rPr>
        <w:t>Giải pháp 1: Lựa chọn vị trí để đầu tư xây dựng, kinh doanh, khai thác cảng </w:t>
      </w:r>
      <w:r>
        <w:rPr/>
        <w:t>container nhằm đạt được hiệu quả khai thác, nâng cao lợi thế cạnh tranh.</w:t>
      </w:r>
    </w:p>
    <w:p>
      <w:pPr>
        <w:pStyle w:val="BodyText"/>
        <w:spacing w:line="360" w:lineRule="auto" w:before="1"/>
        <w:ind w:left="882" w:right="888" w:firstLine="719"/>
        <w:jc w:val="both"/>
      </w:pPr>
      <w:r>
        <w:rPr/>
        <w:t>Khái niệm này có trọng số tương ứng là </w:t>
      </w:r>
      <w:r>
        <w:rPr>
          <w:b/>
        </w:rPr>
        <w:t>0.242 </w:t>
      </w:r>
      <w:r>
        <w:rPr/>
        <w:t>điều này có ý nghĩa là một cảng container có vị trị tốt là điều kiện nâng cao lợi thế cạnh tranh. Thực trạng hiện nay ở Việt Nam là rất nhiều cảng khi tính toán xây dựng. kinh doanh khai thác thiếu sự hoạch định về vị trí vì vậy thường xảy ra hiện tượng cảng nằm chờ hàng hoặc xây dựng xong rồi bỏ hoang phế ví dụ khu vực Vịnh Vân Phong hay một số cảng nước sâu tại Thị Vải – Cái Mép...vì vậy hàm ý nghiên cứu của tác giả đối với các nhà quản trị khai thác cảng container là hãy quan tâm chú ý nhiều hơn nữa vị trí cảng container trong đầu tư xây dựng. kinh doanh và khai thác để nâng cao lợi thế cạnh tranh. Dựa vào các trọng số của kết quả nghiên cứu cụ thể như</w:t>
      </w:r>
      <w:r>
        <w:rPr>
          <w:spacing w:val="-4"/>
        </w:rPr>
        <w:t> </w:t>
      </w:r>
      <w:r>
        <w:rPr/>
        <w:t>sau:</w:t>
      </w:r>
    </w:p>
    <w:p>
      <w:pPr>
        <w:pStyle w:val="BodyText"/>
        <w:spacing w:line="360" w:lineRule="auto"/>
        <w:ind w:left="882" w:right="886" w:firstLine="719"/>
        <w:jc w:val="both"/>
      </w:pPr>
      <w:r>
        <w:rPr>
          <w:b/>
          <w:i/>
        </w:rPr>
        <w:t>Thứ nhất</w:t>
      </w:r>
      <w:r>
        <w:rPr/>
        <w:t>, xây dựng đầu tư kinh doanh khai thác cảng container phải ưu tiên đến cảng phải nằm gần các khu công nghiệp khu chế xuất (VT3) vì rõ ràng đây là nơi có thể nói tập trung rất nhiều hàng hóa xuất nhập khẩu. Các doanh nghiệp xuất nhập khẩu để giảm chi phí Logistics họ phải buộc chọn các cảng gần để gửi hàng và từ đó kéo theo tập trung của các Hãng tàu vì các Hãng tàu mong muốn nhiều khách hàng và để nâng cao chất lượng dịch vụ khách hàng nên họ sẽ chọn các cảng container để đưa tàu về nơi đó tập trung nhiều khách</w:t>
      </w:r>
      <w:r>
        <w:rPr>
          <w:spacing w:val="-2"/>
        </w:rPr>
        <w:t> </w:t>
      </w:r>
      <w:r>
        <w:rPr/>
        <w:t>hàng.</w:t>
      </w:r>
    </w:p>
    <w:p>
      <w:pPr>
        <w:pStyle w:val="BodyText"/>
        <w:spacing w:line="360" w:lineRule="auto"/>
        <w:ind w:left="882" w:right="886" w:firstLine="719"/>
        <w:jc w:val="both"/>
      </w:pPr>
      <w:r>
        <w:rPr>
          <w:b/>
          <w:i/>
        </w:rPr>
        <w:t>Thứ hai</w:t>
      </w:r>
      <w:r>
        <w:rPr/>
        <w:t>, vị trí cảng phải có các tuyến đường liên kết liên hợp đến cảng phù hợp cho vận tải lượng hàng lớn (VT5). Một cảng container hoạt động hiệu quả khai thác thì không thể thiếu được sự liên kết của các tuyến đường đến cảng phù hợp cho vận tải lượng hàng lớn. Trong bối cảnh hiện nay các doanh nghiệp vận tải muốn giảm chi phí nên họ đưa vào khai thác các tàu container có sức chở lớn vì vậy các cảng container nào mà các tuyến đường liên kết đến cảng kém và không phù hợp với lượng hàng lớn</w:t>
      </w:r>
    </w:p>
    <w:p>
      <w:pPr>
        <w:spacing w:after="0" w:line="360" w:lineRule="auto"/>
        <w:jc w:val="both"/>
        <w:sectPr>
          <w:pgSz w:w="11910" w:h="16850"/>
          <w:pgMar w:header="751" w:footer="0" w:top="960" w:bottom="280" w:left="820" w:right="240"/>
        </w:sectPr>
      </w:pPr>
    </w:p>
    <w:p>
      <w:pPr>
        <w:pStyle w:val="BodyText"/>
        <w:rPr>
          <w:sz w:val="20"/>
        </w:rPr>
      </w:pPr>
    </w:p>
    <w:p>
      <w:pPr>
        <w:pStyle w:val="BodyText"/>
        <w:spacing w:before="7"/>
        <w:rPr>
          <w:sz w:val="23"/>
        </w:rPr>
      </w:pPr>
    </w:p>
    <w:p>
      <w:pPr>
        <w:pStyle w:val="BodyText"/>
        <w:spacing w:line="360" w:lineRule="auto" w:before="89"/>
        <w:ind w:left="882" w:right="891"/>
        <w:jc w:val="both"/>
      </w:pPr>
      <w:r>
        <w:rPr/>
        <w:t>sẽ không là sự lựa chọn của các hãng tàu. Vì vậy khi đầu tư xây dựng kinh doanh khai thác cảng các nhà kinh doanh phải lưu ý đến sự liên kết liên hợp của các tuyến đường đủ để vận tải lượng hàng lớn…</w:t>
      </w:r>
    </w:p>
    <w:p>
      <w:pPr>
        <w:pStyle w:val="BodyText"/>
        <w:spacing w:line="360" w:lineRule="auto"/>
        <w:ind w:left="882" w:right="891" w:firstLine="719"/>
        <w:jc w:val="both"/>
      </w:pPr>
      <w:r>
        <w:rPr>
          <w:b/>
          <w:i/>
        </w:rPr>
        <w:t>Thứ ba</w:t>
      </w:r>
      <w:r>
        <w:rPr/>
        <w:t>, cảng gần các trung tâm thương mại (VT9). Một cảng container khai thác hiệu quả thì không thể nào nằm quá xa các trung tâm thương mại, vì miền hậu phương của một cảng container là đẩy hàng hóa lưu thông đến các khu chế xuất, khu công nghiệp và trung tâm thương mại. Lựa chọn đầu tư xây dựng, kinh doanh khai thác cảng gần trung tâm thương mại sẽ là một ưu thế để tăng hiệu quả khai thác cảng và nâng cao lợi thế cạnh</w:t>
      </w:r>
      <w:r>
        <w:rPr>
          <w:spacing w:val="-1"/>
        </w:rPr>
        <w:t> </w:t>
      </w:r>
      <w:r>
        <w:rPr/>
        <w:t>tranh.</w:t>
      </w:r>
    </w:p>
    <w:p>
      <w:pPr>
        <w:pStyle w:val="BodyText"/>
        <w:spacing w:line="360" w:lineRule="auto" w:before="1"/>
        <w:ind w:left="882" w:right="888" w:firstLine="719"/>
        <w:jc w:val="both"/>
      </w:pPr>
      <w:r>
        <w:rPr>
          <w:b/>
          <w:i/>
        </w:rPr>
        <w:t>Thứ tư</w:t>
      </w:r>
      <w:r>
        <w:rPr/>
        <w:t>, khoảng cách luồng ngắn (VT2). luồng ở đây được hiểu là khoảng cách từ phao số 0 đến cảng container, nếu một cảng container nằm quá sâu trong luồng sẽ ảnh hưởng đến chi phí khai thác vận hành của các hãng tàu và khả năng chi phí nạo vét luồng hàng năm vì vậy khi đầu tư xây dựng cảng để đạt được hiệu quả trong khai thác thì lựa chọn vị trí cảng ở những nơi có khoảng cách luồng ngắn.</w:t>
      </w:r>
    </w:p>
    <w:p>
      <w:pPr>
        <w:pStyle w:val="BodyText"/>
        <w:spacing w:line="360" w:lineRule="auto"/>
        <w:ind w:left="882" w:right="888" w:firstLine="719"/>
        <w:jc w:val="both"/>
      </w:pPr>
      <w:r>
        <w:rPr>
          <w:b/>
          <w:i/>
        </w:rPr>
        <w:t>Thứ năm</w:t>
      </w:r>
      <w:r>
        <w:rPr/>
        <w:t>, cảng gần các cảng liên kết khác bao gồm các Depot (VT6), một cảng container hoạt động mà thiếu liên kết các vệ tinh thì sẽ làm giảm hiệu quả khai thác, vì các vệ tinh của cảng sẽ là một cánh tay đắc lực để giảm ùn tắc. tăng năng suất cho cảng và làm tăng hiệu quả khai thác. Vì thế vị trí cảng sẽ mang tính chiến lược nếu xung quanh có hệ thống vệ tinh bao gồm các cảng liên kết. các Depot vì vậy các nhà quản lý cảng lưu ý khi lựa chọn vị trí đầu tư xây dựng. kinh doanh khai thác cảng container thì phải chú trọng đến các vệ</w:t>
      </w:r>
      <w:r>
        <w:rPr>
          <w:spacing w:val="-6"/>
        </w:rPr>
        <w:t> </w:t>
      </w:r>
      <w:r>
        <w:rPr/>
        <w:t>tinh.</w:t>
      </w:r>
    </w:p>
    <w:p>
      <w:pPr>
        <w:pStyle w:val="BodyText"/>
        <w:spacing w:line="360" w:lineRule="auto"/>
        <w:ind w:left="882" w:right="888" w:firstLine="719"/>
        <w:jc w:val="both"/>
      </w:pPr>
      <w:r>
        <w:rPr>
          <w:b/>
          <w:i/>
        </w:rPr>
        <w:t>Cuối cùng, </w:t>
      </w:r>
      <w:r>
        <w:rPr/>
        <w:t>vị trí địa lý thuận lợi (VT7), một cảng container mà có vị trí địa lý tự nhiên thuận lợi đương nhiên sẽ là một lợi thế rất lớn trong lợi thế cạnh tranh. vì vấn đề này liên quan đến chi phí đầu tư ban đầu của</w:t>
      </w:r>
      <w:r>
        <w:rPr>
          <w:spacing w:val="-7"/>
        </w:rPr>
        <w:t> </w:t>
      </w:r>
      <w:r>
        <w:rPr/>
        <w:t>cảng</w:t>
      </w:r>
    </w:p>
    <w:p>
      <w:pPr>
        <w:pStyle w:val="Heading7"/>
        <w:spacing w:line="357" w:lineRule="auto" w:before="1"/>
        <w:ind w:right="891"/>
      </w:pPr>
      <w:r>
        <w:rPr>
          <w:i/>
        </w:rPr>
        <w:t>Giải pháp 2: Xây dựng các chính sách để tăng độ tin cậy của cảng nhằm nâng cao </w:t>
      </w:r>
      <w:r>
        <w:rPr/>
        <w:t>lợi thế cạnh tranh.</w:t>
      </w:r>
    </w:p>
    <w:p>
      <w:pPr>
        <w:pStyle w:val="BodyText"/>
        <w:spacing w:line="360" w:lineRule="auto" w:before="4"/>
        <w:ind w:left="882" w:right="889" w:firstLine="719"/>
        <w:jc w:val="both"/>
      </w:pPr>
      <w:r>
        <w:rPr/>
        <w:t>Với trọng số </w:t>
      </w:r>
      <w:r>
        <w:rPr>
          <w:b/>
        </w:rPr>
        <w:t>0,360 </w:t>
      </w:r>
      <w:r>
        <w:rPr/>
        <w:t>hàm ý của tác giả đối với các nhà quản lý khai thác cảng là nên xây dựng các chính sách để tăng độ tin cậy của cảng nhằm nâng cao lợi thế cạnh tranh cảng container. Cụ thể dựa vào các trọng số trong kết quả nghiên cứu như sau:</w:t>
      </w:r>
    </w:p>
    <w:p>
      <w:pPr>
        <w:pStyle w:val="BodyText"/>
        <w:spacing w:line="360" w:lineRule="auto" w:before="1"/>
        <w:ind w:left="882" w:right="886" w:firstLine="719"/>
        <w:jc w:val="both"/>
      </w:pPr>
      <w:r>
        <w:rPr>
          <w:b/>
          <w:i/>
        </w:rPr>
        <w:t>Thứ nhất</w:t>
      </w:r>
      <w:r>
        <w:rPr/>
        <w:t>, cần xây dựng các chính sách và quyết liệt để tăng khả năng đáp ứng nhanh của cảng (TC1) để tạo được sự tin cậy của khách hàng bên cạnh các hoạt động</w:t>
      </w:r>
    </w:p>
    <w:p>
      <w:pPr>
        <w:spacing w:after="0" w:line="360" w:lineRule="auto"/>
        <w:jc w:val="both"/>
        <w:sectPr>
          <w:pgSz w:w="11910" w:h="16850"/>
          <w:pgMar w:header="751" w:footer="0" w:top="960" w:bottom="280" w:left="820" w:right="240"/>
        </w:sectPr>
      </w:pPr>
    </w:p>
    <w:p>
      <w:pPr>
        <w:pStyle w:val="BodyText"/>
        <w:rPr>
          <w:sz w:val="20"/>
        </w:rPr>
      </w:pPr>
    </w:p>
    <w:p>
      <w:pPr>
        <w:pStyle w:val="BodyText"/>
        <w:spacing w:before="7"/>
        <w:rPr>
          <w:sz w:val="23"/>
        </w:rPr>
      </w:pPr>
    </w:p>
    <w:p>
      <w:pPr>
        <w:pStyle w:val="BodyText"/>
        <w:spacing w:line="360" w:lineRule="auto" w:before="89"/>
        <w:ind w:left="882" w:right="888"/>
        <w:jc w:val="both"/>
      </w:pPr>
      <w:r>
        <w:rPr/>
        <w:t>quảng cáo, marketing, chính sách hợp tác, liên doanh liên kết để tạo vị thế, tên tuổi, thương hiệu có sự chú ý của khách hàng. Bến bãi container của một cảng được khách hàng đánh giá tin cậy trong khai thác, quản lý sẽ là động lực để nâng cao lợi thế cạnh tranh.</w:t>
      </w:r>
    </w:p>
    <w:p>
      <w:pPr>
        <w:pStyle w:val="BodyText"/>
        <w:spacing w:line="360" w:lineRule="auto"/>
        <w:ind w:left="882" w:right="888" w:firstLine="719"/>
        <w:jc w:val="both"/>
      </w:pPr>
      <w:r>
        <w:rPr>
          <w:b/>
          <w:i/>
        </w:rPr>
        <w:t>Thứ hai</w:t>
      </w:r>
      <w:r>
        <w:rPr/>
        <w:t>, các nhà quản lý khai thác cảng không ngừng nâng cao uy tính cảng về thiệt hại hàng hoá (TC2) nhằm nâng cao chất lượng dịch vụ Logistics cảng, cung cấp nhiều dịch vụ Logistics cảng, cần có các biện pháp, chính sách tạo độ tin cậy về hàng hoá cho khách hàng từ đó mang đến sự hài lòng khách hàng cảng, tăng lợi thế cạnh tranh.</w:t>
      </w:r>
    </w:p>
    <w:p>
      <w:pPr>
        <w:pStyle w:val="BodyText"/>
        <w:spacing w:line="360" w:lineRule="auto" w:before="1"/>
        <w:ind w:left="882" w:right="891" w:firstLine="719"/>
        <w:jc w:val="both"/>
      </w:pPr>
      <w:r>
        <w:rPr>
          <w:b/>
          <w:i/>
        </w:rPr>
        <w:t>Thứ ba</w:t>
      </w:r>
      <w:r>
        <w:rPr/>
        <w:t>. khách hàng có thể được xem là yếu tố quan trọng nhất đối với các doanh nghiệp kinh doanh dịch vụ và kinh doanh dịch vụ cảng biển cũng không ngoài nguyên tắc đó vì vậy để đạt được hiệu quả trong kinh doanh và nâng cao lợi thế cạnh tranh thì các nhà quản lý cảng phải có những chính sách, quyết định để cảng năng tin cậy trong việc trao đổi thông tin với khách hàng (TC3). Cảng có trao đổi thì mới nắm bắt tốt thông tin với khách hàng từ đó mà hiểu được tâm tư nguyện vọng, yêu cầu của khách hàng nhanh chóng (TC4) từ đó mới vạch định các chính sách đúng đắn làm tăng hiệu quả khai thác cảng cũng như nâng cao lợi thế cạnh tranh.</w:t>
      </w:r>
    </w:p>
    <w:p>
      <w:pPr>
        <w:pStyle w:val="Heading7"/>
        <w:spacing w:line="357" w:lineRule="auto" w:before="1"/>
        <w:ind w:right="891"/>
      </w:pPr>
      <w:r>
        <w:rPr>
          <w:i/>
        </w:rPr>
        <w:t>Giải pháp 3: Có chính sách đầu tư xây dựng, mở rộng đẩy mạnh khả năng kết nối </w:t>
      </w:r>
      <w:r>
        <w:rPr/>
        <w:t>nội địa của cảng.</w:t>
      </w:r>
    </w:p>
    <w:p>
      <w:pPr>
        <w:pStyle w:val="BodyText"/>
        <w:spacing w:line="360" w:lineRule="auto" w:before="4"/>
        <w:ind w:left="882" w:right="891" w:firstLine="719"/>
        <w:jc w:val="both"/>
      </w:pPr>
      <w:r>
        <w:rPr/>
        <w:t>Hoạt động khai thác cảng container bao gồm miền tiền phương và miền hậu phương, khả năng kết nối nội địa của cảng thuộc miền hậu phương. Một cảng container muốn phát triển bền vững và hiệu quả thì phải phát triển đồng thời miền tiền phương và hậu phương vì vậy ngoài các chính sách dành cho miền tiền phương thì các nhà quản lý cảng cần phải đặc biệt chú ý phát triển mở rộng miền hậu phương cụ thể là tăng khả năng kết nối nội địa của cảng. Với trọng số 0,151 trong mô hình tác giả hàm ý nghiên cứu đối với nhà quản lý như</w:t>
      </w:r>
      <w:r>
        <w:rPr>
          <w:spacing w:val="-3"/>
        </w:rPr>
        <w:t> </w:t>
      </w:r>
      <w:r>
        <w:rPr/>
        <w:t>sau:</w:t>
      </w:r>
    </w:p>
    <w:p>
      <w:pPr>
        <w:pStyle w:val="BodyText"/>
        <w:spacing w:line="360" w:lineRule="auto"/>
        <w:ind w:left="882" w:right="888" w:firstLine="719"/>
        <w:jc w:val="both"/>
      </w:pPr>
      <w:r>
        <w:rPr>
          <w:b/>
          <w:i/>
        </w:rPr>
        <w:t>Thứ nhất</w:t>
      </w:r>
      <w:r>
        <w:rPr/>
        <w:t>, các nhà quản lý cần có các kế hoạch chính sách để tăng khả năng kết nối của cảng với các mạng lưới Logistics nội địa (ND3), một cảng container nếu tăng cường khả năng kết nối nội địa các mạng lưới Logistics thì sẽ góp phần làm thông thoáng tuyến hậu phương, từ đó giải phóng tốt tuyến tiền phương làm tăng năng suất,</w:t>
      </w:r>
    </w:p>
    <w:p>
      <w:pPr>
        <w:spacing w:after="0" w:line="360" w:lineRule="auto"/>
        <w:jc w:val="both"/>
        <w:sectPr>
          <w:pgSz w:w="11910" w:h="16850"/>
          <w:pgMar w:header="751" w:footer="0" w:top="960" w:bottom="280" w:left="820" w:right="240"/>
        </w:sectPr>
      </w:pPr>
    </w:p>
    <w:p>
      <w:pPr>
        <w:pStyle w:val="BodyText"/>
        <w:rPr>
          <w:sz w:val="20"/>
        </w:rPr>
      </w:pPr>
    </w:p>
    <w:p>
      <w:pPr>
        <w:pStyle w:val="BodyText"/>
        <w:spacing w:before="7"/>
        <w:rPr>
          <w:sz w:val="23"/>
        </w:rPr>
      </w:pPr>
    </w:p>
    <w:p>
      <w:pPr>
        <w:pStyle w:val="BodyText"/>
        <w:spacing w:line="360" w:lineRule="auto" w:before="89"/>
        <w:ind w:left="882" w:right="891"/>
        <w:jc w:val="both"/>
      </w:pPr>
      <w:r>
        <w:rPr/>
        <w:t>hiệu suất của cảng cũng như hoạt động khai thác của cảng như tăng sản lượng TEU thông qua cảng và sẽ làm tăng lợi thế cạnh tranh.</w:t>
      </w:r>
    </w:p>
    <w:p>
      <w:pPr>
        <w:pStyle w:val="BodyText"/>
        <w:spacing w:line="360" w:lineRule="auto"/>
        <w:ind w:left="882" w:right="888" w:firstLine="719"/>
        <w:jc w:val="both"/>
      </w:pPr>
      <w:r>
        <w:rPr>
          <w:b/>
          <w:i/>
        </w:rPr>
        <w:t>Thứ hai</w:t>
      </w:r>
      <w:r>
        <w:rPr/>
        <w:t>, khi thực hiện dự án đầu tư xây dựng khai thác kinh doanh cảng container các nhà quản lý cảng nên xem xét lợi thế vận tải của các công ty Logistics trong khu vực (ND4). Bởi vì đây sẽ là điều kiện giúp thông thoáng miền hậu phương của cảng từ đó giúp cảng container tăng năng suất, hiệu suất và sẽ dẫn đến tăng lợi thế cạnh tranh.</w:t>
      </w:r>
    </w:p>
    <w:p>
      <w:pPr>
        <w:pStyle w:val="BodyText"/>
        <w:spacing w:line="360" w:lineRule="auto"/>
        <w:ind w:left="882" w:right="888" w:firstLine="719"/>
        <w:jc w:val="both"/>
      </w:pPr>
      <w:r>
        <w:rPr>
          <w:b/>
          <w:i/>
        </w:rPr>
        <w:t>Thứ ba</w:t>
      </w:r>
      <w:r>
        <w:rPr/>
        <w:t>, các nhà quản lý khai thác kinh doanh dịch vụ cảng container khi lựa chọn đầu tư xây dựng kinh doanh cảng cần quan tâm đến khả năng kết nối mạng lưới đường sông và đường bộ vào các bãi container lớn (ND5), đặc thù hiện tại ở Việt Nam chỉ phát triển hai mạng lưới vận tải hàng hóa nội địa linh hoạt chính là đường sông và đường bộ vì vậy nếu một cảng có vị thế nằm ở khu vực kết nối vận tải nội địa tốt sẽ giúp hàng hóa đi và đến cảng thuận lợi từ đó sẽ làm tăng lợi thế cạnh tranh.</w:t>
      </w:r>
    </w:p>
    <w:p>
      <w:pPr>
        <w:pStyle w:val="BodyText"/>
        <w:spacing w:line="360" w:lineRule="auto"/>
        <w:ind w:left="882" w:right="888" w:firstLine="719"/>
        <w:jc w:val="both"/>
      </w:pPr>
      <w:r>
        <w:rPr>
          <w:b/>
          <w:i/>
        </w:rPr>
        <w:t>Thứ tư, </w:t>
      </w:r>
      <w:r>
        <w:rPr/>
        <w:t>đặc thù điều kiện tự nhiên của VN là hệ thống sông ngòi chằng chịt. khu vực phía nam có hệ thống sông Tiền, Sông Hậu, sông Đồng Nai, sông Sài Gòn, phía Bắc có hệ thống sông Hồng. Mạng lưới vận tải thủy nội địa góp một phần rất lớn trong dịch chuyển hàng hóa. giảm chi phí Logistics vì vậy một cảng container mà có nhiều tuyến đường sông đến cảng (ND1) sẽ là một đặc điểm quan tâm để tập kết hàng hóa của chủ hàng cũng như mở rộng khả năng kết nối hậu phương vững chắc, giảm áp lực ùn tắc từ đó làm tăng sự hài lòng chủ hàng, tăng lợi thế cạnh</w:t>
      </w:r>
      <w:r>
        <w:rPr>
          <w:spacing w:val="-8"/>
        </w:rPr>
        <w:t> </w:t>
      </w:r>
      <w:r>
        <w:rPr/>
        <w:t>tranh.</w:t>
      </w:r>
    </w:p>
    <w:p>
      <w:pPr>
        <w:pStyle w:val="BodyText"/>
        <w:spacing w:line="360" w:lineRule="auto"/>
        <w:ind w:left="882" w:right="889" w:firstLine="719"/>
        <w:jc w:val="both"/>
      </w:pPr>
      <w:r>
        <w:rPr>
          <w:b/>
          <w:i/>
        </w:rPr>
        <w:t>Cuối cùng</w:t>
      </w:r>
      <w:r>
        <w:rPr/>
        <w:t>, hệ thống cảng container của Việt Nam bị hạn chế lợi thế cạnh tranh một phần là do một số cảng chỉ có một tuyến đường bộ độc đạo đến cảng điều này sẽ ảnh hưởng rất lớn đến hiệu quả khai thác cảng, cụ thể là dễ xảy ra tình trạng ùn tắc kéo dài, gây nhiều nguyên nhân rớt hàng, rớt tàu...Vì vậy các nhà quản lý cảng cần xem xét nghiên cứu vị trí cảng có nhiều tuyến đường bộ đến cảng (ND2) điều này sẽ giúp cảng container giải được bài toán ùn tắc từ đó tăng lợi thế cạnh tranh.</w:t>
      </w:r>
    </w:p>
    <w:p>
      <w:pPr>
        <w:pStyle w:val="Heading7"/>
        <w:spacing w:line="360" w:lineRule="auto"/>
        <w:ind w:right="891"/>
      </w:pPr>
      <w:r>
        <w:rPr>
          <w:i/>
        </w:rPr>
        <w:t>Giải pháp 4: Đầu tư xây dựng và phát triển hệ thống cơ sở vật chất hạ tầng cảng </w:t>
      </w:r>
      <w:r>
        <w:rPr/>
        <w:t>container</w:t>
      </w:r>
    </w:p>
    <w:p>
      <w:pPr>
        <w:pStyle w:val="BodyText"/>
        <w:spacing w:line="360" w:lineRule="auto" w:before="1"/>
        <w:ind w:left="882" w:right="891" w:firstLine="719"/>
        <w:jc w:val="both"/>
      </w:pPr>
      <w:r>
        <w:rPr/>
        <w:t>Cơ sở vật chất hạ tầng cảng container là một trong những điều kiện thu hút khách hàng và làm hài lòng khách hàng của cảng bên cạnh tăng năng suất, hiệu suất, vì vậy các nhà quản lý cần có các chính sách đầu tư, xây dựng phát triển cơ sở hạ tầng</w:t>
      </w:r>
    </w:p>
    <w:p>
      <w:pPr>
        <w:spacing w:after="0" w:line="360" w:lineRule="auto"/>
        <w:jc w:val="both"/>
        <w:sectPr>
          <w:pgSz w:w="11910" w:h="16850"/>
          <w:pgMar w:header="751" w:footer="0" w:top="960" w:bottom="280" w:left="820" w:right="240"/>
        </w:sectPr>
      </w:pPr>
    </w:p>
    <w:p>
      <w:pPr>
        <w:pStyle w:val="BodyText"/>
        <w:rPr>
          <w:sz w:val="20"/>
        </w:rPr>
      </w:pPr>
    </w:p>
    <w:p>
      <w:pPr>
        <w:pStyle w:val="BodyText"/>
        <w:spacing w:before="7"/>
        <w:rPr>
          <w:sz w:val="23"/>
        </w:rPr>
      </w:pPr>
    </w:p>
    <w:p>
      <w:pPr>
        <w:pStyle w:val="BodyText"/>
        <w:spacing w:line="360" w:lineRule="auto" w:before="89"/>
        <w:ind w:left="882" w:right="889"/>
        <w:jc w:val="both"/>
      </w:pPr>
      <w:r>
        <w:rPr/>
        <w:t>cảng phù hợp để nhằm mục đích tăng năng suất hiệu suất cảng và làm hài lòng khách hàng cảng từ đó tăng tăng lợi thế cạnh tranh. Dựa vào kết quả và trọng số 0,205 kết quả trong nghiên cứu các nhà quản lý cần thực hiện các chính sách như</w:t>
      </w:r>
      <w:r>
        <w:rPr>
          <w:spacing w:val="-13"/>
        </w:rPr>
        <w:t> </w:t>
      </w:r>
      <w:r>
        <w:rPr/>
        <w:t>sau:</w:t>
      </w:r>
    </w:p>
    <w:p>
      <w:pPr>
        <w:pStyle w:val="BodyText"/>
        <w:spacing w:line="360" w:lineRule="auto"/>
        <w:ind w:left="882" w:right="888" w:firstLine="719"/>
        <w:jc w:val="both"/>
      </w:pPr>
      <w:r>
        <w:rPr>
          <w:b/>
          <w:i/>
        </w:rPr>
        <w:t>Thứ nhất</w:t>
      </w:r>
      <w:r>
        <w:rPr/>
        <w:t>, để đảm bảo nhiệm vụ khai thác diễn ra xuyên suốt, an toàn và đạt hiệu suất cao thì cơ sở vật chất hạ tầng cảng phải được đầu tư, phát triển, bảo trì, bảo dưỡng trong điều kiện cơ sở hạ tầng đạt tiêu chuẩn cao (HT4). Vì vậy các nhà quản trị khai thác cảng container cần có các kế hoạch, chi phí đầu tư và bảo trì các trang thiết bị cơ sở hạ tầng đạt về tiêu chuẩn cao và hoạt động xuyên suốt để phục vụ tốt công việc giải phóng tàu ở tuyến tiền phương cũng như giải phóng phương tiện tuyến hậu phương đạt hiệu quả cao nhất tăng lợi ích cũng như sự hài lòng cho khách</w:t>
      </w:r>
      <w:r>
        <w:rPr>
          <w:spacing w:val="-13"/>
        </w:rPr>
        <w:t> </w:t>
      </w:r>
      <w:r>
        <w:rPr/>
        <w:t>hàng.</w:t>
      </w:r>
    </w:p>
    <w:p>
      <w:pPr>
        <w:pStyle w:val="BodyText"/>
        <w:spacing w:line="360" w:lineRule="auto" w:before="1"/>
        <w:ind w:left="882" w:right="891" w:firstLine="719"/>
        <w:jc w:val="both"/>
      </w:pPr>
      <w:r>
        <w:rPr>
          <w:b/>
          <w:i/>
        </w:rPr>
        <w:t>Thứ hai</w:t>
      </w:r>
      <w:r>
        <w:rPr/>
        <w:t>, cần có kế hoạch nạo vét, xây dựng phát triển số lượng cầu tàu nước sâu nhiều (HT6), vì theo xu hướng chung các hãng tàu muốn giảm chi phí nên sẽ ưu tiên phát triển đội tàu lớn, nếu cảng mà không có hoặc có quá ít cầu tàu nước sâu sẽ là một hạn chế rất lớn để khai thác hiệu quả cũng như lợi thế cạnh tranh cảng container.</w:t>
      </w:r>
    </w:p>
    <w:p>
      <w:pPr>
        <w:pStyle w:val="BodyText"/>
        <w:spacing w:line="360" w:lineRule="auto"/>
        <w:ind w:left="882" w:right="888" w:firstLine="719"/>
        <w:jc w:val="both"/>
      </w:pPr>
      <w:r>
        <w:rPr>
          <w:b/>
          <w:i/>
        </w:rPr>
        <w:t>Thứ ba</w:t>
      </w:r>
      <w:r>
        <w:rPr/>
        <w:t>, đầu tư mua sắm, cải tiến sao cho các trang thiết bị cảng hiện đại (HT1). Đối với vận hành khai thác cảng container thì trang thiết bị sẽ rất quan trọng ảnh hưởng đến năng suất. hiệu suất cũng như sự hài lòng của khách hàng cảng. Vì vậy.  một cảng có trang thiết bị xếp dỡ hiện đại sẽ góp phần đáng kể để tăng lợi thế cạnh tranh.</w:t>
      </w:r>
    </w:p>
    <w:p>
      <w:pPr>
        <w:pStyle w:val="BodyText"/>
        <w:spacing w:line="360" w:lineRule="auto"/>
        <w:ind w:left="882" w:right="888" w:firstLine="719"/>
        <w:jc w:val="both"/>
      </w:pPr>
      <w:r>
        <w:rPr>
          <w:b/>
          <w:i/>
        </w:rPr>
        <w:t>Thứ tư</w:t>
      </w:r>
      <w:r>
        <w:rPr/>
        <w:t>, các nhà quản trị kinh doanh khai thác cảng cần có chính sách phát triển số lượng trang thiết bị xếp dỡ nhiều (HT7), phát triển trang thiết bị xếp dỡ tương ứng với kế hoạch dự báo và tăng trưởng, tính toán đầu tư mua sắm sao cho không để thừa hoặc thiếu trang thiết bị xếp dỡ. Số lượng thiết bị xếp dỡ sẽ ảnh hưởng đến lợi thế giải phóng tàu cũng như giải phóng thiết bị ở tuyến hậu phương, số lượng trang thiết bị xếp dỡ nhiều, vận hành tốt sẽ giúp cảng container tăng lượng tàu trung chuyển và chuyển tải tại cảng tăng và làm tăng lợi ích cho khách hàng.</w:t>
      </w:r>
    </w:p>
    <w:p>
      <w:pPr>
        <w:pStyle w:val="BodyText"/>
        <w:spacing w:line="360" w:lineRule="auto"/>
        <w:ind w:left="882" w:right="891" w:firstLine="719"/>
        <w:jc w:val="both"/>
      </w:pPr>
      <w:r>
        <w:rPr>
          <w:b/>
          <w:i/>
        </w:rPr>
        <w:t>Thứ năm</w:t>
      </w:r>
      <w:r>
        <w:rPr/>
        <w:t>. trong hoạt động khai thác luôn tiềm ẩn những sự cố ngoài ý muốn sẽ ảnh hưởng đến tài sản. con người của cảng và của khách hàng vì vậy một cảng mà có đầu tư quan tâm hệ thống cứu chữa sự cố ở cảng đạt tiêu chuẩn (HT2) sẽ là sự quan tâm và tin tưởng của khách hàng cũng như giảm thiểu sự thiệt hại nếu xảy ra sự cố. Vì</w:t>
      </w:r>
    </w:p>
    <w:p>
      <w:pPr>
        <w:spacing w:after="0" w:line="360" w:lineRule="auto"/>
        <w:jc w:val="both"/>
        <w:sectPr>
          <w:pgSz w:w="11910" w:h="16850"/>
          <w:pgMar w:header="751" w:footer="0" w:top="960" w:bottom="280" w:left="820" w:right="240"/>
        </w:sectPr>
      </w:pPr>
    </w:p>
    <w:p>
      <w:pPr>
        <w:pStyle w:val="BodyText"/>
        <w:rPr>
          <w:sz w:val="20"/>
        </w:rPr>
      </w:pPr>
    </w:p>
    <w:p>
      <w:pPr>
        <w:pStyle w:val="BodyText"/>
        <w:spacing w:before="7"/>
        <w:rPr>
          <w:sz w:val="23"/>
        </w:rPr>
      </w:pPr>
    </w:p>
    <w:p>
      <w:pPr>
        <w:pStyle w:val="BodyText"/>
        <w:spacing w:line="360" w:lineRule="auto" w:before="89"/>
        <w:ind w:left="882" w:right="891"/>
        <w:jc w:val="both"/>
      </w:pPr>
      <w:r>
        <w:rPr/>
        <w:t>vậy các nhà quản lý nên chú ý đầu tư và phát triển hệ thống cứu chữa sự cố ở cảng đạt tiêu chuẩn cao.</w:t>
      </w:r>
    </w:p>
    <w:p>
      <w:pPr>
        <w:pStyle w:val="BodyText"/>
        <w:spacing w:line="360" w:lineRule="auto"/>
        <w:ind w:left="882" w:right="889" w:firstLine="719"/>
        <w:jc w:val="both"/>
      </w:pPr>
      <w:r>
        <w:rPr>
          <w:b/>
          <w:i/>
        </w:rPr>
        <w:t>Cuối cùng</w:t>
      </w:r>
      <w:r>
        <w:rPr/>
        <w:t>, bến đậu tàu nhiều hay ít sẽ ảnh hưởng đến năng suất và hiệu suất khai thác của cảng và sẽ làm hài lòng cũng như lợi ích cho đối tượng khách hàng càng là hãng tàu, cho nên các nhà làm chính sách quản lý khai thác cảng container nên chú  ý phát triển số lượng bến đậu tàu nhiều (HT5) nhằm giảm bớt thời gian tàu chờ hoặc xếp hàng vào cảng vì lý do thiếu bến</w:t>
      </w:r>
      <w:r>
        <w:rPr>
          <w:spacing w:val="-7"/>
        </w:rPr>
        <w:t> </w:t>
      </w:r>
      <w:r>
        <w:rPr/>
        <w:t>đậu.</w:t>
      </w:r>
    </w:p>
    <w:p>
      <w:pPr>
        <w:pStyle w:val="Heading7"/>
        <w:spacing w:line="298" w:lineRule="exact"/>
        <w:rPr>
          <w:i/>
        </w:rPr>
      </w:pPr>
      <w:r>
        <w:rPr>
          <w:i/>
        </w:rPr>
        <w:t>Giải pháp 5: Quan tâm chi phí dịch vụ Logistics của cảng container</w:t>
      </w:r>
    </w:p>
    <w:p>
      <w:pPr>
        <w:pStyle w:val="BodyText"/>
        <w:spacing w:line="360" w:lineRule="auto" w:before="151"/>
        <w:ind w:left="882" w:right="888" w:firstLine="719"/>
        <w:jc w:val="both"/>
      </w:pPr>
      <w:r>
        <w:rPr/>
        <w:t>Với trọng số 0,626 cao nhất trong các yếu tố ảnh hưởng đến lợi thế cạnh tranh, có nghĩa là khách hàng của cảng rất chú trọng đến chi phí Logistics của cảng container vì vậy để nâng cao lợi thế cạnh tranh các nhà quản lý cảng container cần vạch định chiến lược, chính sách nhằm ổn định và kéo giảm chi phí làm hài lòng khách hàng và tăng lợi ích cho khách hàng. Một số cảng ở khu vực phía Nam hiện nay được đánh giá là có chi phí và các phụ phí quá cao nên không thu hút được các doanh nghiệp xuất nhập khẩu. Chi phí về dịch vụ này ở Việt Nam lên tới 25% GDP, trong khi mức này ở Singapore, Indonesia và Malaysia chỉ chiếm 10 – 13%. Nếu so ngay trong khu vực thì chi phí dịch vụ CLDVistic của Việt Nam chỉ trội hơn được một số nước như Lào, Campuchia. Các cảng này cần xây dựng chính sách giá phù hợp hơn, thực hiện các biện pháp bình ổn giá, chấm dứt việc thu phí hạ tầng khu công nghiệp. Việc đầu tư hệ thống cảng biển phải được quy hoạch và đầu tư đồng bộ, cần có sự kết nối chặt chẽ với các phương thức vận tải khác và lập kế hoạch di dời các cảng biển sâu nằm trong sông đểm giảm chi phí hoa tiêu và chi phí luồng lạch...Hiện nay, cục hàng hải Việt Nam đã đề xuất giảm giá dịch vụ bốc xếp container xuống mức tối thiểu thí điểm tại cảng Cái Mép – Thị Vải, bước đầu đã đạt được kết quả khả quan. Bên cạnh đó, các cơ quan thẩm quyền cần xây dựng một chính sách phí minh bạch, đồng nhất để các doanh nghiệp thuận lợi trong việc ước tính chi phí của mình, tránh tình trạng loạn giá và thu những phí vô tội vạ như hiện nay. Đối với nhà nước, cần có chính sách giảm thuế đối với hàng hóa, vật tư phục vụ cho sửa chữa, bão dưỡng tàu biển,…Ngoài ra, có thể giảm chi phí kho bãi bằng cách đầu tư xây dựng hệ thống cảng mở để giảm bớt các chi phí về thủ tục hải quan, thuế xuất nhập khẩu; xây dựng trung tâm Logistics tại các khu vực</w:t>
      </w:r>
      <w:r>
        <w:rPr>
          <w:spacing w:val="17"/>
        </w:rPr>
        <w:t> </w:t>
      </w:r>
      <w:r>
        <w:rPr/>
        <w:t>trọng</w:t>
      </w:r>
      <w:r>
        <w:rPr>
          <w:spacing w:val="17"/>
        </w:rPr>
        <w:t> </w:t>
      </w:r>
      <w:r>
        <w:rPr/>
        <w:t>điểm,</w:t>
      </w:r>
      <w:r>
        <w:rPr>
          <w:spacing w:val="17"/>
        </w:rPr>
        <w:t> </w:t>
      </w:r>
      <w:r>
        <w:rPr/>
        <w:t>ban</w:t>
      </w:r>
      <w:r>
        <w:rPr>
          <w:spacing w:val="17"/>
        </w:rPr>
        <w:t> </w:t>
      </w:r>
      <w:r>
        <w:rPr/>
        <w:t>hành</w:t>
      </w:r>
      <w:r>
        <w:rPr>
          <w:spacing w:val="17"/>
        </w:rPr>
        <w:t> </w:t>
      </w:r>
      <w:r>
        <w:rPr/>
        <w:t>chính</w:t>
      </w:r>
      <w:r>
        <w:rPr>
          <w:spacing w:val="16"/>
        </w:rPr>
        <w:t> </w:t>
      </w:r>
      <w:r>
        <w:rPr/>
        <w:t>sách</w:t>
      </w:r>
      <w:r>
        <w:rPr>
          <w:spacing w:val="18"/>
        </w:rPr>
        <w:t> </w:t>
      </w:r>
      <w:r>
        <w:rPr/>
        <w:t>ưu</w:t>
      </w:r>
      <w:r>
        <w:rPr>
          <w:spacing w:val="17"/>
        </w:rPr>
        <w:t> </w:t>
      </w:r>
      <w:r>
        <w:rPr/>
        <w:t>đãi</w:t>
      </w:r>
      <w:r>
        <w:rPr>
          <w:spacing w:val="17"/>
        </w:rPr>
        <w:t> </w:t>
      </w:r>
      <w:r>
        <w:rPr/>
        <w:t>và</w:t>
      </w:r>
      <w:r>
        <w:rPr>
          <w:spacing w:val="18"/>
        </w:rPr>
        <w:t> </w:t>
      </w:r>
      <w:r>
        <w:rPr/>
        <w:t>hỗ</w:t>
      </w:r>
      <w:r>
        <w:rPr>
          <w:spacing w:val="17"/>
        </w:rPr>
        <w:t> </w:t>
      </w:r>
      <w:r>
        <w:rPr/>
        <w:t>trợ</w:t>
      </w:r>
      <w:r>
        <w:rPr>
          <w:spacing w:val="17"/>
        </w:rPr>
        <w:t> </w:t>
      </w:r>
      <w:r>
        <w:rPr/>
        <w:t>đầu</w:t>
      </w:r>
      <w:r>
        <w:rPr>
          <w:spacing w:val="17"/>
        </w:rPr>
        <w:t> </w:t>
      </w:r>
      <w:r>
        <w:rPr/>
        <w:t>tư</w:t>
      </w:r>
      <w:r>
        <w:rPr>
          <w:spacing w:val="18"/>
        </w:rPr>
        <w:t> </w:t>
      </w:r>
      <w:r>
        <w:rPr/>
        <w:t>các</w:t>
      </w:r>
      <w:r>
        <w:rPr>
          <w:spacing w:val="18"/>
        </w:rPr>
        <w:t> </w:t>
      </w:r>
      <w:r>
        <w:rPr/>
        <w:t>trung</w:t>
      </w:r>
      <w:r>
        <w:rPr>
          <w:spacing w:val="16"/>
        </w:rPr>
        <w:t> </w:t>
      </w:r>
      <w:r>
        <w:rPr/>
        <w:t>tâm</w:t>
      </w:r>
      <w:r>
        <w:rPr>
          <w:spacing w:val="18"/>
        </w:rPr>
        <w:t> </w:t>
      </w:r>
      <w:r>
        <w:rPr/>
        <w:t>Logistics</w:t>
      </w:r>
    </w:p>
    <w:p>
      <w:pPr>
        <w:spacing w:after="0" w:line="360" w:lineRule="auto"/>
        <w:jc w:val="both"/>
        <w:sectPr>
          <w:pgSz w:w="11910" w:h="16850"/>
          <w:pgMar w:header="751" w:footer="0" w:top="960" w:bottom="280" w:left="820" w:right="240"/>
        </w:sectPr>
      </w:pPr>
    </w:p>
    <w:p>
      <w:pPr>
        <w:pStyle w:val="BodyText"/>
        <w:rPr>
          <w:sz w:val="20"/>
        </w:rPr>
      </w:pPr>
    </w:p>
    <w:p>
      <w:pPr>
        <w:pStyle w:val="BodyText"/>
        <w:spacing w:before="7"/>
        <w:rPr>
          <w:sz w:val="23"/>
        </w:rPr>
      </w:pPr>
    </w:p>
    <w:p>
      <w:pPr>
        <w:pStyle w:val="BodyText"/>
        <w:spacing w:line="360" w:lineRule="auto" w:before="89"/>
        <w:ind w:left="882" w:right="888"/>
        <w:jc w:val="both"/>
      </w:pPr>
      <w:r>
        <w:rPr/>
        <w:t>cho các tổ chức, cá nhân trong nước và nước ngoài có các dự án tại khu kinh tế trọng điểm.</w:t>
      </w:r>
    </w:p>
    <w:p>
      <w:pPr>
        <w:pStyle w:val="Heading7"/>
        <w:spacing w:line="357" w:lineRule="auto"/>
        <w:ind w:right="888"/>
      </w:pPr>
      <w:r>
        <w:rPr>
          <w:i/>
        </w:rPr>
        <w:t>Giải pháp 6: Xây dựng chính sách và kế hoạch nhằm nâng cao chất lượng dịch vụ </w:t>
      </w:r>
      <w:r>
        <w:rPr/>
        <w:t>Logistics cảng container</w:t>
      </w:r>
    </w:p>
    <w:p>
      <w:pPr>
        <w:pStyle w:val="BodyText"/>
        <w:spacing w:line="360" w:lineRule="auto" w:before="5"/>
        <w:ind w:left="882" w:right="888" w:firstLine="719"/>
        <w:jc w:val="both"/>
      </w:pPr>
      <w:r>
        <w:rPr/>
        <w:t>Chất lượng dịch vụ cảng container có trọng số 0,387 có nghĩa là cảng container có chất lượng dịch vụ Logistics sẽ làm tăng lợi thế cạnh tranh cho cảng. Hoạt động dịch vụ Logistics của cảng container đó là các hoạt động góp phần làm cho dòng chảy container đi và đến cảng được thông thoáng, hay các dịch vụ mang lại giá trị cho khách hàng...Các hoạt động này sẽ góp phần làm hài lòng và thu hút khách hàng cảng. Vì vậy các nhà quản lý cảng nên tổ chức hoạt động dịch vụ Logistics của cảng container tốt từ tuyến tiền phương đến tuyến hậu phương như</w:t>
      </w:r>
      <w:r>
        <w:rPr>
          <w:spacing w:val="-9"/>
        </w:rPr>
        <w:t> </w:t>
      </w:r>
      <w:r>
        <w:rPr/>
        <w:t>sau:</w:t>
      </w:r>
    </w:p>
    <w:p>
      <w:pPr>
        <w:pStyle w:val="BodyText"/>
        <w:spacing w:line="360" w:lineRule="auto"/>
        <w:ind w:left="882" w:right="888" w:firstLine="719"/>
        <w:jc w:val="both"/>
      </w:pPr>
      <w:r>
        <w:rPr>
          <w:b/>
          <w:i/>
        </w:rPr>
        <w:t>Thứ nhất</w:t>
      </w:r>
      <w:r>
        <w:rPr/>
        <w:t>, cần xây dựng hệ thống thông tin nhanh chóng, kịp thời (CLDV3), hệ thống thông tin sẽ giúp cảng kết nối với khách hàng nhằm nâng cao chất lượng dịch vụ, hệ thống thông tin tốt còn giúp cảng có kế hoạch chính xác trong khai thác, tăng trao đổi dữ liệu thông tin với khách hàng (CLDV10) và làm hài lòng khách hàng từ đó lợi thế cạnh</w:t>
      </w:r>
      <w:r>
        <w:rPr>
          <w:spacing w:val="-3"/>
        </w:rPr>
        <w:t> </w:t>
      </w:r>
      <w:r>
        <w:rPr/>
        <w:t>tranh.</w:t>
      </w:r>
    </w:p>
    <w:p>
      <w:pPr>
        <w:pStyle w:val="BodyText"/>
        <w:spacing w:line="360" w:lineRule="auto" w:before="2"/>
        <w:ind w:left="882" w:right="888" w:firstLine="719"/>
        <w:jc w:val="both"/>
      </w:pPr>
      <w:r>
        <w:rPr>
          <w:b/>
          <w:i/>
        </w:rPr>
        <w:t>Thứ hai</w:t>
      </w:r>
      <w:r>
        <w:rPr/>
        <w:t>, trong hoạt động kinh doanh khai thác cảng container sẽ có rất nhiều khâu và rất nhiều bộ phận, các khâu hoặc bộ phận này phải kết hợp chặt chẽ và nhịp nhàng với nhau để tránh những rủi ro và sai xót trong việc cấp giao nhận container cho khách hàng (CLDV1) nhằm hoả mãn yêu cầu nguyện vọng của khách hàng làm tăng sự hài lòng của khách hàng cảng từ đó làm tăng lợi thế cạnh</w:t>
      </w:r>
      <w:r>
        <w:rPr>
          <w:spacing w:val="-6"/>
        </w:rPr>
        <w:t> </w:t>
      </w:r>
      <w:r>
        <w:rPr/>
        <w:t>tranh.</w:t>
      </w:r>
    </w:p>
    <w:p>
      <w:pPr>
        <w:pStyle w:val="BodyText"/>
        <w:spacing w:line="360" w:lineRule="auto"/>
        <w:ind w:left="882" w:right="888" w:firstLine="719"/>
        <w:jc w:val="both"/>
      </w:pPr>
      <w:r>
        <w:rPr>
          <w:b/>
          <w:i/>
        </w:rPr>
        <w:t>Thứ ba</w:t>
      </w:r>
      <w:r>
        <w:rPr/>
        <w:t>, một trong những dịch vụ Logistics ở cảng container được phần lớn khách hàng của cảng quan tâm nhiều nhất để quyết định đưa hàng, tàu về đó là dịch vụ thủ tục hải quan thuận lợi (CLDV) vì vậy các nhà quản lý khai thác kinh doanh cảng cần có các chính sách, hợp tác với các cơ quan hữu quan như cục Hải quan để tạo cơ chế thông thoáng, thuận lợi thúc đẩy lưu thông hàng hóa, tàu nhanh chóng, thuận lợi. Bên cạnh đó, cần sắp xếp xây dựng khu vực làm thủ tục, khai báo Hải quan thuận lợi kết hợp với các kho bãi để tạo một chuỗi Logistics thuận lợi.</w:t>
      </w:r>
    </w:p>
    <w:p>
      <w:pPr>
        <w:pStyle w:val="BodyText"/>
        <w:spacing w:line="360" w:lineRule="auto"/>
        <w:ind w:left="882" w:right="888" w:firstLine="719"/>
        <w:jc w:val="both"/>
      </w:pPr>
      <w:r>
        <w:rPr>
          <w:b/>
          <w:i/>
        </w:rPr>
        <w:t>Thứ tư, </w:t>
      </w:r>
      <w:r>
        <w:rPr/>
        <w:t>cần tổ chức xây dựng cấu trúc bến cảng tiện lợi cho việc sử dụng làm giảm chi phí và thời gian cho khách hàng (CLDV4). Một cảng container có tổ chức cấu trúc xây dựng bến cảng phù hợp sẽ giúp cho khách hàng giảm chi phí và thời</w:t>
      </w:r>
      <w:r>
        <w:rPr>
          <w:spacing w:val="45"/>
        </w:rPr>
        <w:t> </w:t>
      </w:r>
      <w:r>
        <w:rPr/>
        <w:t>gian,</w:t>
      </w:r>
    </w:p>
    <w:p>
      <w:pPr>
        <w:spacing w:after="0" w:line="360" w:lineRule="auto"/>
        <w:jc w:val="both"/>
        <w:sectPr>
          <w:pgSz w:w="11910" w:h="16850"/>
          <w:pgMar w:header="751" w:footer="0" w:top="960" w:bottom="280" w:left="820" w:right="240"/>
        </w:sectPr>
      </w:pPr>
    </w:p>
    <w:p>
      <w:pPr>
        <w:pStyle w:val="BodyText"/>
        <w:rPr>
          <w:sz w:val="20"/>
        </w:rPr>
      </w:pPr>
    </w:p>
    <w:p>
      <w:pPr>
        <w:pStyle w:val="BodyText"/>
        <w:spacing w:before="7"/>
        <w:rPr>
          <w:sz w:val="23"/>
        </w:rPr>
      </w:pPr>
    </w:p>
    <w:p>
      <w:pPr>
        <w:pStyle w:val="BodyText"/>
        <w:spacing w:line="360" w:lineRule="auto" w:before="89"/>
        <w:ind w:left="882" w:right="888"/>
        <w:jc w:val="both"/>
      </w:pPr>
      <w:r>
        <w:rPr/>
        <w:t>có nghĩa là các nhà quản lý cần sắp xếp tổ chức phù hợp ở các tuyến tiền phương và hậu phương. Tuyến tiền phương cần sắp xếp bố trí cầu bến phù hợp cho dung tích, trọng tải, chiều dài của tàu, ở tuyến hậu phương cần sắp xếp cấu trúc các khu vực kiểm hóa, đóng rút hàng, kho CFS...phù hợp cho từng loại hàng hóa. Tư đó sẽ làm tăng lưu lượng hàng hóa, tăng sự hài lòng cho khách hàng và tăng lợi thế cạnh tranh.</w:t>
      </w:r>
    </w:p>
    <w:p>
      <w:pPr>
        <w:pStyle w:val="BodyText"/>
        <w:spacing w:line="360" w:lineRule="auto"/>
        <w:ind w:left="882" w:right="888" w:firstLine="719"/>
        <w:jc w:val="both"/>
      </w:pPr>
      <w:r>
        <w:rPr>
          <w:b/>
          <w:i/>
        </w:rPr>
        <w:t>Thứ năm, </w:t>
      </w:r>
      <w:r>
        <w:rPr/>
        <w:t>thiết bị xếp dỡ luôn là bài toán làm đau đầu các nhà quản lý cảng, thiết bị xếp dỡ sẽ ảnh hưởng rất lớn đến khả năng giải phóng tàu và thông thoáng tuyến hậu phương vì vậy để nâng cao hiệu quả khai thác thì các cần có sự sắp xếp tổ chức bố trí thiết bị xếp dỡ phù hợp (CLDV6) ở kho, bãi, cầu bến cảng. Khi sắp xếp bố trí thiết bị xếp dỡ phải hạn chế thiết bị di chuyển, bố trí phù hợp trọng tải bốc, chất, xếp, nâng, hạ đáp ứng nhu cầu giải phóng tàu, giải phóng hàng tránh tình trạng hàng chờ cẩu, cẩu chờ</w:t>
      </w:r>
      <w:r>
        <w:rPr>
          <w:spacing w:val="-2"/>
        </w:rPr>
        <w:t> </w:t>
      </w:r>
      <w:r>
        <w:rPr/>
        <w:t>hàng.</w:t>
      </w:r>
    </w:p>
    <w:p>
      <w:pPr>
        <w:pStyle w:val="BodyText"/>
        <w:spacing w:line="360" w:lineRule="auto"/>
        <w:ind w:left="882" w:right="888" w:firstLine="719"/>
        <w:jc w:val="both"/>
      </w:pPr>
      <w:r>
        <w:rPr>
          <w:b/>
          <w:i/>
        </w:rPr>
        <w:t>Cuối cùng</w:t>
      </w:r>
      <w:r>
        <w:rPr/>
        <w:t>, xây dựng các kế hoạch, chính sách hoạt động khai thác của cảng định hướng vào phục vụ khách hàng (CLDV7) nhằm mang lại chất lượng dịch vụ khách hàng tốt nhất, tạo lòng trung thành cho khách hàng, làm khách hàng hài lòng để từ đó sẽ tăng lợi thế cạnh tranh.</w:t>
      </w:r>
    </w:p>
    <w:p>
      <w:pPr>
        <w:pStyle w:val="Heading6"/>
        <w:numPr>
          <w:ilvl w:val="2"/>
          <w:numId w:val="29"/>
        </w:numPr>
        <w:tabs>
          <w:tab w:pos="1468" w:val="left" w:leader="none"/>
        </w:tabs>
        <w:spacing w:line="360" w:lineRule="auto" w:before="1" w:after="0"/>
        <w:ind w:left="882" w:right="888" w:firstLine="0"/>
        <w:jc w:val="both"/>
      </w:pPr>
      <w:r>
        <w:rPr/>
        <w:t>Giải pháp thực hiện cơ chế, chính sách và phát triển nâng cao năng lực cạnh tranh cho các cảng container tại Việt</w:t>
      </w:r>
      <w:r>
        <w:rPr>
          <w:spacing w:val="-4"/>
        </w:rPr>
        <w:t> </w:t>
      </w:r>
      <w:r>
        <w:rPr/>
        <w:t>Nam</w:t>
      </w:r>
    </w:p>
    <w:p>
      <w:pPr>
        <w:pStyle w:val="Heading7"/>
        <w:numPr>
          <w:ilvl w:val="3"/>
          <w:numId w:val="29"/>
        </w:numPr>
        <w:tabs>
          <w:tab w:pos="1602" w:val="left" w:leader="none"/>
        </w:tabs>
        <w:spacing w:line="297" w:lineRule="exact" w:before="0" w:after="0"/>
        <w:ind w:left="1602" w:right="0" w:hanging="361"/>
        <w:jc w:val="both"/>
        <w:rPr>
          <w:i/>
        </w:rPr>
      </w:pPr>
      <w:r>
        <w:rPr>
          <w:i/>
        </w:rPr>
        <w:t>Giải pháp về hoạt động quản lý của nhà nước đối với cảng</w:t>
      </w:r>
      <w:r>
        <w:rPr>
          <w:i/>
          <w:spacing w:val="-10"/>
        </w:rPr>
        <w:t> </w:t>
      </w:r>
      <w:r>
        <w:rPr>
          <w:i/>
        </w:rPr>
        <w:t>biển</w:t>
      </w:r>
    </w:p>
    <w:p>
      <w:pPr>
        <w:pStyle w:val="ListParagraph"/>
        <w:numPr>
          <w:ilvl w:val="0"/>
          <w:numId w:val="27"/>
        </w:numPr>
        <w:tabs>
          <w:tab w:pos="1166" w:val="left" w:leader="none"/>
        </w:tabs>
        <w:spacing w:line="360" w:lineRule="auto" w:before="150" w:after="0"/>
        <w:ind w:left="882" w:right="888" w:firstLine="0"/>
        <w:jc w:val="both"/>
        <w:rPr>
          <w:sz w:val="26"/>
        </w:rPr>
      </w:pPr>
      <w:r>
        <w:rPr>
          <w:sz w:val="26"/>
        </w:rPr>
        <w:t>Hệ thống pháp luật về dịch vụ Logistics cần được tiếp tục hoàn thiện, hơn thế cần sớm được hoàn thiện để đáp ứng đòi hỏi của thực tiễn. cần hoàn thiện khung khổ pháp lí đối với dịch vụ cảng biển theo hướng xây dựng hệ thống pháp luật chuyên biệt cho lĩnh vực </w:t>
      </w:r>
      <w:r>
        <w:rPr>
          <w:spacing w:val="-5"/>
          <w:sz w:val="26"/>
        </w:rPr>
        <w:t>này. </w:t>
      </w:r>
      <w:r>
        <w:rPr>
          <w:sz w:val="26"/>
        </w:rPr>
        <w:t>Cần tổng hợp các văn bản liên quan đến dịch vụ Logistics cảng biển và nghiên cứu, ban hành luật riêng cho dịch vụ Logistics cảng biển. Cần phải đồng bộ hóa toàn bộ hệ thống pháp luật nói chung. Do yêu cầu của sản xuất kinh doanh và xuất nhập khẩu nên càng ngày chúng ta càng ban hành nhiều luật chuyên nghành như luật Thương mại, luật Doanh nghiệp, luật Hải quan…để đảm bảo tính thực tiễn, phù hợp của pháp luật, trước khi ban hành những văn bản hướng dẫn thi hành, các cơ quan quản lí nhà nước cần có sự trao đổi với các Hiệp hội ngành nghề có liên quan để đảm bảo tính khả thi sau khi ban hành, tạo nên sự đồng bộ trong hệ thống pháp luật, chính sách.</w:t>
      </w:r>
    </w:p>
    <w:p>
      <w:pPr>
        <w:spacing w:after="0" w:line="360" w:lineRule="auto"/>
        <w:jc w:val="both"/>
        <w:rPr>
          <w:sz w:val="26"/>
        </w:rPr>
        <w:sectPr>
          <w:pgSz w:w="11910" w:h="16850"/>
          <w:pgMar w:header="751" w:footer="0" w:top="960" w:bottom="280" w:left="820" w:right="240"/>
        </w:sectPr>
      </w:pPr>
    </w:p>
    <w:p>
      <w:pPr>
        <w:pStyle w:val="BodyText"/>
        <w:rPr>
          <w:sz w:val="20"/>
        </w:rPr>
      </w:pPr>
    </w:p>
    <w:p>
      <w:pPr>
        <w:pStyle w:val="BodyText"/>
        <w:spacing w:before="7"/>
        <w:rPr>
          <w:sz w:val="23"/>
        </w:rPr>
      </w:pPr>
    </w:p>
    <w:p>
      <w:pPr>
        <w:pStyle w:val="ListParagraph"/>
        <w:numPr>
          <w:ilvl w:val="0"/>
          <w:numId w:val="27"/>
        </w:numPr>
        <w:tabs>
          <w:tab w:pos="1166" w:val="left" w:leader="none"/>
        </w:tabs>
        <w:spacing w:line="360" w:lineRule="auto" w:before="89" w:after="0"/>
        <w:ind w:left="882" w:right="889" w:firstLine="0"/>
        <w:jc w:val="both"/>
        <w:rPr>
          <w:sz w:val="26"/>
        </w:rPr>
      </w:pPr>
      <w:r>
        <w:rPr>
          <w:sz w:val="26"/>
        </w:rPr>
        <w:t>Cần xây dựng chính sách nhằm đẩy mạnh tiến trình giảm thuế nhập khẩu, hỗ trợ tài chính cho các doanh nghiệp dịch vụ Logistics cảng trong nước, chính sách nhập khẩu các phương tiện vận tải, bốc dỡ bảo quản, lưu kho hàng hóa chuyên dùng để các doanh nghiệp có thể đầu tư bổ sung, nâng cấp, hiện đại hóa trang thiết bị, tăng cường năng lực cung cấp dịch vụ và khả năng cạnh tranh trên thị trường dịch vụ cảng</w:t>
      </w:r>
      <w:r>
        <w:rPr>
          <w:spacing w:val="-16"/>
          <w:sz w:val="26"/>
        </w:rPr>
        <w:t> </w:t>
      </w:r>
      <w:r>
        <w:rPr>
          <w:sz w:val="26"/>
        </w:rPr>
        <w:t>biển.</w:t>
      </w:r>
    </w:p>
    <w:p>
      <w:pPr>
        <w:pStyle w:val="ListParagraph"/>
        <w:numPr>
          <w:ilvl w:val="0"/>
          <w:numId w:val="27"/>
        </w:numPr>
        <w:tabs>
          <w:tab w:pos="1166" w:val="left" w:leader="none"/>
        </w:tabs>
        <w:spacing w:line="360" w:lineRule="auto" w:before="0" w:after="0"/>
        <w:ind w:left="882" w:right="886" w:firstLine="0"/>
        <w:jc w:val="both"/>
        <w:rPr>
          <w:sz w:val="26"/>
        </w:rPr>
      </w:pPr>
      <w:r>
        <w:rPr>
          <w:sz w:val="26"/>
        </w:rPr>
        <w:t>Các cấp có liên quan cần quan tâm và có chiến lược lâu dài nhằm bồi dưỡng và phát triển nguồn nhân lực có trình độ chuyên môn, trình độ chính trị được bổ sung kinh nghiệm quản lí cũng như kinh daonh quốc tế.Đồng thời cần nghiên cứu và xây dựng các chương trình và các lớp bồi dưỡng chuyên sâu về lĩnh vực Logistics cảng biển cho đội ngũ nhân viên tác nghiệp hoặc phần lớn tốt nghiệp đại học nhưng không chuyên về quản lí nhà nước, về dịch vụ Logistics cảng biển, phải tự nâng cao trình độ nghiệp vụ trong quá trình làm</w:t>
      </w:r>
      <w:r>
        <w:rPr>
          <w:spacing w:val="-2"/>
          <w:sz w:val="26"/>
        </w:rPr>
        <w:t> </w:t>
      </w:r>
      <w:r>
        <w:rPr>
          <w:sz w:val="26"/>
        </w:rPr>
        <w:t>việc.</w:t>
      </w:r>
    </w:p>
    <w:p>
      <w:pPr>
        <w:pStyle w:val="Heading7"/>
        <w:numPr>
          <w:ilvl w:val="1"/>
          <w:numId w:val="27"/>
        </w:numPr>
        <w:tabs>
          <w:tab w:pos="1602" w:val="left" w:leader="none"/>
        </w:tabs>
        <w:spacing w:line="240" w:lineRule="auto" w:before="0" w:after="0"/>
        <w:ind w:left="1602" w:right="0" w:hanging="361"/>
        <w:jc w:val="both"/>
        <w:rPr>
          <w:i/>
        </w:rPr>
      </w:pPr>
      <w:r>
        <w:rPr>
          <w:i/>
        </w:rPr>
        <w:t>Giải pháp về quản lý của bộ máy hoạt động ở cảng</w:t>
      </w:r>
      <w:r>
        <w:rPr>
          <w:i/>
          <w:spacing w:val="-5"/>
        </w:rPr>
        <w:t> </w:t>
      </w:r>
      <w:r>
        <w:rPr>
          <w:i/>
        </w:rPr>
        <w:t>biển</w:t>
      </w:r>
    </w:p>
    <w:p>
      <w:pPr>
        <w:pStyle w:val="BodyText"/>
        <w:spacing w:line="360" w:lineRule="auto" w:before="149"/>
        <w:ind w:left="882" w:right="888" w:firstLine="283"/>
        <w:jc w:val="both"/>
      </w:pPr>
      <w:r>
        <w:rPr/>
        <w:t>Sự phát triển cảng biển ở Việt Nam nói chung và Miền Nam Việt Nam nói riêng trải qua nhiều giai đoạn khác nhau tương ứng với nền kinh tế. Mỗi giai đoạn có một tầm quan trọng khác nhau. Phát triển cảng biển là đinh hướng mà nhà nước đã đề ra. Vì vậy, Chính phủ và các cơ quan thuộc Chính phủ phải hỗ trợ đầu tư ban đầu cho các ngành công nghiệp cảng và xây dựng văn bản pháp luật cho ngành.</w:t>
      </w:r>
    </w:p>
    <w:p>
      <w:pPr>
        <w:pStyle w:val="BodyText"/>
        <w:spacing w:line="360" w:lineRule="auto"/>
        <w:ind w:left="882" w:right="891" w:firstLine="283"/>
        <w:jc w:val="both"/>
      </w:pPr>
      <w:r>
        <w:rPr/>
        <w:t>Mô hình quản lý cảng hiện nay là mô hình quản lý cảng sẽ thay đổi thành một ngành công nghiệp cảng tư nhân. Vấn đề đặt ra là liệu rằng Chính phủ có sẵn sàng từ bỏ quyền kiểm soát của mình và không làm gì để tạo động lực phát triển mô hình này trong tương lai. Tuy nhiên, Nhà nước vẫn tuân thủ những nguyên tắc cơ bản, điều  hành nền kinh tế bằng pháp luật thị trường và các công cụ chính sách khách quan, tôn trọng quy luật của thij trường và sức sản xuất của xã</w:t>
      </w:r>
      <w:r>
        <w:rPr>
          <w:spacing w:val="-10"/>
        </w:rPr>
        <w:t> </w:t>
      </w:r>
      <w:r>
        <w:rPr/>
        <w:t>hội.</w:t>
      </w:r>
    </w:p>
    <w:p>
      <w:pPr>
        <w:pStyle w:val="BodyText"/>
        <w:spacing w:line="360" w:lineRule="auto" w:before="3"/>
        <w:ind w:left="882" w:right="892" w:firstLine="283"/>
        <w:jc w:val="both"/>
      </w:pPr>
      <w:r>
        <w:rPr/>
        <w:t>Để nâng cao nhận thức và lý luận về vấn đề hoàn thiện thể chế kinh tế thị trường nhằm tạo bước đột phá mang tính chất chiến lược, tạo môi trường thông thoáng để giải phóng mạnh mẽ sức sản xuất của các thành phần kinh tế. Cần xây dựng mô hình quản lý cảng biển phù hợp với điều kiện Việt Nam nhằm nâng cao hiệu quả quản lý, đầu tư, khai thác vấn đề thiếu hụt ngân sách của chính quyền địa phương; tái cơ cấu doanh nghiệp bằng cách cho họ tự chủ nhiều hơn và tài chính độc lập; thu hút vốn đầu tư</w:t>
      </w:r>
    </w:p>
    <w:p>
      <w:pPr>
        <w:spacing w:after="0" w:line="360" w:lineRule="auto"/>
        <w:jc w:val="both"/>
        <w:sectPr>
          <w:pgSz w:w="11910" w:h="16850"/>
          <w:pgMar w:header="751" w:footer="0" w:top="960" w:bottom="280" w:left="820" w:right="240"/>
        </w:sectPr>
      </w:pPr>
    </w:p>
    <w:p>
      <w:pPr>
        <w:pStyle w:val="BodyText"/>
        <w:rPr>
          <w:sz w:val="20"/>
        </w:rPr>
      </w:pPr>
    </w:p>
    <w:p>
      <w:pPr>
        <w:pStyle w:val="BodyText"/>
        <w:spacing w:before="7"/>
        <w:rPr>
          <w:sz w:val="23"/>
        </w:rPr>
      </w:pPr>
    </w:p>
    <w:p>
      <w:pPr>
        <w:pStyle w:val="BodyText"/>
        <w:spacing w:line="360" w:lineRule="auto" w:before="89"/>
        <w:ind w:left="882" w:right="894"/>
        <w:jc w:val="both"/>
      </w:pPr>
      <w:r>
        <w:rPr/>
        <w:t>nước ngoài; ứng dụng công nghệ cảng biển hiện đại. Trước mắt cần tập trung vào các giải pháp sau:</w:t>
      </w:r>
    </w:p>
    <w:p>
      <w:pPr>
        <w:pStyle w:val="ListParagraph"/>
        <w:numPr>
          <w:ilvl w:val="0"/>
          <w:numId w:val="30"/>
        </w:numPr>
        <w:tabs>
          <w:tab w:pos="1166" w:val="left" w:leader="none"/>
        </w:tabs>
        <w:spacing w:line="357" w:lineRule="auto" w:before="1" w:after="0"/>
        <w:ind w:left="882" w:right="888" w:firstLine="0"/>
        <w:jc w:val="both"/>
        <w:rPr>
          <w:sz w:val="26"/>
        </w:rPr>
      </w:pPr>
      <w:r>
        <w:rPr>
          <w:spacing w:val="-3"/>
          <w:sz w:val="26"/>
        </w:rPr>
        <w:t>Trên </w:t>
      </w:r>
      <w:r>
        <w:rPr>
          <w:sz w:val="26"/>
        </w:rPr>
        <w:t>cơ sở định hướng của chính sách phát triển kinh tế vĩ mô của Đảng và nhà nước cần nghiên cứu mô hình quản lý cảng biển phù hợp với điều kiện </w:t>
      </w:r>
      <w:r>
        <w:rPr>
          <w:spacing w:val="-4"/>
          <w:sz w:val="26"/>
        </w:rPr>
        <w:t>Việt </w:t>
      </w:r>
      <w:r>
        <w:rPr>
          <w:sz w:val="26"/>
        </w:rPr>
        <w:t>Nam nhằm khuyến khích chủ hàng và doanh nghiệp vận tải biển được tham gia dịch vụ bốc xếp hàng hóa, lưu kho và đóng gói tại</w:t>
      </w:r>
      <w:r>
        <w:rPr>
          <w:spacing w:val="-5"/>
          <w:sz w:val="26"/>
        </w:rPr>
        <w:t> </w:t>
      </w:r>
      <w:r>
        <w:rPr>
          <w:sz w:val="26"/>
        </w:rPr>
        <w:t>cảng;</w:t>
      </w:r>
    </w:p>
    <w:p>
      <w:pPr>
        <w:pStyle w:val="ListParagraph"/>
        <w:numPr>
          <w:ilvl w:val="0"/>
          <w:numId w:val="30"/>
        </w:numPr>
        <w:tabs>
          <w:tab w:pos="1230" w:val="left" w:leader="none"/>
        </w:tabs>
        <w:spacing w:line="357" w:lineRule="auto" w:before="1" w:after="0"/>
        <w:ind w:left="882" w:right="888" w:firstLine="0"/>
        <w:jc w:val="both"/>
        <w:rPr>
          <w:sz w:val="26"/>
        </w:rPr>
      </w:pPr>
      <w:r>
        <w:rPr>
          <w:sz w:val="26"/>
        </w:rPr>
        <w:t>Bộ Giao thông vận tải là cơ quan đầu mối quản lý nhà nước về cảng biển thực hiện huy động các nguồn vốn đầu tư cơ sở hạ tầng cảng biển từ các nhà đầu tư trong nước và nước ngoài tham gia đầu tư luồng, cầu/bến cảng hoặc cho thuê cầu/bến cảng, thiết bị.</w:t>
      </w:r>
    </w:p>
    <w:p>
      <w:pPr>
        <w:pStyle w:val="ListParagraph"/>
        <w:numPr>
          <w:ilvl w:val="0"/>
          <w:numId w:val="30"/>
        </w:numPr>
        <w:tabs>
          <w:tab w:pos="1166" w:val="left" w:leader="none"/>
        </w:tabs>
        <w:spacing w:line="355" w:lineRule="auto" w:before="1" w:after="0"/>
        <w:ind w:left="882" w:right="891" w:firstLine="0"/>
        <w:jc w:val="both"/>
        <w:rPr>
          <w:sz w:val="26"/>
        </w:rPr>
      </w:pPr>
      <w:r>
        <w:rPr>
          <w:sz w:val="26"/>
        </w:rPr>
        <w:t>Khuyến khích chủ hàng, doanh nghiệp vận tải biển và nhà cung cấp dịch vụ di động và các cơ quan chức năng để cùng nhau phát triển thiết bị đầu cuối và các cơ sở liên quan.</w:t>
      </w:r>
    </w:p>
    <w:p>
      <w:pPr>
        <w:pStyle w:val="ListParagraph"/>
        <w:numPr>
          <w:ilvl w:val="0"/>
          <w:numId w:val="30"/>
        </w:numPr>
        <w:tabs>
          <w:tab w:pos="1166" w:val="left" w:leader="none"/>
        </w:tabs>
        <w:spacing w:line="352" w:lineRule="auto" w:before="7" w:after="0"/>
        <w:ind w:left="882" w:right="891" w:firstLine="0"/>
        <w:jc w:val="both"/>
        <w:rPr>
          <w:sz w:val="26"/>
        </w:rPr>
      </w:pPr>
      <w:r>
        <w:rPr>
          <w:sz w:val="26"/>
        </w:rPr>
        <w:t>Đẩy mạnh phân cấp giữa Trung ương và địa phương nhằm tạo động lực cho việc phát triển cơ sở hạ tầng cảng biển từ huy động các nguồn vốn xã hội</w:t>
      </w:r>
      <w:r>
        <w:rPr>
          <w:spacing w:val="-14"/>
          <w:sz w:val="26"/>
        </w:rPr>
        <w:t> </w:t>
      </w:r>
      <w:r>
        <w:rPr>
          <w:sz w:val="26"/>
        </w:rPr>
        <w:t>hóa;</w:t>
      </w:r>
    </w:p>
    <w:p>
      <w:pPr>
        <w:pStyle w:val="ListParagraph"/>
        <w:numPr>
          <w:ilvl w:val="0"/>
          <w:numId w:val="30"/>
        </w:numPr>
        <w:tabs>
          <w:tab w:pos="1166" w:val="left" w:leader="none"/>
        </w:tabs>
        <w:spacing w:line="357" w:lineRule="auto" w:before="9" w:after="0"/>
        <w:ind w:left="882" w:right="888" w:firstLine="0"/>
        <w:jc w:val="both"/>
        <w:rPr>
          <w:sz w:val="26"/>
        </w:rPr>
      </w:pPr>
      <w:r>
        <w:rPr>
          <w:sz w:val="26"/>
        </w:rPr>
        <w:t>Khuyến khích doanh nghiệp khai thác cảng liên doanh với các doanh nghiệp nước ngoài tham gia đầu tư cơ sở hạ tầng công cộng cảng biển (cầu bến cảng, xếp dỡ hàng hóa, kho bãi và đóng gói), cũng như đường bộ cao tốc liên cảng và doanh nghiệp vận tải hàng hóa, hành khách thủy nội</w:t>
      </w:r>
      <w:r>
        <w:rPr>
          <w:spacing w:val="-4"/>
          <w:sz w:val="26"/>
        </w:rPr>
        <w:t> </w:t>
      </w:r>
      <w:r>
        <w:rPr>
          <w:sz w:val="26"/>
        </w:rPr>
        <w:t>địa.</w:t>
      </w:r>
    </w:p>
    <w:p>
      <w:pPr>
        <w:pStyle w:val="ListParagraph"/>
        <w:numPr>
          <w:ilvl w:val="0"/>
          <w:numId w:val="30"/>
        </w:numPr>
        <w:tabs>
          <w:tab w:pos="1166" w:val="left" w:leader="none"/>
        </w:tabs>
        <w:spacing w:line="352" w:lineRule="auto" w:before="2" w:after="0"/>
        <w:ind w:left="882" w:right="891" w:firstLine="0"/>
        <w:jc w:val="both"/>
        <w:rPr>
          <w:sz w:val="26"/>
        </w:rPr>
      </w:pPr>
      <w:r>
        <w:rPr>
          <w:sz w:val="26"/>
        </w:rPr>
        <w:t>Chấp thuận cho doanh nghiệp liên doanh thuê cầu cảng từ cơ quan quản lý cảng liên doanh với doanh nghiệp tư nhân hoặc nước ngoài tham gia dịch vụ bốc xếp tại</w:t>
      </w:r>
      <w:r>
        <w:rPr>
          <w:spacing w:val="-13"/>
          <w:sz w:val="26"/>
        </w:rPr>
        <w:t> </w:t>
      </w:r>
      <w:r>
        <w:rPr>
          <w:sz w:val="26"/>
        </w:rPr>
        <w:t>cảng</w:t>
      </w:r>
    </w:p>
    <w:p>
      <w:pPr>
        <w:pStyle w:val="Heading6"/>
        <w:numPr>
          <w:ilvl w:val="1"/>
          <w:numId w:val="29"/>
        </w:numPr>
        <w:tabs>
          <w:tab w:pos="1271" w:val="left" w:leader="none"/>
        </w:tabs>
        <w:spacing w:line="240" w:lineRule="auto" w:before="8" w:after="0"/>
        <w:ind w:left="1270" w:right="0" w:hanging="389"/>
        <w:jc w:val="both"/>
      </w:pPr>
      <w:bookmarkStart w:name="_TOC_250003" w:id="53"/>
      <w:r>
        <w:rPr/>
        <w:t>Hạn chế và hướng nghiên cứu tiếp</w:t>
      </w:r>
      <w:r>
        <w:rPr>
          <w:spacing w:val="-5"/>
        </w:rPr>
        <w:t> </w:t>
      </w:r>
      <w:bookmarkEnd w:id="53"/>
      <w:r>
        <w:rPr/>
        <w:t>theo.</w:t>
      </w:r>
    </w:p>
    <w:p>
      <w:pPr>
        <w:pStyle w:val="BodyText"/>
        <w:spacing w:line="360" w:lineRule="auto" w:before="148"/>
        <w:ind w:left="882" w:right="892"/>
        <w:jc w:val="both"/>
      </w:pPr>
      <w:r>
        <w:rPr/>
        <w:t>Nghiên cứu đề tài “Nâng cao lợi thế cạnh tranh cảng container Việt Nam” cũng như các đề tài nghiên cứu khác có một số hạn chế nhất định cụ thể như</w:t>
      </w:r>
      <w:r>
        <w:rPr>
          <w:spacing w:val="-8"/>
        </w:rPr>
        <w:t> </w:t>
      </w:r>
      <w:r>
        <w:rPr/>
        <w:t>sau:</w:t>
      </w:r>
    </w:p>
    <w:p>
      <w:pPr>
        <w:pStyle w:val="BodyText"/>
        <w:spacing w:line="360" w:lineRule="auto" w:before="1"/>
        <w:ind w:left="882" w:right="888" w:firstLine="719"/>
        <w:jc w:val="both"/>
      </w:pPr>
      <w:r>
        <w:rPr>
          <w:b/>
          <w:i/>
        </w:rPr>
        <w:t>Thứ nhất</w:t>
      </w:r>
      <w:r>
        <w:rPr/>
        <w:t>, nghiên cứu định tính là một nghiên cứu khám phá song chỉ mới thực hiện trên một nhóm nhỏ các chuyên gia là nhà quản lý bến bãi, cảng container khu vực phía nam và các nhà khoa học giảng dạy nghiên cứu mà chưa tổ chức hội thảo, hội nghị tập hợp nhiều nhà quản lý bến bãi, cảng container khắp vùng miền Việt Nam cũng như các nhà nghiên cứu về cảng trong và ngoài nước để nhằm mục đích khám phá điều chỉnh mô hình cho tốt</w:t>
      </w:r>
      <w:r>
        <w:rPr>
          <w:spacing w:val="-2"/>
        </w:rPr>
        <w:t> </w:t>
      </w:r>
      <w:r>
        <w:rPr/>
        <w:t>hơn.</w:t>
      </w:r>
    </w:p>
    <w:p>
      <w:pPr>
        <w:spacing w:after="0" w:line="360" w:lineRule="auto"/>
        <w:jc w:val="both"/>
        <w:sectPr>
          <w:pgSz w:w="11910" w:h="16850"/>
          <w:pgMar w:header="751" w:footer="0" w:top="960" w:bottom="280" w:left="820" w:right="240"/>
        </w:sectPr>
      </w:pPr>
    </w:p>
    <w:p>
      <w:pPr>
        <w:pStyle w:val="BodyText"/>
        <w:rPr>
          <w:sz w:val="20"/>
        </w:rPr>
      </w:pPr>
    </w:p>
    <w:p>
      <w:pPr>
        <w:pStyle w:val="BodyText"/>
        <w:spacing w:before="7"/>
        <w:rPr>
          <w:sz w:val="23"/>
        </w:rPr>
      </w:pPr>
    </w:p>
    <w:p>
      <w:pPr>
        <w:pStyle w:val="BodyText"/>
        <w:spacing w:line="360" w:lineRule="auto" w:before="89"/>
        <w:ind w:left="882" w:right="890" w:firstLine="719"/>
        <w:jc w:val="both"/>
      </w:pPr>
      <w:r>
        <w:rPr>
          <w:b/>
          <w:i/>
        </w:rPr>
        <w:t>Thứ hai</w:t>
      </w:r>
      <w:r>
        <w:rPr/>
        <w:t>, đối tượng khảo sát của nghiên cứu này chủ yếu là những nhà quản lý khách hàng của cảng container, với số mẫu 516 là rất hạn chế nên sẽ có một số hạn chế nhất định ảnh hưởng đến kết quả nghiên cứu.</w:t>
      </w:r>
    </w:p>
    <w:p>
      <w:pPr>
        <w:pStyle w:val="BodyText"/>
        <w:spacing w:line="360" w:lineRule="auto"/>
        <w:ind w:left="882" w:right="891" w:firstLine="719"/>
        <w:jc w:val="both"/>
      </w:pPr>
      <w:r>
        <w:rPr>
          <w:b/>
          <w:i/>
        </w:rPr>
        <w:t>Thứ ba</w:t>
      </w:r>
      <w:r>
        <w:rPr/>
        <w:t>, vì điều kiện kinh tế, vị trí địa lý, dịch bệnh covid 19 cũng như khó khăn khi tiếp xúc với khách hàng cảng container nên các phiếu khảo sát phần lớn tác giả khảo sát thông gián tiếp nên ít nhiều cũng ảnh hưởng đến kết quả nghiên cứu do chất lượng cuộc phỏng vấn và tính đại diện chưa</w:t>
      </w:r>
      <w:r>
        <w:rPr>
          <w:spacing w:val="-3"/>
        </w:rPr>
        <w:t> </w:t>
      </w:r>
      <w:r>
        <w:rPr/>
        <w:t>cao.</w:t>
      </w:r>
    </w:p>
    <w:p>
      <w:pPr>
        <w:pStyle w:val="BodyText"/>
        <w:spacing w:line="360" w:lineRule="auto"/>
        <w:ind w:left="882" w:right="888" w:firstLine="719"/>
        <w:jc w:val="both"/>
      </w:pPr>
      <w:r>
        <w:rPr/>
        <w:t>Vì thế những nghiên cứu tiếp theo lặp lại nghiên cứu này là tác giả sẽ phát triển nghiên cứu định tính mở rộng, kết hợp giới hạn mẫu cũng như lựa chọn các phỏng vấn viên có kinh nghiêm nhằm mang lại kết quả cũng như độ chính xác cho mô hình hơn.</w:t>
      </w:r>
    </w:p>
    <w:p>
      <w:pPr>
        <w:pStyle w:val="Heading4"/>
        <w:spacing w:line="322" w:lineRule="exact" w:before="0"/>
        <w:ind w:left="1005"/>
      </w:pPr>
      <w:bookmarkStart w:name="_TOC_250002" w:id="54"/>
      <w:bookmarkEnd w:id="54"/>
      <w:r>
        <w:rPr/>
        <w:t>KẾT LUẬN CHUNG</w:t>
      </w:r>
    </w:p>
    <w:p>
      <w:pPr>
        <w:pStyle w:val="BodyText"/>
        <w:spacing w:line="360" w:lineRule="auto" w:before="162"/>
        <w:ind w:left="882" w:right="886" w:firstLine="719"/>
        <w:jc w:val="both"/>
      </w:pPr>
      <w:r>
        <w:rPr/>
        <w:t>Cảng container được xem là một mắc xích trong chuỗi cung ứng xuất nhập  khẩu hàng hóa quốc tế. Việt Nam có hệ thống cảng container trải dài từ bắc đến nam thế nhưng phần lớn hệ thống cảng container của Việt Nam hoạt động kém hiệu quả và có nhiều vấn đề bất ổn về cạnh tranh. Một số cảng container của Việt Nam đã đưa vào hoạt động nhưng chỉ có cảng lớn thôi là chưa đủ, hạ tầng cơ sở, dịch vụ quanh cảng container để giúp hàng hóa thông quan nhanh nhất, chi phí thấp nhất là yếu tố quan trọng để cảng container Việt Nam được lựa chọn để trở thành cảng trung chuyển của khu vực và thế giới. Cảng container phải có sự kết nối với hạ tầng, tuy nhiên hiện nay tại Việt Nam việc kết nối này chủ yếu là đường bộ, đường sông ở phía nam, còn phía bắc thì đường sông không đáng kể. Bên cạnh đó hạ tầng dịch vụ đi kèm với cảng biển Việt Nam còn rất kém. Hiện nay chưa có cảng nào thực sự là cảng trung chuyển do công tác tổ chức, quản lý, điều hành kinh doanh cảng còn nhiều bất cập. Các dịch vụ luồng lạch, phao đèn, hoa tiêu, cung ứng, thiết bị xếp dỡ còn rất yếu kém điều này ảnh hưởng rất lớn đến việc lựa chọn cảng của các chủ tàu và ảnh hưởng đến lợi thế cạnh tranh của cảng. Với chỉ số chất lượng lợi thế cạnh tranh Logistics năm 2018 VN được xếp hạng 39/160 tăng 25 bậc so với xếp hạng 64 năm 2016 theo đánh giá của Ngân hàng Thế giới và theo khảo sát của Hiệp hội Doanh nghiệp dịch vụ Logistics Việt Nam (VLA. 2018) thì “tất cả các chỉ số đánh giá LPI 2018 đều tăng vượt bậc. trong đó có mức tăng cao nhất là lợi thế chất lượng dịch vụ (xếp hạng 33. tăng 29 bậc). và khả năng</w:t>
      </w:r>
      <w:r>
        <w:rPr>
          <w:spacing w:val="10"/>
        </w:rPr>
        <w:t> </w:t>
      </w:r>
      <w:r>
        <w:rPr/>
        <w:t>theo</w:t>
      </w:r>
      <w:r>
        <w:rPr>
          <w:spacing w:val="10"/>
        </w:rPr>
        <w:t> </w:t>
      </w:r>
      <w:r>
        <w:rPr/>
        <w:t>dõi.</w:t>
      </w:r>
      <w:r>
        <w:rPr>
          <w:spacing w:val="10"/>
        </w:rPr>
        <w:t> </w:t>
      </w:r>
      <w:r>
        <w:rPr/>
        <w:t>truy</w:t>
      </w:r>
      <w:r>
        <w:rPr>
          <w:spacing w:val="11"/>
        </w:rPr>
        <w:t> </w:t>
      </w:r>
      <w:r>
        <w:rPr/>
        <w:t>xuất</w:t>
      </w:r>
      <w:r>
        <w:rPr>
          <w:spacing w:val="11"/>
        </w:rPr>
        <w:t> </w:t>
      </w:r>
      <w:r>
        <w:rPr/>
        <w:t>hàng</w:t>
      </w:r>
      <w:r>
        <w:rPr>
          <w:spacing w:val="11"/>
        </w:rPr>
        <w:t> </w:t>
      </w:r>
      <w:r>
        <w:rPr/>
        <w:t>hoá</w:t>
      </w:r>
      <w:r>
        <w:rPr>
          <w:spacing w:val="10"/>
        </w:rPr>
        <w:t> </w:t>
      </w:r>
      <w:r>
        <w:rPr/>
        <w:t>(xếp</w:t>
      </w:r>
      <w:r>
        <w:rPr>
          <w:spacing w:val="10"/>
        </w:rPr>
        <w:t> </w:t>
      </w:r>
      <w:r>
        <w:rPr/>
        <w:t>hạng</w:t>
      </w:r>
      <w:r>
        <w:rPr>
          <w:spacing w:val="10"/>
        </w:rPr>
        <w:t> </w:t>
      </w:r>
      <w:r>
        <w:rPr/>
        <w:t>34.</w:t>
      </w:r>
      <w:r>
        <w:rPr>
          <w:spacing w:val="10"/>
        </w:rPr>
        <w:t> </w:t>
      </w:r>
      <w:r>
        <w:rPr/>
        <w:t>tăng</w:t>
      </w:r>
      <w:r>
        <w:rPr>
          <w:spacing w:val="11"/>
        </w:rPr>
        <w:t> </w:t>
      </w:r>
      <w:r>
        <w:rPr/>
        <w:t>41</w:t>
      </w:r>
      <w:r>
        <w:rPr>
          <w:spacing w:val="10"/>
        </w:rPr>
        <w:t> </w:t>
      </w:r>
      <w:r>
        <w:rPr/>
        <w:t>bậc).</w:t>
      </w:r>
      <w:r>
        <w:rPr>
          <w:spacing w:val="10"/>
        </w:rPr>
        <w:t> </w:t>
      </w:r>
      <w:r>
        <w:rPr/>
        <w:t>điều</w:t>
      </w:r>
      <w:r>
        <w:rPr>
          <w:spacing w:val="11"/>
        </w:rPr>
        <w:t> </w:t>
      </w:r>
      <w:r>
        <w:rPr/>
        <w:t>này</w:t>
      </w:r>
      <w:r>
        <w:rPr>
          <w:spacing w:val="11"/>
        </w:rPr>
        <w:t> </w:t>
      </w:r>
      <w:r>
        <w:rPr/>
        <w:t>phản</w:t>
      </w:r>
      <w:r>
        <w:rPr>
          <w:spacing w:val="11"/>
        </w:rPr>
        <w:t> </w:t>
      </w:r>
      <w:r>
        <w:rPr/>
        <w:t>ánh</w:t>
      </w:r>
      <w:r>
        <w:rPr>
          <w:spacing w:val="10"/>
        </w:rPr>
        <w:t> </w:t>
      </w:r>
      <w:r>
        <w:rPr/>
        <w:t>thực</w:t>
      </w:r>
    </w:p>
    <w:p>
      <w:pPr>
        <w:spacing w:after="0" w:line="360" w:lineRule="auto"/>
        <w:jc w:val="both"/>
        <w:sectPr>
          <w:pgSz w:w="11910" w:h="16850"/>
          <w:pgMar w:header="751" w:footer="0" w:top="960" w:bottom="280" w:left="820" w:right="240"/>
        </w:sectPr>
      </w:pPr>
    </w:p>
    <w:p>
      <w:pPr>
        <w:pStyle w:val="BodyText"/>
        <w:rPr>
          <w:sz w:val="20"/>
        </w:rPr>
      </w:pPr>
    </w:p>
    <w:p>
      <w:pPr>
        <w:pStyle w:val="BodyText"/>
        <w:spacing w:before="7"/>
        <w:rPr>
          <w:sz w:val="23"/>
        </w:rPr>
      </w:pPr>
    </w:p>
    <w:p>
      <w:pPr>
        <w:pStyle w:val="BodyText"/>
        <w:spacing w:line="360" w:lineRule="auto" w:before="89"/>
        <w:ind w:left="882" w:right="888"/>
        <w:jc w:val="both"/>
      </w:pPr>
      <w:r>
        <w:rPr/>
        <w:t>trạng về cải thiện lợi thế của doanh nghiệp thông qua ứng dụng công nghệ thông tin trong lĩnh vực Logistics. với tỷ lệ từ 15-20% vào năm 2015-2016 đã tăng lên 40-50% vào 2017-2018”. Chi phí vận tải cao, khả năng tiếp cận đến cảng còn kém, tổ chức hoạt động dịch vụ Logistics của cảng kém. Logistics là lĩnh vực rất cần thiết tuy nhiên việc đầu tư xây dựng phát triển cảng tại Việt Nam lại không được quan tâm. Theo diễn đàn kinh tế thế giới về tạo thuận lợi thương mại (ETI) thì Việt Nam trong những năm gần đây được tăng hạng từ 89 năm 2010 và 68 năm 2012 nhưng Việt Nam vẫn bị đánh giá thấp điểm trong chỉ số hiệu quả cụ thể là quản lý Hải quan, tính minh bạch trong xử lý thủ tục ở các cửa khẩu còn kém, thủ công. phát sinh tham nhũng...Bên cạnh đó các cảng của Việt Nam hiện nay thiếu quản lý bằng hệ thống thông tin, việc cập nhật giờ ra giờ vào của tàu, container còn làm thủ công nên làm chậm trễ trong lưu thông hàng hóa và điều này ảnh hưởng đến hiệu quả khai thác cảng, gây phiền cho khách hàng. mất đi lợi thế cạnh</w:t>
      </w:r>
      <w:r>
        <w:rPr>
          <w:spacing w:val="-5"/>
        </w:rPr>
        <w:t> </w:t>
      </w:r>
      <w:r>
        <w:rPr/>
        <w:t>tranh.</w:t>
      </w:r>
    </w:p>
    <w:p>
      <w:pPr>
        <w:pStyle w:val="BodyText"/>
        <w:spacing w:line="360" w:lineRule="auto"/>
        <w:ind w:left="882" w:right="864" w:firstLine="719"/>
        <w:jc w:val="both"/>
      </w:pPr>
      <w:r>
        <w:rPr/>
        <w:t>Từ các vấn đề trên có thể cho thấy nghiên cứu “Nâng cao lợi thế cạnh tranh cho cảng container Việt Nam” là rất cần thiết. Nghiên cứu này rất có ý nghĩa giúp các nhà đầu tư, kinh doanh khai thác cảng container có cái nhìn tổng thể khi quyết định đầu tư khai thác cảng container tại VN cũng như tìm ra giải pháp nâng cao lợi thế cạnh tranh trong khai thác cảng container tại VN. Bên cạnh đó nghiên cứu này còn có ý nghĩa giúp Chính Phủ xem xét điều chỉnh các quy hoạch và các kế hoạch hành động trong phát triển hệ thống cảng biển</w:t>
      </w:r>
      <w:r>
        <w:rPr>
          <w:spacing w:val="-1"/>
        </w:rPr>
        <w:t> </w:t>
      </w:r>
      <w:r>
        <w:rPr/>
        <w:t>VN.</w:t>
      </w:r>
    </w:p>
    <w:p>
      <w:pPr>
        <w:spacing w:after="0" w:line="360" w:lineRule="auto"/>
        <w:jc w:val="both"/>
        <w:sectPr>
          <w:pgSz w:w="11910" w:h="16850"/>
          <w:pgMar w:header="751" w:footer="0" w:top="960" w:bottom="280" w:left="820" w:right="240"/>
        </w:sectPr>
      </w:pPr>
    </w:p>
    <w:p>
      <w:pPr>
        <w:pStyle w:val="BodyText"/>
        <w:rPr>
          <w:sz w:val="20"/>
        </w:rPr>
      </w:pPr>
    </w:p>
    <w:p>
      <w:pPr>
        <w:pStyle w:val="BodyText"/>
        <w:spacing w:before="5"/>
        <w:rPr>
          <w:sz w:val="23"/>
        </w:rPr>
      </w:pPr>
    </w:p>
    <w:p>
      <w:pPr>
        <w:pStyle w:val="Heading4"/>
        <w:spacing w:line="360" w:lineRule="auto"/>
        <w:ind w:left="3784" w:right="1651" w:hanging="2132"/>
        <w:jc w:val="left"/>
      </w:pPr>
      <w:bookmarkStart w:name="_TOC_250001" w:id="55"/>
      <w:bookmarkEnd w:id="55"/>
      <w:r>
        <w:rPr/>
        <w:t>CÔNG TRÌNH NGHIÊN CỨU CỦA TÁC GIẢ ĐÃ CÔNG BỐ LIÊN QUAN ĐẾN ĐỀ TÀI</w:t>
      </w:r>
    </w:p>
    <w:p>
      <w:pPr>
        <w:pStyle w:val="BodyText"/>
        <w:spacing w:before="1"/>
        <w:rPr>
          <w:b/>
          <w:sz w:val="39"/>
        </w:rPr>
      </w:pPr>
    </w:p>
    <w:p>
      <w:pPr>
        <w:pStyle w:val="BodyText"/>
        <w:spacing w:line="360" w:lineRule="auto"/>
        <w:ind w:left="882" w:right="891"/>
        <w:jc w:val="both"/>
      </w:pPr>
      <w:r>
        <w:rPr/>
        <w:t>1/ Hà Minh Hiếu (2021). Nâng cao lợi thế cạnh tranh cho các cảng container tại Việt Nam. Tạp chí Khoa học Giao thông vận tải, Tập 72, Số 6 (08/2021), 763-777</w:t>
      </w:r>
    </w:p>
    <w:p>
      <w:pPr>
        <w:pStyle w:val="BodyText"/>
        <w:spacing w:before="10"/>
        <w:rPr>
          <w:sz w:val="38"/>
        </w:rPr>
      </w:pPr>
    </w:p>
    <w:p>
      <w:pPr>
        <w:pStyle w:val="Heading5"/>
        <w:spacing w:line="360" w:lineRule="auto" w:before="1"/>
        <w:ind w:right="884"/>
        <w:jc w:val="both"/>
      </w:pPr>
      <w:r>
        <w:rPr/>
        <w:t>2/ Ha Minh Hieu &amp; Nguyen Duc Bang (2021). Forecast container throughput volumes of seaport cluster number five by ARIMA model. 13 NEU-KKU INTERNATIONAL CONFERENCE the 2021 Proceedings. KHON KAEN UNIVERSITY NATIONAL ECONOMICS UNIVERSITY SOCIO- ECONOMIC AND ENVIRONMENTAL ISSUES IN DEVELOPMENT.</w:t>
      </w:r>
    </w:p>
    <w:p>
      <w:pPr>
        <w:spacing w:after="0" w:line="360" w:lineRule="auto"/>
        <w:jc w:val="both"/>
        <w:sectPr>
          <w:pgSz w:w="11910" w:h="16850"/>
          <w:pgMar w:header="751" w:footer="0" w:top="960" w:bottom="280" w:left="820" w:right="240"/>
        </w:sectPr>
      </w:pPr>
    </w:p>
    <w:p>
      <w:pPr>
        <w:pStyle w:val="BodyText"/>
        <w:rPr>
          <w:sz w:val="20"/>
        </w:rPr>
      </w:pPr>
    </w:p>
    <w:p>
      <w:pPr>
        <w:pStyle w:val="BodyText"/>
        <w:spacing w:before="7"/>
        <w:rPr>
          <w:sz w:val="23"/>
        </w:rPr>
      </w:pPr>
    </w:p>
    <w:p>
      <w:pPr>
        <w:spacing w:before="85"/>
        <w:ind w:left="944" w:right="952" w:firstLine="0"/>
        <w:jc w:val="center"/>
        <w:rPr>
          <w:b/>
          <w:sz w:val="32"/>
        </w:rPr>
      </w:pPr>
      <w:bookmarkStart w:name="_TOC_250000" w:id="56"/>
      <w:bookmarkEnd w:id="56"/>
      <w:r>
        <w:rPr>
          <w:b/>
          <w:sz w:val="32"/>
        </w:rPr>
        <w:t>TÀI LIỆU THAM KHẢO</w:t>
      </w:r>
    </w:p>
    <w:p>
      <w:pPr>
        <w:spacing w:before="188"/>
        <w:ind w:left="882" w:right="0" w:firstLine="0"/>
        <w:jc w:val="both"/>
        <w:rPr>
          <w:b/>
          <w:i/>
          <w:sz w:val="26"/>
        </w:rPr>
      </w:pPr>
      <w:r>
        <w:rPr>
          <w:b/>
          <w:i/>
          <w:sz w:val="26"/>
          <w:u w:val="thick"/>
        </w:rPr>
        <w:t>Danh mục tài liệu tiếng Việt</w:t>
      </w:r>
    </w:p>
    <w:p>
      <w:pPr>
        <w:pStyle w:val="ListParagraph"/>
        <w:numPr>
          <w:ilvl w:val="0"/>
          <w:numId w:val="31"/>
        </w:numPr>
        <w:tabs>
          <w:tab w:pos="1178" w:val="left" w:leader="none"/>
        </w:tabs>
        <w:spacing w:line="360" w:lineRule="auto" w:before="150" w:after="0"/>
        <w:ind w:left="882" w:right="888" w:firstLine="0"/>
        <w:jc w:val="both"/>
        <w:rPr>
          <w:sz w:val="26"/>
        </w:rPr>
      </w:pPr>
      <w:r>
        <w:rPr>
          <w:sz w:val="26"/>
        </w:rPr>
        <w:t>Dương Văn Bạo (2005). </w:t>
      </w:r>
      <w:r>
        <w:rPr>
          <w:i/>
          <w:sz w:val="26"/>
        </w:rPr>
        <w:t>Nghiên cứu và hoàn thiện phương pháp quy hoạch bến </w:t>
      </w:r>
      <w:r>
        <w:rPr>
          <w:i/>
          <w:sz w:val="26"/>
        </w:rPr>
        <w:t>cảng và áp dụng vào khu vực kinh tế phía bắc </w:t>
      </w:r>
      <w:r>
        <w:rPr>
          <w:i/>
          <w:spacing w:val="-5"/>
          <w:sz w:val="26"/>
        </w:rPr>
        <w:t>Việt </w:t>
      </w:r>
      <w:r>
        <w:rPr>
          <w:i/>
          <w:sz w:val="26"/>
        </w:rPr>
        <w:t>Nam</w:t>
      </w:r>
      <w:r>
        <w:rPr>
          <w:sz w:val="26"/>
        </w:rPr>
        <w:t>. Đề tài </w:t>
      </w:r>
      <w:r>
        <w:rPr>
          <w:spacing w:val="-3"/>
          <w:sz w:val="26"/>
        </w:rPr>
        <w:t>Tiến </w:t>
      </w:r>
      <w:r>
        <w:rPr>
          <w:sz w:val="26"/>
        </w:rPr>
        <w:t>Sĩ. chuyên ngành: Tổ Chức và Quản Lý Vận Tải. ĐH Hàng Hải </w:t>
      </w:r>
      <w:r>
        <w:rPr>
          <w:spacing w:val="-5"/>
          <w:sz w:val="26"/>
        </w:rPr>
        <w:t>Việt</w:t>
      </w:r>
      <w:r>
        <w:rPr>
          <w:spacing w:val="-18"/>
          <w:sz w:val="26"/>
        </w:rPr>
        <w:t> </w:t>
      </w:r>
      <w:r>
        <w:rPr>
          <w:sz w:val="26"/>
        </w:rPr>
        <w:t>Nam</w:t>
      </w:r>
    </w:p>
    <w:p>
      <w:pPr>
        <w:pStyle w:val="ListParagraph"/>
        <w:numPr>
          <w:ilvl w:val="0"/>
          <w:numId w:val="31"/>
        </w:numPr>
        <w:tabs>
          <w:tab w:pos="1149" w:val="left" w:leader="none"/>
        </w:tabs>
        <w:spacing w:line="360" w:lineRule="auto" w:before="0" w:after="0"/>
        <w:ind w:left="882" w:right="888" w:firstLine="0"/>
        <w:jc w:val="both"/>
        <w:rPr>
          <w:sz w:val="26"/>
        </w:rPr>
      </w:pPr>
      <w:r>
        <w:rPr>
          <w:sz w:val="26"/>
        </w:rPr>
        <w:t>Dương Ngọc Dũng (2008), </w:t>
      </w:r>
      <w:r>
        <w:rPr>
          <w:i/>
          <w:sz w:val="26"/>
        </w:rPr>
        <w:t>Chiến lược cạnh tranh theo lý thuyết Michael E. Porter</w:t>
      </w:r>
      <w:r>
        <w:rPr>
          <w:sz w:val="26"/>
        </w:rPr>
        <w:t>, Nxb Tổng hợp TP.</w:t>
      </w:r>
      <w:r>
        <w:rPr>
          <w:spacing w:val="-3"/>
          <w:sz w:val="26"/>
        </w:rPr>
        <w:t> </w:t>
      </w:r>
      <w:r>
        <w:rPr>
          <w:sz w:val="26"/>
        </w:rPr>
        <w:t>HCM.</w:t>
      </w:r>
    </w:p>
    <w:p>
      <w:pPr>
        <w:pStyle w:val="ListParagraph"/>
        <w:numPr>
          <w:ilvl w:val="0"/>
          <w:numId w:val="31"/>
        </w:numPr>
        <w:tabs>
          <w:tab w:pos="1142" w:val="left" w:leader="none"/>
        </w:tabs>
        <w:spacing w:line="360" w:lineRule="auto" w:before="0" w:after="0"/>
        <w:ind w:left="882" w:right="973" w:firstLine="0"/>
        <w:jc w:val="left"/>
        <w:rPr>
          <w:sz w:val="26"/>
        </w:rPr>
      </w:pPr>
      <w:r>
        <w:rPr>
          <w:sz w:val="26"/>
        </w:rPr>
        <w:t>Đỗ Hoàng Long (2008). </w:t>
      </w:r>
      <w:r>
        <w:rPr>
          <w:i/>
          <w:sz w:val="26"/>
        </w:rPr>
        <w:t>Tác động của toàn cầu hóa kinh tế đối với dòng vốn đầu tư </w:t>
      </w:r>
      <w:r>
        <w:rPr>
          <w:i/>
          <w:sz w:val="26"/>
        </w:rPr>
        <w:t>trực tiếp nước ngoài vào Việt Nam</w:t>
      </w:r>
      <w:r>
        <w:rPr>
          <w:sz w:val="26"/>
        </w:rPr>
        <w:t>. Đề tài tiến sĩ Kinh tế: 62.31.07.01. Đại học Hàng Hải Việt</w:t>
      </w:r>
      <w:r>
        <w:rPr>
          <w:spacing w:val="-3"/>
          <w:sz w:val="26"/>
        </w:rPr>
        <w:t> </w:t>
      </w:r>
      <w:r>
        <w:rPr>
          <w:sz w:val="26"/>
        </w:rPr>
        <w:t>Nam</w:t>
      </w:r>
    </w:p>
    <w:p>
      <w:pPr>
        <w:pStyle w:val="ListParagraph"/>
        <w:numPr>
          <w:ilvl w:val="0"/>
          <w:numId w:val="31"/>
        </w:numPr>
        <w:tabs>
          <w:tab w:pos="1161" w:val="left" w:leader="none"/>
        </w:tabs>
        <w:spacing w:line="357" w:lineRule="auto" w:before="0" w:after="0"/>
        <w:ind w:left="882" w:right="889" w:firstLine="0"/>
        <w:jc w:val="left"/>
        <w:rPr>
          <w:sz w:val="26"/>
        </w:rPr>
      </w:pPr>
      <w:r>
        <w:rPr>
          <w:sz w:val="26"/>
        </w:rPr>
        <w:t>Hoàng Trọng and Chu Nguyễn Mộng Ngọc (2010). </w:t>
      </w:r>
      <w:r>
        <w:rPr>
          <w:i/>
          <w:sz w:val="26"/>
        </w:rPr>
        <w:t>Thống kê ứng dụng trong kinh </w:t>
      </w:r>
      <w:r>
        <w:rPr>
          <w:i/>
          <w:sz w:val="26"/>
        </w:rPr>
        <w:t>tế-xã hội</w:t>
      </w:r>
      <w:r>
        <w:rPr>
          <w:sz w:val="26"/>
        </w:rPr>
        <w:t>. NXB Thống</w:t>
      </w:r>
      <w:r>
        <w:rPr>
          <w:spacing w:val="-6"/>
          <w:sz w:val="26"/>
        </w:rPr>
        <w:t> </w:t>
      </w:r>
      <w:r>
        <w:rPr>
          <w:sz w:val="26"/>
        </w:rPr>
        <w:t>Kê</w:t>
      </w:r>
    </w:p>
    <w:p>
      <w:pPr>
        <w:pStyle w:val="ListParagraph"/>
        <w:numPr>
          <w:ilvl w:val="0"/>
          <w:numId w:val="31"/>
        </w:numPr>
        <w:tabs>
          <w:tab w:pos="1171" w:val="left" w:leader="none"/>
        </w:tabs>
        <w:spacing w:line="360" w:lineRule="auto" w:before="5" w:after="0"/>
        <w:ind w:left="882" w:right="891" w:firstLine="0"/>
        <w:jc w:val="left"/>
        <w:rPr>
          <w:sz w:val="26"/>
        </w:rPr>
      </w:pPr>
      <w:r>
        <w:rPr>
          <w:sz w:val="26"/>
        </w:rPr>
        <w:t>Nguyễn Kim Chung (2001). </w:t>
      </w:r>
      <w:r>
        <w:rPr>
          <w:i/>
          <w:sz w:val="26"/>
        </w:rPr>
        <w:t>Những giải pháp phát triển cảng biển phía nam đến </w:t>
      </w:r>
      <w:r>
        <w:rPr>
          <w:i/>
          <w:sz w:val="26"/>
        </w:rPr>
        <w:t>năm 2010</w:t>
      </w:r>
      <w:r>
        <w:rPr>
          <w:sz w:val="26"/>
        </w:rPr>
        <w:t>. Đề tài </w:t>
      </w:r>
      <w:r>
        <w:rPr>
          <w:spacing w:val="-3"/>
          <w:sz w:val="26"/>
        </w:rPr>
        <w:t>Tiến </w:t>
      </w:r>
      <w:r>
        <w:rPr>
          <w:sz w:val="26"/>
        </w:rPr>
        <w:t>Sĩ. Đại Học Kinh Tế</w:t>
      </w:r>
      <w:r>
        <w:rPr>
          <w:spacing w:val="-11"/>
          <w:sz w:val="26"/>
        </w:rPr>
        <w:t> </w:t>
      </w:r>
      <w:r>
        <w:rPr>
          <w:sz w:val="26"/>
        </w:rPr>
        <w:t>Tp.HCM</w:t>
      </w:r>
    </w:p>
    <w:p>
      <w:pPr>
        <w:pStyle w:val="ListParagraph"/>
        <w:numPr>
          <w:ilvl w:val="0"/>
          <w:numId w:val="31"/>
        </w:numPr>
        <w:tabs>
          <w:tab w:pos="1178" w:val="left" w:leader="none"/>
        </w:tabs>
        <w:spacing w:line="360" w:lineRule="auto" w:before="0" w:after="0"/>
        <w:ind w:left="882" w:right="891" w:firstLine="0"/>
        <w:jc w:val="left"/>
        <w:rPr>
          <w:sz w:val="26"/>
        </w:rPr>
      </w:pPr>
      <w:r>
        <w:rPr>
          <w:sz w:val="26"/>
        </w:rPr>
        <w:t>Nguyễn Ngọc Thanh (2002). </w:t>
      </w:r>
      <w:r>
        <w:rPr>
          <w:i/>
          <w:sz w:val="26"/>
        </w:rPr>
        <w:t>Giải pháp chiến lược phát triển cảng biển khu vực </w:t>
      </w:r>
      <w:r>
        <w:rPr>
          <w:i/>
          <w:sz w:val="26"/>
        </w:rPr>
        <w:t>Tp.HCM đến năm 2010</w:t>
      </w:r>
      <w:r>
        <w:rPr>
          <w:sz w:val="26"/>
        </w:rPr>
        <w:t>. Đề tài Tiến Sĩ. Đại Học Kinh Tế</w:t>
      </w:r>
      <w:r>
        <w:rPr>
          <w:spacing w:val="-21"/>
          <w:sz w:val="26"/>
        </w:rPr>
        <w:t> </w:t>
      </w:r>
      <w:r>
        <w:rPr>
          <w:sz w:val="26"/>
        </w:rPr>
        <w:t>Tp.HCM</w:t>
      </w:r>
    </w:p>
    <w:p>
      <w:pPr>
        <w:pStyle w:val="ListParagraph"/>
        <w:numPr>
          <w:ilvl w:val="0"/>
          <w:numId w:val="31"/>
        </w:numPr>
        <w:tabs>
          <w:tab w:pos="1178" w:val="left" w:leader="none"/>
        </w:tabs>
        <w:spacing w:line="360" w:lineRule="auto" w:before="1" w:after="0"/>
        <w:ind w:left="882" w:right="888" w:firstLine="0"/>
        <w:jc w:val="left"/>
        <w:rPr>
          <w:sz w:val="26"/>
        </w:rPr>
      </w:pPr>
      <w:r>
        <w:rPr>
          <w:sz w:val="26"/>
        </w:rPr>
        <w:t>Nguyễn Đình Thọ (2011). </w:t>
      </w:r>
      <w:r>
        <w:rPr>
          <w:i/>
          <w:sz w:val="26"/>
        </w:rPr>
        <w:t>Phương pháp nghiên cứu khoa học trong kinh doanh</w:t>
      </w:r>
      <w:r>
        <w:rPr>
          <w:sz w:val="26"/>
        </w:rPr>
        <w:t>. NXB</w:t>
      </w:r>
      <w:r>
        <w:rPr>
          <w:spacing w:val="-2"/>
          <w:sz w:val="26"/>
        </w:rPr>
        <w:t> </w:t>
      </w:r>
      <w:r>
        <w:rPr>
          <w:sz w:val="26"/>
        </w:rPr>
        <w:t>LĐ-XH.</w:t>
      </w:r>
    </w:p>
    <w:p>
      <w:pPr>
        <w:pStyle w:val="ListParagraph"/>
        <w:numPr>
          <w:ilvl w:val="0"/>
          <w:numId w:val="31"/>
        </w:numPr>
        <w:tabs>
          <w:tab w:pos="1142" w:val="left" w:leader="none"/>
        </w:tabs>
        <w:spacing w:line="297" w:lineRule="exact" w:before="0" w:after="0"/>
        <w:ind w:left="1141" w:right="0" w:hanging="260"/>
        <w:jc w:val="both"/>
        <w:rPr>
          <w:sz w:val="26"/>
        </w:rPr>
      </w:pPr>
      <w:r>
        <w:rPr>
          <w:sz w:val="26"/>
        </w:rPr>
        <w:t>Nguyễn Văn Khoảng (2005). </w:t>
      </w:r>
      <w:r>
        <w:rPr>
          <w:i/>
          <w:sz w:val="26"/>
        </w:rPr>
        <w:t>Tổ chức khai thác cảng</w:t>
      </w:r>
      <w:r>
        <w:rPr>
          <w:sz w:val="26"/>
        </w:rPr>
        <w:t>. NXB ĐH GTVT</w:t>
      </w:r>
      <w:r>
        <w:rPr>
          <w:spacing w:val="-5"/>
          <w:sz w:val="26"/>
        </w:rPr>
        <w:t> </w:t>
      </w:r>
      <w:r>
        <w:rPr>
          <w:sz w:val="26"/>
        </w:rPr>
        <w:t>Tp.HCM.</w:t>
      </w:r>
    </w:p>
    <w:p>
      <w:pPr>
        <w:pStyle w:val="ListParagraph"/>
        <w:numPr>
          <w:ilvl w:val="0"/>
          <w:numId w:val="31"/>
        </w:numPr>
        <w:tabs>
          <w:tab w:pos="1173" w:val="left" w:leader="none"/>
        </w:tabs>
        <w:spacing w:line="360" w:lineRule="auto" w:before="150" w:after="0"/>
        <w:ind w:left="882" w:right="891" w:firstLine="0"/>
        <w:jc w:val="both"/>
        <w:rPr>
          <w:sz w:val="26"/>
        </w:rPr>
      </w:pPr>
      <w:r>
        <w:rPr>
          <w:sz w:val="26"/>
        </w:rPr>
        <w:t>Nguyễn Thị Phương (2008). </w:t>
      </w:r>
      <w:r>
        <w:rPr>
          <w:i/>
          <w:sz w:val="26"/>
        </w:rPr>
        <w:t>Các giải pháp cơ bản hoàn thiện và khai thác cảng </w:t>
      </w:r>
      <w:r>
        <w:rPr>
          <w:i/>
          <w:sz w:val="26"/>
        </w:rPr>
        <w:t>phục vụ vận tải đa phương thức</w:t>
      </w:r>
      <w:r>
        <w:rPr>
          <w:sz w:val="26"/>
        </w:rPr>
        <w:t>. Đề tài </w:t>
      </w:r>
      <w:r>
        <w:rPr>
          <w:spacing w:val="-3"/>
          <w:sz w:val="26"/>
        </w:rPr>
        <w:t>Tiến </w:t>
      </w:r>
      <w:r>
        <w:rPr>
          <w:sz w:val="26"/>
        </w:rPr>
        <w:t>Sĩ. chuyên ngành: Tổ Chức và Quản Lý Vận Tải. ĐH Hàng Hải </w:t>
      </w:r>
      <w:r>
        <w:rPr>
          <w:spacing w:val="-5"/>
          <w:sz w:val="26"/>
        </w:rPr>
        <w:t>Việt</w:t>
      </w:r>
      <w:r>
        <w:rPr>
          <w:spacing w:val="-10"/>
          <w:sz w:val="26"/>
        </w:rPr>
        <w:t> </w:t>
      </w:r>
      <w:r>
        <w:rPr>
          <w:sz w:val="26"/>
        </w:rPr>
        <w:t>Nam.</w:t>
      </w:r>
    </w:p>
    <w:p>
      <w:pPr>
        <w:pStyle w:val="ListParagraph"/>
        <w:numPr>
          <w:ilvl w:val="0"/>
          <w:numId w:val="31"/>
        </w:numPr>
        <w:tabs>
          <w:tab w:pos="1276" w:val="left" w:leader="none"/>
        </w:tabs>
        <w:spacing w:line="360" w:lineRule="auto" w:before="1" w:after="0"/>
        <w:ind w:left="882" w:right="888" w:firstLine="0"/>
        <w:jc w:val="both"/>
        <w:rPr>
          <w:sz w:val="26"/>
        </w:rPr>
      </w:pPr>
      <w:r>
        <w:rPr>
          <w:sz w:val="26"/>
        </w:rPr>
        <w:t>Nguyễn Thị Thu Hà (2013). </w:t>
      </w:r>
      <w:r>
        <w:rPr>
          <w:i/>
          <w:sz w:val="26"/>
        </w:rPr>
        <w:t>Đầu tư phát triển cảng biển </w:t>
      </w:r>
      <w:r>
        <w:rPr>
          <w:i/>
          <w:spacing w:val="-6"/>
          <w:sz w:val="26"/>
        </w:rPr>
        <w:t>Việt </w:t>
      </w:r>
      <w:r>
        <w:rPr>
          <w:i/>
          <w:sz w:val="26"/>
        </w:rPr>
        <w:t>Nam giai đoạn 2005- </w:t>
      </w:r>
      <w:r>
        <w:rPr>
          <w:i/>
          <w:sz w:val="26"/>
        </w:rPr>
        <w:t>2020</w:t>
      </w:r>
      <w:r>
        <w:rPr>
          <w:sz w:val="26"/>
        </w:rPr>
        <w:t>. Đề tài Tiến Sĩ. chuyên ngành kinh tế phát triển. Trường Đại Học Kinh Tế Quốc Dân.</w:t>
      </w:r>
    </w:p>
    <w:p>
      <w:pPr>
        <w:pStyle w:val="ListParagraph"/>
        <w:numPr>
          <w:ilvl w:val="0"/>
          <w:numId w:val="31"/>
        </w:numPr>
        <w:tabs>
          <w:tab w:pos="1324" w:val="left" w:leader="none"/>
        </w:tabs>
        <w:spacing w:line="360" w:lineRule="auto" w:before="2" w:after="0"/>
        <w:ind w:left="882" w:right="886" w:firstLine="0"/>
        <w:jc w:val="both"/>
        <w:rPr>
          <w:sz w:val="26"/>
        </w:rPr>
      </w:pPr>
      <w:r>
        <w:rPr>
          <w:sz w:val="26"/>
        </w:rPr>
        <w:t>Nguyễn Xuân Hiệp (2011). Nâng cao lợi thế cạnh tranh cho các siêu thị tại Tp.HCM giai đoạn 2011-2020. Đề tài Tiến sĩ, chuyên ngành: Quản trị Kinh doanh. Trường Đại học Kinh tế</w:t>
      </w:r>
      <w:r>
        <w:rPr>
          <w:spacing w:val="-8"/>
          <w:sz w:val="26"/>
        </w:rPr>
        <w:t> </w:t>
      </w:r>
      <w:r>
        <w:rPr>
          <w:sz w:val="26"/>
        </w:rPr>
        <w:t>Tp.HCM.</w:t>
      </w:r>
    </w:p>
    <w:p>
      <w:pPr>
        <w:pStyle w:val="ListParagraph"/>
        <w:numPr>
          <w:ilvl w:val="0"/>
          <w:numId w:val="31"/>
        </w:numPr>
        <w:tabs>
          <w:tab w:pos="1307" w:val="left" w:leader="none"/>
        </w:tabs>
        <w:spacing w:line="360" w:lineRule="auto" w:before="0" w:after="0"/>
        <w:ind w:left="882" w:right="893" w:firstLine="0"/>
        <w:jc w:val="both"/>
        <w:rPr>
          <w:sz w:val="26"/>
        </w:rPr>
      </w:pPr>
      <w:r>
        <w:rPr>
          <w:sz w:val="26"/>
        </w:rPr>
        <w:t>Porter, M. (1985), </w:t>
      </w:r>
      <w:r>
        <w:rPr>
          <w:i/>
          <w:sz w:val="26"/>
        </w:rPr>
        <w:t>Competitive Advantage</w:t>
      </w:r>
      <w:r>
        <w:rPr>
          <w:sz w:val="26"/>
        </w:rPr>
        <w:t>, Nguyễn Phúc Hoàng biên dịch, Nxb Trẻ - DT BOOKS,</w:t>
      </w:r>
      <w:r>
        <w:rPr>
          <w:spacing w:val="-3"/>
          <w:sz w:val="26"/>
        </w:rPr>
        <w:t> </w:t>
      </w:r>
      <w:r>
        <w:rPr>
          <w:sz w:val="26"/>
        </w:rPr>
        <w:t>2009.</w:t>
      </w:r>
    </w:p>
    <w:p>
      <w:pPr>
        <w:spacing w:after="0" w:line="360" w:lineRule="auto"/>
        <w:jc w:val="both"/>
        <w:rPr>
          <w:sz w:val="26"/>
        </w:rPr>
        <w:sectPr>
          <w:pgSz w:w="11910" w:h="16850"/>
          <w:pgMar w:header="751" w:footer="0" w:top="960" w:bottom="280" w:left="820" w:right="240"/>
        </w:sectPr>
      </w:pPr>
    </w:p>
    <w:p>
      <w:pPr>
        <w:pStyle w:val="BodyText"/>
        <w:rPr>
          <w:sz w:val="20"/>
        </w:rPr>
      </w:pPr>
    </w:p>
    <w:p>
      <w:pPr>
        <w:pStyle w:val="BodyText"/>
        <w:spacing w:before="7"/>
        <w:rPr>
          <w:sz w:val="23"/>
        </w:rPr>
      </w:pPr>
    </w:p>
    <w:p>
      <w:pPr>
        <w:pStyle w:val="ListParagraph"/>
        <w:numPr>
          <w:ilvl w:val="0"/>
          <w:numId w:val="31"/>
        </w:numPr>
        <w:tabs>
          <w:tab w:pos="1307" w:val="left" w:leader="none"/>
        </w:tabs>
        <w:spacing w:line="360" w:lineRule="auto" w:before="89" w:after="0"/>
        <w:ind w:left="882" w:right="894" w:firstLine="0"/>
        <w:jc w:val="left"/>
        <w:rPr>
          <w:sz w:val="26"/>
        </w:rPr>
      </w:pPr>
      <w:r>
        <w:rPr>
          <w:sz w:val="26"/>
        </w:rPr>
        <w:t>Porter, M. (1990), </w:t>
      </w:r>
      <w:r>
        <w:rPr>
          <w:i/>
          <w:sz w:val="26"/>
        </w:rPr>
        <w:t>The Competitive Advantage of Nations</w:t>
      </w:r>
      <w:r>
        <w:rPr>
          <w:sz w:val="26"/>
        </w:rPr>
        <w:t>, Nguyễn Phúc Hoàng biên dịch, Nxb Trẻ - DT</w:t>
      </w:r>
      <w:r>
        <w:rPr>
          <w:spacing w:val="1"/>
          <w:sz w:val="26"/>
        </w:rPr>
        <w:t> </w:t>
      </w:r>
      <w:r>
        <w:rPr>
          <w:sz w:val="26"/>
        </w:rPr>
        <w:t>BOOKS.</w:t>
      </w:r>
    </w:p>
    <w:p>
      <w:pPr>
        <w:pStyle w:val="ListParagraph"/>
        <w:numPr>
          <w:ilvl w:val="0"/>
          <w:numId w:val="31"/>
        </w:numPr>
        <w:tabs>
          <w:tab w:pos="1271" w:val="left" w:leader="none"/>
        </w:tabs>
        <w:spacing w:line="240" w:lineRule="auto" w:before="0" w:after="0"/>
        <w:ind w:left="1270" w:right="0" w:hanging="389"/>
        <w:jc w:val="left"/>
        <w:rPr>
          <w:sz w:val="26"/>
        </w:rPr>
      </w:pPr>
      <w:r>
        <w:rPr>
          <w:sz w:val="26"/>
        </w:rPr>
        <w:t>Kotler, P. (2001), </w:t>
      </w:r>
      <w:r>
        <w:rPr>
          <w:i/>
          <w:sz w:val="26"/>
        </w:rPr>
        <w:t>Quản Trị Marketing</w:t>
      </w:r>
      <w:r>
        <w:rPr>
          <w:sz w:val="26"/>
        </w:rPr>
        <w:t>, Vũ Trọng Hùng dịch, Nxb Thống</w:t>
      </w:r>
      <w:r>
        <w:rPr>
          <w:spacing w:val="-10"/>
          <w:sz w:val="26"/>
        </w:rPr>
        <w:t> </w:t>
      </w:r>
      <w:r>
        <w:rPr>
          <w:sz w:val="26"/>
        </w:rPr>
        <w:t>kê.</w:t>
      </w:r>
    </w:p>
    <w:p>
      <w:pPr>
        <w:pStyle w:val="ListParagraph"/>
        <w:numPr>
          <w:ilvl w:val="0"/>
          <w:numId w:val="31"/>
        </w:numPr>
        <w:tabs>
          <w:tab w:pos="1286" w:val="left" w:leader="none"/>
        </w:tabs>
        <w:spacing w:line="360" w:lineRule="auto" w:before="148" w:after="0"/>
        <w:ind w:left="882" w:right="888" w:firstLine="0"/>
        <w:jc w:val="left"/>
        <w:rPr>
          <w:sz w:val="26"/>
        </w:rPr>
      </w:pPr>
      <w:r>
        <w:rPr>
          <w:sz w:val="26"/>
        </w:rPr>
        <w:t>Tôn Thất Nguyễn Thiêm (2003). </w:t>
      </w:r>
      <w:r>
        <w:rPr>
          <w:i/>
          <w:sz w:val="26"/>
        </w:rPr>
        <w:t>Thị trường, Chiến lược, Cơ cấu: Cạnh tranh về </w:t>
      </w:r>
      <w:r>
        <w:rPr>
          <w:i/>
          <w:sz w:val="26"/>
        </w:rPr>
        <w:t>giá trị gia tăng, định vị và phát triển doanh nghiệp</w:t>
      </w:r>
      <w:r>
        <w:rPr>
          <w:sz w:val="26"/>
        </w:rPr>
        <w:t>, Nxb Tổng hợp </w:t>
      </w:r>
      <w:r>
        <w:rPr>
          <w:spacing w:val="-9"/>
          <w:sz w:val="26"/>
        </w:rPr>
        <w:t>TP.</w:t>
      </w:r>
      <w:r>
        <w:rPr>
          <w:spacing w:val="-22"/>
          <w:sz w:val="26"/>
        </w:rPr>
        <w:t> </w:t>
      </w:r>
      <w:r>
        <w:rPr>
          <w:sz w:val="26"/>
        </w:rPr>
        <w:t>HCM</w:t>
      </w:r>
    </w:p>
    <w:p>
      <w:pPr>
        <w:spacing w:line="360" w:lineRule="auto" w:before="0"/>
        <w:ind w:left="882" w:right="924" w:firstLine="0"/>
        <w:jc w:val="left"/>
        <w:rPr>
          <w:sz w:val="26"/>
        </w:rPr>
      </w:pPr>
      <w:r>
        <w:rPr>
          <w:sz w:val="26"/>
        </w:rPr>
        <w:t>Vũ Tùng Lâm (2006), </w:t>
      </w:r>
      <w:r>
        <w:rPr>
          <w:i/>
          <w:sz w:val="26"/>
        </w:rPr>
        <w:t>Nâng cao sức cạnh tranh của các doanh nghiệp trong tiến trình </w:t>
      </w:r>
      <w:r>
        <w:rPr>
          <w:i/>
          <w:sz w:val="26"/>
        </w:rPr>
        <w:t>hội nhập kinh tế quốc tế</w:t>
      </w:r>
      <w:r>
        <w:rPr>
          <w:sz w:val="26"/>
        </w:rPr>
        <w:t>, Nxb Chính Trị quốc gia, Hà Nội.</w:t>
      </w:r>
    </w:p>
    <w:p>
      <w:pPr>
        <w:pStyle w:val="ListParagraph"/>
        <w:numPr>
          <w:ilvl w:val="0"/>
          <w:numId w:val="31"/>
        </w:numPr>
        <w:tabs>
          <w:tab w:pos="1290" w:val="left" w:leader="none"/>
        </w:tabs>
        <w:spacing w:line="360" w:lineRule="auto" w:before="1" w:after="0"/>
        <w:ind w:left="882" w:right="891" w:firstLine="0"/>
        <w:jc w:val="left"/>
        <w:rPr>
          <w:sz w:val="26"/>
        </w:rPr>
      </w:pPr>
      <w:r>
        <w:rPr>
          <w:sz w:val="26"/>
        </w:rPr>
        <w:t>Hội đồng Trung ương (2002), </w:t>
      </w:r>
      <w:r>
        <w:rPr>
          <w:i/>
          <w:sz w:val="26"/>
        </w:rPr>
        <w:t>Giáo trình Kinh tế học chính trị Mác - Lênin</w:t>
      </w:r>
      <w:r>
        <w:rPr>
          <w:sz w:val="26"/>
        </w:rPr>
        <w:t>, Nxb Chính trị quốc gia, Hà</w:t>
      </w:r>
      <w:r>
        <w:rPr>
          <w:spacing w:val="-1"/>
          <w:sz w:val="26"/>
        </w:rPr>
        <w:t> </w:t>
      </w:r>
      <w:r>
        <w:rPr>
          <w:sz w:val="26"/>
        </w:rPr>
        <w:t>Nội.</w:t>
      </w:r>
    </w:p>
    <w:p>
      <w:pPr>
        <w:pStyle w:val="ListParagraph"/>
        <w:numPr>
          <w:ilvl w:val="0"/>
          <w:numId w:val="31"/>
        </w:numPr>
        <w:tabs>
          <w:tab w:pos="1312" w:val="left" w:leader="none"/>
        </w:tabs>
        <w:spacing w:line="360" w:lineRule="auto" w:before="1" w:after="0"/>
        <w:ind w:left="882" w:right="891" w:firstLine="0"/>
        <w:jc w:val="left"/>
        <w:rPr>
          <w:sz w:val="26"/>
        </w:rPr>
      </w:pPr>
      <w:r>
        <w:rPr>
          <w:sz w:val="26"/>
        </w:rPr>
        <w:t>Hiệp Hội Doanh Nghiệp Dịch Vụ Logistics VN (2018). </w:t>
      </w:r>
      <w:r>
        <w:rPr>
          <w:i/>
          <w:sz w:val="26"/>
        </w:rPr>
        <w:t>Sách trắng VLA 2018</w:t>
      </w:r>
      <w:r>
        <w:rPr>
          <w:sz w:val="26"/>
        </w:rPr>
        <w:t>. NXB Văn Hóa Nghệ</w:t>
      </w:r>
      <w:r>
        <w:rPr>
          <w:spacing w:val="-11"/>
          <w:sz w:val="26"/>
        </w:rPr>
        <w:t> </w:t>
      </w:r>
      <w:r>
        <w:rPr>
          <w:sz w:val="26"/>
        </w:rPr>
        <w:t>Thuật.</w:t>
      </w:r>
    </w:p>
    <w:p>
      <w:pPr>
        <w:spacing w:line="297" w:lineRule="exact" w:before="0"/>
        <w:ind w:left="882" w:right="0" w:firstLine="0"/>
        <w:jc w:val="both"/>
        <w:rPr>
          <w:b/>
          <w:i/>
          <w:sz w:val="26"/>
        </w:rPr>
      </w:pPr>
      <w:r>
        <w:rPr>
          <w:b/>
          <w:i/>
          <w:sz w:val="26"/>
          <w:u w:val="thick"/>
        </w:rPr>
        <w:t>Danh mục tài liệu tiếng Anh</w:t>
      </w:r>
    </w:p>
    <w:p>
      <w:pPr>
        <w:pStyle w:val="ListParagraph"/>
        <w:numPr>
          <w:ilvl w:val="0"/>
          <w:numId w:val="31"/>
        </w:numPr>
        <w:tabs>
          <w:tab w:pos="1271" w:val="left" w:leader="none"/>
        </w:tabs>
        <w:spacing w:line="360" w:lineRule="auto" w:before="150" w:after="0"/>
        <w:ind w:left="882" w:right="1001" w:firstLine="0"/>
        <w:jc w:val="both"/>
        <w:rPr>
          <w:sz w:val="26"/>
        </w:rPr>
      </w:pPr>
      <w:r>
        <w:rPr>
          <w:sz w:val="26"/>
        </w:rPr>
        <w:t>Ahmed Shaheen &amp; Hany Mahmoud (2018). The compettive advantage of seaports and applied to the east port said. International Journal of Research in Applied. Natural and Social Sciences (IMPACT: IJRANSS) ISSN(E): 2321-8851; ISSN(P): 2347-4580 Vol. 2. Issue 11. Nov 2014.</w:t>
      </w:r>
      <w:r>
        <w:rPr>
          <w:spacing w:val="-4"/>
          <w:sz w:val="26"/>
        </w:rPr>
        <w:t> </w:t>
      </w:r>
      <w:r>
        <w:rPr>
          <w:sz w:val="26"/>
        </w:rPr>
        <w:t>111-120</w:t>
      </w:r>
    </w:p>
    <w:p>
      <w:pPr>
        <w:pStyle w:val="ListParagraph"/>
        <w:numPr>
          <w:ilvl w:val="0"/>
          <w:numId w:val="31"/>
        </w:numPr>
        <w:tabs>
          <w:tab w:pos="1274" w:val="left" w:leader="none"/>
        </w:tabs>
        <w:spacing w:line="360" w:lineRule="auto" w:before="2" w:after="0"/>
        <w:ind w:left="882" w:right="891" w:firstLine="0"/>
        <w:jc w:val="both"/>
        <w:rPr>
          <w:sz w:val="26"/>
        </w:rPr>
      </w:pPr>
      <w:r>
        <w:rPr>
          <w:sz w:val="26"/>
        </w:rPr>
        <w:t>Acochrane J. (2008). Modeling and optimization of the intermodal terminal Mega Hub. </w:t>
      </w:r>
      <w:r>
        <w:rPr>
          <w:i/>
          <w:sz w:val="26"/>
        </w:rPr>
        <w:t>OR Spectrum </w:t>
      </w:r>
      <w:r>
        <w:rPr>
          <w:sz w:val="26"/>
        </w:rPr>
        <w:t>24: 1-17</w:t>
      </w:r>
    </w:p>
    <w:p>
      <w:pPr>
        <w:pStyle w:val="ListParagraph"/>
        <w:numPr>
          <w:ilvl w:val="0"/>
          <w:numId w:val="31"/>
        </w:numPr>
        <w:tabs>
          <w:tab w:pos="1295" w:val="left" w:leader="none"/>
        </w:tabs>
        <w:spacing w:line="360" w:lineRule="auto" w:before="0" w:after="0"/>
        <w:ind w:left="882" w:right="888" w:firstLine="0"/>
        <w:jc w:val="both"/>
        <w:rPr>
          <w:sz w:val="26"/>
        </w:rPr>
      </w:pPr>
      <w:r>
        <w:rPr>
          <w:sz w:val="26"/>
        </w:rPr>
        <w:t>Baird. A. (2006). Optimizing the container transhipment hub location in northern Europe. </w:t>
      </w:r>
      <w:r>
        <w:rPr>
          <w:i/>
          <w:sz w:val="26"/>
        </w:rPr>
        <w:t>Journal of Transport Geography</w:t>
      </w:r>
      <w:r>
        <w:rPr>
          <w:sz w:val="26"/>
        </w:rPr>
        <w:t>. 14(3).</w:t>
      </w:r>
      <w:r>
        <w:rPr>
          <w:spacing w:val="-6"/>
          <w:sz w:val="26"/>
        </w:rPr>
        <w:t> </w:t>
      </w:r>
      <w:r>
        <w:rPr>
          <w:sz w:val="26"/>
        </w:rPr>
        <w:t>195-214.</w:t>
      </w:r>
    </w:p>
    <w:p>
      <w:pPr>
        <w:pStyle w:val="ListParagraph"/>
        <w:numPr>
          <w:ilvl w:val="0"/>
          <w:numId w:val="31"/>
        </w:numPr>
        <w:tabs>
          <w:tab w:pos="1346" w:val="left" w:leader="none"/>
        </w:tabs>
        <w:spacing w:line="360" w:lineRule="auto" w:before="0" w:after="0"/>
        <w:ind w:left="882" w:right="888" w:firstLine="0"/>
        <w:jc w:val="both"/>
        <w:rPr>
          <w:sz w:val="26"/>
        </w:rPr>
      </w:pPr>
      <w:r>
        <w:rPr>
          <w:sz w:val="26"/>
        </w:rPr>
        <w:t>Bichou K. and Gray. R. (2004). A Logistics and supply chain management approach to port performance measurement. </w:t>
      </w:r>
      <w:r>
        <w:rPr>
          <w:i/>
          <w:sz w:val="26"/>
        </w:rPr>
        <w:t>Maritime policy and management </w:t>
      </w:r>
      <w:r>
        <w:rPr>
          <w:sz w:val="26"/>
        </w:rPr>
        <w:t>31:1. 47-67</w:t>
      </w:r>
    </w:p>
    <w:p>
      <w:pPr>
        <w:pStyle w:val="ListParagraph"/>
        <w:numPr>
          <w:ilvl w:val="0"/>
          <w:numId w:val="31"/>
        </w:numPr>
        <w:tabs>
          <w:tab w:pos="1336" w:val="left" w:leader="none"/>
        </w:tabs>
        <w:spacing w:line="360" w:lineRule="auto" w:before="0" w:after="0"/>
        <w:ind w:left="882" w:right="891" w:firstLine="0"/>
        <w:jc w:val="both"/>
        <w:rPr>
          <w:sz w:val="26"/>
        </w:rPr>
      </w:pPr>
      <w:r>
        <w:rPr>
          <w:sz w:val="26"/>
        </w:rPr>
        <w:t>Brooks. M. R.. and Pallis. A. A. (2013). Assessing port governance models: process and performance components. Maritime Policy and Management. 35(4). 411- 432.</w:t>
      </w:r>
    </w:p>
    <w:p>
      <w:pPr>
        <w:pStyle w:val="ListParagraph"/>
        <w:numPr>
          <w:ilvl w:val="0"/>
          <w:numId w:val="31"/>
        </w:numPr>
        <w:tabs>
          <w:tab w:pos="1338" w:val="left" w:leader="none"/>
        </w:tabs>
        <w:spacing w:line="360" w:lineRule="auto" w:before="0" w:after="0"/>
        <w:ind w:left="882" w:right="888" w:firstLine="0"/>
        <w:jc w:val="both"/>
        <w:rPr>
          <w:sz w:val="26"/>
        </w:rPr>
      </w:pPr>
      <w:r>
        <w:rPr>
          <w:sz w:val="26"/>
        </w:rPr>
        <w:t>Carbone and De Maritino G. and Fisher. M. (2003). Supply chain inventory management and the value of shared information. </w:t>
      </w:r>
      <w:r>
        <w:rPr>
          <w:i/>
          <w:sz w:val="26"/>
        </w:rPr>
        <w:t>Management Science </w:t>
      </w:r>
      <w:r>
        <w:rPr>
          <w:sz w:val="26"/>
        </w:rPr>
        <w:t>46(8): 1032- 1048.</w:t>
      </w:r>
    </w:p>
    <w:p>
      <w:pPr>
        <w:spacing w:after="0" w:line="360" w:lineRule="auto"/>
        <w:jc w:val="both"/>
        <w:rPr>
          <w:sz w:val="26"/>
        </w:rPr>
        <w:sectPr>
          <w:pgSz w:w="11910" w:h="16850"/>
          <w:pgMar w:header="751" w:footer="0" w:top="960" w:bottom="280" w:left="820" w:right="240"/>
        </w:sectPr>
      </w:pPr>
    </w:p>
    <w:p>
      <w:pPr>
        <w:pStyle w:val="BodyText"/>
        <w:rPr>
          <w:sz w:val="20"/>
        </w:rPr>
      </w:pPr>
    </w:p>
    <w:p>
      <w:pPr>
        <w:pStyle w:val="BodyText"/>
        <w:spacing w:before="7"/>
        <w:rPr>
          <w:sz w:val="23"/>
        </w:rPr>
      </w:pPr>
    </w:p>
    <w:p>
      <w:pPr>
        <w:pStyle w:val="ListParagraph"/>
        <w:numPr>
          <w:ilvl w:val="0"/>
          <w:numId w:val="31"/>
        </w:numPr>
        <w:tabs>
          <w:tab w:pos="1298" w:val="left" w:leader="none"/>
        </w:tabs>
        <w:spacing w:line="360" w:lineRule="auto" w:before="89" w:after="0"/>
        <w:ind w:left="882" w:right="891" w:firstLine="0"/>
        <w:jc w:val="both"/>
        <w:rPr>
          <w:sz w:val="26"/>
        </w:rPr>
      </w:pPr>
      <w:r>
        <w:rPr>
          <w:sz w:val="26"/>
        </w:rPr>
        <w:t>Chang. Y.. Lee. S. and Tongzon. J.. J. (2008). Port selection factors by shipping lines: Different perspectives between trunk liners and feeder service providers. </w:t>
      </w:r>
      <w:r>
        <w:rPr>
          <w:i/>
          <w:sz w:val="26"/>
        </w:rPr>
        <w:t>Journal </w:t>
      </w:r>
      <w:r>
        <w:rPr>
          <w:i/>
          <w:sz w:val="26"/>
        </w:rPr>
        <w:t>of Marine Policy </w:t>
      </w:r>
      <w:r>
        <w:rPr>
          <w:sz w:val="26"/>
        </w:rPr>
        <w:t>32:</w:t>
      </w:r>
      <w:r>
        <w:rPr>
          <w:spacing w:val="-1"/>
          <w:sz w:val="26"/>
        </w:rPr>
        <w:t> </w:t>
      </w:r>
      <w:r>
        <w:rPr>
          <w:sz w:val="26"/>
        </w:rPr>
        <w:t>877–885.</w:t>
      </w:r>
    </w:p>
    <w:p>
      <w:pPr>
        <w:pStyle w:val="ListParagraph"/>
        <w:numPr>
          <w:ilvl w:val="0"/>
          <w:numId w:val="31"/>
        </w:numPr>
        <w:tabs>
          <w:tab w:pos="1319" w:val="left" w:leader="none"/>
        </w:tabs>
        <w:spacing w:line="360" w:lineRule="auto" w:before="0" w:after="0"/>
        <w:ind w:left="882" w:right="891" w:firstLine="0"/>
        <w:jc w:val="both"/>
        <w:rPr>
          <w:sz w:val="26"/>
        </w:rPr>
      </w:pPr>
      <w:r>
        <w:rPr>
          <w:sz w:val="26"/>
        </w:rPr>
        <w:t>Cheo. S. (2007). Evaluating impacts of institutional reforms on port efficiency changes malquimist productivity index for world container ports. </w:t>
      </w:r>
      <w:r>
        <w:rPr>
          <w:i/>
          <w:sz w:val="26"/>
        </w:rPr>
        <w:t>Post Doctoral </w:t>
      </w:r>
      <w:r>
        <w:rPr>
          <w:i/>
          <w:sz w:val="26"/>
        </w:rPr>
        <w:t>research</w:t>
      </w:r>
      <w:r>
        <w:rPr>
          <w:sz w:val="26"/>
        </w:rPr>
        <w:t>. University of California:</w:t>
      </w:r>
      <w:r>
        <w:rPr>
          <w:spacing w:val="4"/>
          <w:sz w:val="26"/>
        </w:rPr>
        <w:t> </w:t>
      </w:r>
      <w:r>
        <w:rPr>
          <w:sz w:val="26"/>
        </w:rPr>
        <w:t>Berkeley</w:t>
      </w:r>
    </w:p>
    <w:p>
      <w:pPr>
        <w:pStyle w:val="ListParagraph"/>
        <w:numPr>
          <w:ilvl w:val="0"/>
          <w:numId w:val="31"/>
        </w:numPr>
        <w:tabs>
          <w:tab w:pos="1286" w:val="left" w:leader="none"/>
        </w:tabs>
        <w:spacing w:line="360" w:lineRule="auto" w:before="0" w:after="0"/>
        <w:ind w:left="882" w:right="889" w:firstLine="0"/>
        <w:jc w:val="both"/>
        <w:rPr>
          <w:sz w:val="26"/>
        </w:rPr>
      </w:pPr>
      <w:r>
        <w:rPr>
          <w:sz w:val="26"/>
        </w:rPr>
        <w:t>Chou C. I. (2010). Investments in transport infrastructure in Greece: Have the EU initiatives promoted their balanced and rational distribution? </w:t>
      </w:r>
      <w:r>
        <w:rPr>
          <w:i/>
          <w:sz w:val="26"/>
        </w:rPr>
        <w:t>World Transport Policy </w:t>
      </w:r>
      <w:r>
        <w:rPr>
          <w:i/>
          <w:sz w:val="26"/>
        </w:rPr>
        <w:t>and Practice</w:t>
      </w:r>
      <w:r>
        <w:rPr>
          <w:sz w:val="26"/>
        </w:rPr>
        <w:t>. 3(4).</w:t>
      </w:r>
      <w:r>
        <w:rPr>
          <w:spacing w:val="-1"/>
          <w:sz w:val="26"/>
        </w:rPr>
        <w:t> </w:t>
      </w:r>
      <w:r>
        <w:rPr>
          <w:sz w:val="26"/>
        </w:rPr>
        <w:t>23–29</w:t>
      </w:r>
    </w:p>
    <w:p>
      <w:pPr>
        <w:pStyle w:val="ListParagraph"/>
        <w:numPr>
          <w:ilvl w:val="0"/>
          <w:numId w:val="31"/>
        </w:numPr>
        <w:tabs>
          <w:tab w:pos="1278" w:val="left" w:leader="none"/>
        </w:tabs>
        <w:spacing w:line="360" w:lineRule="auto" w:before="1" w:after="0"/>
        <w:ind w:left="882" w:right="891" w:firstLine="0"/>
        <w:jc w:val="both"/>
        <w:rPr>
          <w:sz w:val="26"/>
        </w:rPr>
      </w:pPr>
      <w:r>
        <w:rPr>
          <w:sz w:val="26"/>
        </w:rPr>
        <w:t>Chien-Chang Chou (2009). An evaluation of the service performances of container ports. </w:t>
      </w:r>
      <w:r>
        <w:rPr>
          <w:i/>
          <w:sz w:val="26"/>
        </w:rPr>
        <w:t>Journal of Information and Optimization Sciences</w:t>
      </w:r>
      <w:r>
        <w:rPr>
          <w:sz w:val="26"/>
        </w:rPr>
        <w:t>. 30:5.</w:t>
      </w:r>
      <w:r>
        <w:rPr>
          <w:spacing w:val="-4"/>
          <w:sz w:val="26"/>
        </w:rPr>
        <w:t> </w:t>
      </w:r>
      <w:r>
        <w:rPr>
          <w:sz w:val="26"/>
        </w:rPr>
        <w:t>925-933.</w:t>
      </w:r>
    </w:p>
    <w:p>
      <w:pPr>
        <w:pStyle w:val="ListParagraph"/>
        <w:numPr>
          <w:ilvl w:val="0"/>
          <w:numId w:val="31"/>
        </w:numPr>
        <w:tabs>
          <w:tab w:pos="1312" w:val="left" w:leader="none"/>
        </w:tabs>
        <w:spacing w:line="360" w:lineRule="auto" w:before="0" w:after="0"/>
        <w:ind w:left="882" w:right="891" w:firstLine="0"/>
        <w:jc w:val="both"/>
        <w:rPr>
          <w:sz w:val="26"/>
        </w:rPr>
      </w:pPr>
      <w:r>
        <w:rPr>
          <w:sz w:val="26"/>
        </w:rPr>
        <w:t>Chien-Chang Chou (2010). Application of FMCDM model to selecting the hub location in the marine transportation: a case study in southeastern Asia. </w:t>
      </w:r>
      <w:r>
        <w:rPr>
          <w:i/>
          <w:sz w:val="26"/>
        </w:rPr>
        <w:t>Math. Comput. </w:t>
      </w:r>
      <w:r>
        <w:rPr>
          <w:i/>
          <w:sz w:val="26"/>
        </w:rPr>
        <w:t>Model</w:t>
      </w:r>
      <w:r>
        <w:rPr>
          <w:sz w:val="26"/>
        </w:rPr>
        <w:t>.. 51(5/6):</w:t>
      </w:r>
      <w:r>
        <w:rPr>
          <w:spacing w:val="-3"/>
          <w:sz w:val="26"/>
        </w:rPr>
        <w:t> </w:t>
      </w:r>
      <w:r>
        <w:rPr>
          <w:sz w:val="26"/>
        </w:rPr>
        <w:t>791-801.</w:t>
      </w:r>
    </w:p>
    <w:p>
      <w:pPr>
        <w:pStyle w:val="ListParagraph"/>
        <w:numPr>
          <w:ilvl w:val="0"/>
          <w:numId w:val="31"/>
        </w:numPr>
        <w:tabs>
          <w:tab w:pos="1346" w:val="left" w:leader="none"/>
        </w:tabs>
        <w:spacing w:line="360" w:lineRule="auto" w:before="0" w:after="0"/>
        <w:ind w:left="882" w:right="891" w:firstLine="0"/>
        <w:jc w:val="both"/>
        <w:rPr>
          <w:sz w:val="26"/>
        </w:rPr>
      </w:pPr>
      <w:r>
        <w:rPr>
          <w:sz w:val="26"/>
        </w:rPr>
        <w:t>Chinonye Ugboma. Innocent C. Ogwude. Ogochukwu Ugboma and Kenneth Nnadi (2007). Service quality and satisfaction measurements in Nigerian ports: an exploration. </w:t>
      </w:r>
      <w:r>
        <w:rPr>
          <w:i/>
          <w:sz w:val="26"/>
        </w:rPr>
        <w:t>Maritime Policy and Management: The flagship journal of international </w:t>
      </w:r>
      <w:r>
        <w:rPr>
          <w:i/>
          <w:sz w:val="26"/>
        </w:rPr>
        <w:t>shipping and port research</w:t>
      </w:r>
      <w:r>
        <w:rPr>
          <w:sz w:val="26"/>
        </w:rPr>
        <w:t>. 34:4.</w:t>
      </w:r>
      <w:r>
        <w:rPr>
          <w:spacing w:val="-4"/>
          <w:sz w:val="26"/>
        </w:rPr>
        <w:t> </w:t>
      </w:r>
      <w:r>
        <w:rPr>
          <w:sz w:val="26"/>
        </w:rPr>
        <w:t>331-346.</w:t>
      </w:r>
    </w:p>
    <w:p>
      <w:pPr>
        <w:pStyle w:val="ListParagraph"/>
        <w:numPr>
          <w:ilvl w:val="0"/>
          <w:numId w:val="31"/>
        </w:numPr>
        <w:tabs>
          <w:tab w:pos="1276" w:val="left" w:leader="none"/>
        </w:tabs>
        <w:spacing w:line="360" w:lineRule="auto" w:before="0" w:after="0"/>
        <w:ind w:left="882" w:right="888" w:firstLine="0"/>
        <w:jc w:val="both"/>
        <w:rPr>
          <w:sz w:val="26"/>
        </w:rPr>
      </w:pPr>
      <w:r>
        <w:rPr>
          <w:sz w:val="26"/>
        </w:rPr>
        <w:t>Cullinane. K. </w:t>
      </w:r>
      <w:r>
        <w:rPr>
          <w:spacing w:val="-15"/>
          <w:sz w:val="26"/>
        </w:rPr>
        <w:t>P. </w:t>
      </w:r>
      <w:r>
        <w:rPr>
          <w:sz w:val="26"/>
        </w:rPr>
        <w:t>B. and Song. D. </w:t>
      </w:r>
      <w:r>
        <w:rPr>
          <w:spacing w:val="-12"/>
          <w:sz w:val="26"/>
        </w:rPr>
        <w:t>W. </w:t>
      </w:r>
      <w:r>
        <w:rPr>
          <w:sz w:val="26"/>
        </w:rPr>
        <w:t>(2006). Estimating the Relative Efficiency of European Container Ports: A Stochastic Frontier Analysis. </w:t>
      </w:r>
      <w:r>
        <w:rPr>
          <w:i/>
          <w:sz w:val="26"/>
        </w:rPr>
        <w:t>Research in Transportation </w:t>
      </w:r>
      <w:r>
        <w:rPr>
          <w:i/>
          <w:sz w:val="26"/>
        </w:rPr>
        <w:t>Economics</w:t>
      </w:r>
      <w:r>
        <w:rPr>
          <w:sz w:val="26"/>
        </w:rPr>
        <w:t>. </w:t>
      </w:r>
      <w:r>
        <w:rPr>
          <w:spacing w:val="-12"/>
          <w:sz w:val="26"/>
        </w:rPr>
        <w:t>Vol </w:t>
      </w:r>
      <w:r>
        <w:rPr>
          <w:sz w:val="26"/>
        </w:rPr>
        <w:t>16 Port Economics. Eds Cullinane. K.. and </w:t>
      </w:r>
      <w:r>
        <w:rPr>
          <w:spacing w:val="-6"/>
          <w:sz w:val="26"/>
        </w:rPr>
        <w:t>Talley. </w:t>
      </w:r>
      <w:r>
        <w:rPr>
          <w:spacing w:val="-12"/>
          <w:sz w:val="26"/>
        </w:rPr>
        <w:t>W. </w:t>
      </w:r>
      <w:r>
        <w:rPr>
          <w:sz w:val="26"/>
        </w:rPr>
        <w:t>K. Amsterdam. Netherlands.</w:t>
      </w:r>
    </w:p>
    <w:p>
      <w:pPr>
        <w:pStyle w:val="ListParagraph"/>
        <w:numPr>
          <w:ilvl w:val="0"/>
          <w:numId w:val="31"/>
        </w:numPr>
        <w:tabs>
          <w:tab w:pos="1331" w:val="left" w:leader="none"/>
        </w:tabs>
        <w:spacing w:line="360" w:lineRule="auto" w:before="0" w:after="0"/>
        <w:ind w:left="882" w:right="888" w:firstLine="0"/>
        <w:jc w:val="both"/>
        <w:rPr>
          <w:sz w:val="26"/>
        </w:rPr>
      </w:pPr>
      <w:r>
        <w:rPr>
          <w:sz w:val="26"/>
        </w:rPr>
        <w:t>Chang. </w:t>
      </w:r>
      <w:r>
        <w:rPr>
          <w:spacing w:val="-17"/>
          <w:sz w:val="26"/>
        </w:rPr>
        <w:t>Y. </w:t>
      </w:r>
      <w:r>
        <w:rPr>
          <w:spacing w:val="-7"/>
          <w:sz w:val="26"/>
        </w:rPr>
        <w:t>T.. </w:t>
      </w:r>
      <w:r>
        <w:rPr>
          <w:sz w:val="26"/>
        </w:rPr>
        <w:t>and </w:t>
      </w:r>
      <w:r>
        <w:rPr>
          <w:spacing w:val="-6"/>
          <w:sz w:val="26"/>
        </w:rPr>
        <w:t>Talley. </w:t>
      </w:r>
      <w:r>
        <w:rPr>
          <w:spacing w:val="-12"/>
          <w:sz w:val="26"/>
        </w:rPr>
        <w:t>W. </w:t>
      </w:r>
      <w:r>
        <w:rPr>
          <w:sz w:val="26"/>
        </w:rPr>
        <w:t>K. (2019). Port competitiveness. Efficiency. and Supply Chains: A Literature </w:t>
      </w:r>
      <w:r>
        <w:rPr>
          <w:spacing w:val="-3"/>
          <w:sz w:val="26"/>
        </w:rPr>
        <w:t>Review. </w:t>
      </w:r>
      <w:r>
        <w:rPr>
          <w:i/>
          <w:sz w:val="26"/>
        </w:rPr>
        <w:t>Transportation Journal</w:t>
      </w:r>
      <w:r>
        <w:rPr>
          <w:sz w:val="26"/>
        </w:rPr>
        <w:t>. 58(1).</w:t>
      </w:r>
      <w:r>
        <w:rPr>
          <w:spacing w:val="-36"/>
          <w:sz w:val="26"/>
        </w:rPr>
        <w:t> </w:t>
      </w:r>
      <w:r>
        <w:rPr>
          <w:sz w:val="26"/>
        </w:rPr>
        <w:t>1-20.</w:t>
      </w:r>
    </w:p>
    <w:p>
      <w:pPr>
        <w:pStyle w:val="ListParagraph"/>
        <w:numPr>
          <w:ilvl w:val="0"/>
          <w:numId w:val="31"/>
        </w:numPr>
        <w:tabs>
          <w:tab w:pos="1288" w:val="left" w:leader="none"/>
        </w:tabs>
        <w:spacing w:line="357" w:lineRule="auto" w:before="1" w:after="0"/>
        <w:ind w:left="882" w:right="888" w:firstLine="0"/>
        <w:jc w:val="both"/>
        <w:rPr>
          <w:sz w:val="26"/>
        </w:rPr>
      </w:pPr>
      <w:r>
        <w:rPr>
          <w:sz w:val="26"/>
        </w:rPr>
        <w:t>Churchil Jr GA. (1979). A paradigm for developing better measures of marketing constructs. </w:t>
      </w:r>
      <w:r>
        <w:rPr>
          <w:i/>
          <w:sz w:val="26"/>
        </w:rPr>
        <w:t>Journal of marketing research</w:t>
      </w:r>
      <w:r>
        <w:rPr>
          <w:sz w:val="26"/>
        </w:rPr>
        <w:t>. 26(1).</w:t>
      </w:r>
      <w:r>
        <w:rPr>
          <w:spacing w:val="1"/>
          <w:sz w:val="26"/>
        </w:rPr>
        <w:t> </w:t>
      </w:r>
      <w:r>
        <w:rPr>
          <w:sz w:val="26"/>
        </w:rPr>
        <w:t>64-73.</w:t>
      </w:r>
    </w:p>
    <w:p>
      <w:pPr>
        <w:pStyle w:val="ListParagraph"/>
        <w:numPr>
          <w:ilvl w:val="0"/>
          <w:numId w:val="31"/>
        </w:numPr>
        <w:tabs>
          <w:tab w:pos="1307" w:val="left" w:leader="none"/>
        </w:tabs>
        <w:spacing w:line="360" w:lineRule="auto" w:before="4" w:after="0"/>
        <w:ind w:left="882" w:right="888" w:firstLine="0"/>
        <w:jc w:val="both"/>
        <w:rPr>
          <w:sz w:val="26"/>
        </w:rPr>
      </w:pPr>
      <w:r>
        <w:rPr>
          <w:sz w:val="26"/>
        </w:rPr>
        <w:t>Creswell J.M. (2014). Reseach design: </w:t>
      </w:r>
      <w:r>
        <w:rPr>
          <w:i/>
          <w:sz w:val="26"/>
        </w:rPr>
        <w:t>qualitative. quantitative. and have mixed </w:t>
      </w:r>
      <w:r>
        <w:rPr>
          <w:i/>
          <w:sz w:val="26"/>
        </w:rPr>
        <w:t>methods approaches (4</w:t>
      </w:r>
      <w:r>
        <w:rPr>
          <w:i/>
          <w:sz w:val="26"/>
          <w:vertAlign w:val="superscript"/>
        </w:rPr>
        <w:t>th</w:t>
      </w:r>
      <w:r>
        <w:rPr>
          <w:i/>
          <w:sz w:val="26"/>
          <w:vertAlign w:val="baseline"/>
        </w:rPr>
        <w:t> ed). </w:t>
      </w:r>
      <w:r>
        <w:rPr>
          <w:sz w:val="26"/>
          <w:vertAlign w:val="baseline"/>
        </w:rPr>
        <w:t>Thousand Oaks CA. Sage</w:t>
      </w:r>
      <w:r>
        <w:rPr>
          <w:spacing w:val="-2"/>
          <w:sz w:val="26"/>
          <w:vertAlign w:val="baseline"/>
        </w:rPr>
        <w:t> </w:t>
      </w:r>
      <w:r>
        <w:rPr>
          <w:sz w:val="26"/>
          <w:vertAlign w:val="baseline"/>
        </w:rPr>
        <w:t>Publication</w:t>
      </w:r>
    </w:p>
    <w:p>
      <w:pPr>
        <w:pStyle w:val="ListParagraph"/>
        <w:numPr>
          <w:ilvl w:val="0"/>
          <w:numId w:val="31"/>
        </w:numPr>
        <w:tabs>
          <w:tab w:pos="1343" w:val="left" w:leader="none"/>
        </w:tabs>
        <w:spacing w:line="360" w:lineRule="auto" w:before="1" w:after="0"/>
        <w:ind w:left="882" w:right="891" w:firstLine="0"/>
        <w:jc w:val="both"/>
        <w:rPr>
          <w:sz w:val="26"/>
        </w:rPr>
      </w:pPr>
      <w:r>
        <w:rPr>
          <w:sz w:val="26"/>
        </w:rPr>
        <w:t>Cronbach. L. J. (1951). Coefficient alpha and the internal structure of tests. Psychometrika. 16(8). Doi:10.1007/BF02310555</w:t>
      </w:r>
    </w:p>
    <w:p>
      <w:pPr>
        <w:spacing w:after="0" w:line="360" w:lineRule="auto"/>
        <w:jc w:val="both"/>
        <w:rPr>
          <w:sz w:val="26"/>
        </w:rPr>
        <w:sectPr>
          <w:pgSz w:w="11910" w:h="16850"/>
          <w:pgMar w:header="751" w:footer="0" w:top="960" w:bottom="280" w:left="820" w:right="240"/>
        </w:sectPr>
      </w:pPr>
    </w:p>
    <w:p>
      <w:pPr>
        <w:pStyle w:val="BodyText"/>
        <w:rPr>
          <w:sz w:val="20"/>
        </w:rPr>
      </w:pPr>
    </w:p>
    <w:p>
      <w:pPr>
        <w:pStyle w:val="BodyText"/>
        <w:spacing w:before="6"/>
        <w:rPr>
          <w:sz w:val="22"/>
        </w:rPr>
      </w:pPr>
    </w:p>
    <w:p>
      <w:pPr>
        <w:pStyle w:val="ListParagraph"/>
        <w:numPr>
          <w:ilvl w:val="0"/>
          <w:numId w:val="31"/>
        </w:numPr>
        <w:tabs>
          <w:tab w:pos="1298" w:val="left" w:leader="none"/>
        </w:tabs>
        <w:spacing w:line="360" w:lineRule="auto" w:before="101" w:after="0"/>
        <w:ind w:left="882" w:right="888" w:firstLine="0"/>
        <w:jc w:val="both"/>
        <w:rPr>
          <w:sz w:val="26"/>
        </w:rPr>
      </w:pPr>
      <w:r>
        <w:rPr>
          <w:sz w:val="26"/>
        </w:rPr>
        <w:t>Devellis RF. (2003). Scale development</w:t>
      </w:r>
      <w:r>
        <w:rPr>
          <w:i/>
          <w:sz w:val="26"/>
        </w:rPr>
        <w:t>: Theory and Applications. 2</w:t>
      </w:r>
      <w:r>
        <w:rPr>
          <w:i/>
          <w:sz w:val="26"/>
          <w:vertAlign w:val="superscript"/>
        </w:rPr>
        <w:t>nd</w:t>
      </w:r>
      <w:r>
        <w:rPr>
          <w:sz w:val="26"/>
          <w:vertAlign w:val="baseline"/>
        </w:rPr>
        <w:t>. </w:t>
      </w:r>
      <w:r>
        <w:rPr>
          <w:spacing w:val="-5"/>
          <w:sz w:val="26"/>
          <w:vertAlign w:val="baseline"/>
        </w:rPr>
        <w:t>Newbury </w:t>
      </w:r>
      <w:r>
        <w:rPr>
          <w:sz w:val="26"/>
          <w:vertAlign w:val="baseline"/>
        </w:rPr>
        <w:t>Park CA:</w:t>
      </w:r>
      <w:r>
        <w:rPr>
          <w:spacing w:val="-1"/>
          <w:sz w:val="26"/>
          <w:vertAlign w:val="baseline"/>
        </w:rPr>
        <w:t> </w:t>
      </w:r>
      <w:r>
        <w:rPr>
          <w:sz w:val="26"/>
          <w:vertAlign w:val="baseline"/>
        </w:rPr>
        <w:t>Sage.</w:t>
      </w:r>
    </w:p>
    <w:p>
      <w:pPr>
        <w:pStyle w:val="ListParagraph"/>
        <w:numPr>
          <w:ilvl w:val="0"/>
          <w:numId w:val="31"/>
        </w:numPr>
        <w:tabs>
          <w:tab w:pos="1274" w:val="left" w:leader="none"/>
        </w:tabs>
        <w:spacing w:line="360" w:lineRule="auto" w:before="1" w:after="0"/>
        <w:ind w:left="882" w:right="888" w:firstLine="0"/>
        <w:jc w:val="both"/>
        <w:rPr>
          <w:sz w:val="26"/>
        </w:rPr>
      </w:pPr>
      <w:r>
        <w:rPr>
          <w:sz w:val="26"/>
        </w:rPr>
        <w:t>De Langen. P.W. (2007). Port competition and selection in contestable hinterlands: the case of Austria. </w:t>
      </w:r>
      <w:r>
        <w:rPr>
          <w:i/>
          <w:sz w:val="26"/>
        </w:rPr>
        <w:t>European Journal of Transport and Infrastructure </w:t>
      </w:r>
      <w:r>
        <w:rPr>
          <w:sz w:val="26"/>
        </w:rPr>
        <w:t>Research 7 (1). 1–14</w:t>
      </w:r>
    </w:p>
    <w:p>
      <w:pPr>
        <w:pStyle w:val="ListParagraph"/>
        <w:numPr>
          <w:ilvl w:val="0"/>
          <w:numId w:val="31"/>
        </w:numPr>
        <w:tabs>
          <w:tab w:pos="1317" w:val="left" w:leader="none"/>
        </w:tabs>
        <w:spacing w:line="360" w:lineRule="auto" w:before="0" w:after="0"/>
        <w:ind w:left="882" w:right="891" w:firstLine="0"/>
        <w:jc w:val="both"/>
        <w:rPr>
          <w:sz w:val="26"/>
        </w:rPr>
      </w:pPr>
      <w:r>
        <w:rPr>
          <w:sz w:val="26"/>
        </w:rPr>
        <w:t>Elvira Haezendonck &amp; Mychal Langenus (2019), </w:t>
      </w:r>
      <w:r>
        <w:rPr>
          <w:i/>
          <w:sz w:val="26"/>
        </w:rPr>
        <w:t>Integrated ports clusters </w:t>
      </w:r>
      <w:r>
        <w:rPr>
          <w:i/>
          <w:spacing w:val="-4"/>
          <w:sz w:val="26"/>
        </w:rPr>
        <w:t>and</w:t>
      </w:r>
      <w:r>
        <w:rPr>
          <w:i/>
          <w:spacing w:val="57"/>
          <w:sz w:val="26"/>
        </w:rPr>
        <w:t> </w:t>
      </w:r>
      <w:r>
        <w:rPr>
          <w:i/>
          <w:sz w:val="26"/>
        </w:rPr>
        <w:t>competitive advantage in an extended resource pool for the Antwerp Seaport</w:t>
      </w:r>
      <w:r>
        <w:rPr>
          <w:sz w:val="26"/>
        </w:rPr>
        <w:t>, Maritime Policy &amp; Management, 46:1,</w:t>
      </w:r>
      <w:r>
        <w:rPr>
          <w:spacing w:val="-3"/>
          <w:sz w:val="26"/>
        </w:rPr>
        <w:t> </w:t>
      </w:r>
      <w:r>
        <w:rPr>
          <w:sz w:val="26"/>
        </w:rPr>
        <w:t>74-91</w:t>
      </w:r>
    </w:p>
    <w:p>
      <w:pPr>
        <w:pStyle w:val="ListParagraph"/>
        <w:numPr>
          <w:ilvl w:val="0"/>
          <w:numId w:val="31"/>
        </w:numPr>
        <w:tabs>
          <w:tab w:pos="1322" w:val="left" w:leader="none"/>
        </w:tabs>
        <w:spacing w:line="360" w:lineRule="auto" w:before="0" w:after="0"/>
        <w:ind w:left="882" w:right="891" w:firstLine="0"/>
        <w:jc w:val="both"/>
        <w:rPr>
          <w:sz w:val="26"/>
        </w:rPr>
      </w:pPr>
      <w:r>
        <w:rPr>
          <w:sz w:val="26"/>
        </w:rPr>
        <w:t>Guy. E and Alix. Y. (2016): A successful upriver port? Container shipping in Montreal. Journal of Transport Geography (In Press: available on-line 10 March 2006).</w:t>
      </w:r>
    </w:p>
    <w:p>
      <w:pPr>
        <w:pStyle w:val="ListParagraph"/>
        <w:numPr>
          <w:ilvl w:val="0"/>
          <w:numId w:val="31"/>
        </w:numPr>
        <w:tabs>
          <w:tab w:pos="1276" w:val="left" w:leader="none"/>
        </w:tabs>
        <w:spacing w:line="360" w:lineRule="auto" w:before="0" w:after="0"/>
        <w:ind w:left="882" w:right="891" w:firstLine="0"/>
        <w:jc w:val="both"/>
        <w:rPr>
          <w:sz w:val="26"/>
        </w:rPr>
      </w:pPr>
      <w:r>
        <w:rPr>
          <w:sz w:val="26"/>
        </w:rPr>
        <w:t>Hair JF và cộng sự (2006). </w:t>
      </w:r>
      <w:r>
        <w:rPr>
          <w:i/>
          <w:sz w:val="26"/>
        </w:rPr>
        <w:t>Multivariate data analysis. 6</w:t>
      </w:r>
      <w:r>
        <w:rPr>
          <w:i/>
          <w:sz w:val="26"/>
          <w:vertAlign w:val="superscript"/>
        </w:rPr>
        <w:t>th</w:t>
      </w:r>
      <w:r>
        <w:rPr>
          <w:sz w:val="26"/>
          <w:vertAlign w:val="baseline"/>
        </w:rPr>
        <w:t>. Upper Saddle River </w:t>
      </w:r>
      <w:r>
        <w:rPr>
          <w:spacing w:val="-6"/>
          <w:sz w:val="26"/>
          <w:vertAlign w:val="baseline"/>
        </w:rPr>
        <w:t>NJ: </w:t>
      </w:r>
      <w:r>
        <w:rPr>
          <w:sz w:val="26"/>
          <w:vertAlign w:val="baseline"/>
        </w:rPr>
        <w:t>Prentice</w:t>
      </w:r>
      <w:r>
        <w:rPr>
          <w:spacing w:val="-1"/>
          <w:sz w:val="26"/>
          <w:vertAlign w:val="baseline"/>
        </w:rPr>
        <w:t> </w:t>
      </w:r>
      <w:r>
        <w:rPr>
          <w:sz w:val="26"/>
          <w:vertAlign w:val="baseline"/>
        </w:rPr>
        <w:t>–Hall</w:t>
      </w:r>
    </w:p>
    <w:p>
      <w:pPr>
        <w:pStyle w:val="ListParagraph"/>
        <w:numPr>
          <w:ilvl w:val="0"/>
          <w:numId w:val="31"/>
        </w:numPr>
        <w:tabs>
          <w:tab w:pos="1346" w:val="left" w:leader="none"/>
        </w:tabs>
        <w:spacing w:line="360" w:lineRule="auto" w:before="0" w:after="0"/>
        <w:ind w:left="882" w:right="888" w:firstLine="0"/>
        <w:jc w:val="both"/>
        <w:rPr>
          <w:sz w:val="26"/>
        </w:rPr>
      </w:pPr>
      <w:r>
        <w:rPr>
          <w:sz w:val="26"/>
        </w:rPr>
        <w:t>Hossein Cheraghi and et al (2012). Gaining Competitive Advantage through Marketing Strategies in Container Terminal: A Case Study on Shahid Rajaee Port in Iran. Published by </w:t>
      </w:r>
      <w:r>
        <w:rPr>
          <w:i/>
          <w:sz w:val="26"/>
        </w:rPr>
        <w:t>Canadian Center of Science and Education</w:t>
      </w:r>
      <w:r>
        <w:rPr>
          <w:sz w:val="26"/>
        </w:rPr>
        <w:t>. </w:t>
      </w:r>
      <w:r>
        <w:rPr>
          <w:spacing w:val="-8"/>
          <w:sz w:val="26"/>
        </w:rPr>
        <w:t>Vol. </w:t>
      </w:r>
      <w:r>
        <w:rPr>
          <w:sz w:val="26"/>
        </w:rPr>
        <w:t>5. No. 2; Februray 2012</w:t>
      </w:r>
    </w:p>
    <w:p>
      <w:pPr>
        <w:pStyle w:val="ListParagraph"/>
        <w:numPr>
          <w:ilvl w:val="0"/>
          <w:numId w:val="31"/>
        </w:numPr>
        <w:tabs>
          <w:tab w:pos="1293" w:val="left" w:leader="none"/>
        </w:tabs>
        <w:spacing w:line="357" w:lineRule="auto" w:before="1" w:after="0"/>
        <w:ind w:left="882" w:right="893" w:firstLine="0"/>
        <w:jc w:val="both"/>
        <w:rPr>
          <w:sz w:val="26"/>
        </w:rPr>
      </w:pPr>
      <w:r>
        <w:rPr>
          <w:sz w:val="26"/>
        </w:rPr>
        <w:t>Hung. S.. Lu. </w:t>
      </w:r>
      <w:r>
        <w:rPr>
          <w:spacing w:val="-12"/>
          <w:sz w:val="26"/>
        </w:rPr>
        <w:t>W. </w:t>
      </w:r>
      <w:r>
        <w:rPr>
          <w:sz w:val="26"/>
        </w:rPr>
        <w:t>and </w:t>
      </w:r>
      <w:r>
        <w:rPr>
          <w:spacing w:val="-5"/>
          <w:sz w:val="26"/>
        </w:rPr>
        <w:t>Wang. </w:t>
      </w:r>
      <w:r>
        <w:rPr>
          <w:spacing w:val="-10"/>
          <w:sz w:val="26"/>
        </w:rPr>
        <w:t>T. </w:t>
      </w:r>
      <w:r>
        <w:rPr>
          <w:sz w:val="26"/>
        </w:rPr>
        <w:t>(2010). Benchmarking the operating efficiency of Asia container ports. European Journal of Operational Research 203:</w:t>
      </w:r>
      <w:r>
        <w:rPr>
          <w:spacing w:val="-12"/>
          <w:sz w:val="26"/>
        </w:rPr>
        <w:t> </w:t>
      </w:r>
      <w:r>
        <w:rPr>
          <w:sz w:val="26"/>
        </w:rPr>
        <w:t>706–713.</w:t>
      </w:r>
    </w:p>
    <w:p>
      <w:pPr>
        <w:pStyle w:val="ListParagraph"/>
        <w:numPr>
          <w:ilvl w:val="0"/>
          <w:numId w:val="31"/>
        </w:numPr>
        <w:tabs>
          <w:tab w:pos="1283" w:val="left" w:leader="none"/>
        </w:tabs>
        <w:spacing w:line="360" w:lineRule="auto" w:before="4" w:after="0"/>
        <w:ind w:left="882" w:right="891" w:firstLine="0"/>
        <w:jc w:val="both"/>
        <w:rPr>
          <w:sz w:val="26"/>
        </w:rPr>
      </w:pPr>
      <w:r>
        <w:rPr>
          <w:sz w:val="26"/>
        </w:rPr>
        <w:t>J. Augusto Felício et al (2013). The influence of the characterisation factors of the European ports on operational performance: Conceptual model testing. </w:t>
      </w:r>
      <w:r>
        <w:rPr>
          <w:i/>
          <w:sz w:val="26"/>
        </w:rPr>
        <w:t>Int.J shipping </w:t>
      </w:r>
      <w:r>
        <w:rPr>
          <w:i/>
          <w:sz w:val="26"/>
        </w:rPr>
        <w:t>and transport Logistics</w:t>
      </w:r>
      <w:r>
        <w:rPr>
          <w:sz w:val="26"/>
        </w:rPr>
        <w:t>. vol.5. No.3.</w:t>
      </w:r>
      <w:r>
        <w:rPr>
          <w:spacing w:val="-6"/>
          <w:sz w:val="26"/>
        </w:rPr>
        <w:t> </w:t>
      </w:r>
      <w:r>
        <w:rPr>
          <w:sz w:val="26"/>
        </w:rPr>
        <w:t>2013</w:t>
      </w:r>
    </w:p>
    <w:p>
      <w:pPr>
        <w:pStyle w:val="ListParagraph"/>
        <w:numPr>
          <w:ilvl w:val="0"/>
          <w:numId w:val="31"/>
        </w:numPr>
        <w:tabs>
          <w:tab w:pos="1290" w:val="left" w:leader="none"/>
        </w:tabs>
        <w:spacing w:line="360" w:lineRule="auto" w:before="1" w:after="0"/>
        <w:ind w:left="882" w:right="891" w:firstLine="0"/>
        <w:jc w:val="both"/>
        <w:rPr>
          <w:sz w:val="26"/>
        </w:rPr>
      </w:pPr>
      <w:r>
        <w:rPr>
          <w:sz w:val="26"/>
        </w:rPr>
        <w:t>Joana Coeloho and et (2013). </w:t>
      </w:r>
      <w:r>
        <w:rPr>
          <w:i/>
          <w:sz w:val="26"/>
        </w:rPr>
        <w:t>The container terminal characteristics influence on </w:t>
      </w:r>
      <w:r>
        <w:rPr>
          <w:i/>
          <w:sz w:val="26"/>
        </w:rPr>
        <w:t>satisfaction. efficiency and activity</w:t>
      </w:r>
      <w:r>
        <w:rPr>
          <w:sz w:val="26"/>
        </w:rPr>
        <w:t>. School of Economics and management; University of Lisbon; Rua Miguel Lupi. 20. 1249-078</w:t>
      </w:r>
      <w:r>
        <w:rPr>
          <w:spacing w:val="-4"/>
          <w:sz w:val="26"/>
        </w:rPr>
        <w:t> </w:t>
      </w:r>
      <w:r>
        <w:rPr>
          <w:sz w:val="26"/>
        </w:rPr>
        <w:t>Lisbon</w:t>
      </w:r>
    </w:p>
    <w:p>
      <w:pPr>
        <w:pStyle w:val="ListParagraph"/>
        <w:numPr>
          <w:ilvl w:val="0"/>
          <w:numId w:val="31"/>
        </w:numPr>
        <w:tabs>
          <w:tab w:pos="1290" w:val="left" w:leader="none"/>
        </w:tabs>
        <w:spacing w:line="360" w:lineRule="auto" w:before="0" w:after="0"/>
        <w:ind w:left="882" w:right="891" w:firstLine="0"/>
        <w:jc w:val="both"/>
        <w:rPr>
          <w:sz w:val="26"/>
        </w:rPr>
      </w:pPr>
      <w:r>
        <w:rPr>
          <w:sz w:val="26"/>
        </w:rPr>
        <w:t>Juang. </w:t>
      </w:r>
      <w:r>
        <w:rPr>
          <w:spacing w:val="-17"/>
          <w:sz w:val="26"/>
        </w:rPr>
        <w:t>Y. </w:t>
      </w:r>
      <w:r>
        <w:rPr>
          <w:sz w:val="26"/>
        </w:rPr>
        <w:t>and Roe. M. (2010). Study of success factors of development strategies for intermodal freight transport systems. </w:t>
      </w:r>
      <w:r>
        <w:rPr>
          <w:i/>
          <w:sz w:val="26"/>
        </w:rPr>
        <w:t>Journal of Eastern Asia Society for </w:t>
      </w:r>
      <w:r>
        <w:rPr>
          <w:i/>
          <w:sz w:val="26"/>
        </w:rPr>
        <w:t>Transportation Studies</w:t>
      </w:r>
      <w:r>
        <w:rPr>
          <w:sz w:val="26"/>
        </w:rPr>
        <w:t>. </w:t>
      </w:r>
      <w:r>
        <w:rPr>
          <w:spacing w:val="-9"/>
          <w:sz w:val="26"/>
        </w:rPr>
        <w:t>Vol. </w:t>
      </w:r>
      <w:r>
        <w:rPr>
          <w:sz w:val="26"/>
        </w:rPr>
        <w:t>8.</w:t>
      </w:r>
      <w:r>
        <w:rPr>
          <w:spacing w:val="4"/>
          <w:sz w:val="26"/>
        </w:rPr>
        <w:t> </w:t>
      </w:r>
      <w:r>
        <w:rPr>
          <w:sz w:val="26"/>
        </w:rPr>
        <w:t>pp.722–732.</w:t>
      </w:r>
    </w:p>
    <w:p>
      <w:pPr>
        <w:pStyle w:val="ListParagraph"/>
        <w:numPr>
          <w:ilvl w:val="0"/>
          <w:numId w:val="31"/>
        </w:numPr>
        <w:tabs>
          <w:tab w:pos="1314" w:val="left" w:leader="none"/>
        </w:tabs>
        <w:spacing w:line="360" w:lineRule="auto" w:before="1" w:after="0"/>
        <w:ind w:left="882" w:right="876" w:firstLine="0"/>
        <w:jc w:val="both"/>
        <w:rPr>
          <w:sz w:val="26"/>
        </w:rPr>
      </w:pPr>
      <w:r>
        <w:rPr>
          <w:sz w:val="26"/>
        </w:rPr>
        <w:t>Liu Qianwen (2010). </w:t>
      </w:r>
      <w:r>
        <w:rPr>
          <w:i/>
          <w:sz w:val="26"/>
        </w:rPr>
        <w:t>Efficiency Analysis of Container Ports and </w:t>
      </w:r>
      <w:r>
        <w:rPr>
          <w:i/>
          <w:spacing w:val="-3"/>
          <w:sz w:val="26"/>
        </w:rPr>
        <w:t>Terminals</w:t>
      </w:r>
      <w:r>
        <w:rPr>
          <w:spacing w:val="-3"/>
          <w:sz w:val="26"/>
        </w:rPr>
        <w:t>. </w:t>
      </w:r>
      <w:r>
        <w:rPr>
          <w:sz w:val="26"/>
        </w:rPr>
        <w:t>A thesis submitted for the degree of Doctor of Philosophy of University College</w:t>
      </w:r>
      <w:r>
        <w:rPr>
          <w:spacing w:val="-24"/>
          <w:sz w:val="26"/>
        </w:rPr>
        <w:t> </w:t>
      </w:r>
      <w:r>
        <w:rPr>
          <w:sz w:val="26"/>
        </w:rPr>
        <w:t>London.</w:t>
      </w:r>
    </w:p>
    <w:p>
      <w:pPr>
        <w:pStyle w:val="ListParagraph"/>
        <w:numPr>
          <w:ilvl w:val="0"/>
          <w:numId w:val="31"/>
        </w:numPr>
        <w:tabs>
          <w:tab w:pos="1295" w:val="left" w:leader="none"/>
        </w:tabs>
        <w:spacing w:line="240" w:lineRule="auto" w:before="0" w:after="0"/>
        <w:ind w:left="1294" w:right="0" w:hanging="413"/>
        <w:jc w:val="both"/>
        <w:rPr>
          <w:sz w:val="26"/>
        </w:rPr>
      </w:pPr>
      <w:r>
        <w:rPr>
          <w:sz w:val="26"/>
        </w:rPr>
        <w:t>L.</w:t>
      </w:r>
      <w:r>
        <w:rPr>
          <w:spacing w:val="23"/>
          <w:sz w:val="26"/>
        </w:rPr>
        <w:t> </w:t>
      </w:r>
      <w:r>
        <w:rPr>
          <w:sz w:val="26"/>
        </w:rPr>
        <w:t>Kuzma</w:t>
      </w:r>
      <w:r>
        <w:rPr>
          <w:spacing w:val="23"/>
          <w:sz w:val="26"/>
        </w:rPr>
        <w:t> </w:t>
      </w:r>
      <w:r>
        <w:rPr>
          <w:sz w:val="26"/>
        </w:rPr>
        <w:t>(1985).</w:t>
      </w:r>
      <w:r>
        <w:rPr>
          <w:spacing w:val="26"/>
          <w:sz w:val="26"/>
        </w:rPr>
        <w:t> </w:t>
      </w:r>
      <w:r>
        <w:rPr>
          <w:i/>
          <w:spacing w:val="6"/>
          <w:sz w:val="26"/>
        </w:rPr>
        <w:t>Strategic</w:t>
      </w:r>
      <w:r>
        <w:rPr>
          <w:i/>
          <w:spacing w:val="39"/>
          <w:sz w:val="26"/>
        </w:rPr>
        <w:t> </w:t>
      </w:r>
      <w:r>
        <w:rPr>
          <w:i/>
          <w:spacing w:val="6"/>
          <w:sz w:val="26"/>
        </w:rPr>
        <w:t>Management</w:t>
      </w:r>
      <w:r>
        <w:rPr>
          <w:i/>
          <w:spacing w:val="40"/>
          <w:sz w:val="26"/>
        </w:rPr>
        <w:t> </w:t>
      </w:r>
      <w:r>
        <w:rPr>
          <w:i/>
          <w:spacing w:val="3"/>
          <w:sz w:val="26"/>
        </w:rPr>
        <w:t>in</w:t>
      </w:r>
      <w:r>
        <w:rPr>
          <w:i/>
          <w:spacing w:val="38"/>
          <w:sz w:val="26"/>
        </w:rPr>
        <w:t> </w:t>
      </w:r>
      <w:r>
        <w:rPr>
          <w:i/>
          <w:spacing w:val="5"/>
          <w:sz w:val="26"/>
        </w:rPr>
        <w:t>East</w:t>
      </w:r>
      <w:r>
        <w:rPr>
          <w:i/>
          <w:spacing w:val="38"/>
          <w:sz w:val="26"/>
        </w:rPr>
        <w:t> </w:t>
      </w:r>
      <w:r>
        <w:rPr>
          <w:i/>
          <w:spacing w:val="4"/>
          <w:sz w:val="26"/>
        </w:rPr>
        <w:t>European</w:t>
      </w:r>
      <w:r>
        <w:rPr>
          <w:i/>
          <w:spacing w:val="37"/>
          <w:sz w:val="26"/>
        </w:rPr>
        <w:t> </w:t>
      </w:r>
      <w:r>
        <w:rPr>
          <w:i/>
          <w:spacing w:val="6"/>
          <w:sz w:val="26"/>
        </w:rPr>
        <w:t>Ports</w:t>
      </w:r>
      <w:r>
        <w:rPr>
          <w:spacing w:val="6"/>
          <w:sz w:val="26"/>
        </w:rPr>
        <w:t>.</w:t>
      </w:r>
      <w:r>
        <w:rPr>
          <w:spacing w:val="33"/>
          <w:sz w:val="26"/>
        </w:rPr>
        <w:t> </w:t>
      </w:r>
      <w:r>
        <w:rPr>
          <w:spacing w:val="2"/>
          <w:sz w:val="26"/>
        </w:rPr>
        <w:t>Taylor</w:t>
      </w:r>
      <w:r>
        <w:rPr>
          <w:spacing w:val="38"/>
          <w:sz w:val="26"/>
        </w:rPr>
        <w:t> </w:t>
      </w:r>
      <w:r>
        <w:rPr>
          <w:spacing w:val="7"/>
          <w:sz w:val="26"/>
        </w:rPr>
        <w:t>and</w:t>
      </w:r>
    </w:p>
    <w:p>
      <w:pPr>
        <w:spacing w:after="0" w:line="240" w:lineRule="auto"/>
        <w:jc w:val="both"/>
        <w:rPr>
          <w:sz w:val="26"/>
        </w:rPr>
        <w:sectPr>
          <w:pgSz w:w="11910" w:h="16850"/>
          <w:pgMar w:header="751" w:footer="0" w:top="960" w:bottom="280" w:left="820" w:right="240"/>
        </w:sectPr>
      </w:pPr>
    </w:p>
    <w:p>
      <w:pPr>
        <w:pStyle w:val="BodyText"/>
        <w:rPr>
          <w:sz w:val="20"/>
        </w:rPr>
      </w:pPr>
    </w:p>
    <w:p>
      <w:pPr>
        <w:pStyle w:val="BodyText"/>
        <w:spacing w:before="7"/>
        <w:rPr>
          <w:sz w:val="23"/>
        </w:rPr>
      </w:pPr>
    </w:p>
    <w:p>
      <w:pPr>
        <w:pStyle w:val="BodyText"/>
        <w:spacing w:before="89"/>
        <w:ind w:left="882"/>
        <w:jc w:val="both"/>
      </w:pPr>
      <w:r>
        <w:rPr/>
        <w:t>Francic Group an informa business. Ed 1 Routledge. 141</w:t>
      </w:r>
    </w:p>
    <w:p>
      <w:pPr>
        <w:pStyle w:val="ListParagraph"/>
        <w:numPr>
          <w:ilvl w:val="0"/>
          <w:numId w:val="31"/>
        </w:numPr>
        <w:tabs>
          <w:tab w:pos="1326" w:val="left" w:leader="none"/>
        </w:tabs>
        <w:spacing w:line="360" w:lineRule="auto" w:before="150" w:after="0"/>
        <w:ind w:left="882" w:right="1188" w:firstLine="0"/>
        <w:jc w:val="both"/>
        <w:rPr>
          <w:sz w:val="26"/>
        </w:rPr>
      </w:pPr>
      <w:r>
        <w:rPr>
          <w:spacing w:val="5"/>
          <w:sz w:val="26"/>
        </w:rPr>
        <w:t>Luna. </w:t>
      </w:r>
      <w:r>
        <w:rPr>
          <w:spacing w:val="3"/>
          <w:sz w:val="26"/>
        </w:rPr>
        <w:t>J. </w:t>
      </w:r>
      <w:r>
        <w:rPr>
          <w:spacing w:val="4"/>
          <w:sz w:val="26"/>
        </w:rPr>
        <w:t>H.. </w:t>
      </w:r>
      <w:r>
        <w:rPr>
          <w:spacing w:val="6"/>
          <w:sz w:val="26"/>
        </w:rPr>
        <w:t>Mar-Ortiz.. Gracia. </w:t>
      </w:r>
      <w:r>
        <w:rPr>
          <w:spacing w:val="3"/>
          <w:sz w:val="26"/>
        </w:rPr>
        <w:t>M. </w:t>
      </w:r>
      <w:r>
        <w:rPr>
          <w:spacing w:val="5"/>
          <w:sz w:val="26"/>
        </w:rPr>
        <w:t>D.. </w:t>
      </w:r>
      <w:r>
        <w:rPr>
          <w:spacing w:val="4"/>
          <w:sz w:val="26"/>
        </w:rPr>
        <w:t>and </w:t>
      </w:r>
      <w:r>
        <w:rPr>
          <w:spacing w:val="7"/>
          <w:sz w:val="26"/>
        </w:rPr>
        <w:t>Morales-Ramirez. </w:t>
      </w:r>
      <w:r>
        <w:rPr>
          <w:spacing w:val="3"/>
          <w:sz w:val="26"/>
        </w:rPr>
        <w:t>D. </w:t>
      </w:r>
      <w:r>
        <w:rPr>
          <w:spacing w:val="7"/>
          <w:sz w:val="26"/>
        </w:rPr>
        <w:t>(2018). </w:t>
      </w:r>
      <w:r>
        <w:rPr>
          <w:spacing w:val="3"/>
          <w:sz w:val="26"/>
        </w:rPr>
        <w:t>An </w:t>
      </w:r>
      <w:r>
        <w:rPr>
          <w:spacing w:val="6"/>
          <w:sz w:val="26"/>
        </w:rPr>
        <w:t>efficiency analysis </w:t>
      </w:r>
      <w:r>
        <w:rPr>
          <w:spacing w:val="3"/>
          <w:sz w:val="26"/>
        </w:rPr>
        <w:t>of </w:t>
      </w:r>
      <w:r>
        <w:rPr>
          <w:spacing w:val="6"/>
          <w:sz w:val="26"/>
        </w:rPr>
        <w:t>cargo-handling operations </w:t>
      </w:r>
      <w:r>
        <w:rPr>
          <w:spacing w:val="3"/>
          <w:sz w:val="26"/>
        </w:rPr>
        <w:t>at </w:t>
      </w:r>
      <w:r>
        <w:rPr>
          <w:spacing w:val="6"/>
          <w:sz w:val="26"/>
        </w:rPr>
        <w:t>container </w:t>
      </w:r>
      <w:r>
        <w:rPr>
          <w:spacing w:val="7"/>
          <w:sz w:val="26"/>
        </w:rPr>
        <w:t>terminals. </w:t>
      </w:r>
      <w:r>
        <w:rPr>
          <w:i/>
          <w:spacing w:val="6"/>
          <w:sz w:val="26"/>
        </w:rPr>
        <w:t>Maritime Economics </w:t>
      </w:r>
      <w:r>
        <w:rPr>
          <w:i/>
          <w:sz w:val="26"/>
        </w:rPr>
        <w:t>&amp; </w:t>
      </w:r>
      <w:r>
        <w:rPr>
          <w:i/>
          <w:spacing w:val="6"/>
          <w:sz w:val="26"/>
        </w:rPr>
        <w:t>Logistics</w:t>
      </w:r>
      <w:r>
        <w:rPr>
          <w:spacing w:val="6"/>
          <w:sz w:val="26"/>
        </w:rPr>
        <w:t>. </w:t>
      </w:r>
      <w:r>
        <w:rPr>
          <w:spacing w:val="5"/>
          <w:sz w:val="26"/>
        </w:rPr>
        <w:t>20(2).</w:t>
      </w:r>
      <w:r>
        <w:rPr>
          <w:spacing w:val="54"/>
          <w:sz w:val="26"/>
        </w:rPr>
        <w:t> </w:t>
      </w:r>
      <w:r>
        <w:rPr>
          <w:spacing w:val="7"/>
          <w:sz w:val="26"/>
        </w:rPr>
        <w:t>190-210.</w:t>
      </w:r>
    </w:p>
    <w:p>
      <w:pPr>
        <w:pStyle w:val="ListParagraph"/>
        <w:numPr>
          <w:ilvl w:val="0"/>
          <w:numId w:val="31"/>
        </w:numPr>
        <w:tabs>
          <w:tab w:pos="1338" w:val="left" w:leader="none"/>
        </w:tabs>
        <w:spacing w:line="360" w:lineRule="auto" w:before="0" w:after="0"/>
        <w:ind w:left="882" w:right="1199" w:firstLine="0"/>
        <w:jc w:val="both"/>
        <w:rPr>
          <w:sz w:val="26"/>
        </w:rPr>
      </w:pPr>
      <w:r>
        <w:rPr>
          <w:spacing w:val="6"/>
          <w:sz w:val="26"/>
        </w:rPr>
        <w:t>Martinez </w:t>
      </w:r>
      <w:r>
        <w:rPr>
          <w:spacing w:val="5"/>
          <w:sz w:val="26"/>
        </w:rPr>
        <w:t>Moya. </w:t>
      </w:r>
      <w:r>
        <w:rPr>
          <w:spacing w:val="4"/>
          <w:sz w:val="26"/>
        </w:rPr>
        <w:t>j.. and Feo </w:t>
      </w:r>
      <w:r>
        <w:rPr>
          <w:spacing w:val="6"/>
          <w:sz w:val="26"/>
        </w:rPr>
        <w:t>Valero. </w:t>
      </w:r>
      <w:r>
        <w:rPr>
          <w:spacing w:val="3"/>
          <w:sz w:val="26"/>
        </w:rPr>
        <w:t>M. </w:t>
      </w:r>
      <w:r>
        <w:rPr>
          <w:spacing w:val="6"/>
          <w:sz w:val="26"/>
        </w:rPr>
        <w:t>(2017). </w:t>
      </w:r>
      <w:r>
        <w:rPr>
          <w:spacing w:val="5"/>
          <w:sz w:val="26"/>
        </w:rPr>
        <w:t>Port </w:t>
      </w:r>
      <w:r>
        <w:rPr>
          <w:spacing w:val="6"/>
          <w:sz w:val="26"/>
        </w:rPr>
        <w:t>choice </w:t>
      </w:r>
      <w:r>
        <w:rPr>
          <w:spacing w:val="3"/>
          <w:sz w:val="26"/>
        </w:rPr>
        <w:t>in </w:t>
      </w:r>
      <w:r>
        <w:rPr>
          <w:spacing w:val="6"/>
          <w:sz w:val="26"/>
        </w:rPr>
        <w:t>container market: </w:t>
      </w:r>
      <w:r>
        <w:rPr>
          <w:sz w:val="26"/>
        </w:rPr>
        <w:t>a </w:t>
      </w:r>
      <w:r>
        <w:rPr>
          <w:spacing w:val="6"/>
          <w:sz w:val="26"/>
        </w:rPr>
        <w:t>literature review. </w:t>
      </w:r>
      <w:r>
        <w:rPr>
          <w:i/>
          <w:spacing w:val="6"/>
          <w:sz w:val="26"/>
        </w:rPr>
        <w:t>Transport Reviews</w:t>
      </w:r>
      <w:r>
        <w:rPr>
          <w:spacing w:val="6"/>
          <w:sz w:val="26"/>
        </w:rPr>
        <w:t>. </w:t>
      </w:r>
      <w:r>
        <w:rPr>
          <w:spacing w:val="5"/>
          <w:sz w:val="26"/>
        </w:rPr>
        <w:t>37(3).</w:t>
      </w:r>
      <w:r>
        <w:rPr>
          <w:spacing w:val="68"/>
          <w:sz w:val="26"/>
        </w:rPr>
        <w:t> </w:t>
      </w:r>
      <w:r>
        <w:rPr>
          <w:spacing w:val="7"/>
          <w:sz w:val="26"/>
        </w:rPr>
        <w:t>300-321</w:t>
      </w:r>
    </w:p>
    <w:p>
      <w:pPr>
        <w:pStyle w:val="ListParagraph"/>
        <w:numPr>
          <w:ilvl w:val="0"/>
          <w:numId w:val="31"/>
        </w:numPr>
        <w:tabs>
          <w:tab w:pos="1312" w:val="left" w:leader="none"/>
        </w:tabs>
        <w:spacing w:line="360" w:lineRule="auto" w:before="0" w:after="0"/>
        <w:ind w:left="882" w:right="891" w:firstLine="0"/>
        <w:jc w:val="both"/>
        <w:rPr>
          <w:sz w:val="26"/>
        </w:rPr>
      </w:pPr>
      <w:r>
        <w:rPr>
          <w:sz w:val="26"/>
        </w:rPr>
        <w:t>Magala. M. and Sammons. A. (2008). New approach to port choice modelling. Maritime Economics and Logistics 10:</w:t>
      </w:r>
      <w:r>
        <w:rPr>
          <w:spacing w:val="-4"/>
          <w:sz w:val="26"/>
        </w:rPr>
        <w:t> </w:t>
      </w:r>
      <w:r>
        <w:rPr>
          <w:sz w:val="26"/>
        </w:rPr>
        <w:t>9–34</w:t>
      </w:r>
    </w:p>
    <w:p>
      <w:pPr>
        <w:pStyle w:val="ListParagraph"/>
        <w:numPr>
          <w:ilvl w:val="0"/>
          <w:numId w:val="31"/>
        </w:numPr>
        <w:tabs>
          <w:tab w:pos="1324" w:val="left" w:leader="none"/>
        </w:tabs>
        <w:spacing w:line="240" w:lineRule="auto" w:before="0" w:after="0"/>
        <w:ind w:left="1323" w:right="0" w:hanging="442"/>
        <w:jc w:val="both"/>
        <w:rPr>
          <w:sz w:val="26"/>
        </w:rPr>
      </w:pPr>
      <w:r>
        <w:rPr>
          <w:spacing w:val="-3"/>
          <w:sz w:val="26"/>
        </w:rPr>
        <w:t>Murphy. </w:t>
      </w:r>
      <w:r>
        <w:rPr>
          <w:spacing w:val="-10"/>
          <w:sz w:val="26"/>
        </w:rPr>
        <w:t>P.. </w:t>
      </w:r>
      <w:r>
        <w:rPr>
          <w:spacing w:val="-3"/>
          <w:sz w:val="26"/>
        </w:rPr>
        <w:t>Daley. </w:t>
      </w:r>
      <w:r>
        <w:rPr>
          <w:sz w:val="26"/>
        </w:rPr>
        <w:t>J. (1994). A comparative analysis of port selection</w:t>
      </w:r>
      <w:r>
        <w:rPr>
          <w:spacing w:val="56"/>
          <w:sz w:val="26"/>
        </w:rPr>
        <w:t> </w:t>
      </w:r>
      <w:r>
        <w:rPr>
          <w:sz w:val="26"/>
        </w:rPr>
        <w:t>factors.</w:t>
      </w:r>
    </w:p>
    <w:p>
      <w:pPr>
        <w:spacing w:before="150"/>
        <w:ind w:left="882" w:right="0" w:firstLine="0"/>
        <w:jc w:val="both"/>
        <w:rPr>
          <w:sz w:val="26"/>
        </w:rPr>
      </w:pPr>
      <w:r>
        <w:rPr>
          <w:i/>
          <w:sz w:val="26"/>
        </w:rPr>
        <w:t>Transportation Journal </w:t>
      </w:r>
      <w:r>
        <w:rPr>
          <w:sz w:val="26"/>
        </w:rPr>
        <w:t>34 (1). 15–21.</w:t>
      </w:r>
    </w:p>
    <w:p>
      <w:pPr>
        <w:pStyle w:val="ListParagraph"/>
        <w:numPr>
          <w:ilvl w:val="0"/>
          <w:numId w:val="31"/>
        </w:numPr>
        <w:tabs>
          <w:tab w:pos="1338" w:val="left" w:leader="none"/>
        </w:tabs>
        <w:spacing w:line="357" w:lineRule="auto" w:before="150" w:after="0"/>
        <w:ind w:left="882" w:right="891" w:firstLine="0"/>
        <w:jc w:val="both"/>
        <w:rPr>
          <w:sz w:val="26"/>
        </w:rPr>
      </w:pPr>
      <w:r>
        <w:rPr>
          <w:sz w:val="26"/>
        </w:rPr>
        <w:t>Nunnally JC and Burnstein IH. (1994). </w:t>
      </w:r>
      <w:r>
        <w:rPr>
          <w:i/>
          <w:sz w:val="26"/>
        </w:rPr>
        <w:t>Psychometric theory</w:t>
      </w:r>
      <w:r>
        <w:rPr>
          <w:sz w:val="26"/>
        </w:rPr>
        <w:t>. 3nd. NewYork: McGraw-Hill</w:t>
      </w:r>
    </w:p>
    <w:p>
      <w:pPr>
        <w:pStyle w:val="ListParagraph"/>
        <w:numPr>
          <w:ilvl w:val="0"/>
          <w:numId w:val="31"/>
        </w:numPr>
        <w:tabs>
          <w:tab w:pos="1326" w:val="left" w:leader="none"/>
        </w:tabs>
        <w:spacing w:line="360" w:lineRule="auto" w:before="4" w:after="0"/>
        <w:ind w:left="882" w:right="891" w:firstLine="0"/>
        <w:jc w:val="both"/>
        <w:rPr>
          <w:sz w:val="26"/>
        </w:rPr>
      </w:pPr>
      <w:r>
        <w:rPr>
          <w:sz w:val="26"/>
        </w:rPr>
        <w:t>Notteboom. T. and Rodrigue. J.P. (2010). Port regionalization: towards a new phase in port development. </w:t>
      </w:r>
      <w:r>
        <w:rPr>
          <w:i/>
          <w:sz w:val="26"/>
        </w:rPr>
        <w:t>Maritime Policy and Management</w:t>
      </w:r>
      <w:r>
        <w:rPr>
          <w:sz w:val="26"/>
        </w:rPr>
        <w:t>. 32:</w:t>
      </w:r>
      <w:r>
        <w:rPr>
          <w:spacing w:val="-8"/>
          <w:sz w:val="26"/>
        </w:rPr>
        <w:t> </w:t>
      </w:r>
      <w:r>
        <w:rPr>
          <w:sz w:val="26"/>
        </w:rPr>
        <w:t>297-313</w:t>
      </w:r>
    </w:p>
    <w:p>
      <w:pPr>
        <w:pStyle w:val="ListParagraph"/>
        <w:numPr>
          <w:ilvl w:val="0"/>
          <w:numId w:val="31"/>
        </w:numPr>
        <w:tabs>
          <w:tab w:pos="1346" w:val="left" w:leader="none"/>
        </w:tabs>
        <w:spacing w:line="360" w:lineRule="auto" w:before="1" w:after="0"/>
        <w:ind w:left="882" w:right="888" w:firstLine="0"/>
        <w:jc w:val="both"/>
        <w:rPr>
          <w:sz w:val="26"/>
        </w:rPr>
      </w:pPr>
      <w:r>
        <w:rPr>
          <w:sz w:val="26"/>
        </w:rPr>
        <w:t>Notteboom. Theo (2011). Seaport in supply chain management: an impirical analysis. </w:t>
      </w:r>
      <w:r>
        <w:rPr>
          <w:i/>
          <w:sz w:val="26"/>
        </w:rPr>
        <w:t>Maritime Policy and Management</w:t>
      </w:r>
      <w:r>
        <w:rPr>
          <w:sz w:val="26"/>
        </w:rPr>
        <w:t>. 32:</w:t>
      </w:r>
      <w:r>
        <w:rPr>
          <w:spacing w:val="-2"/>
          <w:sz w:val="26"/>
        </w:rPr>
        <w:t> </w:t>
      </w:r>
      <w:r>
        <w:rPr>
          <w:sz w:val="26"/>
        </w:rPr>
        <w:t>297-313</w:t>
      </w:r>
    </w:p>
    <w:p>
      <w:pPr>
        <w:pStyle w:val="ListParagraph"/>
        <w:numPr>
          <w:ilvl w:val="0"/>
          <w:numId w:val="31"/>
        </w:numPr>
        <w:tabs>
          <w:tab w:pos="1295" w:val="left" w:leader="none"/>
        </w:tabs>
        <w:spacing w:line="360" w:lineRule="auto" w:before="1" w:after="0"/>
        <w:ind w:left="882" w:right="888" w:firstLine="0"/>
        <w:jc w:val="both"/>
        <w:rPr>
          <w:sz w:val="26"/>
        </w:rPr>
      </w:pPr>
      <w:r>
        <w:rPr>
          <w:sz w:val="26"/>
        </w:rPr>
        <w:t>Onut. S.. Tuzkaya. U. and Torun. E. (2011). Selecting container port via a fuzzy ANP-based approach: A case study in the Marmara Region. Turkey. </w:t>
      </w:r>
      <w:r>
        <w:rPr>
          <w:i/>
          <w:sz w:val="26"/>
        </w:rPr>
        <w:t>Transport Policy </w:t>
      </w:r>
      <w:r>
        <w:rPr>
          <w:sz w:val="26"/>
        </w:rPr>
        <w:t>18:</w:t>
      </w:r>
      <w:r>
        <w:rPr>
          <w:spacing w:val="-2"/>
          <w:sz w:val="26"/>
        </w:rPr>
        <w:t> </w:t>
      </w:r>
      <w:r>
        <w:rPr>
          <w:sz w:val="26"/>
        </w:rPr>
        <w:t>182–193</w:t>
      </w:r>
    </w:p>
    <w:p>
      <w:pPr>
        <w:pStyle w:val="ListParagraph"/>
        <w:numPr>
          <w:ilvl w:val="0"/>
          <w:numId w:val="31"/>
        </w:numPr>
        <w:tabs>
          <w:tab w:pos="1288" w:val="left" w:leader="none"/>
        </w:tabs>
        <w:spacing w:line="360" w:lineRule="auto" w:before="0" w:after="0"/>
        <w:ind w:left="882" w:right="891" w:firstLine="0"/>
        <w:jc w:val="both"/>
        <w:rPr>
          <w:sz w:val="26"/>
        </w:rPr>
      </w:pPr>
      <w:r>
        <w:rPr>
          <w:sz w:val="26"/>
        </w:rPr>
        <w:t>Panayides. P. M. and Song. D. W. 2009. Port integration in global supply chains: measures and implications for maritime Logistics. </w:t>
      </w:r>
      <w:r>
        <w:rPr>
          <w:i/>
          <w:sz w:val="26"/>
        </w:rPr>
        <w:t>International Journal of Logistics </w:t>
      </w:r>
      <w:r>
        <w:rPr>
          <w:i/>
          <w:sz w:val="26"/>
        </w:rPr>
        <w:t>Research and Applications </w:t>
      </w:r>
      <w:r>
        <w:rPr>
          <w:sz w:val="26"/>
        </w:rPr>
        <w:t>12(2): 133 — 145.</w:t>
      </w:r>
    </w:p>
    <w:p>
      <w:pPr>
        <w:pStyle w:val="ListParagraph"/>
        <w:numPr>
          <w:ilvl w:val="0"/>
          <w:numId w:val="31"/>
        </w:numPr>
        <w:tabs>
          <w:tab w:pos="1350" w:val="left" w:leader="none"/>
        </w:tabs>
        <w:spacing w:line="360" w:lineRule="auto" w:before="0" w:after="0"/>
        <w:ind w:left="882" w:right="891" w:firstLine="0"/>
        <w:jc w:val="both"/>
        <w:rPr>
          <w:sz w:val="26"/>
        </w:rPr>
      </w:pPr>
      <w:r>
        <w:rPr>
          <w:sz w:val="26"/>
        </w:rPr>
        <w:t>Raimonds Aronietis and et al (2010). </w:t>
      </w:r>
      <w:r>
        <w:rPr>
          <w:i/>
          <w:sz w:val="26"/>
        </w:rPr>
        <w:t>Port Competitiveness Determinants of </w:t>
      </w:r>
      <w:r>
        <w:rPr>
          <w:i/>
          <w:sz w:val="26"/>
        </w:rPr>
        <w:t>Selected European Ports in The Containerized Cargo Market</w:t>
      </w:r>
      <w:r>
        <w:rPr>
          <w:sz w:val="26"/>
        </w:rPr>
        <w:t>. Association for European Transport and</w:t>
      </w:r>
      <w:r>
        <w:rPr>
          <w:spacing w:val="-6"/>
          <w:sz w:val="26"/>
        </w:rPr>
        <w:t> </w:t>
      </w:r>
      <w:r>
        <w:rPr>
          <w:sz w:val="26"/>
        </w:rPr>
        <w:t>contributors.</w:t>
      </w:r>
    </w:p>
    <w:p>
      <w:pPr>
        <w:pStyle w:val="ListParagraph"/>
        <w:numPr>
          <w:ilvl w:val="0"/>
          <w:numId w:val="31"/>
        </w:numPr>
        <w:tabs>
          <w:tab w:pos="1319" w:val="left" w:leader="none"/>
        </w:tabs>
        <w:spacing w:line="360" w:lineRule="auto" w:before="0" w:after="0"/>
        <w:ind w:left="882" w:right="891" w:firstLine="0"/>
        <w:jc w:val="both"/>
        <w:rPr>
          <w:sz w:val="26"/>
        </w:rPr>
      </w:pPr>
      <w:r>
        <w:rPr>
          <w:sz w:val="26"/>
        </w:rPr>
        <w:t>Robinson. R (2002). Ports as elements in value-driven chain systems: the new paradigm. </w:t>
      </w:r>
      <w:r>
        <w:rPr>
          <w:i/>
          <w:sz w:val="26"/>
        </w:rPr>
        <w:t>Maritime Policy and Management</w:t>
      </w:r>
      <w:r>
        <w:rPr>
          <w:sz w:val="26"/>
        </w:rPr>
        <w:t>. 29:</w:t>
      </w:r>
      <w:r>
        <w:rPr>
          <w:spacing w:val="-2"/>
          <w:sz w:val="26"/>
        </w:rPr>
        <w:t> </w:t>
      </w:r>
      <w:r>
        <w:rPr>
          <w:sz w:val="26"/>
        </w:rPr>
        <w:t>241-255</w:t>
      </w:r>
    </w:p>
    <w:p>
      <w:pPr>
        <w:pStyle w:val="ListParagraph"/>
        <w:numPr>
          <w:ilvl w:val="0"/>
          <w:numId w:val="31"/>
        </w:numPr>
        <w:tabs>
          <w:tab w:pos="1288" w:val="left" w:leader="none"/>
        </w:tabs>
        <w:spacing w:line="360" w:lineRule="auto" w:before="0" w:after="0"/>
        <w:ind w:left="882" w:right="891" w:firstLine="0"/>
        <w:jc w:val="both"/>
        <w:rPr>
          <w:sz w:val="26"/>
        </w:rPr>
      </w:pPr>
      <w:r>
        <w:rPr>
          <w:sz w:val="26"/>
        </w:rPr>
        <w:t>Sharma and </w:t>
      </w:r>
      <w:r>
        <w:rPr>
          <w:spacing w:val="-15"/>
          <w:sz w:val="26"/>
        </w:rPr>
        <w:t>Yu </w:t>
      </w:r>
      <w:r>
        <w:rPr>
          <w:sz w:val="26"/>
        </w:rPr>
        <w:t>A. (2009). A simulation for the Kwai Chung container terminal in Hong Kong. </w:t>
      </w:r>
      <w:r>
        <w:rPr>
          <w:i/>
          <w:sz w:val="26"/>
        </w:rPr>
        <w:t>European journal of operational reseach</w:t>
      </w:r>
      <w:r>
        <w:rPr>
          <w:i/>
          <w:spacing w:val="-1"/>
          <w:sz w:val="26"/>
        </w:rPr>
        <w:t> </w:t>
      </w:r>
      <w:r>
        <w:rPr>
          <w:spacing w:val="-3"/>
          <w:sz w:val="26"/>
        </w:rPr>
        <w:t>40:1-11</w:t>
      </w:r>
    </w:p>
    <w:p>
      <w:pPr>
        <w:pStyle w:val="ListParagraph"/>
        <w:numPr>
          <w:ilvl w:val="0"/>
          <w:numId w:val="31"/>
        </w:numPr>
        <w:tabs>
          <w:tab w:pos="1317" w:val="left" w:leader="none"/>
        </w:tabs>
        <w:spacing w:line="360" w:lineRule="auto" w:before="0" w:after="0"/>
        <w:ind w:left="882" w:right="888" w:firstLine="0"/>
        <w:jc w:val="both"/>
        <w:rPr>
          <w:sz w:val="26"/>
        </w:rPr>
      </w:pPr>
      <w:r>
        <w:rPr>
          <w:sz w:val="26"/>
        </w:rPr>
        <w:t>Slack. B. at al (2007). The terminalization of seaports. </w:t>
      </w:r>
      <w:r>
        <w:rPr>
          <w:i/>
          <w:sz w:val="26"/>
        </w:rPr>
        <w:t>Port Cities and Global </w:t>
      </w:r>
      <w:r>
        <w:rPr>
          <w:i/>
          <w:sz w:val="26"/>
        </w:rPr>
        <w:t>Supply Chain. Aldershot. Ashgate</w:t>
      </w:r>
      <w:r>
        <w:rPr>
          <w:sz w:val="26"/>
        </w:rPr>
        <w:t>.</w:t>
      </w:r>
      <w:r>
        <w:rPr>
          <w:spacing w:val="-13"/>
          <w:sz w:val="26"/>
        </w:rPr>
        <w:t> </w:t>
      </w:r>
      <w:r>
        <w:rPr>
          <w:sz w:val="26"/>
        </w:rPr>
        <w:t>pp.41-50</w:t>
      </w:r>
    </w:p>
    <w:p>
      <w:pPr>
        <w:spacing w:after="0" w:line="360" w:lineRule="auto"/>
        <w:jc w:val="both"/>
        <w:rPr>
          <w:sz w:val="26"/>
        </w:rPr>
        <w:sectPr>
          <w:pgSz w:w="11910" w:h="16850"/>
          <w:pgMar w:header="751" w:footer="0" w:top="960" w:bottom="280" w:left="820" w:right="240"/>
        </w:sectPr>
      </w:pPr>
    </w:p>
    <w:p>
      <w:pPr>
        <w:pStyle w:val="BodyText"/>
        <w:rPr>
          <w:sz w:val="20"/>
        </w:rPr>
      </w:pPr>
    </w:p>
    <w:p>
      <w:pPr>
        <w:pStyle w:val="BodyText"/>
        <w:spacing w:before="7"/>
        <w:rPr>
          <w:sz w:val="23"/>
        </w:rPr>
      </w:pPr>
    </w:p>
    <w:p>
      <w:pPr>
        <w:pStyle w:val="ListParagraph"/>
        <w:numPr>
          <w:ilvl w:val="0"/>
          <w:numId w:val="31"/>
        </w:numPr>
        <w:tabs>
          <w:tab w:pos="1310" w:val="left" w:leader="none"/>
        </w:tabs>
        <w:spacing w:line="360" w:lineRule="auto" w:before="89" w:after="0"/>
        <w:ind w:left="882" w:right="891" w:firstLine="0"/>
        <w:jc w:val="both"/>
        <w:rPr>
          <w:sz w:val="26"/>
        </w:rPr>
      </w:pPr>
      <w:r>
        <w:rPr>
          <w:sz w:val="26"/>
        </w:rPr>
        <w:t>Strauss A and Corbin J. (1998). </w:t>
      </w:r>
      <w:r>
        <w:rPr>
          <w:i/>
          <w:sz w:val="26"/>
        </w:rPr>
        <w:t>Basics of qualitative research</w:t>
      </w:r>
      <w:r>
        <w:rPr>
          <w:sz w:val="26"/>
        </w:rPr>
        <w:t>. Techniques and procedures for developing grounded theory. 2-ed. Thousand Oaks CA:</w:t>
      </w:r>
      <w:r>
        <w:rPr>
          <w:spacing w:val="-9"/>
          <w:sz w:val="26"/>
        </w:rPr>
        <w:t> </w:t>
      </w:r>
      <w:r>
        <w:rPr>
          <w:sz w:val="26"/>
        </w:rPr>
        <w:t>Sage.</w:t>
      </w:r>
    </w:p>
    <w:p>
      <w:pPr>
        <w:pStyle w:val="ListParagraph"/>
        <w:numPr>
          <w:ilvl w:val="0"/>
          <w:numId w:val="31"/>
        </w:numPr>
        <w:tabs>
          <w:tab w:pos="1286" w:val="left" w:leader="none"/>
        </w:tabs>
        <w:spacing w:line="360" w:lineRule="auto" w:before="0" w:after="0"/>
        <w:ind w:left="882" w:right="888" w:firstLine="0"/>
        <w:jc w:val="both"/>
        <w:rPr>
          <w:sz w:val="26"/>
        </w:rPr>
      </w:pPr>
      <w:r>
        <w:rPr>
          <w:sz w:val="26"/>
        </w:rPr>
        <w:t>Song. D. W. and Yeo. K. T. (2004). A competitive analysis of chinese container ports using the analytic hierarchy process. </w:t>
      </w:r>
      <w:r>
        <w:rPr>
          <w:i/>
          <w:sz w:val="26"/>
        </w:rPr>
        <w:t>Maritime Economics and Logistics </w:t>
      </w:r>
      <w:r>
        <w:rPr>
          <w:sz w:val="26"/>
        </w:rPr>
        <w:t>6: 34– 52.</w:t>
      </w:r>
    </w:p>
    <w:p>
      <w:pPr>
        <w:pStyle w:val="ListParagraph"/>
        <w:numPr>
          <w:ilvl w:val="0"/>
          <w:numId w:val="31"/>
        </w:numPr>
        <w:tabs>
          <w:tab w:pos="1314" w:val="left" w:leader="none"/>
        </w:tabs>
        <w:spacing w:line="298" w:lineRule="exact" w:before="0" w:after="0"/>
        <w:ind w:left="1314" w:right="0" w:hanging="432"/>
        <w:jc w:val="both"/>
        <w:rPr>
          <w:sz w:val="24"/>
        </w:rPr>
      </w:pPr>
      <w:r>
        <w:rPr>
          <w:sz w:val="26"/>
        </w:rPr>
        <w:t>Soner Esmer (2008). </w:t>
      </w:r>
      <w:r>
        <w:rPr>
          <w:sz w:val="24"/>
        </w:rPr>
        <w:t>Performance Measurements of Container Terminal</w:t>
      </w:r>
      <w:r>
        <w:rPr>
          <w:spacing w:val="43"/>
          <w:sz w:val="24"/>
        </w:rPr>
        <w:t> </w:t>
      </w:r>
      <w:r>
        <w:rPr>
          <w:sz w:val="24"/>
        </w:rPr>
        <w:t>Operations.</w:t>
      </w:r>
    </w:p>
    <w:p>
      <w:pPr>
        <w:spacing w:before="147"/>
        <w:ind w:left="882" w:right="0" w:firstLine="0"/>
        <w:jc w:val="both"/>
        <w:rPr>
          <w:sz w:val="24"/>
        </w:rPr>
      </w:pPr>
      <w:r>
        <w:rPr>
          <w:i/>
          <w:sz w:val="24"/>
        </w:rPr>
        <w:t>Dokuz Eylül Üniversitesi Sosyal Bilimler Enstitüsü Dergisi Cilt 10</w:t>
      </w:r>
      <w:r>
        <w:rPr>
          <w:sz w:val="24"/>
        </w:rPr>
        <w:t>. Sayı: 1. 2008</w:t>
      </w:r>
    </w:p>
    <w:p>
      <w:pPr>
        <w:pStyle w:val="ListParagraph"/>
        <w:numPr>
          <w:ilvl w:val="0"/>
          <w:numId w:val="31"/>
        </w:numPr>
        <w:tabs>
          <w:tab w:pos="1271" w:val="left" w:leader="none"/>
        </w:tabs>
        <w:spacing w:line="360" w:lineRule="auto" w:before="142" w:after="0"/>
        <w:ind w:left="882" w:right="888" w:firstLine="0"/>
        <w:jc w:val="both"/>
        <w:rPr>
          <w:sz w:val="26"/>
        </w:rPr>
      </w:pPr>
      <w:r>
        <w:rPr>
          <w:spacing w:val="-6"/>
          <w:sz w:val="26"/>
        </w:rPr>
        <w:t>Talley. </w:t>
      </w:r>
      <w:r>
        <w:rPr>
          <w:spacing w:val="-11"/>
          <w:sz w:val="26"/>
        </w:rPr>
        <w:t>W. </w:t>
      </w:r>
      <w:r>
        <w:rPr>
          <w:sz w:val="26"/>
        </w:rPr>
        <w:t>K. (2006). Port performance: An economics perspective. In: Devolution. port governance and port performance. </w:t>
      </w:r>
      <w:r>
        <w:rPr>
          <w:i/>
          <w:sz w:val="26"/>
        </w:rPr>
        <w:t>Research in Transportation Economics </w:t>
      </w:r>
      <w:r>
        <w:rPr>
          <w:sz w:val="26"/>
        </w:rPr>
        <w:t>22: 499–516.</w:t>
      </w:r>
    </w:p>
    <w:p>
      <w:pPr>
        <w:pStyle w:val="ListParagraph"/>
        <w:numPr>
          <w:ilvl w:val="0"/>
          <w:numId w:val="31"/>
        </w:numPr>
        <w:tabs>
          <w:tab w:pos="1281" w:val="left" w:leader="none"/>
        </w:tabs>
        <w:spacing w:line="360" w:lineRule="auto" w:before="0" w:after="0"/>
        <w:ind w:left="882" w:right="888" w:firstLine="0"/>
        <w:jc w:val="both"/>
        <w:rPr>
          <w:sz w:val="26"/>
        </w:rPr>
      </w:pPr>
      <w:r>
        <w:rPr>
          <w:sz w:val="26"/>
        </w:rPr>
        <w:t>Thomas. B.J. and Monie. G. (2000). The Measurement of Port Performance: </w:t>
      </w:r>
      <w:r>
        <w:rPr>
          <w:spacing w:val="-3"/>
          <w:sz w:val="26"/>
        </w:rPr>
        <w:t>With </w:t>
      </w:r>
      <w:r>
        <w:rPr>
          <w:sz w:val="26"/>
        </w:rPr>
        <w:t>Particular Reference 10 Container </w:t>
      </w:r>
      <w:r>
        <w:rPr>
          <w:spacing w:val="-3"/>
          <w:sz w:val="26"/>
        </w:rPr>
        <w:t>Terminal </w:t>
      </w:r>
      <w:r>
        <w:rPr>
          <w:sz w:val="26"/>
        </w:rPr>
        <w:t>Operations. </w:t>
      </w:r>
      <w:r>
        <w:rPr>
          <w:i/>
          <w:sz w:val="26"/>
        </w:rPr>
        <w:t>International Labour </w:t>
      </w:r>
      <w:r>
        <w:rPr>
          <w:i/>
          <w:sz w:val="26"/>
        </w:rPr>
        <w:t>Organizations (Ilo ‘S) Porth’orker Development Progranne (Pdp). </w:t>
      </w:r>
      <w:r>
        <w:rPr>
          <w:sz w:val="26"/>
        </w:rPr>
        <w:t>Cardiff/ Antwerp. </w:t>
      </w:r>
      <w:r>
        <w:rPr>
          <w:spacing w:val="-3"/>
          <w:sz w:val="26"/>
        </w:rPr>
        <w:t>January.</w:t>
      </w:r>
      <w:r>
        <w:rPr>
          <w:spacing w:val="-1"/>
          <w:sz w:val="26"/>
        </w:rPr>
        <w:t> </w:t>
      </w:r>
      <w:r>
        <w:rPr>
          <w:sz w:val="26"/>
        </w:rPr>
        <w:t>2003</w:t>
      </w:r>
    </w:p>
    <w:p>
      <w:pPr>
        <w:pStyle w:val="ListParagraph"/>
        <w:numPr>
          <w:ilvl w:val="0"/>
          <w:numId w:val="31"/>
        </w:numPr>
        <w:tabs>
          <w:tab w:pos="1278" w:val="left" w:leader="none"/>
        </w:tabs>
        <w:spacing w:line="357" w:lineRule="auto" w:before="1" w:after="0"/>
        <w:ind w:left="882" w:right="891" w:firstLine="0"/>
        <w:jc w:val="both"/>
        <w:rPr>
          <w:sz w:val="26"/>
        </w:rPr>
      </w:pPr>
      <w:r>
        <w:rPr>
          <w:spacing w:val="-3"/>
          <w:sz w:val="26"/>
        </w:rPr>
        <w:t>Tongzon. </w:t>
      </w:r>
      <w:r>
        <w:rPr>
          <w:sz w:val="26"/>
        </w:rPr>
        <w:t>J.. Ganesalingam. S. (1994). An evaluation of ASEAN port performance and efficiency. </w:t>
      </w:r>
      <w:r>
        <w:rPr>
          <w:i/>
          <w:sz w:val="26"/>
        </w:rPr>
        <w:t>Asian Economic Journal </w:t>
      </w:r>
      <w:r>
        <w:rPr>
          <w:sz w:val="26"/>
        </w:rPr>
        <w:t>8 (3).</w:t>
      </w:r>
      <w:r>
        <w:rPr>
          <w:spacing w:val="-3"/>
          <w:sz w:val="26"/>
        </w:rPr>
        <w:t> </w:t>
      </w:r>
      <w:r>
        <w:rPr>
          <w:sz w:val="26"/>
        </w:rPr>
        <w:t>317-330</w:t>
      </w:r>
    </w:p>
    <w:p>
      <w:pPr>
        <w:pStyle w:val="ListParagraph"/>
        <w:numPr>
          <w:ilvl w:val="0"/>
          <w:numId w:val="31"/>
        </w:numPr>
        <w:tabs>
          <w:tab w:pos="1415" w:val="left" w:leader="none"/>
        </w:tabs>
        <w:spacing w:line="360" w:lineRule="auto" w:before="5" w:after="0"/>
        <w:ind w:left="882" w:right="891" w:firstLine="0"/>
        <w:jc w:val="both"/>
        <w:rPr>
          <w:sz w:val="26"/>
        </w:rPr>
      </w:pPr>
      <w:r>
        <w:rPr>
          <w:spacing w:val="-3"/>
          <w:sz w:val="26"/>
        </w:rPr>
        <w:t>Tongzon. </w:t>
      </w:r>
      <w:r>
        <w:rPr>
          <w:sz w:val="26"/>
        </w:rPr>
        <w:t>J. and Heng. </w:t>
      </w:r>
      <w:r>
        <w:rPr>
          <w:spacing w:val="-12"/>
          <w:sz w:val="26"/>
        </w:rPr>
        <w:t>W. </w:t>
      </w:r>
      <w:r>
        <w:rPr>
          <w:sz w:val="26"/>
        </w:rPr>
        <w:t>(2005). Port privatization. efficiency and competitiveness: Some empirical evidence from container ports (terminals). </w:t>
      </w:r>
      <w:r>
        <w:rPr>
          <w:i/>
          <w:sz w:val="26"/>
        </w:rPr>
        <w:t>Transportation Research </w:t>
      </w:r>
      <w:r>
        <w:rPr>
          <w:sz w:val="26"/>
        </w:rPr>
        <w:t>Part A. 39.</w:t>
      </w:r>
      <w:r>
        <w:rPr>
          <w:spacing w:val="-18"/>
          <w:sz w:val="26"/>
        </w:rPr>
        <w:t> </w:t>
      </w:r>
      <w:r>
        <w:rPr>
          <w:sz w:val="26"/>
        </w:rPr>
        <w:t>405–424.</w:t>
      </w:r>
    </w:p>
    <w:p>
      <w:pPr>
        <w:pStyle w:val="ListParagraph"/>
        <w:numPr>
          <w:ilvl w:val="0"/>
          <w:numId w:val="31"/>
        </w:numPr>
        <w:tabs>
          <w:tab w:pos="1274" w:val="left" w:leader="none"/>
        </w:tabs>
        <w:spacing w:line="360" w:lineRule="auto" w:before="1" w:after="0"/>
        <w:ind w:left="882" w:right="890" w:firstLine="0"/>
        <w:jc w:val="both"/>
        <w:rPr>
          <w:sz w:val="26"/>
        </w:rPr>
      </w:pPr>
      <w:r>
        <w:rPr>
          <w:spacing w:val="-3"/>
          <w:sz w:val="26"/>
        </w:rPr>
        <w:t>Tongzon. </w:t>
      </w:r>
      <w:r>
        <w:rPr>
          <w:sz w:val="26"/>
        </w:rPr>
        <w:t>J. (2008). Systematizing international benchmarketing for port. </w:t>
      </w:r>
      <w:r>
        <w:rPr>
          <w:i/>
          <w:sz w:val="26"/>
        </w:rPr>
        <w:t>Maritime </w:t>
      </w:r>
      <w:r>
        <w:rPr>
          <w:i/>
          <w:sz w:val="26"/>
        </w:rPr>
        <w:t>policy and management</w:t>
      </w:r>
      <w:r>
        <w:rPr>
          <w:sz w:val="26"/>
        </w:rPr>
        <w:t>. 22.</w:t>
      </w:r>
      <w:r>
        <w:rPr>
          <w:spacing w:val="-2"/>
          <w:sz w:val="26"/>
        </w:rPr>
        <w:t> </w:t>
      </w:r>
      <w:r>
        <w:rPr>
          <w:sz w:val="26"/>
        </w:rPr>
        <w:t>171-77</w:t>
      </w:r>
    </w:p>
    <w:p>
      <w:pPr>
        <w:pStyle w:val="ListParagraph"/>
        <w:numPr>
          <w:ilvl w:val="0"/>
          <w:numId w:val="31"/>
        </w:numPr>
        <w:tabs>
          <w:tab w:pos="1298" w:val="left" w:leader="none"/>
        </w:tabs>
        <w:spacing w:line="357" w:lineRule="auto" w:before="0" w:after="0"/>
        <w:ind w:left="882" w:right="891" w:firstLine="0"/>
        <w:jc w:val="both"/>
        <w:rPr>
          <w:sz w:val="26"/>
        </w:rPr>
      </w:pPr>
      <w:r>
        <w:rPr>
          <w:spacing w:val="-3"/>
          <w:sz w:val="26"/>
        </w:rPr>
        <w:t>Tongzon. </w:t>
      </w:r>
      <w:r>
        <w:rPr>
          <w:sz w:val="26"/>
        </w:rPr>
        <w:t>J. (2009). Port choice and freight forwarders. </w:t>
      </w:r>
      <w:r>
        <w:rPr>
          <w:i/>
          <w:sz w:val="26"/>
        </w:rPr>
        <w:t>Transportation Research </w:t>
      </w:r>
      <w:r>
        <w:rPr>
          <w:i/>
          <w:sz w:val="26"/>
        </w:rPr>
        <w:t>Part E: Logistics and Transportation Review</w:t>
      </w:r>
      <w:r>
        <w:rPr>
          <w:sz w:val="26"/>
        </w:rPr>
        <w:t>. 45(1).</w:t>
      </w:r>
      <w:r>
        <w:rPr>
          <w:spacing w:val="-4"/>
          <w:sz w:val="26"/>
        </w:rPr>
        <w:t> </w:t>
      </w:r>
      <w:r>
        <w:rPr>
          <w:sz w:val="26"/>
        </w:rPr>
        <w:t>186-195</w:t>
      </w:r>
    </w:p>
    <w:p>
      <w:pPr>
        <w:pStyle w:val="ListParagraph"/>
        <w:numPr>
          <w:ilvl w:val="0"/>
          <w:numId w:val="31"/>
        </w:numPr>
        <w:tabs>
          <w:tab w:pos="1298" w:val="left" w:leader="none"/>
        </w:tabs>
        <w:spacing w:line="360" w:lineRule="auto" w:before="5" w:after="0"/>
        <w:ind w:left="882" w:right="891" w:firstLine="0"/>
        <w:jc w:val="both"/>
        <w:rPr>
          <w:sz w:val="26"/>
        </w:rPr>
      </w:pPr>
      <w:r>
        <w:rPr>
          <w:sz w:val="26"/>
        </w:rPr>
        <w:t>Trujillo. L. and </w:t>
      </w:r>
      <w:r>
        <w:rPr>
          <w:spacing w:val="-6"/>
          <w:sz w:val="26"/>
        </w:rPr>
        <w:t>Tovar. </w:t>
      </w:r>
      <w:r>
        <w:rPr>
          <w:sz w:val="26"/>
        </w:rPr>
        <w:t>B. (2007). The european port industry: An analysis of its economic efficiency. </w:t>
      </w:r>
      <w:r>
        <w:rPr>
          <w:i/>
          <w:sz w:val="26"/>
        </w:rPr>
        <w:t>Maritime Economics and Logistics</w:t>
      </w:r>
      <w:r>
        <w:rPr>
          <w:sz w:val="26"/>
        </w:rPr>
        <w:t>. 9.</w:t>
      </w:r>
      <w:r>
        <w:rPr>
          <w:spacing w:val="-6"/>
          <w:sz w:val="26"/>
        </w:rPr>
        <w:t> </w:t>
      </w:r>
      <w:r>
        <w:rPr>
          <w:sz w:val="26"/>
        </w:rPr>
        <w:t>148–171.</w:t>
      </w:r>
    </w:p>
    <w:p>
      <w:pPr>
        <w:pStyle w:val="ListParagraph"/>
        <w:numPr>
          <w:ilvl w:val="0"/>
          <w:numId w:val="31"/>
        </w:numPr>
        <w:tabs>
          <w:tab w:pos="1310" w:val="left" w:leader="none"/>
          <w:tab w:pos="2785" w:val="left" w:leader="none"/>
          <w:tab w:pos="4060" w:val="left" w:leader="none"/>
          <w:tab w:pos="5790" w:val="left" w:leader="none"/>
          <w:tab w:pos="7275" w:val="left" w:leader="none"/>
          <w:tab w:pos="7326" w:val="left" w:leader="none"/>
          <w:tab w:pos="8182" w:val="left" w:leader="none"/>
        </w:tabs>
        <w:spacing w:line="360" w:lineRule="auto" w:before="1" w:after="0"/>
        <w:ind w:left="882" w:right="891" w:firstLine="0"/>
        <w:jc w:val="left"/>
        <w:rPr>
          <w:sz w:val="26"/>
        </w:rPr>
      </w:pPr>
      <w:r>
        <w:rPr>
          <w:spacing w:val="-4"/>
          <w:sz w:val="26"/>
        </w:rPr>
        <w:t>Turner.  </w:t>
      </w:r>
      <w:r>
        <w:rPr>
          <w:sz w:val="26"/>
        </w:rPr>
        <w:t>H.. Windle. R. and  Desner. </w:t>
      </w:r>
      <w:r>
        <w:rPr>
          <w:spacing w:val="27"/>
          <w:sz w:val="26"/>
        </w:rPr>
        <w:t> </w:t>
      </w:r>
      <w:r>
        <w:rPr>
          <w:sz w:val="26"/>
        </w:rPr>
        <w:t>M.  (2004).</w:t>
      </w:r>
      <w:r>
        <w:rPr>
          <w:spacing w:val="40"/>
          <w:sz w:val="26"/>
        </w:rPr>
        <w:t> </w:t>
      </w:r>
      <w:r>
        <w:rPr>
          <w:sz w:val="26"/>
        </w:rPr>
        <w:t>North</w:t>
        <w:tab/>
        <w:tab/>
        <w:t>American container </w:t>
      </w:r>
      <w:r>
        <w:rPr>
          <w:spacing w:val="-4"/>
          <w:sz w:val="26"/>
        </w:rPr>
        <w:t>port </w:t>
      </w:r>
      <w:r>
        <w:rPr>
          <w:sz w:val="26"/>
        </w:rPr>
        <w:t>productivity:  1984–1997.  </w:t>
      </w:r>
      <w:r>
        <w:rPr>
          <w:i/>
          <w:sz w:val="26"/>
        </w:rPr>
        <w:t>Transportation Research </w:t>
      </w:r>
      <w:r>
        <w:rPr>
          <w:sz w:val="26"/>
        </w:rPr>
        <w:t>Part E. 40. 339–356. </w:t>
      </w:r>
      <w:r>
        <w:rPr>
          <w:spacing w:val="-3"/>
          <w:sz w:val="26"/>
        </w:rPr>
        <w:t>71.UNCTAD</w:t>
        <w:tab/>
      </w:r>
      <w:r>
        <w:rPr>
          <w:sz w:val="26"/>
        </w:rPr>
        <w:t>(1976).</w:t>
        <w:tab/>
      </w:r>
      <w:r>
        <w:rPr>
          <w:i/>
          <w:sz w:val="26"/>
        </w:rPr>
        <w:t>Multimodal</w:t>
        <w:tab/>
        <w:t>transport</w:t>
        <w:tab/>
        <w:t>and</w:t>
        <w:tab/>
      </w:r>
      <w:r>
        <w:rPr>
          <w:i/>
          <w:w w:val="95"/>
          <w:sz w:val="26"/>
        </w:rPr>
        <w:t>containerization</w:t>
      </w:r>
      <w:r>
        <w:rPr>
          <w:w w:val="95"/>
          <w:sz w:val="26"/>
        </w:rPr>
        <w:t>. </w:t>
      </w:r>
      <w:r>
        <w:rPr>
          <w:sz w:val="26"/>
        </w:rPr>
        <w:t>TD/B/4/244/supplement 1. part 5: port and conyainer</w:t>
      </w:r>
      <w:r>
        <w:rPr>
          <w:spacing w:val="-3"/>
          <w:sz w:val="26"/>
        </w:rPr>
        <w:t> </w:t>
      </w:r>
      <w:r>
        <w:rPr>
          <w:sz w:val="26"/>
        </w:rPr>
        <w:t>depot</w:t>
      </w:r>
    </w:p>
    <w:p>
      <w:pPr>
        <w:pStyle w:val="ListParagraph"/>
        <w:numPr>
          <w:ilvl w:val="0"/>
          <w:numId w:val="32"/>
        </w:numPr>
        <w:tabs>
          <w:tab w:pos="1208" w:val="left" w:leader="none"/>
          <w:tab w:pos="2525" w:val="left" w:leader="none"/>
          <w:tab w:pos="3546" w:val="left" w:leader="none"/>
          <w:tab w:pos="4885" w:val="left" w:leader="none"/>
          <w:tab w:pos="5403" w:val="left" w:leader="none"/>
          <w:tab w:pos="7019" w:val="left" w:leader="none"/>
          <w:tab w:pos="8291" w:val="left" w:leader="none"/>
          <w:tab w:pos="8753" w:val="left" w:leader="none"/>
          <w:tab w:pos="9357" w:val="left" w:leader="none"/>
        </w:tabs>
        <w:spacing w:line="360" w:lineRule="auto" w:before="0" w:after="0"/>
        <w:ind w:left="882" w:right="888" w:firstLine="0"/>
        <w:jc w:val="left"/>
        <w:rPr>
          <w:sz w:val="24"/>
        </w:rPr>
      </w:pPr>
      <w:r>
        <w:rPr>
          <w:spacing w:val="-4"/>
          <w:sz w:val="26"/>
        </w:rPr>
        <w:t>UNCTAD</w:t>
        <w:tab/>
      </w:r>
      <w:r>
        <w:rPr>
          <w:sz w:val="26"/>
        </w:rPr>
        <w:t>(1992).</w:t>
        <w:tab/>
      </w:r>
      <w:r>
        <w:rPr>
          <w:i/>
          <w:sz w:val="26"/>
        </w:rPr>
        <w:t>Handbook</w:t>
        <w:tab/>
        <w:t>on</w:t>
        <w:tab/>
        <w:t>Management</w:t>
        <w:tab/>
        <w:t>operation</w:t>
        <w:tab/>
        <w:t>of</w:t>
        <w:tab/>
        <w:t>dry</w:t>
        <w:tab/>
      </w:r>
      <w:r>
        <w:rPr>
          <w:i/>
          <w:spacing w:val="-4"/>
          <w:sz w:val="26"/>
        </w:rPr>
        <w:t>ports</w:t>
      </w:r>
      <w:r>
        <w:rPr>
          <w:spacing w:val="-4"/>
          <w:sz w:val="26"/>
        </w:rPr>
        <w:t>. </w:t>
      </w:r>
      <w:r>
        <w:rPr>
          <w:sz w:val="26"/>
        </w:rPr>
        <w:t>UNCTAD/RDP/LDC/7.</w:t>
      </w:r>
      <w:r>
        <w:rPr>
          <w:spacing w:val="-2"/>
          <w:sz w:val="26"/>
        </w:rPr>
        <w:t> </w:t>
      </w:r>
      <w:r>
        <w:rPr>
          <w:sz w:val="26"/>
        </w:rPr>
        <w:t>Geneva.</w:t>
      </w:r>
    </w:p>
    <w:p>
      <w:pPr>
        <w:spacing w:after="0" w:line="360" w:lineRule="auto"/>
        <w:jc w:val="left"/>
        <w:rPr>
          <w:sz w:val="24"/>
        </w:rPr>
        <w:sectPr>
          <w:pgSz w:w="11910" w:h="16850"/>
          <w:pgMar w:header="751" w:footer="0" w:top="960" w:bottom="280" w:left="820" w:right="240"/>
        </w:sectPr>
      </w:pPr>
    </w:p>
    <w:p>
      <w:pPr>
        <w:pStyle w:val="BodyText"/>
        <w:rPr>
          <w:sz w:val="20"/>
        </w:rPr>
      </w:pPr>
    </w:p>
    <w:p>
      <w:pPr>
        <w:pStyle w:val="BodyText"/>
        <w:spacing w:before="7"/>
        <w:rPr>
          <w:sz w:val="23"/>
        </w:rPr>
      </w:pPr>
    </w:p>
    <w:p>
      <w:pPr>
        <w:pStyle w:val="ListParagraph"/>
        <w:numPr>
          <w:ilvl w:val="0"/>
          <w:numId w:val="32"/>
        </w:numPr>
        <w:tabs>
          <w:tab w:pos="1283" w:val="left" w:leader="none"/>
        </w:tabs>
        <w:spacing w:line="360" w:lineRule="auto" w:before="89" w:after="0"/>
        <w:ind w:left="882" w:right="886" w:firstLine="0"/>
        <w:jc w:val="both"/>
        <w:rPr>
          <w:sz w:val="26"/>
        </w:rPr>
      </w:pPr>
      <w:r>
        <w:rPr>
          <w:sz w:val="26"/>
        </w:rPr>
        <w:t>Ugboma. C.. Ugboma. O. and Ogwude. I.C. (2006). An analytic hierarchy process (AHP) approach to port selection decisions – empirical evidence from Nigerian ports. </w:t>
      </w:r>
      <w:r>
        <w:rPr>
          <w:i/>
          <w:sz w:val="26"/>
        </w:rPr>
        <w:t>Maritime Economics and Logistics</w:t>
      </w:r>
      <w:r>
        <w:rPr>
          <w:sz w:val="26"/>
        </w:rPr>
        <w:t>. </w:t>
      </w:r>
      <w:r>
        <w:rPr>
          <w:spacing w:val="-8"/>
          <w:sz w:val="26"/>
        </w:rPr>
        <w:t>Vol. </w:t>
      </w:r>
      <w:r>
        <w:rPr>
          <w:sz w:val="26"/>
        </w:rPr>
        <w:t>8. No. 3.</w:t>
      </w:r>
      <w:r>
        <w:rPr>
          <w:spacing w:val="-5"/>
          <w:sz w:val="26"/>
        </w:rPr>
        <w:t> </w:t>
      </w:r>
      <w:r>
        <w:rPr>
          <w:sz w:val="26"/>
        </w:rPr>
        <w:t>pp.251–266.</w:t>
      </w:r>
    </w:p>
    <w:p>
      <w:pPr>
        <w:pStyle w:val="ListParagraph"/>
        <w:numPr>
          <w:ilvl w:val="0"/>
          <w:numId w:val="32"/>
        </w:numPr>
        <w:tabs>
          <w:tab w:pos="1298" w:val="left" w:leader="none"/>
        </w:tabs>
        <w:spacing w:line="360" w:lineRule="auto" w:before="0" w:after="0"/>
        <w:ind w:left="882" w:right="888" w:firstLine="0"/>
        <w:jc w:val="both"/>
        <w:rPr>
          <w:sz w:val="26"/>
        </w:rPr>
      </w:pPr>
      <w:r>
        <w:rPr>
          <w:spacing w:val="-10"/>
          <w:sz w:val="26"/>
        </w:rPr>
        <w:t>Van </w:t>
      </w:r>
      <w:r>
        <w:rPr>
          <w:sz w:val="26"/>
        </w:rPr>
        <w:t>Der Horst. M. R.. and De Langen. </w:t>
      </w:r>
      <w:r>
        <w:rPr>
          <w:spacing w:val="-14"/>
          <w:sz w:val="26"/>
        </w:rPr>
        <w:t>P. </w:t>
      </w:r>
      <w:r>
        <w:rPr>
          <w:spacing w:val="-12"/>
          <w:sz w:val="26"/>
        </w:rPr>
        <w:t>W. </w:t>
      </w:r>
      <w:r>
        <w:rPr>
          <w:sz w:val="26"/>
        </w:rPr>
        <w:t>(2008). Coordination in hinterland transport chains: a major challenge for the seaport community. Maritime Economics and Logistics. 10(1).</w:t>
      </w:r>
      <w:r>
        <w:rPr>
          <w:spacing w:val="-4"/>
          <w:sz w:val="26"/>
        </w:rPr>
        <w:t> </w:t>
      </w:r>
      <w:r>
        <w:rPr>
          <w:sz w:val="26"/>
        </w:rPr>
        <w:t>108-129.</w:t>
      </w:r>
    </w:p>
    <w:p>
      <w:pPr>
        <w:pStyle w:val="ListParagraph"/>
        <w:numPr>
          <w:ilvl w:val="0"/>
          <w:numId w:val="32"/>
        </w:numPr>
        <w:tabs>
          <w:tab w:pos="1319" w:val="left" w:leader="none"/>
        </w:tabs>
        <w:spacing w:line="360" w:lineRule="auto" w:before="0" w:after="0"/>
        <w:ind w:left="882" w:right="891" w:firstLine="0"/>
        <w:jc w:val="both"/>
        <w:rPr>
          <w:sz w:val="26"/>
        </w:rPr>
      </w:pPr>
      <w:r>
        <w:rPr>
          <w:spacing w:val="-10"/>
          <w:sz w:val="26"/>
        </w:rPr>
        <w:t>Van </w:t>
      </w:r>
      <w:r>
        <w:rPr>
          <w:sz w:val="26"/>
        </w:rPr>
        <w:t>den Berg. R.. and De Langen. </w:t>
      </w:r>
      <w:r>
        <w:rPr>
          <w:spacing w:val="-15"/>
          <w:sz w:val="26"/>
        </w:rPr>
        <w:t>P. </w:t>
      </w:r>
      <w:r>
        <w:rPr>
          <w:spacing w:val="-12"/>
          <w:sz w:val="26"/>
        </w:rPr>
        <w:t>W. </w:t>
      </w:r>
      <w:r>
        <w:rPr>
          <w:sz w:val="26"/>
        </w:rPr>
        <w:t>(2011). Hinterland strategies of port authorities: A case study of the port of Barcelona. </w:t>
      </w:r>
      <w:r>
        <w:rPr>
          <w:i/>
          <w:sz w:val="26"/>
        </w:rPr>
        <w:t>Research in Transportation </w:t>
      </w:r>
      <w:r>
        <w:rPr>
          <w:i/>
          <w:sz w:val="26"/>
        </w:rPr>
        <w:t>Economics</w:t>
      </w:r>
      <w:r>
        <w:rPr>
          <w:sz w:val="26"/>
        </w:rPr>
        <w:t>. 33(1).</w:t>
      </w:r>
      <w:r>
        <w:rPr>
          <w:spacing w:val="3"/>
          <w:sz w:val="26"/>
        </w:rPr>
        <w:t> </w:t>
      </w:r>
      <w:r>
        <w:rPr>
          <w:sz w:val="26"/>
        </w:rPr>
        <w:t>6-14.</w:t>
      </w:r>
    </w:p>
    <w:p>
      <w:pPr>
        <w:pStyle w:val="ListParagraph"/>
        <w:numPr>
          <w:ilvl w:val="0"/>
          <w:numId w:val="32"/>
        </w:numPr>
        <w:tabs>
          <w:tab w:pos="1278" w:val="left" w:leader="none"/>
        </w:tabs>
        <w:spacing w:line="360" w:lineRule="auto" w:before="1" w:after="0"/>
        <w:ind w:left="882" w:right="891" w:firstLine="0"/>
        <w:jc w:val="both"/>
        <w:rPr>
          <w:sz w:val="26"/>
        </w:rPr>
      </w:pPr>
      <w:r>
        <w:rPr>
          <w:spacing w:val="-4"/>
          <w:sz w:val="26"/>
        </w:rPr>
        <w:t>Veldman. </w:t>
      </w:r>
      <w:r>
        <w:rPr>
          <w:sz w:val="26"/>
        </w:rPr>
        <w:t>S.J. and Rachman. A. (2011) A model of transhipment port competition: a test with cross-section and time-series data for the Mediterranean. </w:t>
      </w:r>
      <w:r>
        <w:rPr>
          <w:i/>
          <w:sz w:val="26"/>
        </w:rPr>
        <w:t>IAME Conference</w:t>
      </w:r>
      <w:r>
        <w:rPr>
          <w:sz w:val="26"/>
        </w:rPr>
        <w:t>. Dalian.</w:t>
      </w:r>
      <w:r>
        <w:rPr>
          <w:spacing w:val="-2"/>
          <w:sz w:val="26"/>
        </w:rPr>
        <w:t> </w:t>
      </w:r>
      <w:r>
        <w:rPr>
          <w:sz w:val="26"/>
        </w:rPr>
        <w:t>China.</w:t>
      </w:r>
    </w:p>
    <w:p>
      <w:pPr>
        <w:pStyle w:val="ListParagraph"/>
        <w:numPr>
          <w:ilvl w:val="0"/>
          <w:numId w:val="32"/>
        </w:numPr>
        <w:tabs>
          <w:tab w:pos="1271" w:val="left" w:leader="none"/>
        </w:tabs>
        <w:spacing w:line="360" w:lineRule="auto" w:before="0" w:after="0"/>
        <w:ind w:left="882" w:right="889" w:firstLine="0"/>
        <w:jc w:val="both"/>
        <w:rPr>
          <w:sz w:val="26"/>
        </w:rPr>
      </w:pPr>
      <w:r>
        <w:rPr>
          <w:spacing w:val="-6"/>
          <w:sz w:val="26"/>
        </w:rPr>
        <w:t>Vis </w:t>
      </w:r>
      <w:r>
        <w:rPr>
          <w:sz w:val="26"/>
        </w:rPr>
        <w:t>I F A. de Koster R (2003). Transshipment of containers at a container terminal: an overview. </w:t>
      </w:r>
      <w:r>
        <w:rPr>
          <w:i/>
          <w:sz w:val="26"/>
        </w:rPr>
        <w:t>European Journal of Operational Research </w:t>
      </w:r>
      <w:r>
        <w:rPr>
          <w:sz w:val="26"/>
        </w:rPr>
        <w:t>147:</w:t>
      </w:r>
      <w:r>
        <w:rPr>
          <w:spacing w:val="-9"/>
          <w:sz w:val="26"/>
        </w:rPr>
        <w:t> </w:t>
      </w:r>
      <w:r>
        <w:rPr>
          <w:sz w:val="26"/>
        </w:rPr>
        <w:t>1–16</w:t>
      </w:r>
    </w:p>
    <w:p>
      <w:pPr>
        <w:pStyle w:val="ListParagraph"/>
        <w:numPr>
          <w:ilvl w:val="0"/>
          <w:numId w:val="32"/>
        </w:numPr>
        <w:tabs>
          <w:tab w:pos="1274" w:val="left" w:leader="none"/>
        </w:tabs>
        <w:spacing w:line="360" w:lineRule="auto" w:before="0" w:after="0"/>
        <w:ind w:left="882" w:right="891" w:firstLine="0"/>
        <w:jc w:val="both"/>
        <w:rPr>
          <w:sz w:val="26"/>
        </w:rPr>
      </w:pPr>
      <w:r>
        <w:rPr>
          <w:spacing w:val="-6"/>
          <w:sz w:val="26"/>
        </w:rPr>
        <w:t>Vis </w:t>
      </w:r>
      <w:r>
        <w:rPr>
          <w:sz w:val="26"/>
        </w:rPr>
        <w:t>I F A. de Koster R. Roodbergen K J. PeetersLWP (2001). Determination of the number of automated guided vehicles required at a semi-automated container terminal. </w:t>
      </w:r>
      <w:r>
        <w:rPr>
          <w:i/>
          <w:sz w:val="26"/>
        </w:rPr>
        <w:t>Journal of the Operational Research Society </w:t>
      </w:r>
      <w:r>
        <w:rPr>
          <w:sz w:val="26"/>
        </w:rPr>
        <w:t>52:</w:t>
      </w:r>
      <w:r>
        <w:rPr>
          <w:spacing w:val="-4"/>
          <w:sz w:val="26"/>
        </w:rPr>
        <w:t> </w:t>
      </w:r>
      <w:r>
        <w:rPr>
          <w:sz w:val="26"/>
        </w:rPr>
        <w:t>409–417</w:t>
      </w:r>
    </w:p>
    <w:p>
      <w:pPr>
        <w:pStyle w:val="ListParagraph"/>
        <w:numPr>
          <w:ilvl w:val="0"/>
          <w:numId w:val="32"/>
        </w:numPr>
        <w:tabs>
          <w:tab w:pos="1300" w:val="left" w:leader="none"/>
        </w:tabs>
        <w:spacing w:line="357" w:lineRule="auto" w:before="1" w:after="0"/>
        <w:ind w:left="882" w:right="889" w:firstLine="0"/>
        <w:jc w:val="both"/>
        <w:rPr>
          <w:sz w:val="26"/>
        </w:rPr>
      </w:pPr>
      <w:r>
        <w:rPr>
          <w:sz w:val="26"/>
        </w:rPr>
        <w:t>Vitor Caldeirinha. J. Augusto Felício and Andreia Dionísio (2014). Effect of the container terminal characteristics on performance. </w:t>
      </w:r>
      <w:r>
        <w:rPr>
          <w:i/>
          <w:sz w:val="26"/>
        </w:rPr>
        <w:t>CEFAGE-UE Working Paper</w:t>
      </w:r>
      <w:r>
        <w:rPr>
          <w:i/>
          <w:spacing w:val="-9"/>
          <w:sz w:val="26"/>
        </w:rPr>
        <w:t> </w:t>
      </w:r>
      <w:r>
        <w:rPr>
          <w:sz w:val="26"/>
        </w:rPr>
        <w:t>No.</w:t>
      </w:r>
    </w:p>
    <w:p>
      <w:pPr>
        <w:pStyle w:val="ListParagraph"/>
        <w:numPr>
          <w:ilvl w:val="0"/>
          <w:numId w:val="32"/>
        </w:numPr>
        <w:tabs>
          <w:tab w:pos="1288" w:val="left" w:leader="none"/>
        </w:tabs>
        <w:spacing w:line="360" w:lineRule="auto" w:before="4" w:after="0"/>
        <w:ind w:left="882" w:right="891" w:firstLine="0"/>
        <w:jc w:val="both"/>
        <w:rPr>
          <w:sz w:val="26"/>
        </w:rPr>
      </w:pPr>
      <w:r>
        <w:rPr>
          <w:sz w:val="26"/>
        </w:rPr>
        <w:t>Vitor Caldeirinha. J. Augusto Felício and Andreia Dionísio (2013). The influence of the characterisation factors of the European ports on operational performance: Conceptual model testing. </w:t>
      </w:r>
      <w:r>
        <w:rPr>
          <w:i/>
          <w:sz w:val="26"/>
        </w:rPr>
        <w:t>Int. J. Shipping and Transport Logistics</w:t>
      </w:r>
      <w:r>
        <w:rPr>
          <w:sz w:val="26"/>
        </w:rPr>
        <w:t>. Vol. 5. No. 3.  2013</w:t>
      </w:r>
    </w:p>
    <w:p>
      <w:pPr>
        <w:pStyle w:val="ListParagraph"/>
        <w:numPr>
          <w:ilvl w:val="0"/>
          <w:numId w:val="32"/>
        </w:numPr>
        <w:tabs>
          <w:tab w:pos="1283" w:val="left" w:leader="none"/>
        </w:tabs>
        <w:spacing w:line="360" w:lineRule="auto" w:before="1" w:after="0"/>
        <w:ind w:left="882" w:right="891" w:firstLine="0"/>
        <w:jc w:val="both"/>
        <w:rPr>
          <w:sz w:val="26"/>
        </w:rPr>
      </w:pPr>
      <w:r>
        <w:rPr>
          <w:sz w:val="26"/>
        </w:rPr>
        <w:t>Vítor Caldeirinha. J. Augusto Felício and Andreia Dionísio (2012). </w:t>
      </w:r>
      <w:r>
        <w:rPr>
          <w:i/>
          <w:sz w:val="26"/>
        </w:rPr>
        <w:t>The Container </w:t>
      </w:r>
      <w:r>
        <w:rPr>
          <w:i/>
          <w:sz w:val="26"/>
        </w:rPr>
        <w:t>Terminal Characteristics and Customer Satisfaction. School of Economics and management</w:t>
      </w:r>
      <w:r>
        <w:rPr>
          <w:sz w:val="26"/>
        </w:rPr>
        <w:t>. University of Lisbon; Rua Miguel Lupi. 20. 1249-078</w:t>
      </w:r>
      <w:r>
        <w:rPr>
          <w:spacing w:val="-8"/>
          <w:sz w:val="26"/>
        </w:rPr>
        <w:t> </w:t>
      </w:r>
      <w:r>
        <w:rPr>
          <w:sz w:val="26"/>
        </w:rPr>
        <w:t>Lisbon</w:t>
      </w:r>
    </w:p>
    <w:p>
      <w:pPr>
        <w:pStyle w:val="ListParagraph"/>
        <w:numPr>
          <w:ilvl w:val="0"/>
          <w:numId w:val="32"/>
        </w:numPr>
        <w:tabs>
          <w:tab w:pos="1266" w:val="left" w:leader="none"/>
        </w:tabs>
        <w:spacing w:line="298" w:lineRule="exact" w:before="0" w:after="0"/>
        <w:ind w:left="1266" w:right="0" w:hanging="384"/>
        <w:jc w:val="both"/>
        <w:rPr>
          <w:sz w:val="26"/>
        </w:rPr>
      </w:pPr>
      <w:r>
        <w:rPr>
          <w:spacing w:val="-4"/>
          <w:sz w:val="26"/>
        </w:rPr>
        <w:t>World </w:t>
      </w:r>
      <w:r>
        <w:rPr>
          <w:sz w:val="26"/>
        </w:rPr>
        <w:t>Bank (2007). Port Reform </w:t>
      </w:r>
      <w:r>
        <w:rPr>
          <w:spacing w:val="-3"/>
          <w:sz w:val="26"/>
        </w:rPr>
        <w:t>Toolkit </w:t>
      </w:r>
      <w:r>
        <w:rPr>
          <w:sz w:val="26"/>
        </w:rPr>
        <w:t>Second</w:t>
      </w:r>
      <w:r>
        <w:rPr>
          <w:spacing w:val="5"/>
          <w:sz w:val="26"/>
        </w:rPr>
        <w:t> </w:t>
      </w:r>
      <w:r>
        <w:rPr>
          <w:sz w:val="26"/>
        </w:rPr>
        <w:t>Edition.</w:t>
      </w:r>
    </w:p>
    <w:p>
      <w:pPr>
        <w:pStyle w:val="ListParagraph"/>
        <w:numPr>
          <w:ilvl w:val="0"/>
          <w:numId w:val="32"/>
        </w:numPr>
        <w:tabs>
          <w:tab w:pos="1350" w:val="left" w:leader="none"/>
        </w:tabs>
        <w:spacing w:line="360" w:lineRule="auto" w:before="150" w:after="0"/>
        <w:ind w:left="882" w:right="888" w:firstLine="0"/>
        <w:jc w:val="both"/>
        <w:rPr>
          <w:sz w:val="26"/>
        </w:rPr>
      </w:pPr>
      <w:r>
        <w:rPr>
          <w:sz w:val="26"/>
        </w:rPr>
        <w:t>Willingdale (1994). </w:t>
      </w:r>
      <w:r>
        <w:rPr>
          <w:i/>
          <w:sz w:val="26"/>
        </w:rPr>
        <w:t>Ship operator port routeing behaviour and development </w:t>
      </w:r>
      <w:r>
        <w:rPr>
          <w:i/>
          <w:sz w:val="26"/>
        </w:rPr>
        <w:t>process</w:t>
      </w:r>
      <w:r>
        <w:rPr>
          <w:sz w:val="26"/>
        </w:rPr>
        <w:t>. </w:t>
      </w:r>
      <w:r>
        <w:rPr>
          <w:color w:val="212121"/>
          <w:sz w:val="26"/>
        </w:rPr>
        <w:t>Stony Brook University. </w:t>
      </w:r>
      <w:r>
        <w:rPr>
          <w:color w:val="212121"/>
          <w:spacing w:val="-12"/>
          <w:sz w:val="26"/>
        </w:rPr>
        <w:t>NY. </w:t>
      </w:r>
      <w:r>
        <w:rPr>
          <w:color w:val="212121"/>
          <w:sz w:val="26"/>
        </w:rPr>
        <w:t>USA 2Brookhaven National</w:t>
      </w:r>
      <w:r>
        <w:rPr>
          <w:color w:val="212121"/>
          <w:spacing w:val="-15"/>
          <w:sz w:val="26"/>
        </w:rPr>
        <w:t> </w:t>
      </w:r>
      <w:r>
        <w:rPr>
          <w:color w:val="212121"/>
          <w:sz w:val="26"/>
        </w:rPr>
        <w:t>Laboratory</w:t>
      </w:r>
    </w:p>
    <w:p>
      <w:pPr>
        <w:pStyle w:val="ListParagraph"/>
        <w:numPr>
          <w:ilvl w:val="0"/>
          <w:numId w:val="32"/>
        </w:numPr>
        <w:tabs>
          <w:tab w:pos="1310" w:val="left" w:leader="none"/>
        </w:tabs>
        <w:spacing w:line="360" w:lineRule="auto" w:before="1" w:after="0"/>
        <w:ind w:left="882" w:right="890" w:firstLine="0"/>
        <w:jc w:val="both"/>
        <w:rPr>
          <w:i/>
          <w:sz w:val="26"/>
        </w:rPr>
      </w:pPr>
      <w:r>
        <w:rPr>
          <w:spacing w:val="-4"/>
          <w:sz w:val="26"/>
        </w:rPr>
        <w:t>Wang. </w:t>
      </w:r>
      <w:r>
        <w:rPr>
          <w:spacing w:val="-10"/>
          <w:sz w:val="26"/>
        </w:rPr>
        <w:t>T. </w:t>
      </w:r>
      <w:r>
        <w:rPr>
          <w:spacing w:val="-11"/>
          <w:sz w:val="26"/>
        </w:rPr>
        <w:t>F. </w:t>
      </w:r>
      <w:r>
        <w:rPr>
          <w:sz w:val="26"/>
        </w:rPr>
        <w:t>and Cullinane. K. (2006). </w:t>
      </w:r>
      <w:r>
        <w:rPr>
          <w:i/>
          <w:sz w:val="26"/>
        </w:rPr>
        <w:t>The efficiency of European container </w:t>
      </w:r>
      <w:r>
        <w:rPr>
          <w:i/>
          <w:sz w:val="26"/>
        </w:rPr>
        <w:t>terminals and implications for supply chain management. Maritime Economics</w:t>
      </w:r>
      <w:r>
        <w:rPr>
          <w:i/>
          <w:spacing w:val="34"/>
          <w:sz w:val="26"/>
        </w:rPr>
        <w:t> </w:t>
      </w:r>
      <w:r>
        <w:rPr>
          <w:i/>
          <w:sz w:val="26"/>
        </w:rPr>
        <w:t>and</w:t>
      </w:r>
    </w:p>
    <w:p>
      <w:pPr>
        <w:spacing w:after="0" w:line="360" w:lineRule="auto"/>
        <w:jc w:val="both"/>
        <w:rPr>
          <w:sz w:val="26"/>
        </w:rPr>
        <w:sectPr>
          <w:pgSz w:w="11910" w:h="16850"/>
          <w:pgMar w:header="751" w:footer="0" w:top="960" w:bottom="280" w:left="820" w:right="240"/>
        </w:sectPr>
      </w:pPr>
    </w:p>
    <w:p>
      <w:pPr>
        <w:pStyle w:val="BodyText"/>
        <w:rPr>
          <w:i/>
          <w:sz w:val="20"/>
        </w:rPr>
      </w:pPr>
    </w:p>
    <w:p>
      <w:pPr>
        <w:pStyle w:val="BodyText"/>
        <w:spacing w:before="7"/>
        <w:rPr>
          <w:i/>
          <w:sz w:val="23"/>
        </w:rPr>
      </w:pPr>
    </w:p>
    <w:p>
      <w:pPr>
        <w:spacing w:before="89"/>
        <w:ind w:left="882" w:right="0" w:firstLine="0"/>
        <w:jc w:val="both"/>
        <w:rPr>
          <w:sz w:val="26"/>
        </w:rPr>
      </w:pPr>
      <w:r>
        <w:rPr>
          <w:i/>
          <w:sz w:val="26"/>
        </w:rPr>
        <w:t>Logistics</w:t>
      </w:r>
      <w:r>
        <w:rPr>
          <w:sz w:val="26"/>
        </w:rPr>
        <w:t>. 8. 82–99.</w:t>
      </w:r>
    </w:p>
    <w:p>
      <w:pPr>
        <w:pStyle w:val="ListParagraph"/>
        <w:numPr>
          <w:ilvl w:val="0"/>
          <w:numId w:val="32"/>
        </w:numPr>
        <w:tabs>
          <w:tab w:pos="1302" w:val="left" w:leader="none"/>
        </w:tabs>
        <w:spacing w:line="360" w:lineRule="auto" w:before="150" w:after="0"/>
        <w:ind w:left="882" w:right="891" w:firstLine="0"/>
        <w:jc w:val="both"/>
        <w:rPr>
          <w:sz w:val="26"/>
        </w:rPr>
      </w:pPr>
      <w:r>
        <w:rPr>
          <w:sz w:val="26"/>
        </w:rPr>
        <w:t>Wiegmans. B. (2003). Performance conditions for container terminals. </w:t>
      </w:r>
      <w:r>
        <w:rPr>
          <w:i/>
          <w:sz w:val="26"/>
        </w:rPr>
        <w:t>Maritime </w:t>
      </w:r>
      <w:r>
        <w:rPr>
          <w:i/>
          <w:sz w:val="26"/>
        </w:rPr>
        <w:t>Economics and Logistics</w:t>
      </w:r>
      <w:r>
        <w:rPr>
          <w:sz w:val="26"/>
        </w:rPr>
        <w:t>. 6.</w:t>
      </w:r>
      <w:r>
        <w:rPr>
          <w:spacing w:val="-3"/>
          <w:sz w:val="26"/>
        </w:rPr>
        <w:t> </w:t>
      </w:r>
      <w:r>
        <w:rPr>
          <w:sz w:val="26"/>
        </w:rPr>
        <w:t>276–277.</w:t>
      </w:r>
    </w:p>
    <w:p>
      <w:pPr>
        <w:pStyle w:val="ListParagraph"/>
        <w:numPr>
          <w:ilvl w:val="0"/>
          <w:numId w:val="32"/>
        </w:numPr>
        <w:tabs>
          <w:tab w:pos="1427" w:val="left" w:leader="none"/>
        </w:tabs>
        <w:spacing w:line="360" w:lineRule="auto" w:before="0" w:after="0"/>
        <w:ind w:left="882" w:right="891" w:firstLine="0"/>
        <w:jc w:val="both"/>
        <w:rPr>
          <w:sz w:val="26"/>
        </w:rPr>
      </w:pPr>
      <w:r>
        <w:rPr>
          <w:sz w:val="26"/>
        </w:rPr>
        <w:t>Willingale. M.C.. 1984. </w:t>
      </w:r>
      <w:r>
        <w:rPr>
          <w:i/>
          <w:sz w:val="26"/>
        </w:rPr>
        <w:t>Ship-operator port-routeing behaviour and the </w:t>
      </w:r>
      <w:r>
        <w:rPr>
          <w:i/>
          <w:sz w:val="26"/>
        </w:rPr>
        <w:t>development process. </w:t>
      </w:r>
      <w:r>
        <w:rPr>
          <w:sz w:val="26"/>
        </w:rPr>
        <w:t>In: Hoyle. B.S.. Hilling. D. (Eds.). Seaport Systems and Spatial Change. John Wiley and Sons. New </w:t>
      </w:r>
      <w:r>
        <w:rPr>
          <w:spacing w:val="-5"/>
          <w:sz w:val="26"/>
        </w:rPr>
        <w:t>York. </w:t>
      </w:r>
      <w:r>
        <w:rPr>
          <w:sz w:val="26"/>
        </w:rPr>
        <w:t>pp.</w:t>
      </w:r>
      <w:r>
        <w:rPr>
          <w:spacing w:val="-16"/>
          <w:sz w:val="26"/>
        </w:rPr>
        <w:t> </w:t>
      </w:r>
      <w:r>
        <w:rPr>
          <w:sz w:val="26"/>
        </w:rPr>
        <w:t>43–59</w:t>
      </w:r>
    </w:p>
    <w:p>
      <w:pPr>
        <w:pStyle w:val="ListParagraph"/>
        <w:numPr>
          <w:ilvl w:val="0"/>
          <w:numId w:val="32"/>
        </w:numPr>
        <w:tabs>
          <w:tab w:pos="1401" w:val="left" w:leader="none"/>
        </w:tabs>
        <w:spacing w:line="360" w:lineRule="auto" w:before="0" w:after="0"/>
        <w:ind w:left="882" w:right="891" w:firstLine="0"/>
        <w:jc w:val="both"/>
        <w:rPr>
          <w:sz w:val="26"/>
        </w:rPr>
      </w:pPr>
      <w:r>
        <w:rPr>
          <w:spacing w:val="-3"/>
          <w:sz w:val="26"/>
        </w:rPr>
        <w:t>Wilmsmeier. </w:t>
      </w:r>
      <w:r>
        <w:rPr>
          <w:sz w:val="26"/>
        </w:rPr>
        <w:t>G.. Hoffman. J.. Sanchez. R. (2006). The Impact of port characteristics on international maritime transport costs. In: Cullinane. K.. </w:t>
      </w:r>
      <w:r>
        <w:rPr>
          <w:spacing w:val="-5"/>
          <w:sz w:val="26"/>
        </w:rPr>
        <w:t>Talley. </w:t>
      </w:r>
      <w:r>
        <w:rPr>
          <w:spacing w:val="-12"/>
          <w:sz w:val="26"/>
        </w:rPr>
        <w:t>W. </w:t>
      </w:r>
      <w:r>
        <w:rPr>
          <w:sz w:val="26"/>
        </w:rPr>
        <w:t>(Eds.). Port economics. Research in Transportation Economics. vol. 16.</w:t>
      </w:r>
      <w:r>
        <w:rPr>
          <w:spacing w:val="-23"/>
          <w:sz w:val="26"/>
        </w:rPr>
        <w:t> </w:t>
      </w:r>
      <w:r>
        <w:rPr>
          <w:sz w:val="26"/>
        </w:rPr>
        <w:t>Elsevier.</w:t>
      </w:r>
    </w:p>
    <w:p>
      <w:pPr>
        <w:pStyle w:val="ListParagraph"/>
        <w:numPr>
          <w:ilvl w:val="0"/>
          <w:numId w:val="32"/>
        </w:numPr>
        <w:tabs>
          <w:tab w:pos="1302" w:val="left" w:leader="none"/>
        </w:tabs>
        <w:spacing w:line="240" w:lineRule="auto" w:before="0" w:after="0"/>
        <w:ind w:left="1302" w:right="0" w:hanging="420"/>
        <w:jc w:val="both"/>
        <w:rPr>
          <w:sz w:val="26"/>
        </w:rPr>
      </w:pPr>
      <w:r>
        <w:rPr>
          <w:sz w:val="26"/>
        </w:rPr>
        <w:t>Yap. W. and Notteboom. T. (2011). Dynamics of liner shipping</w:t>
      </w:r>
      <w:r>
        <w:rPr>
          <w:spacing w:val="52"/>
          <w:sz w:val="26"/>
        </w:rPr>
        <w:t> </w:t>
      </w:r>
      <w:r>
        <w:rPr>
          <w:sz w:val="26"/>
        </w:rPr>
        <w:t>service.</w:t>
      </w:r>
    </w:p>
    <w:p>
      <w:pPr>
        <w:spacing w:before="150"/>
        <w:ind w:left="882" w:right="0" w:firstLine="0"/>
        <w:jc w:val="both"/>
        <w:rPr>
          <w:sz w:val="26"/>
        </w:rPr>
      </w:pPr>
      <w:r>
        <w:rPr>
          <w:i/>
          <w:sz w:val="26"/>
        </w:rPr>
        <w:t>Maritime policy and Management</w:t>
      </w:r>
      <w:r>
        <w:rPr>
          <w:sz w:val="26"/>
        </w:rPr>
        <w:t>. 38(5). 471-48</w:t>
      </w:r>
    </w:p>
    <w:p>
      <w:pPr>
        <w:pStyle w:val="ListParagraph"/>
        <w:numPr>
          <w:ilvl w:val="0"/>
          <w:numId w:val="32"/>
        </w:numPr>
        <w:tabs>
          <w:tab w:pos="1290" w:val="left" w:leader="none"/>
        </w:tabs>
        <w:spacing w:line="360" w:lineRule="auto" w:before="148" w:after="0"/>
        <w:ind w:left="882" w:right="891" w:firstLine="0"/>
        <w:jc w:val="both"/>
        <w:rPr>
          <w:sz w:val="26"/>
        </w:rPr>
      </w:pPr>
      <w:r>
        <w:rPr>
          <w:spacing w:val="-5"/>
          <w:sz w:val="26"/>
        </w:rPr>
        <w:t>Young-Tae </w:t>
      </w:r>
      <w:r>
        <w:rPr>
          <w:sz w:val="26"/>
        </w:rPr>
        <w:t>Chang. </w:t>
      </w:r>
      <w:r>
        <w:rPr>
          <w:spacing w:val="-3"/>
          <w:sz w:val="26"/>
        </w:rPr>
        <w:t>Sang-Yoon </w:t>
      </w:r>
      <w:r>
        <w:rPr>
          <w:sz w:val="26"/>
        </w:rPr>
        <w:t>Lee. Tongzon. J. (2008). Port selection factors by shipping lines: Different perspectives between trunk liners and feeder service providers. </w:t>
      </w:r>
      <w:r>
        <w:rPr>
          <w:i/>
          <w:sz w:val="26"/>
        </w:rPr>
        <w:t>Marine Policy 32 </w:t>
      </w:r>
      <w:r>
        <w:rPr>
          <w:sz w:val="26"/>
        </w:rPr>
        <w:t>(2008)</w:t>
      </w:r>
      <w:r>
        <w:rPr>
          <w:spacing w:val="1"/>
          <w:sz w:val="26"/>
        </w:rPr>
        <w:t> </w:t>
      </w:r>
      <w:r>
        <w:rPr>
          <w:sz w:val="26"/>
        </w:rPr>
        <w:t>877–885.</w:t>
      </w:r>
    </w:p>
    <w:p>
      <w:pPr>
        <w:pStyle w:val="ListParagraph"/>
        <w:numPr>
          <w:ilvl w:val="0"/>
          <w:numId w:val="32"/>
        </w:numPr>
        <w:tabs>
          <w:tab w:pos="1242" w:val="left" w:leader="none"/>
        </w:tabs>
        <w:spacing w:line="360" w:lineRule="auto" w:before="0" w:after="0"/>
        <w:ind w:left="882" w:right="889" w:firstLine="0"/>
        <w:jc w:val="both"/>
        <w:rPr>
          <w:sz w:val="24"/>
        </w:rPr>
      </w:pPr>
      <w:r>
        <w:rPr>
          <w:sz w:val="24"/>
        </w:rPr>
        <w:t>Y.H.V. S. Lun. RM. (2010). Multi-criteria approach for the selection of alternative options for environmentally sustainable transport system in Delhi. </w:t>
      </w:r>
      <w:r>
        <w:rPr>
          <w:i/>
          <w:sz w:val="24"/>
        </w:rPr>
        <w:t>Transportation Research </w:t>
      </w:r>
      <w:r>
        <w:rPr>
          <w:sz w:val="24"/>
        </w:rPr>
        <w:t>Part A: Policy and Practice 36:</w:t>
      </w:r>
      <w:r>
        <w:rPr>
          <w:spacing w:val="-1"/>
          <w:sz w:val="24"/>
        </w:rPr>
        <w:t> </w:t>
      </w:r>
      <w:r>
        <w:rPr>
          <w:sz w:val="24"/>
        </w:rPr>
        <w:t>202–219.</w:t>
      </w:r>
    </w:p>
    <w:p>
      <w:pPr>
        <w:pStyle w:val="ListParagraph"/>
        <w:numPr>
          <w:ilvl w:val="0"/>
          <w:numId w:val="32"/>
        </w:numPr>
        <w:tabs>
          <w:tab w:pos="1374" w:val="left" w:leader="none"/>
        </w:tabs>
        <w:spacing w:line="360" w:lineRule="auto" w:before="0" w:after="0"/>
        <w:ind w:left="882" w:right="891" w:firstLine="0"/>
        <w:jc w:val="left"/>
        <w:rPr>
          <w:sz w:val="26"/>
        </w:rPr>
      </w:pPr>
      <w:r>
        <w:rPr>
          <w:sz w:val="26"/>
        </w:rPr>
        <w:t>Zhao X.. Xie J. (2002). The impact of information sharing and ordering coordination on supply chain performance. </w:t>
      </w:r>
      <w:r>
        <w:rPr>
          <w:i/>
          <w:sz w:val="26"/>
        </w:rPr>
        <w:t>Supply chain managemen</w:t>
      </w:r>
      <w:r>
        <w:rPr>
          <w:sz w:val="26"/>
        </w:rPr>
        <w:t>t. 71(1). 24-40</w:t>
      </w:r>
      <w:r>
        <w:rPr>
          <w:color w:val="0000FF"/>
          <w:sz w:val="26"/>
          <w:u w:val="single" w:color="0000FF"/>
        </w:rPr>
        <w:t> </w:t>
      </w:r>
      <w:hyperlink r:id="rId34">
        <w:r>
          <w:rPr>
            <w:color w:val="0000FF"/>
            <w:sz w:val="26"/>
            <w:u w:val="single" w:color="0000FF"/>
          </w:rPr>
          <w:t>http://www.ppiaf.org/documents/toolkits/Portoolkit/Toolkit/index.html</w:t>
        </w:r>
      </w:hyperlink>
      <w:hyperlink r:id="rId35">
        <w:r>
          <w:rPr>
            <w:color w:val="0000FF"/>
            <w:sz w:val="26"/>
            <w:u w:val="single" w:color="0000FF"/>
          </w:rPr>
          <w:t> http://www.vpa.org.vn/vn/category/nang-luc/</w:t>
        </w:r>
      </w:hyperlink>
    </w:p>
    <w:p>
      <w:pPr>
        <w:spacing w:line="360" w:lineRule="auto" w:before="0"/>
        <w:ind w:left="882" w:right="1178" w:firstLine="0"/>
        <w:jc w:val="left"/>
        <w:rPr>
          <w:sz w:val="24"/>
        </w:rPr>
      </w:pPr>
      <w:hyperlink r:id="rId36">
        <w:r>
          <w:rPr>
            <w:color w:val="0000FF"/>
            <w:sz w:val="24"/>
            <w:u w:val="single" w:color="0000FF"/>
          </w:rPr>
          <w:t>http://giaothongvantai.com.vn/quoc-te/ho-so-tu-lieu/201305/dau-tu-cang-bien-the-nao-cho-</w:t>
        </w:r>
      </w:hyperlink>
      <w:r>
        <w:rPr>
          <w:color w:val="0000FF"/>
          <w:sz w:val="24"/>
        </w:rPr>
        <w:t> </w:t>
      </w:r>
      <w:hyperlink r:id="rId36">
        <w:r>
          <w:rPr>
            <w:color w:val="0000FF"/>
            <w:sz w:val="24"/>
            <w:u w:val="single" w:color="0000FF"/>
          </w:rPr>
          <w:t>hieu-qua-305605/</w:t>
        </w:r>
      </w:hyperlink>
    </w:p>
    <w:p>
      <w:pPr>
        <w:spacing w:line="360" w:lineRule="auto" w:before="0"/>
        <w:ind w:left="882" w:right="1197" w:firstLine="0"/>
        <w:jc w:val="left"/>
        <w:rPr>
          <w:sz w:val="24"/>
        </w:rPr>
      </w:pPr>
      <w:hyperlink r:id="rId37">
        <w:r>
          <w:rPr>
            <w:color w:val="0000FF"/>
            <w:sz w:val="24"/>
            <w:u w:val="single" w:color="0000FF"/>
          </w:rPr>
          <w:t>https://thuvienphapluat.vn/van-ban/Thuong-mai/Quyet-dinh-200-QD-TTg-Ke-hoach-hanh-</w:t>
        </w:r>
      </w:hyperlink>
      <w:r>
        <w:rPr>
          <w:color w:val="0000FF"/>
          <w:sz w:val="24"/>
        </w:rPr>
        <w:t> </w:t>
      </w:r>
      <w:hyperlink r:id="rId37">
        <w:r>
          <w:rPr>
            <w:color w:val="0000FF"/>
            <w:sz w:val="24"/>
            <w:u w:val="single" w:color="0000FF"/>
          </w:rPr>
          <w:t>dong-nang-cao-nang-luc-canh-tranh-phat-trien-dich-vu-Logistics-2017-339610.aspx</w:t>
        </w:r>
      </w:hyperlink>
      <w:r>
        <w:rPr>
          <w:color w:val="0000FF"/>
          <w:sz w:val="24"/>
        </w:rPr>
        <w:t> </w:t>
      </w:r>
      <w:hyperlink r:id="rId38">
        <w:r>
          <w:rPr>
            <w:color w:val="0000FF"/>
            <w:sz w:val="24"/>
            <w:u w:val="single" w:color="0000FF"/>
          </w:rPr>
          <w:t>https://thuvienphapluat.vn/van-ban/Giao-thong-Van-tai/Quyet-dinh-1037-QD-TTg-2014-</w:t>
        </w:r>
      </w:hyperlink>
      <w:r>
        <w:rPr>
          <w:color w:val="0000FF"/>
          <w:sz w:val="24"/>
        </w:rPr>
        <w:t> </w:t>
      </w:r>
      <w:hyperlink r:id="rId38">
        <w:r>
          <w:rPr>
            <w:color w:val="0000FF"/>
            <w:sz w:val="24"/>
            <w:u w:val="single" w:color="0000FF"/>
          </w:rPr>
          <w:t>phat-trien-cang-bien-Viet-Nam-den-2020-dinh-huong-den-2030-236912.aspx</w:t>
        </w:r>
      </w:hyperlink>
      <w:r>
        <w:rPr>
          <w:color w:val="0000FF"/>
          <w:sz w:val="24"/>
        </w:rPr>
        <w:t> </w:t>
      </w:r>
      <w:hyperlink r:id="rId39">
        <w:r>
          <w:rPr>
            <w:color w:val="0000FF"/>
            <w:sz w:val="24"/>
            <w:u w:val="single" w:color="0000FF"/>
          </w:rPr>
          <w:t>https://vndoc.com/quyet-dinh-2055-qd-ttg-ve-phat-trien-giao-thong-van-tai-vung-kinh-te-</w:t>
        </w:r>
      </w:hyperlink>
      <w:r>
        <w:rPr>
          <w:color w:val="0000FF"/>
          <w:sz w:val="24"/>
        </w:rPr>
        <w:t> </w:t>
      </w:r>
      <w:hyperlink r:id="rId39">
        <w:r>
          <w:rPr>
            <w:color w:val="0000FF"/>
            <w:sz w:val="24"/>
            <w:u w:val="single" w:color="0000FF"/>
          </w:rPr>
          <w:t>trong-diem-phia-nam-den-nam-2020/download</w:t>
        </w:r>
      </w:hyperlink>
    </w:p>
    <w:p>
      <w:pPr>
        <w:spacing w:line="360" w:lineRule="auto" w:before="0"/>
        <w:ind w:left="882" w:right="976" w:firstLine="0"/>
        <w:jc w:val="left"/>
        <w:rPr>
          <w:sz w:val="24"/>
        </w:rPr>
      </w:pPr>
      <w:hyperlink r:id="rId40">
        <w:r>
          <w:rPr>
            <w:color w:val="0000FF"/>
            <w:sz w:val="24"/>
            <w:u w:val="single" w:color="0000FF"/>
          </w:rPr>
          <w:t>http://baoquangninh.com.vn/chinh-tri/201904/tham-dinh-nghi-quyet-phat-trien-cang-bien-va-</w:t>
        </w:r>
      </w:hyperlink>
      <w:r>
        <w:rPr>
          <w:color w:val="0000FF"/>
          <w:sz w:val="24"/>
        </w:rPr>
        <w:t> </w:t>
      </w:r>
      <w:hyperlink r:id="rId40">
        <w:r>
          <w:rPr>
            <w:color w:val="0000FF"/>
            <w:sz w:val="24"/>
            <w:u w:val="single" w:color="0000FF"/>
          </w:rPr>
          <w:t>dich-vu-cang-bien-2436188/</w:t>
        </w:r>
      </w:hyperlink>
    </w:p>
    <w:p>
      <w:pPr>
        <w:spacing w:after="0" w:line="360" w:lineRule="auto"/>
        <w:jc w:val="left"/>
        <w:rPr>
          <w:sz w:val="24"/>
        </w:rPr>
        <w:sectPr>
          <w:pgSz w:w="11910" w:h="16850"/>
          <w:pgMar w:header="751" w:footer="0" w:top="960" w:bottom="280" w:left="820" w:right="240"/>
        </w:sectPr>
      </w:pPr>
    </w:p>
    <w:p>
      <w:pPr>
        <w:pStyle w:val="BodyText"/>
        <w:spacing w:before="6"/>
        <w:rPr>
          <w:sz w:val="16"/>
        </w:rPr>
      </w:pPr>
    </w:p>
    <w:p>
      <w:pPr>
        <w:spacing w:before="84"/>
        <w:ind w:left="943" w:right="952" w:firstLine="0"/>
        <w:jc w:val="center"/>
        <w:rPr>
          <w:b/>
          <w:sz w:val="40"/>
        </w:rPr>
      </w:pPr>
      <w:r>
        <w:rPr>
          <w:b/>
          <w:sz w:val="40"/>
        </w:rPr>
        <w:t>PHỤ LỤC</w:t>
      </w:r>
    </w:p>
    <w:p>
      <w:pPr>
        <w:pStyle w:val="Heading4"/>
        <w:spacing w:before="231"/>
        <w:ind w:left="943"/>
      </w:pPr>
      <w:r>
        <w:rPr/>
        <w:t>PHỤ LỤC 1</w:t>
      </w:r>
    </w:p>
    <w:p>
      <w:pPr>
        <w:spacing w:line="360" w:lineRule="auto" w:before="161"/>
        <w:ind w:left="942" w:right="952" w:firstLine="0"/>
        <w:jc w:val="center"/>
        <w:rPr>
          <w:b/>
          <w:sz w:val="28"/>
        </w:rPr>
      </w:pPr>
      <w:r>
        <w:rPr>
          <w:b/>
          <w:sz w:val="28"/>
        </w:rPr>
        <w:t>TÓM TẮT LỢI THẾ CẢNG BIỂN VÀ CÁC ICD CHÍNH CÓ KHAI THÁC BẾN BÃI CONTAINER</w:t>
      </w:r>
    </w:p>
    <w:p>
      <w:pPr>
        <w:spacing w:line="551" w:lineRule="exact" w:before="0"/>
        <w:ind w:left="945" w:right="952" w:firstLine="0"/>
        <w:jc w:val="center"/>
        <w:rPr>
          <w:b/>
          <w:sz w:val="48"/>
        </w:rPr>
      </w:pPr>
      <w:r>
        <w:rPr>
          <w:b/>
          <w:sz w:val="48"/>
        </w:rPr>
        <w:t>Miền Nam</w:t>
      </w:r>
    </w:p>
    <w:p>
      <w:pPr>
        <w:pStyle w:val="BodyText"/>
        <w:spacing w:before="8"/>
        <w:rPr>
          <w:b/>
          <w:sz w:val="25"/>
        </w:rPr>
      </w:pPr>
    </w:p>
    <w:tbl>
      <w:tblPr>
        <w:tblW w:w="0" w:type="auto"/>
        <w:jc w:val="left"/>
        <w:tblInd w:w="860" w:type="dxa"/>
        <w:tblBorders>
          <w:top w:val="double" w:sz="1" w:space="0" w:color="000000"/>
          <w:left w:val="double" w:sz="1" w:space="0" w:color="000000"/>
          <w:bottom w:val="double" w:sz="1" w:space="0" w:color="000000"/>
          <w:right w:val="double" w:sz="1" w:space="0" w:color="000000"/>
          <w:insideH w:val="double" w:sz="1" w:space="0" w:color="000000"/>
          <w:insideV w:val="double" w:sz="1" w:space="0" w:color="000000"/>
        </w:tblBorders>
        <w:tblLayout w:type="fixed"/>
        <w:tblCellMar>
          <w:top w:w="0" w:type="dxa"/>
          <w:left w:w="0" w:type="dxa"/>
          <w:bottom w:w="0" w:type="dxa"/>
          <w:right w:w="0" w:type="dxa"/>
        </w:tblCellMar>
        <w:tblLook w:val="01E0"/>
      </w:tblPr>
      <w:tblGrid>
        <w:gridCol w:w="1282"/>
        <w:gridCol w:w="7849"/>
      </w:tblGrid>
      <w:tr>
        <w:trPr>
          <w:trHeight w:val="7916" w:hRule="atLeast"/>
        </w:trPr>
        <w:tc>
          <w:tcPr>
            <w:tcW w:w="1282" w:type="dxa"/>
          </w:tcPr>
          <w:p>
            <w:pPr>
              <w:pStyle w:val="TableParagraph"/>
              <w:rPr>
                <w:b/>
                <w:sz w:val="26"/>
              </w:rPr>
            </w:pPr>
          </w:p>
          <w:p>
            <w:pPr>
              <w:pStyle w:val="TableParagraph"/>
              <w:rPr>
                <w:b/>
                <w:sz w:val="26"/>
              </w:rPr>
            </w:pPr>
          </w:p>
          <w:p>
            <w:pPr>
              <w:pStyle w:val="TableParagraph"/>
              <w:rPr>
                <w:b/>
                <w:sz w:val="26"/>
              </w:rPr>
            </w:pPr>
          </w:p>
          <w:p>
            <w:pPr>
              <w:pStyle w:val="TableParagraph"/>
              <w:rPr>
                <w:b/>
                <w:sz w:val="26"/>
              </w:rPr>
            </w:pPr>
          </w:p>
          <w:p>
            <w:pPr>
              <w:pStyle w:val="TableParagraph"/>
              <w:rPr>
                <w:b/>
                <w:sz w:val="26"/>
              </w:rPr>
            </w:pPr>
          </w:p>
          <w:p>
            <w:pPr>
              <w:pStyle w:val="TableParagraph"/>
              <w:rPr>
                <w:b/>
                <w:sz w:val="26"/>
              </w:rPr>
            </w:pPr>
          </w:p>
          <w:p>
            <w:pPr>
              <w:pStyle w:val="TableParagraph"/>
              <w:rPr>
                <w:b/>
                <w:sz w:val="26"/>
              </w:rPr>
            </w:pPr>
          </w:p>
          <w:p>
            <w:pPr>
              <w:pStyle w:val="TableParagraph"/>
              <w:rPr>
                <w:b/>
                <w:sz w:val="26"/>
              </w:rPr>
            </w:pPr>
          </w:p>
          <w:p>
            <w:pPr>
              <w:pStyle w:val="TableParagraph"/>
              <w:rPr>
                <w:b/>
                <w:sz w:val="26"/>
              </w:rPr>
            </w:pPr>
          </w:p>
          <w:p>
            <w:pPr>
              <w:pStyle w:val="TableParagraph"/>
              <w:rPr>
                <w:b/>
                <w:sz w:val="26"/>
              </w:rPr>
            </w:pPr>
          </w:p>
          <w:p>
            <w:pPr>
              <w:pStyle w:val="TableParagraph"/>
              <w:rPr>
                <w:b/>
                <w:sz w:val="26"/>
              </w:rPr>
            </w:pPr>
          </w:p>
          <w:p>
            <w:pPr>
              <w:pStyle w:val="TableParagraph"/>
              <w:spacing w:before="3"/>
              <w:rPr>
                <w:b/>
                <w:sz w:val="22"/>
              </w:rPr>
            </w:pPr>
          </w:p>
          <w:p>
            <w:pPr>
              <w:pStyle w:val="TableParagraph"/>
              <w:spacing w:line="360" w:lineRule="auto"/>
              <w:ind w:left="449" w:right="28" w:hanging="399"/>
              <w:rPr>
                <w:b/>
                <w:sz w:val="24"/>
              </w:rPr>
            </w:pPr>
            <w:hyperlink r:id="rId42">
              <w:r>
                <w:rPr>
                  <w:b/>
                  <w:sz w:val="24"/>
                </w:rPr>
                <w:t>Cảng Đồng</w:t>
              </w:r>
            </w:hyperlink>
            <w:r>
              <w:rPr>
                <w:b/>
                <w:sz w:val="24"/>
              </w:rPr>
              <w:t> </w:t>
            </w:r>
            <w:hyperlink r:id="rId42">
              <w:r>
                <w:rPr>
                  <w:b/>
                  <w:sz w:val="24"/>
                </w:rPr>
                <w:t>Nai</w:t>
              </w:r>
            </w:hyperlink>
          </w:p>
        </w:tc>
        <w:tc>
          <w:tcPr>
            <w:tcW w:w="7849" w:type="dxa"/>
            <w:tcBorders>
              <w:right w:val="single" w:sz="4" w:space="0" w:color="000000"/>
            </w:tcBorders>
          </w:tcPr>
          <w:p>
            <w:pPr>
              <w:pStyle w:val="TableParagraph"/>
              <w:spacing w:before="23"/>
              <w:ind w:left="28"/>
              <w:rPr>
                <w:sz w:val="24"/>
              </w:rPr>
            </w:pPr>
            <w:r>
              <w:rPr>
                <w:sz w:val="24"/>
              </w:rPr>
              <w:t>Vị trí Cảng:</w:t>
            </w:r>
          </w:p>
          <w:p>
            <w:pPr>
              <w:pStyle w:val="TableParagraph"/>
              <w:spacing w:before="140"/>
              <w:ind w:left="28"/>
              <w:rPr>
                <w:sz w:val="24"/>
              </w:rPr>
            </w:pPr>
            <w:r>
              <w:rPr>
                <w:sz w:val="24"/>
              </w:rPr>
              <w:t>– Cảng Long Bình Tân: 10°54’01″N – 106°50’29″E</w:t>
            </w:r>
          </w:p>
          <w:p>
            <w:pPr>
              <w:pStyle w:val="TableParagraph"/>
              <w:spacing w:before="136"/>
              <w:ind w:left="28"/>
              <w:rPr>
                <w:sz w:val="24"/>
              </w:rPr>
            </w:pPr>
            <w:r>
              <w:rPr>
                <w:sz w:val="24"/>
              </w:rPr>
              <w:t>– Cảng Gò Dầu A: 10°39’28″N – 107°01’16″E</w:t>
            </w:r>
          </w:p>
          <w:p>
            <w:pPr>
              <w:pStyle w:val="TableParagraph"/>
              <w:spacing w:before="140"/>
              <w:ind w:left="28"/>
              <w:rPr>
                <w:sz w:val="24"/>
              </w:rPr>
            </w:pPr>
            <w:r>
              <w:rPr>
                <w:sz w:val="24"/>
              </w:rPr>
              <w:t>– Gò Dầu B: 10°37’08″N – 107°01’26” “E</w:t>
            </w:r>
          </w:p>
          <w:p>
            <w:pPr>
              <w:pStyle w:val="TableParagraph"/>
              <w:spacing w:before="137"/>
              <w:ind w:left="28"/>
              <w:rPr>
                <w:sz w:val="24"/>
              </w:rPr>
            </w:pPr>
            <w:r>
              <w:rPr>
                <w:sz w:val="24"/>
              </w:rPr>
              <w:t>Điểm đón trả hoa tiêu: 10°20’N – 107°01’26″E</w:t>
            </w:r>
          </w:p>
          <w:p>
            <w:pPr>
              <w:pStyle w:val="TableParagraph"/>
              <w:spacing w:line="360" w:lineRule="auto" w:before="139"/>
              <w:ind w:left="28" w:right="457"/>
              <w:rPr>
                <w:sz w:val="24"/>
              </w:rPr>
            </w:pPr>
            <w:r>
              <w:rPr>
                <w:b/>
                <w:sz w:val="24"/>
              </w:rPr>
              <w:t>Long Bình Tân (trên sông Đồng Nai): </w:t>
            </w:r>
            <w:r>
              <w:rPr>
                <w:sz w:val="24"/>
              </w:rPr>
              <w:t>dài 100km. Độ sâu đáy luồng: 4.0m Chế độ thủy triều: bán nhật triều không đều. Chênh lệch bình quân: 3m Mớn nước cao nhất: 6.2m</w:t>
            </w:r>
          </w:p>
          <w:p>
            <w:pPr>
              <w:pStyle w:val="TableParagraph"/>
              <w:spacing w:line="275" w:lineRule="exact"/>
              <w:ind w:left="28"/>
              <w:rPr>
                <w:sz w:val="24"/>
              </w:rPr>
            </w:pPr>
            <w:r>
              <w:rPr>
                <w:sz w:val="24"/>
              </w:rPr>
              <w:t>Cỡ tàu lớn nhất tiếp nhận được: 5.000 DWT</w:t>
            </w:r>
          </w:p>
          <w:p>
            <w:pPr>
              <w:pStyle w:val="TableParagraph"/>
              <w:spacing w:line="360" w:lineRule="auto" w:before="140"/>
              <w:ind w:left="28" w:right="454"/>
              <w:rPr>
                <w:sz w:val="24"/>
              </w:rPr>
            </w:pPr>
            <w:r>
              <w:rPr>
                <w:b/>
                <w:sz w:val="24"/>
              </w:rPr>
              <w:t>Gò Dầu A và Gò Dầu B (trên sông Thị Vải): </w:t>
            </w:r>
            <w:r>
              <w:rPr>
                <w:sz w:val="24"/>
              </w:rPr>
              <w:t>dài 35km. Độ sâu đáy luồng: 6.5m</w:t>
            </w:r>
          </w:p>
          <w:p>
            <w:pPr>
              <w:pStyle w:val="TableParagraph"/>
              <w:spacing w:line="360" w:lineRule="auto"/>
              <w:ind w:left="28" w:right="4201"/>
              <w:rPr>
                <w:sz w:val="24"/>
              </w:rPr>
            </w:pPr>
            <w:r>
              <w:rPr>
                <w:sz w:val="24"/>
              </w:rPr>
              <w:t>Thủy triểu: bán nhật triều không đều. Chênh lệch bình quân: 4.6m</w:t>
            </w:r>
          </w:p>
          <w:p>
            <w:pPr>
              <w:pStyle w:val="TableParagraph"/>
              <w:ind w:left="28"/>
              <w:rPr>
                <w:sz w:val="24"/>
              </w:rPr>
            </w:pPr>
            <w:r>
              <w:rPr>
                <w:sz w:val="24"/>
              </w:rPr>
              <w:t>Mớn nước cao nhất tàu ra vào: 11.1m</w:t>
            </w:r>
          </w:p>
          <w:p>
            <w:pPr>
              <w:pStyle w:val="TableParagraph"/>
              <w:spacing w:before="137"/>
              <w:ind w:left="28"/>
              <w:rPr>
                <w:sz w:val="24"/>
              </w:rPr>
            </w:pPr>
            <w:r>
              <w:rPr>
                <w:sz w:val="24"/>
              </w:rPr>
              <w:t>Cỡ tàu lớn nhất: 10.000 DWT (Gò Dầu A) . 15.000 DWT (Gò dầu B)</w:t>
            </w:r>
          </w:p>
          <w:p>
            <w:pPr>
              <w:pStyle w:val="TableParagraph"/>
              <w:spacing w:before="139"/>
              <w:ind w:left="28"/>
              <w:rPr>
                <w:i/>
                <w:sz w:val="24"/>
              </w:rPr>
            </w:pPr>
            <w:r>
              <w:rPr>
                <w:sz w:val="24"/>
              </w:rPr>
              <w:t>Tổng diện tích mặt bằng: </w:t>
            </w:r>
            <w:r>
              <w:rPr>
                <w:b/>
                <w:sz w:val="24"/>
              </w:rPr>
              <w:t>443.000 m2 </w:t>
            </w:r>
            <w:r>
              <w:rPr>
                <w:i/>
                <w:sz w:val="24"/>
              </w:rPr>
              <w:t>(Long Binh Tan: 43.000 m2. Go Dau A:</w:t>
            </w:r>
          </w:p>
          <w:p>
            <w:pPr>
              <w:pStyle w:val="TableParagraph"/>
              <w:spacing w:before="137"/>
              <w:ind w:left="28"/>
              <w:rPr>
                <w:i/>
                <w:sz w:val="24"/>
              </w:rPr>
            </w:pPr>
            <w:r>
              <w:rPr>
                <w:i/>
                <w:sz w:val="24"/>
              </w:rPr>
              <w:t>180.000 m2. Go Dau B: 220.000 m2)</w:t>
            </w:r>
          </w:p>
          <w:p>
            <w:pPr>
              <w:pStyle w:val="TableParagraph"/>
              <w:spacing w:before="139"/>
              <w:ind w:left="28"/>
              <w:rPr>
                <w:b/>
                <w:sz w:val="24"/>
              </w:rPr>
            </w:pPr>
            <w:r>
              <w:rPr>
                <w:sz w:val="24"/>
              </w:rPr>
              <w:t>Kho: </w:t>
            </w:r>
            <w:r>
              <w:rPr>
                <w:b/>
                <w:sz w:val="24"/>
              </w:rPr>
              <w:t>5.000 m2</w:t>
            </w:r>
            <w:r>
              <w:rPr>
                <w:sz w:val="24"/>
              </w:rPr>
              <w:t>. Bãi: </w:t>
            </w:r>
            <w:r>
              <w:rPr>
                <w:b/>
                <w:sz w:val="24"/>
              </w:rPr>
              <w:t>80.000 m2</w:t>
            </w:r>
            <w:r>
              <w:rPr>
                <w:sz w:val="24"/>
              </w:rPr>
              <w:t>. Bồn: </w:t>
            </w:r>
            <w:r>
              <w:rPr>
                <w:b/>
                <w:sz w:val="24"/>
              </w:rPr>
              <w:t>3.000 m3</w:t>
            </w:r>
          </w:p>
          <w:p>
            <w:pPr>
              <w:pStyle w:val="TableParagraph"/>
              <w:spacing w:before="137"/>
              <w:ind w:left="28"/>
              <w:rPr>
                <w:sz w:val="24"/>
              </w:rPr>
            </w:pPr>
            <w:r>
              <w:rPr>
                <w:sz w:val="24"/>
              </w:rPr>
              <w:t>Sức chứa tổng cộng: 200.000 MT</w:t>
            </w:r>
          </w:p>
        </w:tc>
      </w:tr>
      <w:tr>
        <w:trPr>
          <w:trHeight w:val="3355" w:hRule="atLeast"/>
        </w:trPr>
        <w:tc>
          <w:tcPr>
            <w:tcW w:w="1282" w:type="dxa"/>
          </w:tcPr>
          <w:p>
            <w:pPr>
              <w:pStyle w:val="TableParagraph"/>
              <w:rPr>
                <w:b/>
                <w:sz w:val="26"/>
              </w:rPr>
            </w:pPr>
          </w:p>
          <w:p>
            <w:pPr>
              <w:pStyle w:val="TableParagraph"/>
              <w:rPr>
                <w:b/>
                <w:sz w:val="26"/>
              </w:rPr>
            </w:pPr>
          </w:p>
          <w:p>
            <w:pPr>
              <w:pStyle w:val="TableParagraph"/>
              <w:rPr>
                <w:b/>
                <w:sz w:val="26"/>
              </w:rPr>
            </w:pPr>
          </w:p>
          <w:p>
            <w:pPr>
              <w:pStyle w:val="TableParagraph"/>
              <w:spacing w:before="1"/>
              <w:rPr>
                <w:b/>
                <w:sz w:val="32"/>
              </w:rPr>
            </w:pPr>
          </w:p>
          <w:p>
            <w:pPr>
              <w:pStyle w:val="TableParagraph"/>
              <w:spacing w:line="360" w:lineRule="auto"/>
              <w:ind w:left="281" w:right="94" w:hanging="164"/>
              <w:rPr>
                <w:b/>
                <w:sz w:val="24"/>
              </w:rPr>
            </w:pPr>
            <w:r>
              <w:rPr>
                <w:b/>
                <w:sz w:val="24"/>
              </w:rPr>
              <w:t>Tân Cảng Saigon</w:t>
            </w:r>
          </w:p>
        </w:tc>
        <w:tc>
          <w:tcPr>
            <w:tcW w:w="7849" w:type="dxa"/>
            <w:tcBorders>
              <w:right w:val="single" w:sz="4" w:space="0" w:color="000000"/>
            </w:tcBorders>
          </w:tcPr>
          <w:p>
            <w:pPr>
              <w:pStyle w:val="TableParagraph"/>
              <w:spacing w:before="25"/>
              <w:ind w:left="28"/>
              <w:rPr>
                <w:sz w:val="24"/>
              </w:rPr>
            </w:pPr>
            <w:r>
              <w:rPr>
                <w:sz w:val="24"/>
              </w:rPr>
              <w:t>Vị trí cảng:</w:t>
            </w:r>
          </w:p>
          <w:p>
            <w:pPr>
              <w:pStyle w:val="TableParagraph"/>
              <w:spacing w:before="137"/>
              <w:ind w:left="28"/>
              <w:rPr>
                <w:sz w:val="24"/>
              </w:rPr>
            </w:pPr>
            <w:r>
              <w:rPr>
                <w:sz w:val="24"/>
              </w:rPr>
              <w:t>– Tân Cảng</w:t>
            </w:r>
            <w:r>
              <w:rPr>
                <w:i/>
                <w:sz w:val="24"/>
              </w:rPr>
              <w:t>: </w:t>
            </w:r>
            <w:r>
              <w:rPr>
                <w:sz w:val="24"/>
              </w:rPr>
              <w:t>10°47’N – 106°42’E</w:t>
            </w:r>
          </w:p>
          <w:p>
            <w:pPr>
              <w:pStyle w:val="TableParagraph"/>
              <w:spacing w:before="139"/>
              <w:ind w:left="28"/>
              <w:rPr>
                <w:sz w:val="24"/>
              </w:rPr>
            </w:pPr>
            <w:r>
              <w:rPr>
                <w:sz w:val="24"/>
              </w:rPr>
              <w:t>– Cát Lái: 10°45’25″N – 106°47’40″E</w:t>
            </w:r>
          </w:p>
          <w:p>
            <w:pPr>
              <w:pStyle w:val="TableParagraph"/>
              <w:spacing w:before="137"/>
              <w:ind w:left="28"/>
              <w:rPr>
                <w:i/>
                <w:sz w:val="24"/>
              </w:rPr>
            </w:pPr>
            <w:r>
              <w:rPr>
                <w:sz w:val="24"/>
              </w:rPr>
              <w:t>Dài: vào Tân Cảng: </w:t>
            </w:r>
            <w:r>
              <w:rPr>
                <w:b/>
                <w:sz w:val="24"/>
              </w:rPr>
              <w:t>52 </w:t>
            </w:r>
            <w:r>
              <w:rPr>
                <w:sz w:val="24"/>
              </w:rPr>
              <w:t>hải lý</w:t>
            </w:r>
            <w:r>
              <w:rPr>
                <w:i/>
                <w:sz w:val="24"/>
              </w:rPr>
              <w:t>. vào Cát Lái : </w:t>
            </w:r>
            <w:r>
              <w:rPr>
                <w:b/>
                <w:sz w:val="24"/>
              </w:rPr>
              <w:t>43 </w:t>
            </w:r>
            <w:r>
              <w:rPr>
                <w:i/>
                <w:sz w:val="24"/>
              </w:rPr>
              <w:t>hải lý .</w:t>
            </w:r>
          </w:p>
          <w:p>
            <w:pPr>
              <w:pStyle w:val="TableParagraph"/>
              <w:spacing w:line="360" w:lineRule="auto" w:before="139"/>
              <w:ind w:left="28" w:right="127"/>
              <w:rPr>
                <w:sz w:val="24"/>
              </w:rPr>
            </w:pPr>
            <w:r>
              <w:rPr>
                <w:sz w:val="24"/>
              </w:rPr>
              <w:t>Độ sâu: </w:t>
            </w:r>
            <w:r>
              <w:rPr>
                <w:b/>
                <w:sz w:val="24"/>
              </w:rPr>
              <w:t>-8.5 m</w:t>
            </w:r>
            <w:r>
              <w:rPr>
                <w:sz w:val="24"/>
              </w:rPr>
              <w:t>. Chế độ thủy triều: </w:t>
            </w:r>
            <w:r>
              <w:rPr>
                <w:b/>
                <w:sz w:val="24"/>
              </w:rPr>
              <w:t>bán nhật triều không đều</w:t>
            </w:r>
            <w:r>
              <w:rPr>
                <w:sz w:val="24"/>
              </w:rPr>
              <w:t>. Chênh lệch bình quân: </w:t>
            </w:r>
            <w:r>
              <w:rPr>
                <w:b/>
                <w:sz w:val="24"/>
              </w:rPr>
              <w:t>4 m</w:t>
            </w:r>
            <w:r>
              <w:rPr>
                <w:sz w:val="24"/>
              </w:rPr>
              <w:t>.</w:t>
            </w:r>
          </w:p>
          <w:p>
            <w:pPr>
              <w:pStyle w:val="TableParagraph"/>
              <w:ind w:left="28"/>
              <w:rPr>
                <w:sz w:val="24"/>
              </w:rPr>
            </w:pPr>
            <w:r>
              <w:rPr>
                <w:sz w:val="24"/>
              </w:rPr>
              <w:t>Mớn nước cao nhất cho tàu ra và </w:t>
            </w:r>
            <w:r>
              <w:rPr>
                <w:i/>
                <w:sz w:val="24"/>
              </w:rPr>
              <w:t>: </w:t>
            </w:r>
            <w:r>
              <w:rPr>
                <w:b/>
                <w:sz w:val="24"/>
              </w:rPr>
              <w:t>-11.5 m</w:t>
            </w:r>
            <w:r>
              <w:rPr>
                <w:sz w:val="24"/>
              </w:rPr>
              <w:t>. Cỡ tàu lớn nhất tiếp nhận được:</w:t>
            </w:r>
          </w:p>
          <w:p>
            <w:pPr>
              <w:pStyle w:val="TableParagraph"/>
              <w:spacing w:before="137"/>
              <w:ind w:left="28"/>
              <w:rPr>
                <w:sz w:val="24"/>
              </w:rPr>
            </w:pPr>
            <w:r>
              <w:rPr>
                <w:sz w:val="24"/>
              </w:rPr>
              <w:t>30.790 DWT.</w:t>
            </w:r>
          </w:p>
        </w:tc>
      </w:tr>
    </w:tbl>
    <w:p>
      <w:pPr>
        <w:spacing w:after="0"/>
        <w:rPr>
          <w:sz w:val="24"/>
        </w:rPr>
        <w:sectPr>
          <w:headerReference w:type="default" r:id="rId41"/>
          <w:pgSz w:w="11910" w:h="16850"/>
          <w:pgMar w:header="751" w:footer="0" w:top="960" w:bottom="280" w:left="820" w:right="240"/>
          <w:pgNumType w:start="1"/>
        </w:sectPr>
      </w:pPr>
    </w:p>
    <w:p>
      <w:pPr>
        <w:pStyle w:val="BodyText"/>
        <w:spacing w:before="10" w:after="1"/>
        <w:rPr>
          <w:b/>
          <w:sz w:val="24"/>
        </w:rPr>
      </w:pPr>
    </w:p>
    <w:tbl>
      <w:tblPr>
        <w:tblW w:w="0" w:type="auto"/>
        <w:jc w:val="left"/>
        <w:tblInd w:w="860" w:type="dxa"/>
        <w:tblBorders>
          <w:top w:val="double" w:sz="1" w:space="0" w:color="000000"/>
          <w:left w:val="double" w:sz="1" w:space="0" w:color="000000"/>
          <w:bottom w:val="double" w:sz="1" w:space="0" w:color="000000"/>
          <w:right w:val="double" w:sz="1" w:space="0" w:color="000000"/>
          <w:insideH w:val="double" w:sz="1" w:space="0" w:color="000000"/>
          <w:insideV w:val="double" w:sz="1" w:space="0" w:color="000000"/>
        </w:tblBorders>
        <w:tblLayout w:type="fixed"/>
        <w:tblCellMar>
          <w:top w:w="0" w:type="dxa"/>
          <w:left w:w="0" w:type="dxa"/>
          <w:bottom w:w="0" w:type="dxa"/>
          <w:right w:w="0" w:type="dxa"/>
        </w:tblCellMar>
        <w:tblLook w:val="01E0"/>
      </w:tblPr>
      <w:tblGrid>
        <w:gridCol w:w="1282"/>
        <w:gridCol w:w="7849"/>
      </w:tblGrid>
      <w:tr>
        <w:trPr>
          <w:trHeight w:val="8322" w:hRule="atLeast"/>
        </w:trPr>
        <w:tc>
          <w:tcPr>
            <w:tcW w:w="1282" w:type="dxa"/>
          </w:tcPr>
          <w:p>
            <w:pPr>
              <w:pStyle w:val="TableParagraph"/>
              <w:rPr>
                <w:sz w:val="22"/>
              </w:rPr>
            </w:pPr>
          </w:p>
        </w:tc>
        <w:tc>
          <w:tcPr>
            <w:tcW w:w="7849" w:type="dxa"/>
            <w:tcBorders>
              <w:right w:val="single" w:sz="4" w:space="0" w:color="000000"/>
            </w:tcBorders>
          </w:tcPr>
          <w:p>
            <w:pPr>
              <w:pStyle w:val="TableParagraph"/>
              <w:numPr>
                <w:ilvl w:val="0"/>
                <w:numId w:val="33"/>
              </w:numPr>
              <w:tabs>
                <w:tab w:pos="748" w:val="left" w:leader="none"/>
                <w:tab w:pos="749" w:val="left" w:leader="none"/>
              </w:tabs>
              <w:spacing w:line="360" w:lineRule="auto" w:before="16" w:after="0"/>
              <w:ind w:left="748" w:right="49" w:hanging="360"/>
              <w:jc w:val="left"/>
              <w:rPr>
                <w:sz w:val="24"/>
              </w:rPr>
            </w:pPr>
            <w:r>
              <w:rPr>
                <w:b/>
                <w:sz w:val="24"/>
              </w:rPr>
              <w:t>Tổng diện tích mặt bằng: 4.526.979 m2 </w:t>
            </w:r>
            <w:r>
              <w:rPr>
                <w:sz w:val="24"/>
              </w:rPr>
              <w:t>. Trong đó: Tân Cảng: </w:t>
            </w:r>
            <w:r>
              <w:rPr>
                <w:b/>
                <w:sz w:val="24"/>
              </w:rPr>
              <w:t>381.879 m2</w:t>
            </w:r>
            <w:r>
              <w:rPr>
                <w:sz w:val="24"/>
              </w:rPr>
              <w:t>.Tân cảng Cát Lái: </w:t>
            </w:r>
            <w:r>
              <w:rPr>
                <w:b/>
                <w:sz w:val="24"/>
              </w:rPr>
              <w:t>800.000 m2</w:t>
            </w:r>
            <w:r>
              <w:rPr>
                <w:sz w:val="24"/>
              </w:rPr>
              <w:t>. Tân Cảng Sóng Thần: </w:t>
            </w:r>
            <w:r>
              <w:rPr>
                <w:b/>
                <w:sz w:val="24"/>
              </w:rPr>
              <w:t>500.000 m2</w:t>
            </w:r>
            <w:r>
              <w:rPr>
                <w:sz w:val="24"/>
              </w:rPr>
              <w:t>. Tân Cảng Nhơn Trạch: </w:t>
            </w:r>
            <w:r>
              <w:rPr>
                <w:b/>
                <w:sz w:val="24"/>
              </w:rPr>
              <w:t>8.100 m2</w:t>
            </w:r>
            <w:r>
              <w:rPr>
                <w:sz w:val="24"/>
              </w:rPr>
              <w:t>. Tân Cảng Cái mép: </w:t>
            </w:r>
            <w:r>
              <w:rPr>
                <w:b/>
                <w:sz w:val="24"/>
              </w:rPr>
              <w:t>600.000 m2</w:t>
            </w:r>
            <w:r>
              <w:rPr>
                <w:sz w:val="24"/>
              </w:rPr>
              <w:t>. Tân cảng Long Bình: </w:t>
            </w:r>
            <w:r>
              <w:rPr>
                <w:b/>
                <w:sz w:val="24"/>
              </w:rPr>
              <w:t>2.300.000 m2</w:t>
            </w:r>
            <w:r>
              <w:rPr>
                <w:sz w:val="24"/>
              </w:rPr>
              <w:t>.</w:t>
            </w:r>
          </w:p>
          <w:p>
            <w:pPr>
              <w:pStyle w:val="TableParagraph"/>
              <w:numPr>
                <w:ilvl w:val="0"/>
                <w:numId w:val="33"/>
              </w:numPr>
              <w:tabs>
                <w:tab w:pos="748" w:val="left" w:leader="none"/>
                <w:tab w:pos="749" w:val="left" w:leader="none"/>
              </w:tabs>
              <w:spacing w:line="360" w:lineRule="auto" w:before="1" w:after="0"/>
              <w:ind w:left="748" w:right="8" w:hanging="360"/>
              <w:jc w:val="left"/>
              <w:rPr>
                <w:sz w:val="24"/>
              </w:rPr>
            </w:pPr>
            <w:r>
              <w:rPr>
                <w:b/>
                <w:sz w:val="24"/>
              </w:rPr>
              <w:t>Bãi Container</w:t>
            </w:r>
            <w:r>
              <w:rPr>
                <w:i/>
                <w:sz w:val="24"/>
              </w:rPr>
              <w:t>: </w:t>
            </w:r>
            <w:r>
              <w:rPr>
                <w:sz w:val="24"/>
              </w:rPr>
              <w:t>Tổng cộng: </w:t>
            </w:r>
            <w:r>
              <w:rPr>
                <w:b/>
                <w:sz w:val="24"/>
              </w:rPr>
              <w:t>1.712.000 m2. </w:t>
            </w:r>
            <w:r>
              <w:rPr>
                <w:sz w:val="24"/>
              </w:rPr>
              <w:t>Trong đó: Tân Cảng: </w:t>
            </w:r>
            <w:r>
              <w:rPr>
                <w:b/>
                <w:sz w:val="24"/>
              </w:rPr>
              <w:t>275.000 m2</w:t>
            </w:r>
            <w:r>
              <w:rPr>
                <w:sz w:val="24"/>
              </w:rPr>
              <w:t>.Tân cảng Cát Lái: </w:t>
            </w:r>
            <w:r>
              <w:rPr>
                <w:b/>
                <w:sz w:val="24"/>
              </w:rPr>
              <w:t>650.700 m2</w:t>
            </w:r>
            <w:r>
              <w:rPr>
                <w:sz w:val="24"/>
              </w:rPr>
              <w:t>. Tân Cảng Sóng Thần: </w:t>
            </w:r>
            <w:r>
              <w:rPr>
                <w:b/>
                <w:sz w:val="24"/>
              </w:rPr>
              <w:t>300.000 m2</w:t>
            </w:r>
            <w:r>
              <w:rPr>
                <w:sz w:val="24"/>
              </w:rPr>
              <w:t>. Tân Cảng Nhơn Trạch: </w:t>
            </w:r>
            <w:r>
              <w:rPr>
                <w:b/>
                <w:sz w:val="24"/>
              </w:rPr>
              <w:t>6.300 m2</w:t>
            </w:r>
            <w:r>
              <w:rPr>
                <w:sz w:val="24"/>
              </w:rPr>
              <w:t>. Tân Cảng Cái mép: </w:t>
            </w:r>
            <w:r>
              <w:rPr>
                <w:b/>
                <w:sz w:val="24"/>
              </w:rPr>
              <w:t>480.000 m2</w:t>
            </w:r>
            <w:r>
              <w:rPr>
                <w:sz w:val="24"/>
              </w:rPr>
              <w:t>. Tân cảng Long Bình: </w:t>
            </w:r>
            <w:r>
              <w:rPr>
                <w:b/>
                <w:sz w:val="24"/>
              </w:rPr>
              <w:t>m2</w:t>
            </w:r>
            <w:r>
              <w:rPr>
                <w:sz w:val="24"/>
              </w:rPr>
              <w:t>.</w:t>
            </w:r>
          </w:p>
          <w:p>
            <w:pPr>
              <w:pStyle w:val="TableParagraph"/>
              <w:numPr>
                <w:ilvl w:val="0"/>
                <w:numId w:val="33"/>
              </w:numPr>
              <w:tabs>
                <w:tab w:pos="748" w:val="left" w:leader="none"/>
                <w:tab w:pos="749" w:val="left" w:leader="none"/>
              </w:tabs>
              <w:spacing w:line="360" w:lineRule="auto" w:before="0" w:after="0"/>
              <w:ind w:left="748" w:right="164" w:hanging="360"/>
              <w:jc w:val="left"/>
              <w:rPr>
                <w:sz w:val="24"/>
              </w:rPr>
            </w:pPr>
            <w:r>
              <w:rPr>
                <w:b/>
                <w:sz w:val="24"/>
              </w:rPr>
              <w:t>Kho hàng: </w:t>
            </w:r>
            <w:r>
              <w:rPr>
                <w:sz w:val="24"/>
              </w:rPr>
              <w:t>Tổng cộng: </w:t>
            </w:r>
            <w:r>
              <w:rPr>
                <w:b/>
                <w:sz w:val="24"/>
              </w:rPr>
              <w:t>195.368 m2</w:t>
            </w:r>
            <w:r>
              <w:rPr>
                <w:sz w:val="24"/>
              </w:rPr>
              <w:t>. Trong đó: Tân Cảng: </w:t>
            </w:r>
            <w:r>
              <w:rPr>
                <w:b/>
                <w:sz w:val="24"/>
              </w:rPr>
              <w:t>24.050 m2</w:t>
            </w:r>
            <w:r>
              <w:rPr>
                <w:sz w:val="24"/>
              </w:rPr>
              <w:t>.Tân cảng Cát Lái: </w:t>
            </w:r>
            <w:r>
              <w:rPr>
                <w:b/>
                <w:sz w:val="24"/>
              </w:rPr>
              <w:t>17.400 m2</w:t>
            </w:r>
            <w:r>
              <w:rPr>
                <w:sz w:val="24"/>
              </w:rPr>
              <w:t>. Tân Cảng Sóng Thần: </w:t>
            </w:r>
            <w:r>
              <w:rPr>
                <w:b/>
                <w:sz w:val="24"/>
              </w:rPr>
              <w:t>135.918 m2</w:t>
            </w:r>
            <w:r>
              <w:rPr>
                <w:sz w:val="24"/>
              </w:rPr>
              <w:t>. Tân Cảng Nhơn Trạch: </w:t>
            </w:r>
            <w:r>
              <w:rPr>
                <w:b/>
                <w:sz w:val="24"/>
              </w:rPr>
              <w:t>0 m2</w:t>
            </w:r>
            <w:r>
              <w:rPr>
                <w:sz w:val="24"/>
              </w:rPr>
              <w:t>. Tân Cảng Cái mép: </w:t>
            </w:r>
            <w:r>
              <w:rPr>
                <w:b/>
                <w:sz w:val="24"/>
              </w:rPr>
              <w:t>0 m2</w:t>
            </w:r>
            <w:r>
              <w:rPr>
                <w:sz w:val="24"/>
              </w:rPr>
              <w:t>. Tân cảng Long Bình: </w:t>
            </w:r>
            <w:r>
              <w:rPr>
                <w:b/>
                <w:sz w:val="24"/>
              </w:rPr>
              <w:t>36. 000 m2</w:t>
            </w:r>
            <w:r>
              <w:rPr>
                <w:sz w:val="24"/>
              </w:rPr>
              <w:t>.</w:t>
            </w:r>
          </w:p>
          <w:p>
            <w:pPr>
              <w:pStyle w:val="TableParagraph"/>
              <w:numPr>
                <w:ilvl w:val="0"/>
                <w:numId w:val="33"/>
              </w:numPr>
              <w:tabs>
                <w:tab w:pos="748" w:val="left" w:leader="none"/>
                <w:tab w:pos="749" w:val="left" w:leader="none"/>
              </w:tabs>
              <w:spacing w:line="360" w:lineRule="auto" w:before="1" w:after="0"/>
              <w:ind w:left="748" w:right="152" w:hanging="360"/>
              <w:jc w:val="left"/>
              <w:rPr>
                <w:sz w:val="24"/>
              </w:rPr>
            </w:pPr>
            <w:r>
              <w:rPr>
                <w:b/>
                <w:sz w:val="24"/>
              </w:rPr>
              <w:t>Chiều dài cầu tàu</w:t>
            </w:r>
            <w:r>
              <w:rPr>
                <w:b/>
                <w:i/>
                <w:sz w:val="24"/>
              </w:rPr>
              <w:t>: </w:t>
            </w:r>
            <w:r>
              <w:rPr>
                <w:b/>
                <w:sz w:val="24"/>
              </w:rPr>
              <w:t>Tổng cộng </w:t>
            </w:r>
            <w:r>
              <w:rPr>
                <w:i/>
                <w:sz w:val="24"/>
              </w:rPr>
              <w:t>: </w:t>
            </w:r>
            <w:r>
              <w:rPr>
                <w:b/>
                <w:sz w:val="24"/>
              </w:rPr>
              <w:t>2.853 m. </w:t>
            </w:r>
            <w:r>
              <w:rPr>
                <w:sz w:val="24"/>
              </w:rPr>
              <w:t>Trong đó</w:t>
            </w:r>
            <w:r>
              <w:rPr>
                <w:i/>
                <w:sz w:val="24"/>
              </w:rPr>
              <w:t>: </w:t>
            </w:r>
            <w:r>
              <w:rPr>
                <w:sz w:val="24"/>
              </w:rPr>
              <w:t>Tân Cảng: </w:t>
            </w:r>
            <w:r>
              <w:rPr>
                <w:b/>
                <w:sz w:val="24"/>
              </w:rPr>
              <w:t>704 m</w:t>
            </w:r>
            <w:r>
              <w:rPr>
                <w:sz w:val="24"/>
              </w:rPr>
              <w:t>.Tân cảng Cát Lái: </w:t>
            </w:r>
            <w:r>
              <w:rPr>
                <w:b/>
                <w:sz w:val="24"/>
              </w:rPr>
              <w:t>1.189 m</w:t>
            </w:r>
            <w:r>
              <w:rPr>
                <w:sz w:val="24"/>
              </w:rPr>
              <w:t>. Tân Cảng Sóng Thần: 0 </w:t>
            </w:r>
            <w:r>
              <w:rPr>
                <w:b/>
                <w:sz w:val="24"/>
              </w:rPr>
              <w:t>m</w:t>
            </w:r>
            <w:r>
              <w:rPr>
                <w:sz w:val="24"/>
              </w:rPr>
              <w:t>. Tân Cảng Nhơn Trạch: </w:t>
            </w:r>
            <w:r>
              <w:rPr>
                <w:b/>
                <w:sz w:val="24"/>
              </w:rPr>
              <w:t>70 m2</w:t>
            </w:r>
            <w:r>
              <w:rPr>
                <w:sz w:val="24"/>
              </w:rPr>
              <w:t>. Tân Cảng Cái mép: </w:t>
            </w:r>
            <w:r>
              <w:rPr>
                <w:b/>
                <w:sz w:val="24"/>
              </w:rPr>
              <w:t>890 m</w:t>
            </w:r>
            <w:r>
              <w:rPr>
                <w:sz w:val="24"/>
              </w:rPr>
              <w:t>. Tân cảng Long Bình: </w:t>
            </w:r>
            <w:r>
              <w:rPr>
                <w:b/>
                <w:sz w:val="24"/>
              </w:rPr>
              <w:t>0 m</w:t>
            </w:r>
            <w:r>
              <w:rPr>
                <w:sz w:val="24"/>
              </w:rPr>
              <w:t>.</w:t>
            </w:r>
          </w:p>
          <w:p>
            <w:pPr>
              <w:pStyle w:val="TableParagraph"/>
              <w:numPr>
                <w:ilvl w:val="0"/>
                <w:numId w:val="33"/>
              </w:numPr>
              <w:tabs>
                <w:tab w:pos="748" w:val="left" w:leader="none"/>
                <w:tab w:pos="749" w:val="left" w:leader="none"/>
              </w:tabs>
              <w:spacing w:line="360" w:lineRule="auto" w:before="0" w:after="0"/>
              <w:ind w:left="748" w:right="138" w:hanging="360"/>
              <w:jc w:val="left"/>
              <w:rPr>
                <w:sz w:val="24"/>
              </w:rPr>
            </w:pPr>
            <w:r>
              <w:rPr>
                <w:b/>
                <w:sz w:val="24"/>
              </w:rPr>
              <w:t>Số bến</w:t>
            </w:r>
            <w:r>
              <w:rPr>
                <w:sz w:val="24"/>
              </w:rPr>
              <w:t>: </w:t>
            </w:r>
            <w:r>
              <w:rPr>
                <w:b/>
                <w:sz w:val="24"/>
              </w:rPr>
              <w:t>10 bến</w:t>
            </w:r>
            <w:r>
              <w:rPr>
                <w:sz w:val="24"/>
              </w:rPr>
              <w:t>. Trong đó tân Cảng Cát lái: 7 bến; Tân Cảng Cái mép: 3 bến</w:t>
            </w:r>
          </w:p>
          <w:p>
            <w:pPr>
              <w:pStyle w:val="TableParagraph"/>
              <w:ind w:left="28"/>
              <w:rPr>
                <w:b/>
                <w:sz w:val="24"/>
              </w:rPr>
            </w:pPr>
            <w:r>
              <w:rPr>
                <w:b/>
                <w:sz w:val="24"/>
              </w:rPr>
              <w:t>Bến xà lan : 4 bến</w:t>
            </w:r>
          </w:p>
          <w:p>
            <w:pPr>
              <w:pStyle w:val="TableParagraph"/>
              <w:spacing w:before="137"/>
              <w:ind w:left="28"/>
              <w:rPr>
                <w:b/>
                <w:sz w:val="24"/>
              </w:rPr>
            </w:pPr>
            <w:r>
              <w:rPr>
                <w:b/>
                <w:sz w:val="24"/>
              </w:rPr>
              <w:t>Bến phao (Tân cảng Cát lái) : 3 bến</w:t>
            </w:r>
          </w:p>
        </w:tc>
      </w:tr>
      <w:tr>
        <w:trPr>
          <w:trHeight w:val="5839" w:hRule="atLeast"/>
        </w:trPr>
        <w:tc>
          <w:tcPr>
            <w:tcW w:w="1282" w:type="dxa"/>
          </w:tcPr>
          <w:p>
            <w:pPr>
              <w:pStyle w:val="TableParagraph"/>
              <w:rPr>
                <w:b/>
                <w:sz w:val="26"/>
              </w:rPr>
            </w:pPr>
          </w:p>
          <w:p>
            <w:pPr>
              <w:pStyle w:val="TableParagraph"/>
              <w:rPr>
                <w:b/>
                <w:sz w:val="26"/>
              </w:rPr>
            </w:pPr>
          </w:p>
          <w:p>
            <w:pPr>
              <w:pStyle w:val="TableParagraph"/>
              <w:rPr>
                <w:b/>
                <w:sz w:val="26"/>
              </w:rPr>
            </w:pPr>
          </w:p>
          <w:p>
            <w:pPr>
              <w:pStyle w:val="TableParagraph"/>
              <w:rPr>
                <w:b/>
                <w:sz w:val="26"/>
              </w:rPr>
            </w:pPr>
          </w:p>
          <w:p>
            <w:pPr>
              <w:pStyle w:val="TableParagraph"/>
              <w:rPr>
                <w:b/>
                <w:sz w:val="26"/>
              </w:rPr>
            </w:pPr>
          </w:p>
          <w:p>
            <w:pPr>
              <w:pStyle w:val="TableParagraph"/>
              <w:rPr>
                <w:b/>
                <w:sz w:val="26"/>
              </w:rPr>
            </w:pPr>
          </w:p>
          <w:p>
            <w:pPr>
              <w:pStyle w:val="TableParagraph"/>
              <w:rPr>
                <w:b/>
                <w:sz w:val="26"/>
              </w:rPr>
            </w:pPr>
          </w:p>
          <w:p>
            <w:pPr>
              <w:pStyle w:val="TableParagraph"/>
              <w:spacing w:before="2"/>
              <w:rPr>
                <w:b/>
                <w:sz w:val="36"/>
              </w:rPr>
            </w:pPr>
          </w:p>
          <w:p>
            <w:pPr>
              <w:pStyle w:val="TableParagraph"/>
              <w:spacing w:line="360" w:lineRule="auto"/>
              <w:ind w:left="408" w:right="142" w:hanging="245"/>
              <w:rPr>
                <w:b/>
                <w:sz w:val="24"/>
              </w:rPr>
            </w:pPr>
            <w:hyperlink r:id="rId43">
              <w:r>
                <w:rPr>
                  <w:b/>
                  <w:sz w:val="24"/>
                </w:rPr>
                <w:t>Cảng Sài</w:t>
              </w:r>
            </w:hyperlink>
            <w:r>
              <w:rPr>
                <w:b/>
                <w:sz w:val="24"/>
              </w:rPr>
              <w:t> </w:t>
            </w:r>
            <w:hyperlink r:id="rId43">
              <w:r>
                <w:rPr>
                  <w:b/>
                  <w:sz w:val="24"/>
                </w:rPr>
                <w:t>Gòn</w:t>
              </w:r>
            </w:hyperlink>
          </w:p>
        </w:tc>
        <w:tc>
          <w:tcPr>
            <w:tcW w:w="7849" w:type="dxa"/>
            <w:tcBorders>
              <w:right w:val="single" w:sz="4" w:space="0" w:color="000000"/>
            </w:tcBorders>
          </w:tcPr>
          <w:p>
            <w:pPr>
              <w:pStyle w:val="TableParagraph"/>
              <w:spacing w:before="25"/>
              <w:ind w:left="28"/>
              <w:rPr>
                <w:sz w:val="24"/>
              </w:rPr>
            </w:pPr>
            <w:r>
              <w:rPr>
                <w:sz w:val="24"/>
              </w:rPr>
              <w:t>Vị trí cảng: 10°50’N -106°45’E.</w:t>
            </w:r>
          </w:p>
          <w:p>
            <w:pPr>
              <w:pStyle w:val="TableParagraph"/>
              <w:spacing w:line="360" w:lineRule="auto" w:before="139"/>
              <w:ind w:left="28" w:right="234"/>
              <w:rPr>
                <w:sz w:val="24"/>
              </w:rPr>
            </w:pPr>
            <w:r>
              <w:rPr>
                <w:sz w:val="24"/>
              </w:rPr>
              <w:t>Các bến cảng tại khu vực Tp.HCM </w:t>
            </w:r>
            <w:r>
              <w:rPr>
                <w:i/>
                <w:sz w:val="24"/>
              </w:rPr>
              <w:t>: </w:t>
            </w:r>
            <w:r>
              <w:rPr>
                <w:sz w:val="24"/>
              </w:rPr>
              <w:t>10°34’41”N – 107°01’27”E các bến cảng tại Phú Mỹ. Bà Rịa-Vũng Tàu</w:t>
            </w:r>
          </w:p>
          <w:p>
            <w:pPr>
              <w:pStyle w:val="TableParagraph"/>
              <w:spacing w:line="360" w:lineRule="auto"/>
              <w:ind w:left="28" w:right="22"/>
              <w:rPr>
                <w:sz w:val="24"/>
              </w:rPr>
            </w:pPr>
            <w:r>
              <w:rPr>
                <w:sz w:val="24"/>
              </w:rPr>
              <w:t>Điểm đón trả hoa tiêu: 10°20’N -107°03’E vào các bến cảng tại khu vực Tp.HCM. và 10°19’00”N -107°02’00” vào các bến cảng tại khu vực Phú Mỹ. Bà Rịa-VT.</w:t>
            </w:r>
          </w:p>
          <w:p>
            <w:pPr>
              <w:pStyle w:val="TableParagraph"/>
              <w:numPr>
                <w:ilvl w:val="0"/>
                <w:numId w:val="34"/>
              </w:numPr>
              <w:tabs>
                <w:tab w:pos="209" w:val="left" w:leader="none"/>
              </w:tabs>
              <w:spacing w:line="275" w:lineRule="exact" w:before="0" w:after="0"/>
              <w:ind w:left="208" w:right="0" w:hanging="181"/>
              <w:jc w:val="left"/>
              <w:rPr>
                <w:sz w:val="24"/>
              </w:rPr>
            </w:pPr>
            <w:r>
              <w:rPr>
                <w:sz w:val="24"/>
              </w:rPr>
              <w:t>Các bến tại khu vực</w:t>
            </w:r>
            <w:r>
              <w:rPr>
                <w:spacing w:val="-1"/>
                <w:sz w:val="24"/>
              </w:rPr>
              <w:t> </w:t>
            </w:r>
            <w:r>
              <w:rPr>
                <w:sz w:val="24"/>
              </w:rPr>
              <w:t>Tp.HCM:</w:t>
            </w:r>
          </w:p>
          <w:p>
            <w:pPr>
              <w:pStyle w:val="TableParagraph"/>
              <w:spacing w:before="137"/>
              <w:ind w:left="28"/>
              <w:rPr>
                <w:b/>
                <w:sz w:val="24"/>
              </w:rPr>
            </w:pPr>
            <w:r>
              <w:rPr>
                <w:sz w:val="24"/>
              </w:rPr>
              <w:t>Dài: </w:t>
            </w:r>
            <w:r>
              <w:rPr>
                <w:b/>
                <w:sz w:val="24"/>
              </w:rPr>
              <w:t>85 Km </w:t>
            </w:r>
            <w:r>
              <w:rPr>
                <w:sz w:val="24"/>
              </w:rPr>
              <w:t>; Sâu: </w:t>
            </w:r>
            <w:r>
              <w:rPr>
                <w:b/>
                <w:sz w:val="24"/>
              </w:rPr>
              <w:t>8.5 m </w:t>
            </w:r>
            <w:r>
              <w:rPr>
                <w:sz w:val="24"/>
              </w:rPr>
              <w:t>; Mớn Nước: </w:t>
            </w:r>
            <w:r>
              <w:rPr>
                <w:b/>
                <w:sz w:val="24"/>
              </w:rPr>
              <w:t>10.5 m</w:t>
            </w:r>
          </w:p>
          <w:p>
            <w:pPr>
              <w:pStyle w:val="TableParagraph"/>
              <w:spacing w:line="360" w:lineRule="auto" w:before="140"/>
              <w:ind w:left="28" w:right="224"/>
              <w:rPr>
                <w:sz w:val="24"/>
              </w:rPr>
            </w:pPr>
            <w:r>
              <w:rPr>
                <w:sz w:val="24"/>
              </w:rPr>
              <w:t>Chế độ thủy triều: </w:t>
            </w:r>
            <w:r>
              <w:rPr>
                <w:b/>
                <w:sz w:val="24"/>
              </w:rPr>
              <w:t>bán nhật triều không đều</w:t>
            </w:r>
            <w:r>
              <w:rPr>
                <w:sz w:val="24"/>
              </w:rPr>
              <w:t>; Chênh lệch bình quân: </w:t>
            </w:r>
            <w:r>
              <w:rPr>
                <w:b/>
                <w:sz w:val="24"/>
              </w:rPr>
              <w:t>2.7 m </w:t>
            </w:r>
            <w:r>
              <w:rPr>
                <w:sz w:val="24"/>
              </w:rPr>
              <w:t>Cỡ tàu lớn nhất tiếp nhận được: </w:t>
            </w:r>
            <w:r>
              <w:rPr>
                <w:b/>
                <w:sz w:val="24"/>
              </w:rPr>
              <w:t>32.000 DWT </w:t>
            </w:r>
            <w:r>
              <w:rPr>
                <w:sz w:val="24"/>
              </w:rPr>
              <w:t>vào cầu và </w:t>
            </w:r>
            <w:r>
              <w:rPr>
                <w:b/>
                <w:sz w:val="24"/>
              </w:rPr>
              <w:t>60.000 DWT </w:t>
            </w:r>
            <w:r>
              <w:rPr>
                <w:sz w:val="24"/>
              </w:rPr>
              <w:t>tại khu vực chuyển tải Thiềng Liềng.</w:t>
            </w:r>
          </w:p>
          <w:p>
            <w:pPr>
              <w:pStyle w:val="TableParagraph"/>
              <w:numPr>
                <w:ilvl w:val="0"/>
                <w:numId w:val="34"/>
              </w:numPr>
              <w:tabs>
                <w:tab w:pos="209" w:val="left" w:leader="none"/>
              </w:tabs>
              <w:spacing w:line="275" w:lineRule="exact" w:before="0" w:after="0"/>
              <w:ind w:left="208" w:right="0" w:hanging="181"/>
              <w:jc w:val="left"/>
              <w:rPr>
                <w:sz w:val="24"/>
              </w:rPr>
            </w:pPr>
            <w:r>
              <w:rPr>
                <w:sz w:val="24"/>
              </w:rPr>
              <w:t>Các bến tại Phú Mỹ. Bà Rịa – Vũng</w:t>
            </w:r>
            <w:r>
              <w:rPr>
                <w:spacing w:val="-5"/>
                <w:sz w:val="24"/>
              </w:rPr>
              <w:t> </w:t>
            </w:r>
            <w:r>
              <w:rPr>
                <w:sz w:val="24"/>
              </w:rPr>
              <w:t>Tàu:</w:t>
            </w:r>
          </w:p>
          <w:p>
            <w:pPr>
              <w:pStyle w:val="TableParagraph"/>
              <w:spacing w:before="139"/>
              <w:ind w:left="28"/>
              <w:rPr>
                <w:b/>
                <w:sz w:val="24"/>
              </w:rPr>
            </w:pPr>
            <w:r>
              <w:rPr>
                <w:sz w:val="24"/>
              </w:rPr>
              <w:t>Dài: </w:t>
            </w:r>
            <w:r>
              <w:rPr>
                <w:b/>
                <w:sz w:val="24"/>
              </w:rPr>
              <w:t>25 Km </w:t>
            </w:r>
            <w:r>
              <w:rPr>
                <w:sz w:val="24"/>
              </w:rPr>
              <w:t>; Sâu: </w:t>
            </w:r>
            <w:r>
              <w:rPr>
                <w:b/>
                <w:sz w:val="24"/>
              </w:rPr>
              <w:t>9.1 m </w:t>
            </w:r>
            <w:r>
              <w:rPr>
                <w:sz w:val="24"/>
              </w:rPr>
              <w:t>; Mớn Nước: </w:t>
            </w:r>
            <w:r>
              <w:rPr>
                <w:b/>
                <w:sz w:val="24"/>
              </w:rPr>
              <w:t>12.5 m</w:t>
            </w:r>
          </w:p>
          <w:p>
            <w:pPr>
              <w:pStyle w:val="TableParagraph"/>
              <w:spacing w:before="137"/>
              <w:ind w:left="28"/>
              <w:rPr>
                <w:b/>
                <w:sz w:val="24"/>
              </w:rPr>
            </w:pPr>
            <w:r>
              <w:rPr>
                <w:sz w:val="24"/>
              </w:rPr>
              <w:t>Chế độ thủy triều: </w:t>
            </w:r>
            <w:r>
              <w:rPr>
                <w:b/>
                <w:sz w:val="24"/>
              </w:rPr>
              <w:t>bán nhật triều không đều</w:t>
            </w:r>
            <w:r>
              <w:rPr>
                <w:sz w:val="24"/>
              </w:rPr>
              <w:t>; Chênh lệch bình quân: </w:t>
            </w:r>
            <w:r>
              <w:rPr>
                <w:b/>
                <w:sz w:val="24"/>
              </w:rPr>
              <w:t>0.2 – 4 m</w:t>
            </w:r>
          </w:p>
        </w:tc>
      </w:tr>
    </w:tbl>
    <w:p>
      <w:pPr>
        <w:spacing w:after="0"/>
        <w:rPr>
          <w:sz w:val="24"/>
        </w:rPr>
        <w:sectPr>
          <w:pgSz w:w="11910" w:h="16850"/>
          <w:pgMar w:header="751" w:footer="0" w:top="960" w:bottom="280" w:left="820" w:right="240"/>
        </w:sectPr>
      </w:pPr>
    </w:p>
    <w:p>
      <w:pPr>
        <w:pStyle w:val="BodyText"/>
        <w:spacing w:before="10" w:after="1"/>
        <w:rPr>
          <w:b/>
          <w:sz w:val="24"/>
        </w:rPr>
      </w:pPr>
    </w:p>
    <w:tbl>
      <w:tblPr>
        <w:tblW w:w="0" w:type="auto"/>
        <w:jc w:val="left"/>
        <w:tblInd w:w="860" w:type="dxa"/>
        <w:tblBorders>
          <w:top w:val="double" w:sz="1" w:space="0" w:color="000000"/>
          <w:left w:val="double" w:sz="1" w:space="0" w:color="000000"/>
          <w:bottom w:val="double" w:sz="1" w:space="0" w:color="000000"/>
          <w:right w:val="double" w:sz="1" w:space="0" w:color="000000"/>
          <w:insideH w:val="double" w:sz="1" w:space="0" w:color="000000"/>
          <w:insideV w:val="double" w:sz="1" w:space="0" w:color="000000"/>
        </w:tblBorders>
        <w:tblLayout w:type="fixed"/>
        <w:tblCellMar>
          <w:top w:w="0" w:type="dxa"/>
          <w:left w:w="0" w:type="dxa"/>
          <w:bottom w:w="0" w:type="dxa"/>
          <w:right w:w="0" w:type="dxa"/>
        </w:tblCellMar>
        <w:tblLook w:val="01E0"/>
      </w:tblPr>
      <w:tblGrid>
        <w:gridCol w:w="1282"/>
        <w:gridCol w:w="7849"/>
      </w:tblGrid>
      <w:tr>
        <w:trPr>
          <w:trHeight w:val="1699" w:hRule="atLeast"/>
        </w:trPr>
        <w:tc>
          <w:tcPr>
            <w:tcW w:w="1282" w:type="dxa"/>
          </w:tcPr>
          <w:p>
            <w:pPr>
              <w:pStyle w:val="TableParagraph"/>
              <w:rPr>
                <w:sz w:val="24"/>
              </w:rPr>
            </w:pPr>
          </w:p>
        </w:tc>
        <w:tc>
          <w:tcPr>
            <w:tcW w:w="7849" w:type="dxa"/>
            <w:tcBorders>
              <w:right w:val="single" w:sz="4" w:space="0" w:color="000000"/>
            </w:tcBorders>
          </w:tcPr>
          <w:p>
            <w:pPr>
              <w:pStyle w:val="TableParagraph"/>
              <w:spacing w:before="16"/>
              <w:ind w:left="28"/>
              <w:rPr>
                <w:b/>
                <w:sz w:val="24"/>
              </w:rPr>
            </w:pPr>
            <w:r>
              <w:rPr>
                <w:sz w:val="24"/>
              </w:rPr>
              <w:t>Cỡ tàu lớn nhất tiếp nhận được: </w:t>
            </w:r>
            <w:r>
              <w:rPr>
                <w:b/>
                <w:sz w:val="24"/>
              </w:rPr>
              <w:t>50.000 DWT</w:t>
            </w:r>
          </w:p>
          <w:p>
            <w:pPr>
              <w:pStyle w:val="TableParagraph"/>
              <w:spacing w:before="140"/>
              <w:ind w:left="28"/>
              <w:rPr>
                <w:b/>
                <w:sz w:val="24"/>
              </w:rPr>
            </w:pPr>
            <w:r>
              <w:rPr>
                <w:sz w:val="24"/>
              </w:rPr>
              <w:t>Tổng diện tích mặt bằng: </w:t>
            </w:r>
            <w:r>
              <w:rPr>
                <w:b/>
                <w:sz w:val="24"/>
              </w:rPr>
              <w:t>500.000 m2</w:t>
            </w:r>
          </w:p>
          <w:p>
            <w:pPr>
              <w:pStyle w:val="TableParagraph"/>
              <w:spacing w:line="360" w:lineRule="auto" w:before="137"/>
              <w:ind w:left="28" w:right="62"/>
              <w:rPr>
                <w:sz w:val="24"/>
              </w:rPr>
            </w:pPr>
            <w:r>
              <w:rPr>
                <w:sz w:val="24"/>
              </w:rPr>
              <w:t>Kho: 25 </w:t>
            </w:r>
            <w:r>
              <w:rPr>
                <w:b/>
                <w:sz w:val="24"/>
              </w:rPr>
              <w:t>(53.887 m2)</w:t>
            </w:r>
            <w:r>
              <w:rPr>
                <w:sz w:val="24"/>
              </w:rPr>
              <w:t>. Bãi: </w:t>
            </w:r>
            <w:r>
              <w:rPr>
                <w:b/>
                <w:sz w:val="24"/>
              </w:rPr>
              <w:t>225.839 m2</w:t>
            </w:r>
            <w:r>
              <w:rPr>
                <w:sz w:val="24"/>
              </w:rPr>
              <w:t>. trong đó bãi chất xếp container 160.569 m2</w:t>
            </w:r>
          </w:p>
        </w:tc>
      </w:tr>
      <w:tr>
        <w:trPr>
          <w:trHeight w:val="3774" w:hRule="atLeast"/>
        </w:trPr>
        <w:tc>
          <w:tcPr>
            <w:tcW w:w="1282" w:type="dxa"/>
          </w:tcPr>
          <w:p>
            <w:pPr>
              <w:pStyle w:val="TableParagraph"/>
              <w:rPr>
                <w:b/>
                <w:sz w:val="26"/>
              </w:rPr>
            </w:pPr>
          </w:p>
          <w:p>
            <w:pPr>
              <w:pStyle w:val="TableParagraph"/>
              <w:rPr>
                <w:b/>
                <w:sz w:val="26"/>
              </w:rPr>
            </w:pPr>
          </w:p>
          <w:p>
            <w:pPr>
              <w:pStyle w:val="TableParagraph"/>
              <w:rPr>
                <w:b/>
                <w:sz w:val="26"/>
              </w:rPr>
            </w:pPr>
          </w:p>
          <w:p>
            <w:pPr>
              <w:pStyle w:val="TableParagraph"/>
              <w:rPr>
                <w:b/>
                <w:sz w:val="26"/>
              </w:rPr>
            </w:pPr>
          </w:p>
          <w:p>
            <w:pPr>
              <w:pStyle w:val="TableParagraph"/>
              <w:rPr>
                <w:b/>
                <w:sz w:val="24"/>
              </w:rPr>
            </w:pPr>
          </w:p>
          <w:p>
            <w:pPr>
              <w:pStyle w:val="TableParagraph"/>
              <w:spacing w:line="360" w:lineRule="auto"/>
              <w:ind w:left="362" w:right="101" w:hanging="238"/>
              <w:rPr>
                <w:b/>
                <w:sz w:val="24"/>
              </w:rPr>
            </w:pPr>
            <w:r>
              <w:rPr>
                <w:b/>
                <w:sz w:val="24"/>
              </w:rPr>
              <w:t>Cảng Bến Nghé</w:t>
            </w:r>
          </w:p>
        </w:tc>
        <w:tc>
          <w:tcPr>
            <w:tcW w:w="7849" w:type="dxa"/>
            <w:tcBorders>
              <w:right w:val="single" w:sz="4" w:space="0" w:color="000000"/>
            </w:tcBorders>
          </w:tcPr>
          <w:p>
            <w:pPr>
              <w:pStyle w:val="TableParagraph"/>
              <w:spacing w:before="22"/>
              <w:ind w:left="28"/>
              <w:rPr>
                <w:sz w:val="24"/>
              </w:rPr>
            </w:pPr>
            <w:r>
              <w:rPr>
                <w:sz w:val="24"/>
              </w:rPr>
              <w:t>Vị trí Cảng: 10°45’45″N – 106°44’00″E</w:t>
            </w:r>
          </w:p>
          <w:p>
            <w:pPr>
              <w:pStyle w:val="TableParagraph"/>
              <w:spacing w:before="139"/>
              <w:ind w:left="28"/>
              <w:rPr>
                <w:sz w:val="24"/>
              </w:rPr>
            </w:pPr>
            <w:r>
              <w:rPr>
                <w:sz w:val="24"/>
              </w:rPr>
              <w:t>Điểm đón trả hoa tiêu: 10°20’N – 107°03’E</w:t>
            </w:r>
          </w:p>
          <w:p>
            <w:pPr>
              <w:pStyle w:val="TableParagraph"/>
              <w:spacing w:line="360" w:lineRule="auto" w:before="137"/>
              <w:ind w:left="28" w:right="534"/>
              <w:rPr>
                <w:sz w:val="24"/>
              </w:rPr>
            </w:pPr>
            <w:r>
              <w:rPr>
                <w:sz w:val="24"/>
              </w:rPr>
              <w:t>Dài: </w:t>
            </w:r>
            <w:r>
              <w:rPr>
                <w:b/>
                <w:sz w:val="24"/>
              </w:rPr>
              <w:t>84 km</w:t>
            </w:r>
            <w:r>
              <w:rPr>
                <w:sz w:val="24"/>
              </w:rPr>
              <w:t>. Độ sâu: </w:t>
            </w:r>
            <w:r>
              <w:rPr>
                <w:b/>
                <w:sz w:val="24"/>
              </w:rPr>
              <w:t>-8.5 m</w:t>
            </w:r>
            <w:r>
              <w:rPr>
                <w:sz w:val="24"/>
              </w:rPr>
              <w:t>. Chế độ thủy triều: </w:t>
            </w:r>
            <w:r>
              <w:rPr>
                <w:b/>
                <w:sz w:val="24"/>
              </w:rPr>
              <w:t>bán nhật triều không đều</w:t>
            </w:r>
            <w:r>
              <w:rPr>
                <w:sz w:val="24"/>
              </w:rPr>
              <w:t>. Chênh lệch b/quân: </w:t>
            </w:r>
            <w:r>
              <w:rPr>
                <w:b/>
                <w:sz w:val="24"/>
              </w:rPr>
              <w:t>2.7 m</w:t>
            </w:r>
            <w:r>
              <w:rPr>
                <w:sz w:val="24"/>
              </w:rPr>
              <w:t>. Mớn nước cao nhất cho tàu ra vào: –</w:t>
            </w:r>
            <w:r>
              <w:rPr>
                <w:b/>
                <w:sz w:val="24"/>
              </w:rPr>
              <w:t>11m</w:t>
            </w:r>
            <w:r>
              <w:rPr>
                <w:sz w:val="24"/>
              </w:rPr>
              <w:t>.</w:t>
            </w:r>
          </w:p>
          <w:p>
            <w:pPr>
              <w:pStyle w:val="TableParagraph"/>
              <w:spacing w:line="360" w:lineRule="auto"/>
              <w:ind w:left="28" w:right="3410"/>
              <w:rPr>
                <w:b/>
                <w:sz w:val="24"/>
              </w:rPr>
            </w:pPr>
            <w:r>
              <w:rPr>
                <w:sz w:val="24"/>
              </w:rPr>
              <w:t>Cỡ tàu lớn nhất tiếp nhận được: 36.000 DWT Tổng diện tích mặt bằng: </w:t>
            </w:r>
            <w:r>
              <w:rPr>
                <w:b/>
                <w:sz w:val="24"/>
              </w:rPr>
              <w:t>320.000 m2</w:t>
            </w:r>
          </w:p>
          <w:p>
            <w:pPr>
              <w:pStyle w:val="TableParagraph"/>
              <w:spacing w:before="1"/>
              <w:ind w:left="28"/>
              <w:rPr>
                <w:sz w:val="24"/>
              </w:rPr>
            </w:pPr>
            <w:r>
              <w:rPr>
                <w:sz w:val="24"/>
              </w:rPr>
              <w:t>Kho: </w:t>
            </w:r>
            <w:r>
              <w:rPr>
                <w:b/>
                <w:sz w:val="24"/>
              </w:rPr>
              <w:t>10.080 m2</w:t>
            </w:r>
            <w:r>
              <w:rPr>
                <w:sz w:val="24"/>
              </w:rPr>
              <w:t>.</w:t>
            </w:r>
          </w:p>
          <w:p>
            <w:pPr>
              <w:pStyle w:val="TableParagraph"/>
              <w:spacing w:before="139"/>
              <w:ind w:left="28"/>
              <w:rPr>
                <w:b/>
                <w:sz w:val="24"/>
              </w:rPr>
            </w:pPr>
            <w:r>
              <w:rPr>
                <w:sz w:val="24"/>
              </w:rPr>
              <w:t>Bãi: </w:t>
            </w:r>
            <w:r>
              <w:rPr>
                <w:b/>
                <w:sz w:val="24"/>
              </w:rPr>
              <w:t>200.000</w:t>
            </w:r>
            <w:r>
              <w:rPr>
                <w:b/>
                <w:spacing w:val="1"/>
                <w:sz w:val="24"/>
              </w:rPr>
              <w:t> </w:t>
            </w:r>
            <w:r>
              <w:rPr>
                <w:b/>
                <w:sz w:val="24"/>
              </w:rPr>
              <w:t>m2</w:t>
            </w:r>
          </w:p>
          <w:p>
            <w:pPr>
              <w:pStyle w:val="TableParagraph"/>
              <w:spacing w:before="137"/>
              <w:ind w:left="28"/>
              <w:rPr>
                <w:b/>
                <w:sz w:val="24"/>
              </w:rPr>
            </w:pPr>
            <w:r>
              <w:rPr>
                <w:sz w:val="24"/>
              </w:rPr>
              <w:t>Sức chứa tổng cộng: </w:t>
            </w:r>
            <w:r>
              <w:rPr>
                <w:b/>
                <w:sz w:val="24"/>
              </w:rPr>
              <w:t>550.000 MT.</w:t>
            </w:r>
          </w:p>
        </w:tc>
      </w:tr>
      <w:tr>
        <w:trPr>
          <w:trHeight w:val="3363" w:hRule="atLeast"/>
        </w:trPr>
        <w:tc>
          <w:tcPr>
            <w:tcW w:w="1282" w:type="dxa"/>
          </w:tcPr>
          <w:p>
            <w:pPr>
              <w:pStyle w:val="TableParagraph"/>
              <w:rPr>
                <w:b/>
                <w:sz w:val="26"/>
              </w:rPr>
            </w:pPr>
          </w:p>
          <w:p>
            <w:pPr>
              <w:pStyle w:val="TableParagraph"/>
              <w:rPr>
                <w:b/>
                <w:sz w:val="26"/>
              </w:rPr>
            </w:pPr>
          </w:p>
          <w:p>
            <w:pPr>
              <w:pStyle w:val="TableParagraph"/>
              <w:rPr>
                <w:b/>
                <w:sz w:val="26"/>
              </w:rPr>
            </w:pPr>
          </w:p>
          <w:p>
            <w:pPr>
              <w:pStyle w:val="TableParagraph"/>
              <w:spacing w:line="360" w:lineRule="auto" w:before="162"/>
              <w:ind w:left="118" w:right="110"/>
              <w:jc w:val="center"/>
              <w:rPr>
                <w:b/>
                <w:sz w:val="24"/>
              </w:rPr>
            </w:pPr>
            <w:r>
              <w:rPr>
                <w:b/>
                <w:sz w:val="24"/>
              </w:rPr>
              <w:t>Cảng Tân Thuận Đông</w:t>
            </w:r>
          </w:p>
        </w:tc>
        <w:tc>
          <w:tcPr>
            <w:tcW w:w="7849" w:type="dxa"/>
            <w:tcBorders>
              <w:right w:val="single" w:sz="4" w:space="0" w:color="000000"/>
            </w:tcBorders>
          </w:tcPr>
          <w:p>
            <w:pPr>
              <w:pStyle w:val="TableParagraph"/>
              <w:spacing w:line="360" w:lineRule="auto" w:before="25"/>
              <w:ind w:left="28" w:right="3569"/>
              <w:rPr>
                <w:sz w:val="24"/>
              </w:rPr>
            </w:pPr>
            <w:r>
              <w:rPr>
                <w:sz w:val="24"/>
              </w:rPr>
              <w:t>Vị trí cảng: 10°45’27″N – 106°43’57″E Điểm đón trả hoa tiêu: 10°20’N – 107°03’E</w:t>
            </w:r>
          </w:p>
          <w:p>
            <w:pPr>
              <w:pStyle w:val="TableParagraph"/>
              <w:spacing w:line="360" w:lineRule="auto"/>
              <w:ind w:left="28" w:right="520"/>
              <w:rPr>
                <w:sz w:val="24"/>
              </w:rPr>
            </w:pPr>
            <w:r>
              <w:rPr>
                <w:sz w:val="24"/>
              </w:rPr>
              <w:t>Dài</w:t>
            </w:r>
            <w:r>
              <w:rPr>
                <w:i/>
                <w:sz w:val="24"/>
              </w:rPr>
              <w:t>: </w:t>
            </w:r>
            <w:r>
              <w:rPr>
                <w:b/>
                <w:sz w:val="24"/>
              </w:rPr>
              <w:t>84 km</w:t>
            </w:r>
            <w:r>
              <w:rPr>
                <w:sz w:val="24"/>
              </w:rPr>
              <w:t>. Độ sâu: </w:t>
            </w:r>
            <w:r>
              <w:rPr>
                <w:b/>
                <w:sz w:val="24"/>
              </w:rPr>
              <w:t>-8.5 m</w:t>
            </w:r>
            <w:r>
              <w:rPr>
                <w:sz w:val="24"/>
              </w:rPr>
              <w:t>. Chế độ thủy triều: </w:t>
            </w:r>
            <w:r>
              <w:rPr>
                <w:b/>
                <w:sz w:val="24"/>
              </w:rPr>
              <w:t>bán nhật triều không đều</w:t>
            </w:r>
            <w:r>
              <w:rPr>
                <w:sz w:val="24"/>
              </w:rPr>
              <w:t>. Chênh lệch bình quân: </w:t>
            </w:r>
            <w:r>
              <w:rPr>
                <w:b/>
                <w:sz w:val="24"/>
              </w:rPr>
              <w:t>2.7 m</w:t>
            </w:r>
            <w:r>
              <w:rPr>
                <w:sz w:val="24"/>
              </w:rPr>
              <w:t>. Mớn nước cao nhất tàu ra vào: </w:t>
            </w:r>
            <w:r>
              <w:rPr>
                <w:b/>
                <w:sz w:val="24"/>
              </w:rPr>
              <w:t>-10.5 m</w:t>
            </w:r>
            <w:r>
              <w:rPr>
                <w:sz w:val="24"/>
              </w:rPr>
              <w:t>.</w:t>
            </w:r>
          </w:p>
          <w:p>
            <w:pPr>
              <w:pStyle w:val="TableParagraph"/>
              <w:spacing w:line="360" w:lineRule="auto"/>
              <w:ind w:left="28" w:right="3477"/>
              <w:rPr>
                <w:b/>
                <w:sz w:val="24"/>
              </w:rPr>
            </w:pPr>
            <w:r>
              <w:rPr>
                <w:sz w:val="24"/>
              </w:rPr>
              <w:t>Cỡ tàu lớn nhất tiếp nhận được: 10.000 GRT Tổng diện tích mặt bằng: </w:t>
            </w:r>
            <w:r>
              <w:rPr>
                <w:b/>
                <w:sz w:val="24"/>
              </w:rPr>
              <w:t>29.500 m2</w:t>
            </w:r>
          </w:p>
          <w:p>
            <w:pPr>
              <w:pStyle w:val="TableParagraph"/>
              <w:ind w:left="28"/>
              <w:rPr>
                <w:sz w:val="24"/>
              </w:rPr>
            </w:pPr>
            <w:r>
              <w:rPr>
                <w:sz w:val="24"/>
              </w:rPr>
              <w:t>Kho: </w:t>
            </w:r>
            <w:r>
              <w:rPr>
                <w:b/>
                <w:sz w:val="24"/>
              </w:rPr>
              <w:t>6.000 m2</w:t>
            </w:r>
            <w:r>
              <w:rPr>
                <w:sz w:val="24"/>
              </w:rPr>
              <w:t>. Bãi: </w:t>
            </w:r>
            <w:r>
              <w:rPr>
                <w:b/>
                <w:sz w:val="24"/>
              </w:rPr>
              <w:t>18.000</w:t>
            </w:r>
            <w:r>
              <w:rPr>
                <w:b/>
                <w:spacing w:val="-2"/>
                <w:sz w:val="24"/>
              </w:rPr>
              <w:t> </w:t>
            </w:r>
            <w:r>
              <w:rPr>
                <w:b/>
                <w:sz w:val="24"/>
              </w:rPr>
              <w:t>m2</w:t>
            </w:r>
            <w:r>
              <w:rPr>
                <w:sz w:val="24"/>
              </w:rPr>
              <w:t>.</w:t>
            </w:r>
          </w:p>
          <w:p>
            <w:pPr>
              <w:pStyle w:val="TableParagraph"/>
              <w:spacing w:before="137"/>
              <w:ind w:left="28"/>
              <w:rPr>
                <w:sz w:val="24"/>
              </w:rPr>
            </w:pPr>
            <w:r>
              <w:rPr>
                <w:sz w:val="24"/>
              </w:rPr>
              <w:t>Sức chứa tổng cộng: </w:t>
            </w:r>
            <w:r>
              <w:rPr>
                <w:b/>
                <w:sz w:val="24"/>
              </w:rPr>
              <w:t>50.000</w:t>
            </w:r>
            <w:r>
              <w:rPr>
                <w:b/>
                <w:spacing w:val="-4"/>
                <w:sz w:val="24"/>
              </w:rPr>
              <w:t> </w:t>
            </w:r>
            <w:r>
              <w:rPr>
                <w:sz w:val="24"/>
              </w:rPr>
              <w:t>MT</w:t>
            </w:r>
          </w:p>
        </w:tc>
      </w:tr>
      <w:tr>
        <w:trPr>
          <w:trHeight w:val="3774" w:hRule="atLeast"/>
        </w:trPr>
        <w:tc>
          <w:tcPr>
            <w:tcW w:w="1282" w:type="dxa"/>
          </w:tcPr>
          <w:p>
            <w:pPr>
              <w:pStyle w:val="TableParagraph"/>
              <w:rPr>
                <w:b/>
                <w:sz w:val="26"/>
              </w:rPr>
            </w:pPr>
          </w:p>
          <w:p>
            <w:pPr>
              <w:pStyle w:val="TableParagraph"/>
              <w:rPr>
                <w:b/>
                <w:sz w:val="26"/>
              </w:rPr>
            </w:pPr>
          </w:p>
          <w:p>
            <w:pPr>
              <w:pStyle w:val="TableParagraph"/>
              <w:rPr>
                <w:b/>
                <w:sz w:val="26"/>
              </w:rPr>
            </w:pPr>
          </w:p>
          <w:p>
            <w:pPr>
              <w:pStyle w:val="TableParagraph"/>
              <w:rPr>
                <w:b/>
                <w:sz w:val="26"/>
              </w:rPr>
            </w:pPr>
          </w:p>
          <w:p>
            <w:pPr>
              <w:pStyle w:val="TableParagraph"/>
              <w:rPr>
                <w:b/>
                <w:sz w:val="24"/>
              </w:rPr>
            </w:pPr>
          </w:p>
          <w:p>
            <w:pPr>
              <w:pStyle w:val="TableParagraph"/>
              <w:spacing w:line="360" w:lineRule="auto"/>
              <w:ind w:left="442" w:right="33" w:hanging="384"/>
              <w:rPr>
                <w:b/>
                <w:sz w:val="24"/>
              </w:rPr>
            </w:pPr>
            <w:r>
              <w:rPr>
                <w:b/>
                <w:sz w:val="24"/>
              </w:rPr>
              <w:t>Cảng Bông Sen</w:t>
            </w:r>
          </w:p>
        </w:tc>
        <w:tc>
          <w:tcPr>
            <w:tcW w:w="7849" w:type="dxa"/>
            <w:tcBorders>
              <w:right w:val="single" w:sz="4" w:space="0" w:color="000000"/>
            </w:tcBorders>
          </w:tcPr>
          <w:p>
            <w:pPr>
              <w:pStyle w:val="TableParagraph"/>
              <w:spacing w:before="22"/>
              <w:ind w:left="28"/>
              <w:rPr>
                <w:sz w:val="24"/>
              </w:rPr>
            </w:pPr>
            <w:r>
              <w:rPr>
                <w:sz w:val="24"/>
              </w:rPr>
              <w:t>Vị trí cảng: 10°41’N – 106°46’E</w:t>
            </w:r>
          </w:p>
          <w:p>
            <w:pPr>
              <w:pStyle w:val="TableParagraph"/>
              <w:spacing w:before="139"/>
              <w:ind w:left="28"/>
              <w:rPr>
                <w:sz w:val="24"/>
              </w:rPr>
            </w:pPr>
            <w:r>
              <w:rPr>
                <w:sz w:val="24"/>
              </w:rPr>
              <w:t>Điểm đón trả hoa tiêu: 10°20’40″N – 107°02’30″E</w:t>
            </w:r>
          </w:p>
          <w:p>
            <w:pPr>
              <w:pStyle w:val="TableParagraph"/>
              <w:spacing w:line="360" w:lineRule="auto" w:before="137"/>
              <w:ind w:left="28" w:right="527"/>
              <w:rPr>
                <w:sz w:val="24"/>
              </w:rPr>
            </w:pPr>
            <w:r>
              <w:rPr>
                <w:sz w:val="24"/>
              </w:rPr>
              <w:t>Dài: </w:t>
            </w:r>
            <w:r>
              <w:rPr>
                <w:b/>
                <w:sz w:val="24"/>
              </w:rPr>
              <w:t>43 </w:t>
            </w:r>
            <w:r>
              <w:rPr>
                <w:sz w:val="24"/>
              </w:rPr>
              <w:t>hải lý. Độ sâu:</w:t>
            </w:r>
            <w:r>
              <w:rPr>
                <w:b/>
                <w:sz w:val="24"/>
              </w:rPr>
              <w:t>12 m</w:t>
            </w:r>
            <w:r>
              <w:rPr>
                <w:sz w:val="24"/>
              </w:rPr>
              <w:t>. Chế độ thủy triều: </w:t>
            </w:r>
            <w:r>
              <w:rPr>
                <w:b/>
                <w:sz w:val="24"/>
              </w:rPr>
              <w:t>bán nhật triều không đều</w:t>
            </w:r>
            <w:r>
              <w:rPr>
                <w:sz w:val="24"/>
              </w:rPr>
              <w:t>. Chênh lệch bình quân: </w:t>
            </w:r>
            <w:r>
              <w:rPr>
                <w:b/>
                <w:sz w:val="24"/>
              </w:rPr>
              <w:t>2.5 m</w:t>
            </w:r>
            <w:r>
              <w:rPr>
                <w:sz w:val="24"/>
              </w:rPr>
              <w:t>. Mớn nước: </w:t>
            </w:r>
            <w:r>
              <w:rPr>
                <w:b/>
                <w:sz w:val="24"/>
              </w:rPr>
              <w:t>4 m</w:t>
            </w:r>
            <w:r>
              <w:rPr>
                <w:sz w:val="24"/>
              </w:rPr>
              <w:t>.</w:t>
            </w:r>
          </w:p>
          <w:p>
            <w:pPr>
              <w:pStyle w:val="TableParagraph"/>
              <w:spacing w:line="362" w:lineRule="auto"/>
              <w:ind w:left="28" w:right="3410"/>
              <w:rPr>
                <w:b/>
                <w:sz w:val="24"/>
              </w:rPr>
            </w:pPr>
            <w:r>
              <w:rPr>
                <w:sz w:val="24"/>
              </w:rPr>
              <w:t>Cỡ tàu lớn nhất tiếp nhận được: 30.000 DWT Tổng diện tích mặt bằng: </w:t>
            </w:r>
            <w:r>
              <w:rPr>
                <w:b/>
                <w:sz w:val="24"/>
              </w:rPr>
              <w:t>150.000 m2</w:t>
            </w:r>
          </w:p>
          <w:p>
            <w:pPr>
              <w:pStyle w:val="TableParagraph"/>
              <w:spacing w:line="360" w:lineRule="auto"/>
              <w:ind w:left="28" w:right="2628"/>
              <w:rPr>
                <w:sz w:val="24"/>
              </w:rPr>
            </w:pPr>
            <w:r>
              <w:rPr>
                <w:sz w:val="24"/>
              </w:rPr>
              <w:t>Kho: </w:t>
            </w:r>
            <w:r>
              <w:rPr>
                <w:b/>
                <w:sz w:val="24"/>
              </w:rPr>
              <w:t>8.000 m2</w:t>
            </w:r>
            <w:r>
              <w:rPr>
                <w:sz w:val="24"/>
              </w:rPr>
              <w:t>. trong đó kho ngoại quan 1.200m2. Bãi: </w:t>
            </w:r>
            <w:r>
              <w:rPr>
                <w:b/>
                <w:sz w:val="24"/>
              </w:rPr>
              <w:t>142.000 m2</w:t>
            </w:r>
            <w:r>
              <w:rPr>
                <w:sz w:val="24"/>
              </w:rPr>
              <w:t>. trong đó bãi công-ten-nơ 30.000m2 Sức chứa tổng cộng: 450.000DWT</w:t>
            </w:r>
          </w:p>
        </w:tc>
      </w:tr>
      <w:tr>
        <w:trPr>
          <w:trHeight w:val="1283" w:hRule="atLeast"/>
        </w:trPr>
        <w:tc>
          <w:tcPr>
            <w:tcW w:w="1282" w:type="dxa"/>
          </w:tcPr>
          <w:p>
            <w:pPr>
              <w:pStyle w:val="TableParagraph"/>
              <w:spacing w:line="360" w:lineRule="auto" w:before="231"/>
              <w:ind w:left="355" w:right="28" w:hanging="305"/>
              <w:rPr>
                <w:b/>
                <w:sz w:val="24"/>
              </w:rPr>
            </w:pPr>
            <w:r>
              <w:rPr>
                <w:b/>
                <w:sz w:val="24"/>
              </w:rPr>
              <w:t>Cảng Đồng Tháp</w:t>
            </w:r>
          </w:p>
        </w:tc>
        <w:tc>
          <w:tcPr>
            <w:tcW w:w="7849" w:type="dxa"/>
            <w:tcBorders>
              <w:right w:val="single" w:sz="4" w:space="0" w:color="000000"/>
            </w:tcBorders>
          </w:tcPr>
          <w:p>
            <w:pPr>
              <w:pStyle w:val="TableParagraph"/>
              <w:spacing w:before="25"/>
              <w:ind w:left="28"/>
              <w:rPr>
                <w:sz w:val="24"/>
              </w:rPr>
            </w:pPr>
            <w:r>
              <w:rPr>
                <w:sz w:val="24"/>
              </w:rPr>
              <w:t>Vị trí cảng:</w:t>
            </w:r>
          </w:p>
          <w:p>
            <w:pPr>
              <w:pStyle w:val="TableParagraph"/>
              <w:spacing w:line="416" w:lineRule="exact" w:before="28"/>
              <w:ind w:left="28" w:right="2755"/>
              <w:rPr>
                <w:i/>
                <w:sz w:val="24"/>
              </w:rPr>
            </w:pPr>
            <w:r>
              <w:rPr>
                <w:b/>
                <w:sz w:val="24"/>
              </w:rPr>
              <w:t>Bến cảng Đồng Tháp </w:t>
            </w:r>
            <w:r>
              <w:rPr>
                <w:b/>
                <w:i/>
                <w:sz w:val="24"/>
              </w:rPr>
              <w:t>: </w:t>
            </w:r>
            <w:r>
              <w:rPr>
                <w:sz w:val="24"/>
              </w:rPr>
              <w:t>10°29’30″N – 105°34’20″E Phường 11. thị xã Cao Lãnh. tỉnh Đồng Tháp </w:t>
            </w:r>
            <w:r>
              <w:rPr>
                <w:i/>
                <w:sz w:val="24"/>
              </w:rPr>
              <w:t>.</w:t>
            </w:r>
          </w:p>
        </w:tc>
      </w:tr>
    </w:tbl>
    <w:p>
      <w:pPr>
        <w:spacing w:after="0" w:line="416" w:lineRule="exact"/>
        <w:rPr>
          <w:sz w:val="24"/>
        </w:rPr>
        <w:sectPr>
          <w:pgSz w:w="11910" w:h="16850"/>
          <w:pgMar w:header="751" w:footer="0" w:top="960" w:bottom="280" w:left="820" w:right="240"/>
        </w:sectPr>
      </w:pPr>
    </w:p>
    <w:p>
      <w:pPr>
        <w:pStyle w:val="BodyText"/>
        <w:spacing w:before="10" w:after="1"/>
        <w:rPr>
          <w:b/>
          <w:sz w:val="24"/>
        </w:rPr>
      </w:pPr>
    </w:p>
    <w:tbl>
      <w:tblPr>
        <w:tblW w:w="0" w:type="auto"/>
        <w:jc w:val="left"/>
        <w:tblInd w:w="860" w:type="dxa"/>
        <w:tblBorders>
          <w:top w:val="double" w:sz="1" w:space="0" w:color="000000"/>
          <w:left w:val="double" w:sz="1" w:space="0" w:color="000000"/>
          <w:bottom w:val="double" w:sz="1" w:space="0" w:color="000000"/>
          <w:right w:val="double" w:sz="1" w:space="0" w:color="000000"/>
          <w:insideH w:val="double" w:sz="1" w:space="0" w:color="000000"/>
          <w:insideV w:val="double" w:sz="1" w:space="0" w:color="000000"/>
        </w:tblBorders>
        <w:tblLayout w:type="fixed"/>
        <w:tblCellMar>
          <w:top w:w="0" w:type="dxa"/>
          <w:left w:w="0" w:type="dxa"/>
          <w:bottom w:w="0" w:type="dxa"/>
          <w:right w:w="0" w:type="dxa"/>
        </w:tblCellMar>
        <w:tblLook w:val="01E0"/>
      </w:tblPr>
      <w:tblGrid>
        <w:gridCol w:w="1282"/>
        <w:gridCol w:w="7849"/>
      </w:tblGrid>
      <w:tr>
        <w:trPr>
          <w:trHeight w:val="8737" w:hRule="atLeast"/>
        </w:trPr>
        <w:tc>
          <w:tcPr>
            <w:tcW w:w="1282" w:type="dxa"/>
          </w:tcPr>
          <w:p>
            <w:pPr>
              <w:pStyle w:val="TableParagraph"/>
              <w:rPr>
                <w:sz w:val="24"/>
              </w:rPr>
            </w:pPr>
          </w:p>
        </w:tc>
        <w:tc>
          <w:tcPr>
            <w:tcW w:w="7849" w:type="dxa"/>
            <w:tcBorders>
              <w:right w:val="single" w:sz="4" w:space="0" w:color="000000"/>
            </w:tcBorders>
          </w:tcPr>
          <w:p>
            <w:pPr>
              <w:pStyle w:val="TableParagraph"/>
              <w:spacing w:before="16"/>
              <w:ind w:left="28"/>
              <w:rPr>
                <w:sz w:val="24"/>
              </w:rPr>
            </w:pPr>
            <w:r>
              <w:rPr>
                <w:sz w:val="24"/>
              </w:rPr>
              <w:t>ĐT: (84.67)</w:t>
            </w:r>
            <w:r>
              <w:rPr>
                <w:spacing w:val="-4"/>
                <w:sz w:val="24"/>
              </w:rPr>
              <w:t> </w:t>
            </w:r>
            <w:r>
              <w:rPr>
                <w:sz w:val="24"/>
              </w:rPr>
              <w:t>893398</w:t>
            </w:r>
          </w:p>
          <w:p>
            <w:pPr>
              <w:pStyle w:val="TableParagraph"/>
              <w:spacing w:before="140"/>
              <w:ind w:left="28"/>
              <w:rPr>
                <w:sz w:val="24"/>
              </w:rPr>
            </w:pPr>
            <w:r>
              <w:rPr>
                <w:sz w:val="24"/>
              </w:rPr>
              <w:t>Fax: (84.67)</w:t>
            </w:r>
            <w:r>
              <w:rPr>
                <w:spacing w:val="-6"/>
                <w:sz w:val="24"/>
              </w:rPr>
              <w:t> </w:t>
            </w:r>
            <w:r>
              <w:rPr>
                <w:sz w:val="24"/>
              </w:rPr>
              <w:t>893398</w:t>
            </w:r>
          </w:p>
          <w:p>
            <w:pPr>
              <w:pStyle w:val="TableParagraph"/>
              <w:spacing w:before="137"/>
              <w:ind w:left="28"/>
              <w:rPr>
                <w:sz w:val="24"/>
              </w:rPr>
            </w:pPr>
            <w:r>
              <w:rPr>
                <w:b/>
                <w:sz w:val="24"/>
              </w:rPr>
              <w:t>Bến cảng Sa Đéc</w:t>
            </w:r>
            <w:r>
              <w:rPr>
                <w:b/>
                <w:i/>
                <w:sz w:val="24"/>
              </w:rPr>
              <w:t>: </w:t>
            </w:r>
            <w:r>
              <w:rPr>
                <w:sz w:val="24"/>
              </w:rPr>
              <w:t>10°10’15″N – 105°45’00″E</w:t>
            </w:r>
          </w:p>
          <w:p>
            <w:pPr>
              <w:pStyle w:val="TableParagraph"/>
              <w:spacing w:line="360" w:lineRule="auto" w:before="139"/>
              <w:ind w:left="28" w:right="222"/>
              <w:rPr>
                <w:sz w:val="24"/>
              </w:rPr>
            </w:pPr>
            <w:r>
              <w:rPr>
                <w:sz w:val="24"/>
              </w:rPr>
              <w:t>Khu C – Khu công nghiệp Sa Đéc. xã Tân Qui Đông. thị xã Sa Đéc. tỉnh Đồng Tháp.</w:t>
            </w:r>
          </w:p>
          <w:p>
            <w:pPr>
              <w:pStyle w:val="TableParagraph"/>
              <w:spacing w:line="274" w:lineRule="exact"/>
              <w:ind w:left="28"/>
              <w:rPr>
                <w:sz w:val="24"/>
              </w:rPr>
            </w:pPr>
            <w:r>
              <w:rPr>
                <w:sz w:val="24"/>
              </w:rPr>
              <w:t>ĐT : (84.67) 761667 – 762298.</w:t>
            </w:r>
          </w:p>
          <w:p>
            <w:pPr>
              <w:pStyle w:val="TableParagraph"/>
              <w:spacing w:before="139"/>
              <w:ind w:left="28"/>
              <w:rPr>
                <w:sz w:val="24"/>
              </w:rPr>
            </w:pPr>
            <w:r>
              <w:rPr>
                <w:sz w:val="24"/>
              </w:rPr>
              <w:t>Điểm đón trả hoa tiêu: 10°20’07″N – 105°03’00″E</w:t>
            </w:r>
          </w:p>
          <w:p>
            <w:pPr>
              <w:pStyle w:val="TableParagraph"/>
              <w:spacing w:before="137"/>
              <w:ind w:left="28"/>
              <w:rPr>
                <w:b/>
                <w:sz w:val="24"/>
              </w:rPr>
            </w:pPr>
            <w:r>
              <w:rPr>
                <w:b/>
                <w:sz w:val="24"/>
              </w:rPr>
              <w:t>Luồng vào cảng:</w:t>
            </w:r>
          </w:p>
          <w:p>
            <w:pPr>
              <w:pStyle w:val="TableParagraph"/>
              <w:numPr>
                <w:ilvl w:val="0"/>
                <w:numId w:val="35"/>
              </w:numPr>
              <w:tabs>
                <w:tab w:pos="748" w:val="left" w:leader="none"/>
                <w:tab w:pos="749" w:val="left" w:leader="none"/>
              </w:tabs>
              <w:spacing w:line="240" w:lineRule="auto" w:before="139" w:after="0"/>
              <w:ind w:left="748" w:right="0" w:hanging="361"/>
              <w:jc w:val="left"/>
              <w:rPr>
                <w:sz w:val="24"/>
              </w:rPr>
            </w:pPr>
            <w:r>
              <w:rPr>
                <w:b/>
                <w:sz w:val="24"/>
              </w:rPr>
              <w:t>Đồng Tháp: </w:t>
            </w:r>
            <w:r>
              <w:rPr>
                <w:sz w:val="24"/>
              </w:rPr>
              <w:t>luồng Cửa Tiểu </w:t>
            </w:r>
            <w:r>
              <w:rPr>
                <w:b/>
                <w:sz w:val="24"/>
              </w:rPr>
              <w:t>201 km</w:t>
            </w:r>
            <w:r>
              <w:rPr>
                <w:sz w:val="24"/>
              </w:rPr>
              <w:t>. Sông Tiền. cao độ</w:t>
            </w:r>
            <w:r>
              <w:rPr>
                <w:spacing w:val="-9"/>
                <w:sz w:val="24"/>
              </w:rPr>
              <w:t> </w:t>
            </w:r>
            <w:r>
              <w:rPr>
                <w:sz w:val="24"/>
              </w:rPr>
              <w:t>đáy</w:t>
            </w:r>
          </w:p>
          <w:p>
            <w:pPr>
              <w:pStyle w:val="TableParagraph"/>
              <w:spacing w:line="362" w:lineRule="auto" w:before="137"/>
              <w:ind w:left="748" w:right="71"/>
              <w:rPr>
                <w:b/>
                <w:sz w:val="24"/>
              </w:rPr>
            </w:pPr>
            <w:r>
              <w:rPr>
                <w:sz w:val="24"/>
              </w:rPr>
              <w:t>luồng </w:t>
            </w:r>
            <w:r>
              <w:rPr>
                <w:b/>
                <w:sz w:val="24"/>
              </w:rPr>
              <w:t>2.4m</w:t>
            </w:r>
            <w:r>
              <w:rPr>
                <w:sz w:val="24"/>
              </w:rPr>
              <w:t>. chênh lệch b/q </w:t>
            </w:r>
            <w:r>
              <w:rPr>
                <w:b/>
                <w:sz w:val="24"/>
              </w:rPr>
              <w:t>3m</w:t>
            </w:r>
            <w:r>
              <w:rPr>
                <w:sz w:val="24"/>
              </w:rPr>
              <w:t>. mớn nước tối đa </w:t>
            </w:r>
            <w:r>
              <w:rPr>
                <w:b/>
                <w:sz w:val="24"/>
              </w:rPr>
              <w:t>5.5m</w:t>
            </w:r>
            <w:r>
              <w:rPr>
                <w:sz w:val="24"/>
              </w:rPr>
              <w:t>; hoặc luồng Định An. Sông Hậu </w:t>
            </w:r>
            <w:r>
              <w:rPr>
                <w:b/>
                <w:sz w:val="24"/>
              </w:rPr>
              <w:t>220 km</w:t>
            </w:r>
            <w:r>
              <w:rPr>
                <w:sz w:val="24"/>
              </w:rPr>
              <w:t>. cao độ đáy luồng </w:t>
            </w:r>
            <w:r>
              <w:rPr>
                <w:b/>
                <w:sz w:val="24"/>
              </w:rPr>
              <w:t>3.5m</w:t>
            </w:r>
            <w:r>
              <w:rPr>
                <w:sz w:val="24"/>
              </w:rPr>
              <w:t>. chênh lệch bình quân</w:t>
            </w:r>
            <w:r>
              <w:rPr>
                <w:b/>
                <w:sz w:val="24"/>
              </w:rPr>
              <w:t>3.5</w:t>
            </w:r>
          </w:p>
          <w:p>
            <w:pPr>
              <w:pStyle w:val="TableParagraph"/>
              <w:spacing w:line="271" w:lineRule="exact"/>
              <w:ind w:left="748"/>
              <w:rPr>
                <w:sz w:val="24"/>
              </w:rPr>
            </w:pPr>
            <w:r>
              <w:rPr>
                <w:b/>
                <w:sz w:val="24"/>
              </w:rPr>
              <w:t>m</w:t>
            </w:r>
            <w:r>
              <w:rPr>
                <w:sz w:val="24"/>
              </w:rPr>
              <w:t>. mớn nước tối đa </w:t>
            </w:r>
            <w:r>
              <w:rPr>
                <w:b/>
                <w:sz w:val="24"/>
              </w:rPr>
              <w:t>7 m </w:t>
            </w:r>
            <w:r>
              <w:rPr>
                <w:sz w:val="24"/>
              </w:rPr>
              <w:t>. Chế độ thủy triều: </w:t>
            </w:r>
            <w:r>
              <w:rPr>
                <w:b/>
                <w:sz w:val="24"/>
              </w:rPr>
              <w:t>bán nhật triều</w:t>
            </w:r>
            <w:r>
              <w:rPr>
                <w:sz w:val="24"/>
              </w:rPr>
              <w:t>.</w:t>
            </w:r>
          </w:p>
          <w:p>
            <w:pPr>
              <w:pStyle w:val="TableParagraph"/>
              <w:numPr>
                <w:ilvl w:val="0"/>
                <w:numId w:val="35"/>
              </w:numPr>
              <w:tabs>
                <w:tab w:pos="748" w:val="left" w:leader="none"/>
                <w:tab w:pos="749" w:val="left" w:leader="none"/>
              </w:tabs>
              <w:spacing w:line="360" w:lineRule="auto" w:before="139" w:after="0"/>
              <w:ind w:left="748" w:right="255" w:hanging="360"/>
              <w:jc w:val="left"/>
              <w:rPr>
                <w:b/>
                <w:sz w:val="24"/>
              </w:rPr>
            </w:pPr>
            <w:r>
              <w:rPr>
                <w:b/>
                <w:sz w:val="24"/>
              </w:rPr>
              <w:t>Sa Đéc: </w:t>
            </w:r>
            <w:r>
              <w:rPr>
                <w:sz w:val="24"/>
              </w:rPr>
              <w:t>luồng Cửa Tiểu. Sông Tiền </w:t>
            </w:r>
            <w:r>
              <w:rPr>
                <w:b/>
                <w:sz w:val="24"/>
              </w:rPr>
              <w:t>165 km</w:t>
            </w:r>
            <w:r>
              <w:rPr>
                <w:sz w:val="24"/>
              </w:rPr>
              <w:t>. cao độ đáy luồng </w:t>
            </w:r>
            <w:r>
              <w:rPr>
                <w:b/>
                <w:sz w:val="24"/>
              </w:rPr>
              <w:t>2.4m</w:t>
            </w:r>
            <w:r>
              <w:rPr>
                <w:sz w:val="24"/>
              </w:rPr>
              <w:t>. chênh lệch b/q </w:t>
            </w:r>
            <w:r>
              <w:rPr>
                <w:b/>
                <w:sz w:val="24"/>
              </w:rPr>
              <w:t>3m</w:t>
            </w:r>
            <w:r>
              <w:rPr>
                <w:sz w:val="24"/>
              </w:rPr>
              <w:t>. mớn nước tối đa </w:t>
            </w:r>
            <w:r>
              <w:rPr>
                <w:b/>
                <w:sz w:val="24"/>
              </w:rPr>
              <w:t>5.5m</w:t>
            </w:r>
            <w:r>
              <w:rPr>
                <w:sz w:val="24"/>
              </w:rPr>
              <w:t>; hoặc luồng Định An. Sông Hậu </w:t>
            </w:r>
            <w:r>
              <w:rPr>
                <w:b/>
                <w:sz w:val="24"/>
              </w:rPr>
              <w:t>250 km</w:t>
            </w:r>
            <w:r>
              <w:rPr>
                <w:sz w:val="24"/>
              </w:rPr>
              <w:t>. cao độ đáy luồng </w:t>
            </w:r>
            <w:r>
              <w:rPr>
                <w:b/>
                <w:sz w:val="24"/>
              </w:rPr>
              <w:t>3.5m</w:t>
            </w:r>
            <w:r>
              <w:rPr>
                <w:sz w:val="24"/>
              </w:rPr>
              <w:t>. chênh lệch bình quân</w:t>
            </w:r>
            <w:r>
              <w:rPr>
                <w:b/>
                <w:sz w:val="24"/>
              </w:rPr>
              <w:t>3.5 m</w:t>
            </w:r>
            <w:r>
              <w:rPr>
                <w:sz w:val="24"/>
              </w:rPr>
              <w:t>. mớn nước tối đa </w:t>
            </w:r>
            <w:r>
              <w:rPr>
                <w:b/>
                <w:sz w:val="24"/>
              </w:rPr>
              <w:t>7 m </w:t>
            </w:r>
            <w:r>
              <w:rPr>
                <w:sz w:val="24"/>
              </w:rPr>
              <w:t>. Chế độ thủy triều: </w:t>
            </w:r>
            <w:r>
              <w:rPr>
                <w:b/>
                <w:sz w:val="24"/>
              </w:rPr>
              <w:t>bán nhật</w:t>
            </w:r>
            <w:r>
              <w:rPr>
                <w:b/>
                <w:spacing w:val="-5"/>
                <w:sz w:val="24"/>
              </w:rPr>
              <w:t> </w:t>
            </w:r>
            <w:r>
              <w:rPr>
                <w:b/>
                <w:sz w:val="24"/>
              </w:rPr>
              <w:t>triều</w:t>
            </w:r>
          </w:p>
          <w:p>
            <w:pPr>
              <w:pStyle w:val="TableParagraph"/>
              <w:spacing w:line="360" w:lineRule="auto"/>
              <w:ind w:left="28" w:right="208"/>
              <w:rPr>
                <w:i/>
                <w:sz w:val="24"/>
              </w:rPr>
            </w:pPr>
            <w:r>
              <w:rPr>
                <w:sz w:val="24"/>
              </w:rPr>
              <w:t>Tổng diện tích mặt bằng: </w:t>
            </w:r>
            <w:r>
              <w:rPr>
                <w:b/>
                <w:sz w:val="24"/>
              </w:rPr>
              <w:t>87.253 m2 </w:t>
            </w:r>
            <w:r>
              <w:rPr>
                <w:i/>
                <w:sz w:val="24"/>
              </w:rPr>
              <w:t>(Dong Thap terminal: 27.253 m2. Sa Dec </w:t>
            </w:r>
            <w:r>
              <w:rPr>
                <w:i/>
                <w:sz w:val="24"/>
              </w:rPr>
              <w:t>terminal: 60.000 m2)</w:t>
            </w:r>
          </w:p>
          <w:p>
            <w:pPr>
              <w:pStyle w:val="TableParagraph"/>
              <w:spacing w:line="360" w:lineRule="auto" w:before="1"/>
              <w:ind w:left="28" w:right="1861"/>
              <w:rPr>
                <w:sz w:val="24"/>
              </w:rPr>
            </w:pPr>
            <w:r>
              <w:rPr>
                <w:sz w:val="24"/>
              </w:rPr>
              <w:t>Kho: </w:t>
            </w:r>
            <w:r>
              <w:rPr>
                <w:b/>
                <w:sz w:val="24"/>
              </w:rPr>
              <w:t>13.400 m2 </w:t>
            </w:r>
            <w:r>
              <w:rPr>
                <w:i/>
                <w:sz w:val="24"/>
              </w:rPr>
              <w:t>(Dong Thap: 8.400 m2. Sa Dec: 5.000 m2)</w:t>
            </w:r>
            <w:r>
              <w:rPr>
                <w:sz w:val="24"/>
              </w:rPr>
              <w:t>. Bãi: </w:t>
            </w:r>
            <w:r>
              <w:rPr>
                <w:b/>
                <w:sz w:val="24"/>
              </w:rPr>
              <w:t>50.000 m2 </w:t>
            </w:r>
            <w:r>
              <w:rPr>
                <w:i/>
                <w:sz w:val="24"/>
              </w:rPr>
              <w:t>(Dong Thap: 10.000 m2. Sa Dec: 40.000 m2) </w:t>
            </w:r>
            <w:r>
              <w:rPr>
                <w:sz w:val="24"/>
              </w:rPr>
              <w:t>Sức chứa tổng cộng: 73.000 MT</w:t>
            </w:r>
          </w:p>
        </w:tc>
      </w:tr>
      <w:tr>
        <w:trPr>
          <w:trHeight w:val="3776" w:hRule="atLeast"/>
        </w:trPr>
        <w:tc>
          <w:tcPr>
            <w:tcW w:w="1282" w:type="dxa"/>
          </w:tcPr>
          <w:p>
            <w:pPr>
              <w:pStyle w:val="TableParagraph"/>
              <w:rPr>
                <w:b/>
                <w:sz w:val="26"/>
              </w:rPr>
            </w:pPr>
          </w:p>
          <w:p>
            <w:pPr>
              <w:pStyle w:val="TableParagraph"/>
              <w:rPr>
                <w:b/>
                <w:sz w:val="26"/>
              </w:rPr>
            </w:pPr>
          </w:p>
          <w:p>
            <w:pPr>
              <w:pStyle w:val="TableParagraph"/>
              <w:rPr>
                <w:b/>
                <w:sz w:val="26"/>
              </w:rPr>
            </w:pPr>
          </w:p>
          <w:p>
            <w:pPr>
              <w:pStyle w:val="TableParagraph"/>
              <w:rPr>
                <w:b/>
                <w:sz w:val="26"/>
              </w:rPr>
            </w:pPr>
          </w:p>
          <w:p>
            <w:pPr>
              <w:pStyle w:val="TableParagraph"/>
              <w:rPr>
                <w:b/>
                <w:sz w:val="24"/>
              </w:rPr>
            </w:pPr>
          </w:p>
          <w:p>
            <w:pPr>
              <w:pStyle w:val="TableParagraph"/>
              <w:spacing w:line="360" w:lineRule="auto"/>
              <w:ind w:left="415" w:right="88" w:hanging="305"/>
              <w:rPr>
                <w:b/>
                <w:sz w:val="24"/>
              </w:rPr>
            </w:pPr>
            <w:r>
              <w:rPr>
                <w:b/>
                <w:sz w:val="24"/>
              </w:rPr>
              <w:t>Cảng Cần Thơ</w:t>
            </w:r>
          </w:p>
        </w:tc>
        <w:tc>
          <w:tcPr>
            <w:tcW w:w="7849" w:type="dxa"/>
            <w:tcBorders>
              <w:right w:val="single" w:sz="4" w:space="0" w:color="000000"/>
            </w:tcBorders>
          </w:tcPr>
          <w:p>
            <w:pPr>
              <w:pStyle w:val="TableParagraph"/>
              <w:spacing w:before="25"/>
              <w:ind w:left="28"/>
              <w:rPr>
                <w:sz w:val="24"/>
              </w:rPr>
            </w:pPr>
            <w:r>
              <w:rPr>
                <w:sz w:val="24"/>
              </w:rPr>
              <w:t>Vị trí Cảng: 10°03’N – 105°42’E</w:t>
            </w:r>
          </w:p>
          <w:p>
            <w:pPr>
              <w:pStyle w:val="TableParagraph"/>
              <w:spacing w:before="136"/>
              <w:ind w:left="28"/>
              <w:rPr>
                <w:sz w:val="24"/>
              </w:rPr>
            </w:pPr>
            <w:r>
              <w:rPr>
                <w:sz w:val="24"/>
              </w:rPr>
              <w:t>Điểm đón trả hoa tiêu: 09°28’36″N – 106°30’34″E</w:t>
            </w:r>
          </w:p>
          <w:p>
            <w:pPr>
              <w:pStyle w:val="TableParagraph"/>
              <w:spacing w:before="140"/>
              <w:ind w:left="28"/>
              <w:rPr>
                <w:sz w:val="24"/>
              </w:rPr>
            </w:pPr>
            <w:r>
              <w:rPr>
                <w:sz w:val="24"/>
              </w:rPr>
              <w:t>Dài: </w:t>
            </w:r>
            <w:r>
              <w:rPr>
                <w:b/>
                <w:sz w:val="24"/>
              </w:rPr>
              <w:t>65 hải lý</w:t>
            </w:r>
            <w:r>
              <w:rPr>
                <w:sz w:val="24"/>
              </w:rPr>
              <w:t>. Độ sâu luồng: </w:t>
            </w:r>
            <w:r>
              <w:rPr>
                <w:b/>
                <w:sz w:val="24"/>
              </w:rPr>
              <w:t>7.5 m</w:t>
            </w:r>
            <w:r>
              <w:rPr>
                <w:sz w:val="24"/>
              </w:rPr>
              <w:t>. Chế độ thủy triều: </w:t>
            </w:r>
            <w:r>
              <w:rPr>
                <w:b/>
                <w:sz w:val="24"/>
              </w:rPr>
              <w:t>bán nhật triều</w:t>
            </w:r>
            <w:r>
              <w:rPr>
                <w:sz w:val="24"/>
              </w:rPr>
              <w:t>.</w:t>
            </w:r>
          </w:p>
          <w:p>
            <w:pPr>
              <w:pStyle w:val="TableParagraph"/>
              <w:spacing w:line="360" w:lineRule="auto" w:before="137"/>
              <w:ind w:left="28" w:right="38"/>
              <w:rPr>
                <w:sz w:val="24"/>
              </w:rPr>
            </w:pPr>
            <w:r>
              <w:rPr>
                <w:sz w:val="24"/>
              </w:rPr>
              <w:t>Chênh lệch bình quân: </w:t>
            </w:r>
            <w:r>
              <w:rPr>
                <w:b/>
                <w:sz w:val="24"/>
              </w:rPr>
              <w:t>3.0-4.0 m</w:t>
            </w:r>
            <w:r>
              <w:rPr>
                <w:sz w:val="24"/>
              </w:rPr>
              <w:t>. Mớn nước cao nhất cho tàu ra vào: </w:t>
            </w:r>
            <w:r>
              <w:rPr>
                <w:b/>
                <w:sz w:val="24"/>
              </w:rPr>
              <w:t>-7.5 m</w:t>
            </w:r>
            <w:r>
              <w:rPr>
                <w:sz w:val="24"/>
              </w:rPr>
              <w:t>. Cỡ tàu lớn nhất tiếp nhận được: 10.000 DWT.</w:t>
            </w:r>
          </w:p>
          <w:p>
            <w:pPr>
              <w:pStyle w:val="TableParagraph"/>
              <w:ind w:left="28"/>
              <w:rPr>
                <w:b/>
                <w:sz w:val="24"/>
              </w:rPr>
            </w:pPr>
            <w:r>
              <w:rPr>
                <w:sz w:val="24"/>
              </w:rPr>
              <w:t>Tổng diện tích mặt bằng: </w:t>
            </w:r>
            <w:r>
              <w:rPr>
                <w:b/>
                <w:sz w:val="24"/>
              </w:rPr>
              <w:t>60.000 m2</w:t>
            </w:r>
          </w:p>
          <w:p>
            <w:pPr>
              <w:pStyle w:val="TableParagraph"/>
              <w:spacing w:before="137"/>
              <w:ind w:left="28"/>
              <w:rPr>
                <w:sz w:val="24"/>
              </w:rPr>
            </w:pPr>
            <w:r>
              <w:rPr>
                <w:sz w:val="24"/>
              </w:rPr>
              <w:t>Kho: </w:t>
            </w:r>
            <w:r>
              <w:rPr>
                <w:b/>
                <w:sz w:val="24"/>
              </w:rPr>
              <w:t>10.910 m2</w:t>
            </w:r>
            <w:r>
              <w:rPr>
                <w:sz w:val="24"/>
              </w:rPr>
              <w:t>. trong đó kho ngoại quan: 500 m2.</w:t>
            </w:r>
          </w:p>
          <w:p>
            <w:pPr>
              <w:pStyle w:val="TableParagraph"/>
              <w:spacing w:before="139"/>
              <w:ind w:left="28"/>
              <w:rPr>
                <w:b/>
                <w:sz w:val="24"/>
              </w:rPr>
            </w:pPr>
            <w:r>
              <w:rPr>
                <w:sz w:val="24"/>
              </w:rPr>
              <w:t>Bãi: </w:t>
            </w:r>
            <w:r>
              <w:rPr>
                <w:b/>
                <w:sz w:val="24"/>
              </w:rPr>
              <w:t>29.900 m2</w:t>
            </w:r>
            <w:r>
              <w:rPr>
                <w:sz w:val="24"/>
              </w:rPr>
              <w:t>. trong đó bãi chứa công-ten-nơ: 19.000 m2</w:t>
            </w:r>
            <w:r>
              <w:rPr>
                <w:b/>
                <w:sz w:val="24"/>
              </w:rPr>
              <w:t>.</w:t>
            </w:r>
          </w:p>
          <w:p>
            <w:pPr>
              <w:pStyle w:val="TableParagraph"/>
              <w:spacing w:before="137"/>
              <w:ind w:left="28"/>
              <w:rPr>
                <w:sz w:val="24"/>
              </w:rPr>
            </w:pPr>
            <w:r>
              <w:rPr>
                <w:sz w:val="24"/>
              </w:rPr>
              <w:t>Sức chứa tổng cộng: 160.000 Tấn hàng hóa (bình quân 4Tấn/m2)</w:t>
            </w:r>
          </w:p>
        </w:tc>
      </w:tr>
      <w:tr>
        <w:trPr>
          <w:trHeight w:val="1703" w:hRule="atLeast"/>
        </w:trPr>
        <w:tc>
          <w:tcPr>
            <w:tcW w:w="1282" w:type="dxa"/>
          </w:tcPr>
          <w:p>
            <w:pPr>
              <w:pStyle w:val="TableParagraph"/>
              <w:spacing w:line="360" w:lineRule="auto" w:before="231"/>
              <w:ind w:left="43" w:right="37" w:firstLine="1"/>
              <w:jc w:val="center"/>
              <w:rPr>
                <w:b/>
                <w:sz w:val="24"/>
              </w:rPr>
            </w:pPr>
            <w:r>
              <w:rPr>
                <w:b/>
                <w:sz w:val="24"/>
              </w:rPr>
              <w:t>Thương Cảng Vũng Tàu</w:t>
            </w:r>
          </w:p>
        </w:tc>
        <w:tc>
          <w:tcPr>
            <w:tcW w:w="7849" w:type="dxa"/>
            <w:tcBorders>
              <w:right w:val="single" w:sz="4" w:space="0" w:color="000000"/>
            </w:tcBorders>
          </w:tcPr>
          <w:p>
            <w:pPr>
              <w:pStyle w:val="TableParagraph"/>
              <w:spacing w:before="22"/>
              <w:ind w:left="28"/>
              <w:rPr>
                <w:sz w:val="24"/>
              </w:rPr>
            </w:pPr>
            <w:r>
              <w:rPr>
                <w:sz w:val="24"/>
              </w:rPr>
              <w:t>Vị trí cảng: 10°24’40″N – 107°03’00″E</w:t>
            </w:r>
          </w:p>
          <w:p>
            <w:pPr>
              <w:pStyle w:val="TableParagraph"/>
              <w:spacing w:line="360" w:lineRule="auto" w:before="139"/>
              <w:ind w:left="28" w:right="899"/>
              <w:rPr>
                <w:sz w:val="24"/>
              </w:rPr>
            </w:pPr>
            <w:r>
              <w:rPr>
                <w:sz w:val="24"/>
              </w:rPr>
              <w:t>Dài</w:t>
            </w:r>
            <w:r>
              <w:rPr>
                <w:b/>
                <w:sz w:val="24"/>
              </w:rPr>
              <w:t>: 14 Km</w:t>
            </w:r>
            <w:r>
              <w:rPr>
                <w:sz w:val="24"/>
              </w:rPr>
              <w:t>. Độ sâu luồng: </w:t>
            </w:r>
            <w:r>
              <w:rPr>
                <w:b/>
                <w:sz w:val="24"/>
              </w:rPr>
              <w:t>-4.5 m</w:t>
            </w:r>
            <w:r>
              <w:rPr>
                <w:sz w:val="24"/>
              </w:rPr>
              <w:t>. Chế độ thủy triều: </w:t>
            </w:r>
            <w:r>
              <w:rPr>
                <w:b/>
                <w:sz w:val="24"/>
              </w:rPr>
              <w:t>bán nhật triều</w:t>
            </w:r>
            <w:r>
              <w:rPr>
                <w:sz w:val="24"/>
              </w:rPr>
              <w:t>. Chênh lệch bình quân: </w:t>
            </w:r>
            <w:r>
              <w:rPr>
                <w:b/>
                <w:sz w:val="24"/>
              </w:rPr>
              <w:t>3.8 m</w:t>
            </w:r>
            <w:r>
              <w:rPr>
                <w:sz w:val="24"/>
              </w:rPr>
              <w:t>. Mớn nước cao nhất tàu ra vào cảng: </w:t>
            </w:r>
            <w:r>
              <w:rPr>
                <w:b/>
                <w:sz w:val="24"/>
              </w:rPr>
              <w:t>-7 m </w:t>
            </w:r>
            <w:r>
              <w:rPr>
                <w:sz w:val="24"/>
              </w:rPr>
              <w:t>Cỡ tàu lớn nhất tiếp nhận được: 8.000 DWT.</w:t>
            </w:r>
          </w:p>
        </w:tc>
      </w:tr>
    </w:tbl>
    <w:p>
      <w:pPr>
        <w:spacing w:after="0" w:line="360" w:lineRule="auto"/>
        <w:rPr>
          <w:sz w:val="24"/>
        </w:rPr>
        <w:sectPr>
          <w:pgSz w:w="11910" w:h="16850"/>
          <w:pgMar w:header="751" w:footer="0" w:top="960" w:bottom="280" w:left="820" w:right="240"/>
        </w:sectPr>
      </w:pPr>
    </w:p>
    <w:p>
      <w:pPr>
        <w:pStyle w:val="BodyText"/>
        <w:spacing w:before="10" w:after="1"/>
        <w:rPr>
          <w:b/>
          <w:sz w:val="24"/>
        </w:rPr>
      </w:pPr>
    </w:p>
    <w:tbl>
      <w:tblPr>
        <w:tblW w:w="0" w:type="auto"/>
        <w:jc w:val="left"/>
        <w:tblInd w:w="860" w:type="dxa"/>
        <w:tblBorders>
          <w:top w:val="double" w:sz="1" w:space="0" w:color="000000"/>
          <w:left w:val="double" w:sz="1" w:space="0" w:color="000000"/>
          <w:bottom w:val="double" w:sz="1" w:space="0" w:color="000000"/>
          <w:right w:val="double" w:sz="1" w:space="0" w:color="000000"/>
          <w:insideH w:val="double" w:sz="1" w:space="0" w:color="000000"/>
          <w:insideV w:val="double" w:sz="1" w:space="0" w:color="000000"/>
        </w:tblBorders>
        <w:tblLayout w:type="fixed"/>
        <w:tblCellMar>
          <w:top w:w="0" w:type="dxa"/>
          <w:left w:w="0" w:type="dxa"/>
          <w:bottom w:w="0" w:type="dxa"/>
          <w:right w:w="0" w:type="dxa"/>
        </w:tblCellMar>
        <w:tblLook w:val="01E0"/>
      </w:tblPr>
      <w:tblGrid>
        <w:gridCol w:w="1282"/>
        <w:gridCol w:w="7849"/>
      </w:tblGrid>
      <w:tr>
        <w:trPr>
          <w:trHeight w:val="1698" w:hRule="atLeast"/>
        </w:trPr>
        <w:tc>
          <w:tcPr>
            <w:tcW w:w="1282" w:type="dxa"/>
          </w:tcPr>
          <w:p>
            <w:pPr>
              <w:pStyle w:val="TableParagraph"/>
              <w:rPr>
                <w:sz w:val="24"/>
              </w:rPr>
            </w:pPr>
          </w:p>
        </w:tc>
        <w:tc>
          <w:tcPr>
            <w:tcW w:w="7849" w:type="dxa"/>
            <w:tcBorders>
              <w:right w:val="single" w:sz="4" w:space="0" w:color="000000"/>
            </w:tcBorders>
          </w:tcPr>
          <w:p>
            <w:pPr>
              <w:pStyle w:val="TableParagraph"/>
              <w:spacing w:before="16"/>
              <w:ind w:left="28"/>
              <w:rPr>
                <w:sz w:val="24"/>
              </w:rPr>
            </w:pPr>
            <w:r>
              <w:rPr>
                <w:sz w:val="24"/>
              </w:rPr>
              <w:t>Kho thường: </w:t>
            </w:r>
            <w:r>
              <w:rPr>
                <w:b/>
                <w:sz w:val="24"/>
              </w:rPr>
              <w:t>12.032 m2</w:t>
            </w:r>
            <w:r>
              <w:rPr>
                <w:sz w:val="24"/>
              </w:rPr>
              <w:t>. Kho lạnh: </w:t>
            </w:r>
            <w:r>
              <w:rPr>
                <w:b/>
                <w:sz w:val="24"/>
              </w:rPr>
              <w:t>950 MT</w:t>
            </w:r>
            <w:r>
              <w:rPr>
                <w:sz w:val="24"/>
              </w:rPr>
              <w:t>. Bãi: </w:t>
            </w:r>
            <w:r>
              <w:rPr>
                <w:b/>
                <w:sz w:val="24"/>
              </w:rPr>
              <w:t>82.680 m2</w:t>
            </w:r>
            <w:r>
              <w:rPr>
                <w:sz w:val="24"/>
              </w:rPr>
              <w:t>. Bãi container :</w:t>
            </w:r>
          </w:p>
          <w:p>
            <w:pPr>
              <w:pStyle w:val="TableParagraph"/>
              <w:spacing w:before="140"/>
              <w:ind w:left="28"/>
              <w:rPr>
                <w:sz w:val="24"/>
              </w:rPr>
            </w:pPr>
            <w:r>
              <w:rPr>
                <w:sz w:val="24"/>
              </w:rPr>
              <w:t>10.249 m2</w:t>
            </w:r>
          </w:p>
          <w:p>
            <w:pPr>
              <w:pStyle w:val="TableParagraph"/>
              <w:spacing w:line="360" w:lineRule="auto" w:before="137"/>
              <w:ind w:left="28" w:right="281"/>
              <w:rPr>
                <w:sz w:val="24"/>
              </w:rPr>
            </w:pPr>
            <w:r>
              <w:rPr>
                <w:sz w:val="24"/>
              </w:rPr>
              <w:t>Kho ngoại quan: </w:t>
            </w:r>
            <w:r>
              <w:rPr>
                <w:b/>
                <w:sz w:val="24"/>
              </w:rPr>
              <w:t>15.659 m2 </w:t>
            </w:r>
            <w:r>
              <w:rPr>
                <w:sz w:val="24"/>
              </w:rPr>
              <w:t>(phần kho/</w:t>
            </w:r>
            <w:r>
              <w:rPr>
                <w:i/>
                <w:sz w:val="24"/>
              </w:rPr>
              <w:t>shed</w:t>
            </w:r>
            <w:r>
              <w:rPr>
                <w:sz w:val="24"/>
              </w:rPr>
              <w:t>: 2.205 m2. phần bãi/</w:t>
            </w:r>
            <w:r>
              <w:rPr>
                <w:i/>
                <w:sz w:val="24"/>
              </w:rPr>
              <w:t>yard</w:t>
            </w:r>
            <w:r>
              <w:rPr>
                <w:sz w:val="24"/>
              </w:rPr>
              <w:t>: 13.454 m2).. bãi kho: 9.728m2</w:t>
            </w:r>
          </w:p>
        </w:tc>
      </w:tr>
    </w:tbl>
    <w:p>
      <w:pPr>
        <w:spacing w:before="19"/>
        <w:ind w:left="0" w:right="888" w:firstLine="0"/>
        <w:jc w:val="right"/>
        <w:rPr>
          <w:i/>
          <w:sz w:val="24"/>
        </w:rPr>
      </w:pPr>
      <w:r>
        <w:rPr>
          <w:i/>
          <w:sz w:val="24"/>
        </w:rPr>
        <w:t>Nguồn: VPA.</w:t>
      </w:r>
      <w:r>
        <w:rPr>
          <w:i/>
          <w:spacing w:val="-2"/>
          <w:sz w:val="24"/>
        </w:rPr>
        <w:t> </w:t>
      </w:r>
      <w:r>
        <w:rPr>
          <w:i/>
          <w:sz w:val="24"/>
        </w:rPr>
        <w:t>2019</w:t>
      </w:r>
    </w:p>
    <w:p>
      <w:pPr>
        <w:pStyle w:val="BodyText"/>
        <w:rPr>
          <w:i/>
          <w:sz w:val="20"/>
        </w:rPr>
      </w:pPr>
    </w:p>
    <w:p>
      <w:pPr>
        <w:pStyle w:val="BodyText"/>
        <w:spacing w:before="1"/>
        <w:rPr>
          <w:i/>
          <w:sz w:val="28"/>
        </w:rPr>
      </w:pPr>
    </w:p>
    <w:tbl>
      <w:tblPr>
        <w:tblW w:w="0" w:type="auto"/>
        <w:jc w:val="left"/>
        <w:tblInd w:w="77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535"/>
        <w:gridCol w:w="2124"/>
        <w:gridCol w:w="710"/>
        <w:gridCol w:w="991"/>
        <w:gridCol w:w="1135"/>
        <w:gridCol w:w="991"/>
        <w:gridCol w:w="1133"/>
        <w:gridCol w:w="853"/>
        <w:gridCol w:w="864"/>
      </w:tblGrid>
      <w:tr>
        <w:trPr>
          <w:trHeight w:val="448" w:hRule="atLeast"/>
        </w:trPr>
        <w:tc>
          <w:tcPr>
            <w:tcW w:w="535" w:type="dxa"/>
            <w:vMerge w:val="restart"/>
          </w:tcPr>
          <w:p>
            <w:pPr>
              <w:pStyle w:val="TableParagraph"/>
              <w:spacing w:before="2"/>
              <w:ind w:left="107"/>
              <w:rPr>
                <w:b/>
                <w:sz w:val="26"/>
              </w:rPr>
            </w:pPr>
            <w:r>
              <w:rPr>
                <w:b/>
                <w:sz w:val="26"/>
              </w:rPr>
              <w:t>Stt</w:t>
            </w:r>
          </w:p>
        </w:tc>
        <w:tc>
          <w:tcPr>
            <w:tcW w:w="2124" w:type="dxa"/>
            <w:vMerge w:val="restart"/>
          </w:tcPr>
          <w:p>
            <w:pPr>
              <w:pStyle w:val="TableParagraph"/>
              <w:spacing w:before="2"/>
              <w:ind w:left="616"/>
              <w:rPr>
                <w:b/>
                <w:sz w:val="26"/>
              </w:rPr>
            </w:pPr>
            <w:r>
              <w:rPr>
                <w:b/>
                <w:sz w:val="26"/>
              </w:rPr>
              <w:t>Chỉ tiêu</w:t>
            </w:r>
          </w:p>
        </w:tc>
        <w:tc>
          <w:tcPr>
            <w:tcW w:w="710" w:type="dxa"/>
            <w:vMerge w:val="restart"/>
          </w:tcPr>
          <w:p>
            <w:pPr>
              <w:pStyle w:val="TableParagraph"/>
              <w:spacing w:line="360" w:lineRule="auto" w:before="2"/>
              <w:ind w:left="252" w:right="88" w:hanging="137"/>
              <w:rPr>
                <w:b/>
                <w:sz w:val="26"/>
              </w:rPr>
            </w:pPr>
            <w:r>
              <w:rPr>
                <w:b/>
                <w:sz w:val="26"/>
              </w:rPr>
              <w:t>Đơn</w:t>
            </w:r>
            <w:r>
              <w:rPr>
                <w:b/>
                <w:w w:val="99"/>
                <w:sz w:val="26"/>
              </w:rPr>
              <w:t> </w:t>
            </w:r>
            <w:r>
              <w:rPr>
                <w:b/>
                <w:sz w:val="26"/>
              </w:rPr>
              <w:t>vị</w:t>
            </w:r>
          </w:p>
        </w:tc>
        <w:tc>
          <w:tcPr>
            <w:tcW w:w="5967" w:type="dxa"/>
            <w:gridSpan w:val="6"/>
          </w:tcPr>
          <w:p>
            <w:pPr>
              <w:pStyle w:val="TableParagraph"/>
              <w:spacing w:before="2"/>
              <w:ind w:left="2045" w:right="2036"/>
              <w:jc w:val="center"/>
              <w:rPr>
                <w:b/>
                <w:sz w:val="26"/>
              </w:rPr>
            </w:pPr>
            <w:r>
              <w:rPr>
                <w:b/>
                <w:sz w:val="26"/>
              </w:rPr>
              <w:t>Cảng Cạn (ICD)</w:t>
            </w:r>
          </w:p>
        </w:tc>
      </w:tr>
      <w:tr>
        <w:trPr>
          <w:trHeight w:val="1346" w:hRule="atLeast"/>
        </w:trPr>
        <w:tc>
          <w:tcPr>
            <w:tcW w:w="535" w:type="dxa"/>
            <w:vMerge/>
            <w:tcBorders>
              <w:top w:val="nil"/>
            </w:tcBorders>
          </w:tcPr>
          <w:p>
            <w:pPr>
              <w:rPr>
                <w:sz w:val="2"/>
                <w:szCs w:val="2"/>
              </w:rPr>
            </w:pPr>
          </w:p>
        </w:tc>
        <w:tc>
          <w:tcPr>
            <w:tcW w:w="2124" w:type="dxa"/>
            <w:vMerge/>
            <w:tcBorders>
              <w:top w:val="nil"/>
            </w:tcBorders>
          </w:tcPr>
          <w:p>
            <w:pPr>
              <w:rPr>
                <w:sz w:val="2"/>
                <w:szCs w:val="2"/>
              </w:rPr>
            </w:pPr>
          </w:p>
        </w:tc>
        <w:tc>
          <w:tcPr>
            <w:tcW w:w="710" w:type="dxa"/>
            <w:vMerge/>
            <w:tcBorders>
              <w:top w:val="nil"/>
            </w:tcBorders>
          </w:tcPr>
          <w:p>
            <w:pPr>
              <w:rPr>
                <w:sz w:val="2"/>
                <w:szCs w:val="2"/>
              </w:rPr>
            </w:pPr>
          </w:p>
        </w:tc>
        <w:tc>
          <w:tcPr>
            <w:tcW w:w="991" w:type="dxa"/>
          </w:tcPr>
          <w:p>
            <w:pPr>
              <w:pStyle w:val="TableParagraph"/>
              <w:spacing w:line="360" w:lineRule="auto" w:before="2"/>
              <w:ind w:left="207" w:right="105" w:hanging="70"/>
              <w:rPr>
                <w:b/>
                <w:sz w:val="26"/>
              </w:rPr>
            </w:pPr>
            <w:r>
              <w:rPr>
                <w:b/>
                <w:sz w:val="26"/>
              </w:rPr>
              <w:t>Phước Long</w:t>
            </w:r>
          </w:p>
        </w:tc>
        <w:tc>
          <w:tcPr>
            <w:tcW w:w="1135" w:type="dxa"/>
          </w:tcPr>
          <w:p>
            <w:pPr>
              <w:pStyle w:val="TableParagraph"/>
              <w:spacing w:line="360" w:lineRule="auto" w:before="2"/>
              <w:ind w:left="334" w:hanging="137"/>
              <w:rPr>
                <w:b/>
                <w:sz w:val="26"/>
              </w:rPr>
            </w:pPr>
            <w:r>
              <w:rPr>
                <w:b/>
                <w:w w:val="95"/>
                <w:sz w:val="26"/>
              </w:rPr>
              <w:t>Transi </w:t>
            </w:r>
            <w:r>
              <w:rPr>
                <w:b/>
                <w:sz w:val="26"/>
              </w:rPr>
              <w:t>mex</w:t>
            </w:r>
          </w:p>
        </w:tc>
        <w:tc>
          <w:tcPr>
            <w:tcW w:w="991" w:type="dxa"/>
          </w:tcPr>
          <w:p>
            <w:pPr>
              <w:pStyle w:val="TableParagraph"/>
              <w:spacing w:line="360" w:lineRule="auto" w:before="2"/>
              <w:ind w:left="263" w:right="214" w:hanging="22"/>
              <w:rPr>
                <w:b/>
                <w:sz w:val="26"/>
              </w:rPr>
            </w:pPr>
            <w:r>
              <w:rPr>
                <w:b/>
                <w:sz w:val="26"/>
              </w:rPr>
              <w:t>Biên</w:t>
            </w:r>
            <w:r>
              <w:rPr>
                <w:b/>
                <w:w w:val="99"/>
                <w:sz w:val="26"/>
              </w:rPr>
              <w:t> </w:t>
            </w:r>
            <w:r>
              <w:rPr>
                <w:b/>
                <w:sz w:val="26"/>
              </w:rPr>
              <w:t>Hòa</w:t>
            </w:r>
          </w:p>
        </w:tc>
        <w:tc>
          <w:tcPr>
            <w:tcW w:w="1133" w:type="dxa"/>
          </w:tcPr>
          <w:p>
            <w:pPr>
              <w:pStyle w:val="TableParagraph"/>
              <w:spacing w:line="360" w:lineRule="auto" w:before="2"/>
              <w:ind w:left="270" w:firstLine="24"/>
              <w:rPr>
                <w:b/>
                <w:sz w:val="26"/>
              </w:rPr>
            </w:pPr>
            <w:r>
              <w:rPr>
                <w:b/>
                <w:sz w:val="26"/>
              </w:rPr>
              <w:t>Sóng </w:t>
            </w:r>
            <w:r>
              <w:rPr>
                <w:b/>
                <w:w w:val="95"/>
                <w:sz w:val="26"/>
              </w:rPr>
              <w:t>Thần</w:t>
            </w:r>
          </w:p>
        </w:tc>
        <w:tc>
          <w:tcPr>
            <w:tcW w:w="853" w:type="dxa"/>
          </w:tcPr>
          <w:p>
            <w:pPr>
              <w:pStyle w:val="TableParagraph"/>
              <w:spacing w:line="360" w:lineRule="auto" w:before="2"/>
              <w:ind w:left="254" w:hanging="51"/>
              <w:rPr>
                <w:b/>
                <w:sz w:val="26"/>
              </w:rPr>
            </w:pPr>
            <w:r>
              <w:rPr>
                <w:b/>
                <w:w w:val="95"/>
                <w:sz w:val="26"/>
              </w:rPr>
              <w:t>Tân </w:t>
            </w:r>
            <w:r>
              <w:rPr>
                <w:b/>
                <w:sz w:val="26"/>
              </w:rPr>
              <w:t>tạo</w:t>
            </w:r>
          </w:p>
        </w:tc>
        <w:tc>
          <w:tcPr>
            <w:tcW w:w="864" w:type="dxa"/>
          </w:tcPr>
          <w:p>
            <w:pPr>
              <w:pStyle w:val="TableParagraph"/>
              <w:spacing w:line="360" w:lineRule="auto" w:before="2"/>
              <w:ind w:left="296" w:right="108" w:hanging="159"/>
              <w:rPr>
                <w:b/>
                <w:sz w:val="26"/>
              </w:rPr>
            </w:pPr>
            <w:r>
              <w:rPr>
                <w:b/>
                <w:sz w:val="26"/>
              </w:rPr>
              <w:t>Trườ ng</w:t>
            </w:r>
          </w:p>
          <w:p>
            <w:pPr>
              <w:pStyle w:val="TableParagraph"/>
              <w:spacing w:before="1"/>
              <w:ind w:left="207"/>
              <w:rPr>
                <w:b/>
                <w:sz w:val="26"/>
              </w:rPr>
            </w:pPr>
            <w:r>
              <w:rPr>
                <w:b/>
                <w:sz w:val="26"/>
              </w:rPr>
              <w:t>Thọ</w:t>
            </w:r>
          </w:p>
        </w:tc>
      </w:tr>
      <w:tr>
        <w:trPr>
          <w:trHeight w:val="448" w:hRule="atLeast"/>
        </w:trPr>
        <w:tc>
          <w:tcPr>
            <w:tcW w:w="535" w:type="dxa"/>
          </w:tcPr>
          <w:p>
            <w:pPr>
              <w:pStyle w:val="TableParagraph"/>
              <w:spacing w:before="2"/>
              <w:ind w:left="107"/>
              <w:rPr>
                <w:sz w:val="26"/>
              </w:rPr>
            </w:pPr>
            <w:r>
              <w:rPr>
                <w:w w:val="99"/>
                <w:sz w:val="26"/>
              </w:rPr>
              <w:t>1</w:t>
            </w:r>
          </w:p>
        </w:tc>
        <w:tc>
          <w:tcPr>
            <w:tcW w:w="2124" w:type="dxa"/>
          </w:tcPr>
          <w:p>
            <w:pPr>
              <w:pStyle w:val="TableParagraph"/>
              <w:spacing w:before="2"/>
              <w:ind w:left="105"/>
              <w:rPr>
                <w:sz w:val="26"/>
              </w:rPr>
            </w:pPr>
            <w:r>
              <w:rPr>
                <w:sz w:val="26"/>
              </w:rPr>
              <w:t>Qui mô</w:t>
            </w:r>
          </w:p>
        </w:tc>
        <w:tc>
          <w:tcPr>
            <w:tcW w:w="710" w:type="dxa"/>
          </w:tcPr>
          <w:p>
            <w:pPr>
              <w:pStyle w:val="TableParagraph"/>
              <w:spacing w:before="2"/>
              <w:ind w:left="108"/>
              <w:rPr>
                <w:sz w:val="26"/>
              </w:rPr>
            </w:pPr>
            <w:r>
              <w:rPr>
                <w:sz w:val="26"/>
              </w:rPr>
              <w:t>ha</w:t>
            </w:r>
          </w:p>
        </w:tc>
        <w:tc>
          <w:tcPr>
            <w:tcW w:w="991" w:type="dxa"/>
          </w:tcPr>
          <w:p>
            <w:pPr>
              <w:pStyle w:val="TableParagraph"/>
              <w:spacing w:before="2"/>
              <w:ind w:left="108"/>
              <w:rPr>
                <w:sz w:val="26"/>
              </w:rPr>
            </w:pPr>
            <w:r>
              <w:rPr>
                <w:sz w:val="26"/>
              </w:rPr>
              <w:t>12</w:t>
            </w:r>
          </w:p>
        </w:tc>
        <w:tc>
          <w:tcPr>
            <w:tcW w:w="1135" w:type="dxa"/>
          </w:tcPr>
          <w:p>
            <w:pPr>
              <w:pStyle w:val="TableParagraph"/>
              <w:spacing w:before="2"/>
              <w:ind w:left="109"/>
              <w:rPr>
                <w:sz w:val="26"/>
              </w:rPr>
            </w:pPr>
            <w:r>
              <w:rPr>
                <w:w w:val="99"/>
                <w:sz w:val="26"/>
              </w:rPr>
              <w:t>9</w:t>
            </w:r>
          </w:p>
        </w:tc>
        <w:tc>
          <w:tcPr>
            <w:tcW w:w="991" w:type="dxa"/>
          </w:tcPr>
          <w:p>
            <w:pPr>
              <w:pStyle w:val="TableParagraph"/>
              <w:spacing w:before="2"/>
              <w:ind w:left="107"/>
              <w:rPr>
                <w:sz w:val="26"/>
              </w:rPr>
            </w:pPr>
            <w:r>
              <w:rPr>
                <w:sz w:val="26"/>
              </w:rPr>
              <w:t>17</w:t>
            </w:r>
          </w:p>
        </w:tc>
        <w:tc>
          <w:tcPr>
            <w:tcW w:w="1133" w:type="dxa"/>
          </w:tcPr>
          <w:p>
            <w:pPr>
              <w:pStyle w:val="TableParagraph"/>
              <w:spacing w:before="2"/>
              <w:ind w:left="109"/>
              <w:rPr>
                <w:sz w:val="26"/>
              </w:rPr>
            </w:pPr>
            <w:r>
              <w:rPr>
                <w:sz w:val="26"/>
              </w:rPr>
              <w:t>50</w:t>
            </w:r>
          </w:p>
        </w:tc>
        <w:tc>
          <w:tcPr>
            <w:tcW w:w="853" w:type="dxa"/>
          </w:tcPr>
          <w:p>
            <w:pPr>
              <w:pStyle w:val="TableParagraph"/>
              <w:spacing w:before="2"/>
              <w:ind w:left="110"/>
              <w:rPr>
                <w:sz w:val="26"/>
              </w:rPr>
            </w:pPr>
            <w:r>
              <w:rPr>
                <w:sz w:val="26"/>
              </w:rPr>
              <w:t>6.4</w:t>
            </w:r>
          </w:p>
        </w:tc>
        <w:tc>
          <w:tcPr>
            <w:tcW w:w="864" w:type="dxa"/>
          </w:tcPr>
          <w:p>
            <w:pPr>
              <w:pStyle w:val="TableParagraph"/>
              <w:spacing w:before="2"/>
              <w:ind w:left="109"/>
              <w:rPr>
                <w:sz w:val="26"/>
              </w:rPr>
            </w:pPr>
            <w:r>
              <w:rPr>
                <w:sz w:val="26"/>
              </w:rPr>
              <w:t>1.3</w:t>
            </w:r>
          </w:p>
        </w:tc>
      </w:tr>
      <w:tr>
        <w:trPr>
          <w:trHeight w:val="448" w:hRule="atLeast"/>
        </w:trPr>
        <w:tc>
          <w:tcPr>
            <w:tcW w:w="535" w:type="dxa"/>
          </w:tcPr>
          <w:p>
            <w:pPr>
              <w:pStyle w:val="TableParagraph"/>
              <w:spacing w:before="2"/>
              <w:ind w:left="107"/>
              <w:rPr>
                <w:sz w:val="26"/>
              </w:rPr>
            </w:pPr>
            <w:r>
              <w:rPr>
                <w:w w:val="99"/>
                <w:sz w:val="26"/>
              </w:rPr>
              <w:t>2</w:t>
            </w:r>
          </w:p>
        </w:tc>
        <w:tc>
          <w:tcPr>
            <w:tcW w:w="2124" w:type="dxa"/>
          </w:tcPr>
          <w:p>
            <w:pPr>
              <w:pStyle w:val="TableParagraph"/>
              <w:spacing w:before="2"/>
              <w:ind w:left="105"/>
              <w:rPr>
                <w:sz w:val="26"/>
              </w:rPr>
            </w:pPr>
            <w:r>
              <w:rPr>
                <w:sz w:val="26"/>
              </w:rPr>
              <w:t>Kho chứa hàng</w:t>
            </w:r>
          </w:p>
        </w:tc>
        <w:tc>
          <w:tcPr>
            <w:tcW w:w="710" w:type="dxa"/>
          </w:tcPr>
          <w:p>
            <w:pPr>
              <w:pStyle w:val="TableParagraph"/>
              <w:spacing w:line="151" w:lineRule="auto" w:before="51"/>
              <w:ind w:left="108"/>
              <w:rPr>
                <w:sz w:val="17"/>
              </w:rPr>
            </w:pPr>
            <w:r>
              <w:rPr>
                <w:position w:val="-8"/>
                <w:sz w:val="26"/>
              </w:rPr>
              <w:t>m</w:t>
            </w:r>
            <w:r>
              <w:rPr>
                <w:sz w:val="17"/>
              </w:rPr>
              <w:t>2</w:t>
            </w:r>
          </w:p>
        </w:tc>
        <w:tc>
          <w:tcPr>
            <w:tcW w:w="991" w:type="dxa"/>
          </w:tcPr>
          <w:p>
            <w:pPr>
              <w:pStyle w:val="TableParagraph"/>
              <w:spacing w:before="2"/>
              <w:ind w:left="108"/>
              <w:rPr>
                <w:sz w:val="26"/>
              </w:rPr>
            </w:pPr>
            <w:r>
              <w:rPr>
                <w:sz w:val="26"/>
              </w:rPr>
              <w:t>40.000</w:t>
            </w:r>
          </w:p>
        </w:tc>
        <w:tc>
          <w:tcPr>
            <w:tcW w:w="1135" w:type="dxa"/>
          </w:tcPr>
          <w:p>
            <w:pPr>
              <w:pStyle w:val="TableParagraph"/>
              <w:spacing w:before="2"/>
              <w:ind w:left="109"/>
              <w:rPr>
                <w:sz w:val="26"/>
              </w:rPr>
            </w:pPr>
            <w:r>
              <w:rPr>
                <w:sz w:val="26"/>
              </w:rPr>
              <w:t>49.000</w:t>
            </w:r>
          </w:p>
        </w:tc>
        <w:tc>
          <w:tcPr>
            <w:tcW w:w="991" w:type="dxa"/>
          </w:tcPr>
          <w:p>
            <w:pPr>
              <w:pStyle w:val="TableParagraph"/>
              <w:spacing w:before="2"/>
              <w:ind w:left="107"/>
              <w:rPr>
                <w:sz w:val="26"/>
              </w:rPr>
            </w:pPr>
            <w:r>
              <w:rPr>
                <w:sz w:val="26"/>
              </w:rPr>
              <w:t>32.000</w:t>
            </w:r>
          </w:p>
        </w:tc>
        <w:tc>
          <w:tcPr>
            <w:tcW w:w="1133" w:type="dxa"/>
          </w:tcPr>
          <w:p>
            <w:pPr>
              <w:pStyle w:val="TableParagraph"/>
              <w:spacing w:before="2"/>
              <w:ind w:left="109"/>
              <w:rPr>
                <w:sz w:val="26"/>
              </w:rPr>
            </w:pPr>
            <w:r>
              <w:rPr>
                <w:sz w:val="26"/>
              </w:rPr>
              <w:t>50.000</w:t>
            </w:r>
          </w:p>
        </w:tc>
        <w:tc>
          <w:tcPr>
            <w:tcW w:w="853" w:type="dxa"/>
          </w:tcPr>
          <w:p>
            <w:pPr>
              <w:pStyle w:val="TableParagraph"/>
              <w:spacing w:before="2"/>
              <w:ind w:left="110"/>
              <w:rPr>
                <w:sz w:val="26"/>
              </w:rPr>
            </w:pPr>
            <w:r>
              <w:rPr>
                <w:sz w:val="26"/>
              </w:rPr>
              <w:t>15.50</w:t>
            </w:r>
          </w:p>
        </w:tc>
        <w:tc>
          <w:tcPr>
            <w:tcW w:w="864" w:type="dxa"/>
          </w:tcPr>
          <w:p>
            <w:pPr>
              <w:pStyle w:val="TableParagraph"/>
              <w:rPr>
                <w:sz w:val="24"/>
              </w:rPr>
            </w:pPr>
          </w:p>
        </w:tc>
      </w:tr>
      <w:tr>
        <w:trPr>
          <w:trHeight w:val="897" w:hRule="atLeast"/>
        </w:trPr>
        <w:tc>
          <w:tcPr>
            <w:tcW w:w="535" w:type="dxa"/>
          </w:tcPr>
          <w:p>
            <w:pPr>
              <w:pStyle w:val="TableParagraph"/>
              <w:spacing w:before="2"/>
              <w:ind w:left="107"/>
              <w:rPr>
                <w:sz w:val="26"/>
              </w:rPr>
            </w:pPr>
            <w:r>
              <w:rPr>
                <w:w w:val="99"/>
                <w:sz w:val="26"/>
              </w:rPr>
              <w:t>3</w:t>
            </w:r>
          </w:p>
        </w:tc>
        <w:tc>
          <w:tcPr>
            <w:tcW w:w="2124" w:type="dxa"/>
          </w:tcPr>
          <w:p>
            <w:pPr>
              <w:pStyle w:val="TableParagraph"/>
              <w:spacing w:before="2"/>
              <w:ind w:left="105"/>
              <w:rPr>
                <w:sz w:val="26"/>
              </w:rPr>
            </w:pPr>
            <w:r>
              <w:rPr>
                <w:sz w:val="26"/>
              </w:rPr>
              <w:t>Bãi</w:t>
            </w:r>
            <w:r>
              <w:rPr>
                <w:spacing w:val="-3"/>
                <w:sz w:val="26"/>
              </w:rPr>
              <w:t> </w:t>
            </w:r>
            <w:r>
              <w:rPr>
                <w:sz w:val="26"/>
              </w:rPr>
              <w:t>chứa</w:t>
            </w:r>
          </w:p>
          <w:p>
            <w:pPr>
              <w:pStyle w:val="TableParagraph"/>
              <w:spacing w:before="149"/>
              <w:ind w:left="105"/>
              <w:rPr>
                <w:sz w:val="26"/>
              </w:rPr>
            </w:pPr>
            <w:r>
              <w:rPr>
                <w:sz w:val="26"/>
              </w:rPr>
              <w:t>container</w:t>
            </w:r>
          </w:p>
        </w:tc>
        <w:tc>
          <w:tcPr>
            <w:tcW w:w="710" w:type="dxa"/>
          </w:tcPr>
          <w:p>
            <w:pPr>
              <w:pStyle w:val="TableParagraph"/>
              <w:spacing w:line="151" w:lineRule="auto" w:before="51"/>
              <w:ind w:left="108"/>
              <w:rPr>
                <w:sz w:val="17"/>
              </w:rPr>
            </w:pPr>
            <w:r>
              <w:rPr>
                <w:position w:val="-8"/>
                <w:sz w:val="26"/>
              </w:rPr>
              <w:t>m</w:t>
            </w:r>
            <w:r>
              <w:rPr>
                <w:sz w:val="17"/>
              </w:rPr>
              <w:t>2</w:t>
            </w:r>
          </w:p>
        </w:tc>
        <w:tc>
          <w:tcPr>
            <w:tcW w:w="991" w:type="dxa"/>
          </w:tcPr>
          <w:p>
            <w:pPr>
              <w:pStyle w:val="TableParagraph"/>
              <w:spacing w:before="2"/>
              <w:ind w:left="108"/>
              <w:rPr>
                <w:sz w:val="26"/>
              </w:rPr>
            </w:pPr>
            <w:r>
              <w:rPr>
                <w:sz w:val="26"/>
              </w:rPr>
              <w:t>80.000</w:t>
            </w:r>
          </w:p>
        </w:tc>
        <w:tc>
          <w:tcPr>
            <w:tcW w:w="1135" w:type="dxa"/>
          </w:tcPr>
          <w:p>
            <w:pPr>
              <w:pStyle w:val="TableParagraph"/>
              <w:spacing w:before="2"/>
              <w:ind w:left="109"/>
              <w:rPr>
                <w:sz w:val="26"/>
              </w:rPr>
            </w:pPr>
            <w:r>
              <w:rPr>
                <w:sz w:val="26"/>
              </w:rPr>
              <w:t>13.000</w:t>
            </w:r>
          </w:p>
        </w:tc>
        <w:tc>
          <w:tcPr>
            <w:tcW w:w="991" w:type="dxa"/>
          </w:tcPr>
          <w:p>
            <w:pPr>
              <w:pStyle w:val="TableParagraph"/>
              <w:spacing w:before="2"/>
              <w:ind w:left="107"/>
              <w:rPr>
                <w:sz w:val="26"/>
              </w:rPr>
            </w:pPr>
            <w:r>
              <w:rPr>
                <w:sz w:val="26"/>
              </w:rPr>
              <w:t>30.000</w:t>
            </w:r>
          </w:p>
        </w:tc>
        <w:tc>
          <w:tcPr>
            <w:tcW w:w="1133" w:type="dxa"/>
          </w:tcPr>
          <w:p>
            <w:pPr>
              <w:pStyle w:val="TableParagraph"/>
              <w:spacing w:before="2"/>
              <w:ind w:left="109"/>
              <w:rPr>
                <w:sz w:val="26"/>
              </w:rPr>
            </w:pPr>
            <w:r>
              <w:rPr>
                <w:sz w:val="26"/>
              </w:rPr>
              <w:t>198.000</w:t>
            </w:r>
          </w:p>
        </w:tc>
        <w:tc>
          <w:tcPr>
            <w:tcW w:w="853" w:type="dxa"/>
          </w:tcPr>
          <w:p>
            <w:pPr>
              <w:pStyle w:val="TableParagraph"/>
              <w:spacing w:before="2"/>
              <w:ind w:left="110"/>
              <w:rPr>
                <w:sz w:val="26"/>
              </w:rPr>
            </w:pPr>
            <w:r>
              <w:rPr>
                <w:sz w:val="26"/>
              </w:rPr>
              <w:t>19.8</w:t>
            </w:r>
          </w:p>
        </w:tc>
        <w:tc>
          <w:tcPr>
            <w:tcW w:w="864" w:type="dxa"/>
          </w:tcPr>
          <w:p>
            <w:pPr>
              <w:pStyle w:val="TableParagraph"/>
              <w:rPr>
                <w:sz w:val="24"/>
              </w:rPr>
            </w:pPr>
          </w:p>
        </w:tc>
      </w:tr>
      <w:tr>
        <w:trPr>
          <w:trHeight w:val="448" w:hRule="atLeast"/>
        </w:trPr>
        <w:tc>
          <w:tcPr>
            <w:tcW w:w="535" w:type="dxa"/>
          </w:tcPr>
          <w:p>
            <w:pPr>
              <w:pStyle w:val="TableParagraph"/>
              <w:spacing w:before="2"/>
              <w:ind w:left="107"/>
              <w:rPr>
                <w:sz w:val="26"/>
              </w:rPr>
            </w:pPr>
            <w:r>
              <w:rPr>
                <w:w w:val="99"/>
                <w:sz w:val="26"/>
              </w:rPr>
              <w:t>4</w:t>
            </w:r>
          </w:p>
        </w:tc>
        <w:tc>
          <w:tcPr>
            <w:tcW w:w="2124" w:type="dxa"/>
          </w:tcPr>
          <w:p>
            <w:pPr>
              <w:pStyle w:val="TableParagraph"/>
              <w:spacing w:before="2"/>
              <w:ind w:left="105"/>
              <w:rPr>
                <w:sz w:val="26"/>
              </w:rPr>
            </w:pPr>
            <w:r>
              <w:rPr>
                <w:sz w:val="26"/>
              </w:rPr>
              <w:t>Cầu cảng</w:t>
            </w:r>
          </w:p>
        </w:tc>
        <w:tc>
          <w:tcPr>
            <w:tcW w:w="710" w:type="dxa"/>
          </w:tcPr>
          <w:p>
            <w:pPr>
              <w:pStyle w:val="TableParagraph"/>
              <w:spacing w:before="2"/>
              <w:ind w:left="108"/>
              <w:rPr>
                <w:sz w:val="26"/>
              </w:rPr>
            </w:pPr>
            <w:r>
              <w:rPr>
                <w:w w:val="99"/>
                <w:sz w:val="26"/>
              </w:rPr>
              <w:t>m</w:t>
            </w:r>
          </w:p>
        </w:tc>
        <w:tc>
          <w:tcPr>
            <w:tcW w:w="991" w:type="dxa"/>
          </w:tcPr>
          <w:p>
            <w:pPr>
              <w:pStyle w:val="TableParagraph"/>
              <w:spacing w:before="2"/>
              <w:ind w:left="108"/>
              <w:rPr>
                <w:sz w:val="26"/>
              </w:rPr>
            </w:pPr>
            <w:r>
              <w:rPr>
                <w:sz w:val="26"/>
              </w:rPr>
              <w:t>165</w:t>
            </w:r>
          </w:p>
        </w:tc>
        <w:tc>
          <w:tcPr>
            <w:tcW w:w="1135" w:type="dxa"/>
          </w:tcPr>
          <w:p>
            <w:pPr>
              <w:pStyle w:val="TableParagraph"/>
              <w:spacing w:before="2"/>
              <w:ind w:left="109"/>
              <w:rPr>
                <w:sz w:val="26"/>
              </w:rPr>
            </w:pPr>
            <w:r>
              <w:rPr>
                <w:sz w:val="26"/>
              </w:rPr>
              <w:t>100</w:t>
            </w:r>
          </w:p>
        </w:tc>
        <w:tc>
          <w:tcPr>
            <w:tcW w:w="991" w:type="dxa"/>
          </w:tcPr>
          <w:p>
            <w:pPr>
              <w:pStyle w:val="TableParagraph"/>
              <w:spacing w:before="2"/>
              <w:ind w:left="107"/>
              <w:rPr>
                <w:sz w:val="26"/>
              </w:rPr>
            </w:pPr>
            <w:r>
              <w:rPr>
                <w:sz w:val="26"/>
              </w:rPr>
              <w:t>75</w:t>
            </w:r>
          </w:p>
        </w:tc>
        <w:tc>
          <w:tcPr>
            <w:tcW w:w="1133" w:type="dxa"/>
          </w:tcPr>
          <w:p>
            <w:pPr>
              <w:pStyle w:val="TableParagraph"/>
              <w:rPr>
                <w:sz w:val="24"/>
              </w:rPr>
            </w:pPr>
          </w:p>
        </w:tc>
        <w:tc>
          <w:tcPr>
            <w:tcW w:w="853" w:type="dxa"/>
          </w:tcPr>
          <w:p>
            <w:pPr>
              <w:pStyle w:val="TableParagraph"/>
              <w:rPr>
                <w:sz w:val="24"/>
              </w:rPr>
            </w:pPr>
          </w:p>
        </w:tc>
        <w:tc>
          <w:tcPr>
            <w:tcW w:w="864" w:type="dxa"/>
          </w:tcPr>
          <w:p>
            <w:pPr>
              <w:pStyle w:val="TableParagraph"/>
              <w:rPr>
                <w:sz w:val="24"/>
              </w:rPr>
            </w:pPr>
          </w:p>
        </w:tc>
      </w:tr>
      <w:tr>
        <w:trPr>
          <w:trHeight w:val="897" w:hRule="atLeast"/>
        </w:trPr>
        <w:tc>
          <w:tcPr>
            <w:tcW w:w="535" w:type="dxa"/>
            <w:vMerge w:val="restart"/>
          </w:tcPr>
          <w:p>
            <w:pPr>
              <w:pStyle w:val="TableParagraph"/>
              <w:rPr>
                <w:i/>
                <w:sz w:val="28"/>
              </w:rPr>
            </w:pPr>
          </w:p>
          <w:p>
            <w:pPr>
              <w:pStyle w:val="TableParagraph"/>
              <w:rPr>
                <w:i/>
                <w:sz w:val="28"/>
              </w:rPr>
            </w:pPr>
          </w:p>
          <w:p>
            <w:pPr>
              <w:pStyle w:val="TableParagraph"/>
              <w:rPr>
                <w:i/>
                <w:sz w:val="28"/>
              </w:rPr>
            </w:pPr>
          </w:p>
          <w:p>
            <w:pPr>
              <w:pStyle w:val="TableParagraph"/>
              <w:spacing w:before="3"/>
              <w:rPr>
                <w:i/>
                <w:sz w:val="33"/>
              </w:rPr>
            </w:pPr>
          </w:p>
          <w:p>
            <w:pPr>
              <w:pStyle w:val="TableParagraph"/>
              <w:ind w:left="107"/>
              <w:rPr>
                <w:sz w:val="26"/>
              </w:rPr>
            </w:pPr>
            <w:r>
              <w:rPr>
                <w:w w:val="99"/>
                <w:sz w:val="26"/>
              </w:rPr>
              <w:t>5</w:t>
            </w:r>
          </w:p>
        </w:tc>
        <w:tc>
          <w:tcPr>
            <w:tcW w:w="2124" w:type="dxa"/>
          </w:tcPr>
          <w:p>
            <w:pPr>
              <w:pStyle w:val="TableParagraph"/>
              <w:spacing w:before="2"/>
              <w:ind w:left="105"/>
              <w:rPr>
                <w:sz w:val="26"/>
              </w:rPr>
            </w:pPr>
            <w:r>
              <w:rPr>
                <w:sz w:val="26"/>
              </w:rPr>
              <w:t>Trang thiết bị bốc</w:t>
            </w:r>
          </w:p>
          <w:p>
            <w:pPr>
              <w:pStyle w:val="TableParagraph"/>
              <w:spacing w:before="149"/>
              <w:ind w:left="105"/>
              <w:rPr>
                <w:sz w:val="26"/>
              </w:rPr>
            </w:pPr>
            <w:r>
              <w:rPr>
                <w:sz w:val="26"/>
              </w:rPr>
              <w:t>xếp</w:t>
            </w:r>
          </w:p>
        </w:tc>
        <w:tc>
          <w:tcPr>
            <w:tcW w:w="710" w:type="dxa"/>
          </w:tcPr>
          <w:p>
            <w:pPr>
              <w:pStyle w:val="TableParagraph"/>
              <w:spacing w:before="2"/>
              <w:ind w:left="108"/>
              <w:rPr>
                <w:sz w:val="26"/>
              </w:rPr>
            </w:pPr>
            <w:r>
              <w:rPr>
                <w:sz w:val="26"/>
              </w:rPr>
              <w:t>Cái</w:t>
            </w:r>
          </w:p>
        </w:tc>
        <w:tc>
          <w:tcPr>
            <w:tcW w:w="991" w:type="dxa"/>
          </w:tcPr>
          <w:p>
            <w:pPr>
              <w:pStyle w:val="TableParagraph"/>
              <w:rPr>
                <w:sz w:val="24"/>
              </w:rPr>
            </w:pPr>
          </w:p>
        </w:tc>
        <w:tc>
          <w:tcPr>
            <w:tcW w:w="1135" w:type="dxa"/>
          </w:tcPr>
          <w:p>
            <w:pPr>
              <w:pStyle w:val="TableParagraph"/>
              <w:rPr>
                <w:sz w:val="24"/>
              </w:rPr>
            </w:pPr>
          </w:p>
        </w:tc>
        <w:tc>
          <w:tcPr>
            <w:tcW w:w="991" w:type="dxa"/>
          </w:tcPr>
          <w:p>
            <w:pPr>
              <w:pStyle w:val="TableParagraph"/>
              <w:rPr>
                <w:sz w:val="24"/>
              </w:rPr>
            </w:pPr>
          </w:p>
        </w:tc>
        <w:tc>
          <w:tcPr>
            <w:tcW w:w="1133" w:type="dxa"/>
          </w:tcPr>
          <w:p>
            <w:pPr>
              <w:pStyle w:val="TableParagraph"/>
              <w:rPr>
                <w:sz w:val="24"/>
              </w:rPr>
            </w:pPr>
          </w:p>
        </w:tc>
        <w:tc>
          <w:tcPr>
            <w:tcW w:w="853" w:type="dxa"/>
          </w:tcPr>
          <w:p>
            <w:pPr>
              <w:pStyle w:val="TableParagraph"/>
              <w:rPr>
                <w:sz w:val="24"/>
              </w:rPr>
            </w:pPr>
          </w:p>
        </w:tc>
        <w:tc>
          <w:tcPr>
            <w:tcW w:w="864" w:type="dxa"/>
          </w:tcPr>
          <w:p>
            <w:pPr>
              <w:pStyle w:val="TableParagraph"/>
              <w:rPr>
                <w:sz w:val="24"/>
              </w:rPr>
            </w:pPr>
          </w:p>
        </w:tc>
      </w:tr>
      <w:tr>
        <w:trPr>
          <w:trHeight w:val="897" w:hRule="atLeast"/>
        </w:trPr>
        <w:tc>
          <w:tcPr>
            <w:tcW w:w="535" w:type="dxa"/>
            <w:vMerge/>
            <w:tcBorders>
              <w:top w:val="nil"/>
            </w:tcBorders>
          </w:tcPr>
          <w:p>
            <w:pPr>
              <w:rPr>
                <w:sz w:val="2"/>
                <w:szCs w:val="2"/>
              </w:rPr>
            </w:pPr>
          </w:p>
        </w:tc>
        <w:tc>
          <w:tcPr>
            <w:tcW w:w="2124" w:type="dxa"/>
          </w:tcPr>
          <w:p>
            <w:pPr>
              <w:pStyle w:val="TableParagraph"/>
              <w:spacing w:before="2"/>
              <w:ind w:left="105"/>
              <w:rPr>
                <w:sz w:val="26"/>
              </w:rPr>
            </w:pPr>
            <w:r>
              <w:rPr>
                <w:sz w:val="26"/>
              </w:rPr>
              <w:t>Cần cẩu trục cố</w:t>
            </w:r>
          </w:p>
          <w:p>
            <w:pPr>
              <w:pStyle w:val="TableParagraph"/>
              <w:spacing w:before="150"/>
              <w:ind w:left="105"/>
              <w:rPr>
                <w:sz w:val="26"/>
              </w:rPr>
            </w:pPr>
            <w:r>
              <w:rPr>
                <w:sz w:val="26"/>
              </w:rPr>
              <w:t>định</w:t>
            </w:r>
          </w:p>
        </w:tc>
        <w:tc>
          <w:tcPr>
            <w:tcW w:w="710" w:type="dxa"/>
          </w:tcPr>
          <w:p>
            <w:pPr>
              <w:pStyle w:val="TableParagraph"/>
              <w:spacing w:before="2"/>
              <w:ind w:left="108"/>
              <w:rPr>
                <w:sz w:val="26"/>
              </w:rPr>
            </w:pPr>
            <w:r>
              <w:rPr>
                <w:sz w:val="26"/>
              </w:rPr>
              <w:t>Cái</w:t>
            </w:r>
          </w:p>
        </w:tc>
        <w:tc>
          <w:tcPr>
            <w:tcW w:w="991" w:type="dxa"/>
          </w:tcPr>
          <w:p>
            <w:pPr>
              <w:pStyle w:val="TableParagraph"/>
              <w:spacing w:before="2"/>
              <w:ind w:left="108"/>
              <w:rPr>
                <w:sz w:val="26"/>
              </w:rPr>
            </w:pPr>
            <w:r>
              <w:rPr>
                <w:w w:val="99"/>
                <w:sz w:val="26"/>
              </w:rPr>
              <w:t>6</w:t>
            </w:r>
          </w:p>
        </w:tc>
        <w:tc>
          <w:tcPr>
            <w:tcW w:w="1135" w:type="dxa"/>
          </w:tcPr>
          <w:p>
            <w:pPr>
              <w:pStyle w:val="TableParagraph"/>
              <w:spacing w:before="2"/>
              <w:ind w:left="109"/>
              <w:rPr>
                <w:sz w:val="26"/>
              </w:rPr>
            </w:pPr>
            <w:r>
              <w:rPr>
                <w:w w:val="99"/>
                <w:sz w:val="26"/>
              </w:rPr>
              <w:t>3</w:t>
            </w:r>
          </w:p>
        </w:tc>
        <w:tc>
          <w:tcPr>
            <w:tcW w:w="991" w:type="dxa"/>
          </w:tcPr>
          <w:p>
            <w:pPr>
              <w:pStyle w:val="TableParagraph"/>
              <w:rPr>
                <w:sz w:val="24"/>
              </w:rPr>
            </w:pPr>
          </w:p>
        </w:tc>
        <w:tc>
          <w:tcPr>
            <w:tcW w:w="1133" w:type="dxa"/>
          </w:tcPr>
          <w:p>
            <w:pPr>
              <w:pStyle w:val="TableParagraph"/>
              <w:rPr>
                <w:sz w:val="24"/>
              </w:rPr>
            </w:pPr>
          </w:p>
        </w:tc>
        <w:tc>
          <w:tcPr>
            <w:tcW w:w="853" w:type="dxa"/>
          </w:tcPr>
          <w:p>
            <w:pPr>
              <w:pStyle w:val="TableParagraph"/>
              <w:rPr>
                <w:sz w:val="24"/>
              </w:rPr>
            </w:pPr>
          </w:p>
        </w:tc>
        <w:tc>
          <w:tcPr>
            <w:tcW w:w="864" w:type="dxa"/>
          </w:tcPr>
          <w:p>
            <w:pPr>
              <w:pStyle w:val="TableParagraph"/>
              <w:rPr>
                <w:sz w:val="24"/>
              </w:rPr>
            </w:pPr>
          </w:p>
        </w:tc>
      </w:tr>
      <w:tr>
        <w:trPr>
          <w:trHeight w:val="894" w:hRule="atLeast"/>
        </w:trPr>
        <w:tc>
          <w:tcPr>
            <w:tcW w:w="535" w:type="dxa"/>
            <w:vMerge/>
            <w:tcBorders>
              <w:top w:val="nil"/>
            </w:tcBorders>
          </w:tcPr>
          <w:p>
            <w:pPr>
              <w:rPr>
                <w:sz w:val="2"/>
                <w:szCs w:val="2"/>
              </w:rPr>
            </w:pPr>
          </w:p>
        </w:tc>
        <w:tc>
          <w:tcPr>
            <w:tcW w:w="2124" w:type="dxa"/>
          </w:tcPr>
          <w:p>
            <w:pPr>
              <w:pStyle w:val="TableParagraph"/>
              <w:spacing w:before="2"/>
              <w:ind w:left="105"/>
              <w:rPr>
                <w:sz w:val="26"/>
              </w:rPr>
            </w:pPr>
            <w:r>
              <w:rPr>
                <w:sz w:val="26"/>
              </w:rPr>
              <w:t>Cần cẩu trục di</w:t>
            </w:r>
          </w:p>
          <w:p>
            <w:pPr>
              <w:pStyle w:val="TableParagraph"/>
              <w:spacing w:before="149"/>
              <w:ind w:left="105"/>
              <w:rPr>
                <w:sz w:val="26"/>
              </w:rPr>
            </w:pPr>
            <w:r>
              <w:rPr>
                <w:sz w:val="26"/>
              </w:rPr>
              <w:t>động</w:t>
            </w:r>
          </w:p>
        </w:tc>
        <w:tc>
          <w:tcPr>
            <w:tcW w:w="710" w:type="dxa"/>
          </w:tcPr>
          <w:p>
            <w:pPr>
              <w:pStyle w:val="TableParagraph"/>
              <w:spacing w:before="2"/>
              <w:ind w:left="108"/>
              <w:rPr>
                <w:sz w:val="26"/>
              </w:rPr>
            </w:pPr>
            <w:r>
              <w:rPr>
                <w:sz w:val="26"/>
              </w:rPr>
              <w:t>Cái</w:t>
            </w:r>
          </w:p>
        </w:tc>
        <w:tc>
          <w:tcPr>
            <w:tcW w:w="991" w:type="dxa"/>
          </w:tcPr>
          <w:p>
            <w:pPr>
              <w:pStyle w:val="TableParagraph"/>
              <w:spacing w:before="2"/>
              <w:ind w:left="108"/>
              <w:rPr>
                <w:sz w:val="26"/>
              </w:rPr>
            </w:pPr>
            <w:r>
              <w:rPr>
                <w:sz w:val="26"/>
              </w:rPr>
              <w:t>16</w:t>
            </w:r>
          </w:p>
        </w:tc>
        <w:tc>
          <w:tcPr>
            <w:tcW w:w="1135" w:type="dxa"/>
          </w:tcPr>
          <w:p>
            <w:pPr>
              <w:pStyle w:val="TableParagraph"/>
              <w:rPr>
                <w:sz w:val="24"/>
              </w:rPr>
            </w:pPr>
          </w:p>
        </w:tc>
        <w:tc>
          <w:tcPr>
            <w:tcW w:w="991" w:type="dxa"/>
          </w:tcPr>
          <w:p>
            <w:pPr>
              <w:pStyle w:val="TableParagraph"/>
              <w:spacing w:before="2"/>
              <w:ind w:left="107"/>
              <w:rPr>
                <w:sz w:val="26"/>
              </w:rPr>
            </w:pPr>
            <w:r>
              <w:rPr>
                <w:w w:val="99"/>
                <w:sz w:val="26"/>
              </w:rPr>
              <w:t>2</w:t>
            </w:r>
          </w:p>
        </w:tc>
        <w:tc>
          <w:tcPr>
            <w:tcW w:w="1133" w:type="dxa"/>
          </w:tcPr>
          <w:p>
            <w:pPr>
              <w:pStyle w:val="TableParagraph"/>
              <w:spacing w:before="2"/>
              <w:ind w:left="109"/>
              <w:rPr>
                <w:sz w:val="26"/>
              </w:rPr>
            </w:pPr>
            <w:r>
              <w:rPr>
                <w:w w:val="99"/>
                <w:sz w:val="26"/>
              </w:rPr>
              <w:t>2</w:t>
            </w:r>
          </w:p>
        </w:tc>
        <w:tc>
          <w:tcPr>
            <w:tcW w:w="853" w:type="dxa"/>
          </w:tcPr>
          <w:p>
            <w:pPr>
              <w:pStyle w:val="TableParagraph"/>
              <w:rPr>
                <w:sz w:val="24"/>
              </w:rPr>
            </w:pPr>
          </w:p>
        </w:tc>
        <w:tc>
          <w:tcPr>
            <w:tcW w:w="864" w:type="dxa"/>
          </w:tcPr>
          <w:p>
            <w:pPr>
              <w:pStyle w:val="TableParagraph"/>
              <w:spacing w:before="2"/>
              <w:ind w:left="109"/>
              <w:rPr>
                <w:sz w:val="26"/>
              </w:rPr>
            </w:pPr>
            <w:r>
              <w:rPr>
                <w:w w:val="99"/>
                <w:sz w:val="26"/>
              </w:rPr>
              <w:t>7</w:t>
            </w:r>
          </w:p>
        </w:tc>
      </w:tr>
      <w:tr>
        <w:trPr>
          <w:trHeight w:val="448" w:hRule="atLeast"/>
        </w:trPr>
        <w:tc>
          <w:tcPr>
            <w:tcW w:w="535" w:type="dxa"/>
            <w:vMerge/>
            <w:tcBorders>
              <w:top w:val="nil"/>
            </w:tcBorders>
          </w:tcPr>
          <w:p>
            <w:pPr>
              <w:rPr>
                <w:sz w:val="2"/>
                <w:szCs w:val="2"/>
              </w:rPr>
            </w:pPr>
          </w:p>
        </w:tc>
        <w:tc>
          <w:tcPr>
            <w:tcW w:w="2124" w:type="dxa"/>
          </w:tcPr>
          <w:p>
            <w:pPr>
              <w:pStyle w:val="TableParagraph"/>
              <w:spacing w:before="4"/>
              <w:ind w:left="105"/>
              <w:rPr>
                <w:sz w:val="26"/>
              </w:rPr>
            </w:pPr>
            <w:r>
              <w:rPr>
                <w:sz w:val="26"/>
              </w:rPr>
              <w:t>Xe nâng container</w:t>
            </w:r>
          </w:p>
        </w:tc>
        <w:tc>
          <w:tcPr>
            <w:tcW w:w="710" w:type="dxa"/>
          </w:tcPr>
          <w:p>
            <w:pPr>
              <w:pStyle w:val="TableParagraph"/>
              <w:spacing w:before="4"/>
              <w:ind w:left="108"/>
              <w:rPr>
                <w:sz w:val="26"/>
              </w:rPr>
            </w:pPr>
            <w:r>
              <w:rPr>
                <w:sz w:val="26"/>
              </w:rPr>
              <w:t>Cái</w:t>
            </w:r>
          </w:p>
        </w:tc>
        <w:tc>
          <w:tcPr>
            <w:tcW w:w="991" w:type="dxa"/>
          </w:tcPr>
          <w:p>
            <w:pPr>
              <w:pStyle w:val="TableParagraph"/>
              <w:spacing w:before="4"/>
              <w:ind w:left="108"/>
              <w:rPr>
                <w:sz w:val="26"/>
              </w:rPr>
            </w:pPr>
            <w:r>
              <w:rPr>
                <w:sz w:val="26"/>
              </w:rPr>
              <w:t>50</w:t>
            </w:r>
          </w:p>
        </w:tc>
        <w:tc>
          <w:tcPr>
            <w:tcW w:w="1135" w:type="dxa"/>
          </w:tcPr>
          <w:p>
            <w:pPr>
              <w:pStyle w:val="TableParagraph"/>
              <w:spacing w:before="4"/>
              <w:ind w:left="109"/>
              <w:rPr>
                <w:sz w:val="26"/>
              </w:rPr>
            </w:pPr>
            <w:r>
              <w:rPr>
                <w:w w:val="99"/>
                <w:sz w:val="26"/>
              </w:rPr>
              <w:t>5</w:t>
            </w:r>
          </w:p>
        </w:tc>
        <w:tc>
          <w:tcPr>
            <w:tcW w:w="991" w:type="dxa"/>
          </w:tcPr>
          <w:p>
            <w:pPr>
              <w:pStyle w:val="TableParagraph"/>
              <w:spacing w:before="4"/>
              <w:ind w:left="107"/>
              <w:rPr>
                <w:sz w:val="26"/>
              </w:rPr>
            </w:pPr>
            <w:r>
              <w:rPr>
                <w:w w:val="99"/>
                <w:sz w:val="26"/>
              </w:rPr>
              <w:t>2</w:t>
            </w:r>
          </w:p>
        </w:tc>
        <w:tc>
          <w:tcPr>
            <w:tcW w:w="1133" w:type="dxa"/>
          </w:tcPr>
          <w:p>
            <w:pPr>
              <w:pStyle w:val="TableParagraph"/>
              <w:spacing w:before="4"/>
              <w:ind w:left="109"/>
              <w:rPr>
                <w:sz w:val="26"/>
              </w:rPr>
            </w:pPr>
            <w:r>
              <w:rPr>
                <w:w w:val="99"/>
                <w:sz w:val="26"/>
              </w:rPr>
              <w:t>2</w:t>
            </w:r>
          </w:p>
        </w:tc>
        <w:tc>
          <w:tcPr>
            <w:tcW w:w="853" w:type="dxa"/>
          </w:tcPr>
          <w:p>
            <w:pPr>
              <w:pStyle w:val="TableParagraph"/>
              <w:spacing w:before="4"/>
              <w:ind w:left="110"/>
              <w:rPr>
                <w:sz w:val="26"/>
              </w:rPr>
            </w:pPr>
            <w:r>
              <w:rPr>
                <w:w w:val="99"/>
                <w:sz w:val="26"/>
              </w:rPr>
              <w:t>3</w:t>
            </w:r>
          </w:p>
        </w:tc>
        <w:tc>
          <w:tcPr>
            <w:tcW w:w="864" w:type="dxa"/>
          </w:tcPr>
          <w:p>
            <w:pPr>
              <w:pStyle w:val="TableParagraph"/>
              <w:spacing w:before="4"/>
              <w:ind w:left="109"/>
              <w:rPr>
                <w:sz w:val="26"/>
              </w:rPr>
            </w:pPr>
            <w:r>
              <w:rPr>
                <w:w w:val="99"/>
                <w:sz w:val="26"/>
              </w:rPr>
              <w:t>6</w:t>
            </w:r>
          </w:p>
        </w:tc>
      </w:tr>
      <w:tr>
        <w:trPr>
          <w:trHeight w:val="448" w:hRule="atLeast"/>
        </w:trPr>
        <w:tc>
          <w:tcPr>
            <w:tcW w:w="535" w:type="dxa"/>
            <w:vMerge/>
            <w:tcBorders>
              <w:top w:val="nil"/>
            </w:tcBorders>
          </w:tcPr>
          <w:p>
            <w:pPr>
              <w:rPr>
                <w:sz w:val="2"/>
                <w:szCs w:val="2"/>
              </w:rPr>
            </w:pPr>
          </w:p>
        </w:tc>
        <w:tc>
          <w:tcPr>
            <w:tcW w:w="2124" w:type="dxa"/>
          </w:tcPr>
          <w:p>
            <w:pPr>
              <w:pStyle w:val="TableParagraph"/>
              <w:spacing w:before="4"/>
              <w:ind w:left="105"/>
              <w:rPr>
                <w:sz w:val="26"/>
              </w:rPr>
            </w:pPr>
            <w:r>
              <w:rPr>
                <w:sz w:val="26"/>
              </w:rPr>
              <w:t>Xe nâng hàng</w:t>
            </w:r>
          </w:p>
        </w:tc>
        <w:tc>
          <w:tcPr>
            <w:tcW w:w="710" w:type="dxa"/>
          </w:tcPr>
          <w:p>
            <w:pPr>
              <w:pStyle w:val="TableParagraph"/>
              <w:spacing w:before="4"/>
              <w:ind w:left="108"/>
              <w:rPr>
                <w:sz w:val="26"/>
              </w:rPr>
            </w:pPr>
            <w:r>
              <w:rPr>
                <w:sz w:val="26"/>
              </w:rPr>
              <w:t>Cái</w:t>
            </w:r>
          </w:p>
        </w:tc>
        <w:tc>
          <w:tcPr>
            <w:tcW w:w="991" w:type="dxa"/>
          </w:tcPr>
          <w:p>
            <w:pPr>
              <w:pStyle w:val="TableParagraph"/>
              <w:spacing w:before="4"/>
              <w:ind w:left="108"/>
              <w:rPr>
                <w:sz w:val="26"/>
              </w:rPr>
            </w:pPr>
            <w:r>
              <w:rPr>
                <w:sz w:val="26"/>
              </w:rPr>
              <w:t>12</w:t>
            </w:r>
          </w:p>
        </w:tc>
        <w:tc>
          <w:tcPr>
            <w:tcW w:w="1135" w:type="dxa"/>
          </w:tcPr>
          <w:p>
            <w:pPr>
              <w:pStyle w:val="TableParagraph"/>
              <w:spacing w:before="4"/>
              <w:ind w:left="109"/>
              <w:rPr>
                <w:sz w:val="26"/>
              </w:rPr>
            </w:pPr>
            <w:r>
              <w:rPr>
                <w:w w:val="99"/>
                <w:sz w:val="26"/>
              </w:rPr>
              <w:t>7</w:t>
            </w:r>
          </w:p>
        </w:tc>
        <w:tc>
          <w:tcPr>
            <w:tcW w:w="991" w:type="dxa"/>
          </w:tcPr>
          <w:p>
            <w:pPr>
              <w:pStyle w:val="TableParagraph"/>
              <w:spacing w:before="4"/>
              <w:ind w:left="107"/>
              <w:rPr>
                <w:sz w:val="26"/>
              </w:rPr>
            </w:pPr>
            <w:r>
              <w:rPr>
                <w:w w:val="99"/>
                <w:sz w:val="26"/>
              </w:rPr>
              <w:t>3</w:t>
            </w:r>
          </w:p>
        </w:tc>
        <w:tc>
          <w:tcPr>
            <w:tcW w:w="1133" w:type="dxa"/>
          </w:tcPr>
          <w:p>
            <w:pPr>
              <w:pStyle w:val="TableParagraph"/>
              <w:rPr>
                <w:sz w:val="24"/>
              </w:rPr>
            </w:pPr>
          </w:p>
        </w:tc>
        <w:tc>
          <w:tcPr>
            <w:tcW w:w="853" w:type="dxa"/>
          </w:tcPr>
          <w:p>
            <w:pPr>
              <w:pStyle w:val="TableParagraph"/>
              <w:spacing w:before="4"/>
              <w:ind w:left="110"/>
              <w:rPr>
                <w:sz w:val="26"/>
              </w:rPr>
            </w:pPr>
            <w:r>
              <w:rPr>
                <w:w w:val="99"/>
                <w:sz w:val="26"/>
              </w:rPr>
              <w:t>1</w:t>
            </w:r>
          </w:p>
        </w:tc>
        <w:tc>
          <w:tcPr>
            <w:tcW w:w="864" w:type="dxa"/>
          </w:tcPr>
          <w:p>
            <w:pPr>
              <w:pStyle w:val="TableParagraph"/>
              <w:spacing w:before="4"/>
              <w:ind w:left="109"/>
              <w:rPr>
                <w:sz w:val="26"/>
              </w:rPr>
            </w:pPr>
            <w:r>
              <w:rPr>
                <w:sz w:val="26"/>
              </w:rPr>
              <w:t>11</w:t>
            </w:r>
          </w:p>
        </w:tc>
      </w:tr>
      <w:tr>
        <w:trPr>
          <w:trHeight w:val="1346" w:hRule="atLeast"/>
        </w:trPr>
        <w:tc>
          <w:tcPr>
            <w:tcW w:w="535" w:type="dxa"/>
          </w:tcPr>
          <w:p>
            <w:pPr>
              <w:pStyle w:val="TableParagraph"/>
              <w:spacing w:before="4"/>
              <w:ind w:left="107"/>
              <w:rPr>
                <w:sz w:val="26"/>
              </w:rPr>
            </w:pPr>
            <w:r>
              <w:rPr>
                <w:w w:val="99"/>
                <w:sz w:val="26"/>
              </w:rPr>
              <w:t>6</w:t>
            </w:r>
          </w:p>
        </w:tc>
        <w:tc>
          <w:tcPr>
            <w:tcW w:w="2124" w:type="dxa"/>
          </w:tcPr>
          <w:p>
            <w:pPr>
              <w:pStyle w:val="TableParagraph"/>
              <w:spacing w:line="360" w:lineRule="auto" w:before="4"/>
              <w:ind w:left="105" w:right="266"/>
              <w:rPr>
                <w:sz w:val="26"/>
              </w:rPr>
            </w:pPr>
            <w:r>
              <w:rPr>
                <w:sz w:val="26"/>
              </w:rPr>
              <w:t>Sản lượng thông qua</w:t>
            </w:r>
          </w:p>
        </w:tc>
        <w:tc>
          <w:tcPr>
            <w:tcW w:w="710" w:type="dxa"/>
          </w:tcPr>
          <w:p>
            <w:pPr>
              <w:pStyle w:val="TableParagraph"/>
              <w:spacing w:before="4"/>
              <w:ind w:left="108"/>
              <w:rPr>
                <w:sz w:val="26"/>
              </w:rPr>
            </w:pPr>
            <w:r>
              <w:rPr>
                <w:sz w:val="26"/>
              </w:rPr>
              <w:t>10</w:t>
            </w:r>
            <w:r>
              <w:rPr>
                <w:sz w:val="26"/>
                <w:vertAlign w:val="superscript"/>
              </w:rPr>
              <w:t>3</w:t>
            </w:r>
          </w:p>
          <w:p>
            <w:pPr>
              <w:pStyle w:val="TableParagraph"/>
              <w:spacing w:before="150"/>
              <w:ind w:left="108"/>
              <w:rPr>
                <w:sz w:val="26"/>
              </w:rPr>
            </w:pPr>
            <w:r>
              <w:rPr>
                <w:sz w:val="26"/>
              </w:rPr>
              <w:t>TE</w:t>
            </w:r>
          </w:p>
          <w:p>
            <w:pPr>
              <w:pStyle w:val="TableParagraph"/>
              <w:spacing w:before="148"/>
              <w:ind w:left="108"/>
              <w:rPr>
                <w:sz w:val="26"/>
              </w:rPr>
            </w:pPr>
            <w:r>
              <w:rPr>
                <w:sz w:val="26"/>
              </w:rPr>
              <w:t>Us</w:t>
            </w:r>
          </w:p>
        </w:tc>
        <w:tc>
          <w:tcPr>
            <w:tcW w:w="991" w:type="dxa"/>
          </w:tcPr>
          <w:p>
            <w:pPr>
              <w:pStyle w:val="TableParagraph"/>
              <w:spacing w:before="4"/>
              <w:ind w:left="108"/>
              <w:rPr>
                <w:sz w:val="26"/>
              </w:rPr>
            </w:pPr>
            <w:r>
              <w:rPr>
                <w:sz w:val="26"/>
              </w:rPr>
              <w:t>365</w:t>
            </w:r>
          </w:p>
        </w:tc>
        <w:tc>
          <w:tcPr>
            <w:tcW w:w="1135" w:type="dxa"/>
          </w:tcPr>
          <w:p>
            <w:pPr>
              <w:pStyle w:val="TableParagraph"/>
              <w:spacing w:before="4"/>
              <w:ind w:left="109"/>
              <w:rPr>
                <w:sz w:val="26"/>
              </w:rPr>
            </w:pPr>
            <w:r>
              <w:rPr>
                <w:sz w:val="26"/>
              </w:rPr>
              <w:t>178</w:t>
            </w:r>
          </w:p>
        </w:tc>
        <w:tc>
          <w:tcPr>
            <w:tcW w:w="991" w:type="dxa"/>
          </w:tcPr>
          <w:p>
            <w:pPr>
              <w:pStyle w:val="TableParagraph"/>
              <w:spacing w:before="4"/>
              <w:ind w:left="107"/>
              <w:rPr>
                <w:sz w:val="26"/>
              </w:rPr>
            </w:pPr>
            <w:r>
              <w:rPr>
                <w:sz w:val="26"/>
              </w:rPr>
              <w:t>36.3</w:t>
            </w:r>
          </w:p>
        </w:tc>
        <w:tc>
          <w:tcPr>
            <w:tcW w:w="1133" w:type="dxa"/>
          </w:tcPr>
          <w:p>
            <w:pPr>
              <w:pStyle w:val="TableParagraph"/>
              <w:spacing w:before="4"/>
              <w:ind w:left="109"/>
              <w:rPr>
                <w:sz w:val="26"/>
              </w:rPr>
            </w:pPr>
            <w:r>
              <w:rPr>
                <w:sz w:val="26"/>
              </w:rPr>
              <w:t>65</w:t>
            </w:r>
          </w:p>
        </w:tc>
        <w:tc>
          <w:tcPr>
            <w:tcW w:w="853" w:type="dxa"/>
          </w:tcPr>
          <w:p>
            <w:pPr>
              <w:pStyle w:val="TableParagraph"/>
              <w:rPr>
                <w:sz w:val="24"/>
              </w:rPr>
            </w:pPr>
          </w:p>
        </w:tc>
        <w:tc>
          <w:tcPr>
            <w:tcW w:w="864" w:type="dxa"/>
          </w:tcPr>
          <w:p>
            <w:pPr>
              <w:pStyle w:val="TableParagraph"/>
              <w:rPr>
                <w:sz w:val="24"/>
              </w:rPr>
            </w:pPr>
          </w:p>
        </w:tc>
      </w:tr>
      <w:tr>
        <w:trPr>
          <w:trHeight w:val="897" w:hRule="atLeast"/>
        </w:trPr>
        <w:tc>
          <w:tcPr>
            <w:tcW w:w="535" w:type="dxa"/>
            <w:vMerge w:val="restart"/>
          </w:tcPr>
          <w:p>
            <w:pPr>
              <w:pStyle w:val="TableParagraph"/>
              <w:spacing w:before="2"/>
              <w:ind w:left="107"/>
              <w:rPr>
                <w:sz w:val="26"/>
              </w:rPr>
            </w:pPr>
            <w:r>
              <w:rPr>
                <w:w w:val="99"/>
                <w:sz w:val="26"/>
              </w:rPr>
              <w:t>7</w:t>
            </w:r>
          </w:p>
        </w:tc>
        <w:tc>
          <w:tcPr>
            <w:tcW w:w="2124" w:type="dxa"/>
          </w:tcPr>
          <w:p>
            <w:pPr>
              <w:pStyle w:val="TableParagraph"/>
              <w:spacing w:before="2"/>
              <w:ind w:left="105"/>
              <w:rPr>
                <w:sz w:val="26"/>
              </w:rPr>
            </w:pPr>
            <w:r>
              <w:rPr>
                <w:sz w:val="26"/>
              </w:rPr>
              <w:t>Phương tiện vận</w:t>
            </w:r>
          </w:p>
          <w:p>
            <w:pPr>
              <w:pStyle w:val="TableParagraph"/>
              <w:spacing w:before="149"/>
              <w:ind w:left="105"/>
              <w:rPr>
                <w:sz w:val="26"/>
              </w:rPr>
            </w:pPr>
            <w:r>
              <w:rPr>
                <w:sz w:val="26"/>
              </w:rPr>
              <w:t>tải</w:t>
            </w:r>
          </w:p>
        </w:tc>
        <w:tc>
          <w:tcPr>
            <w:tcW w:w="710" w:type="dxa"/>
          </w:tcPr>
          <w:p>
            <w:pPr>
              <w:pStyle w:val="TableParagraph"/>
              <w:spacing w:before="2"/>
              <w:ind w:left="108"/>
              <w:rPr>
                <w:sz w:val="26"/>
              </w:rPr>
            </w:pPr>
            <w:r>
              <w:rPr>
                <w:sz w:val="26"/>
              </w:rPr>
              <w:t>Cái</w:t>
            </w:r>
          </w:p>
        </w:tc>
        <w:tc>
          <w:tcPr>
            <w:tcW w:w="991" w:type="dxa"/>
          </w:tcPr>
          <w:p>
            <w:pPr>
              <w:pStyle w:val="TableParagraph"/>
              <w:rPr>
                <w:sz w:val="24"/>
              </w:rPr>
            </w:pPr>
          </w:p>
        </w:tc>
        <w:tc>
          <w:tcPr>
            <w:tcW w:w="1135" w:type="dxa"/>
          </w:tcPr>
          <w:p>
            <w:pPr>
              <w:pStyle w:val="TableParagraph"/>
              <w:rPr>
                <w:sz w:val="24"/>
              </w:rPr>
            </w:pPr>
          </w:p>
        </w:tc>
        <w:tc>
          <w:tcPr>
            <w:tcW w:w="991" w:type="dxa"/>
          </w:tcPr>
          <w:p>
            <w:pPr>
              <w:pStyle w:val="TableParagraph"/>
              <w:rPr>
                <w:sz w:val="24"/>
              </w:rPr>
            </w:pPr>
          </w:p>
        </w:tc>
        <w:tc>
          <w:tcPr>
            <w:tcW w:w="1133" w:type="dxa"/>
          </w:tcPr>
          <w:p>
            <w:pPr>
              <w:pStyle w:val="TableParagraph"/>
              <w:rPr>
                <w:sz w:val="24"/>
              </w:rPr>
            </w:pPr>
          </w:p>
        </w:tc>
        <w:tc>
          <w:tcPr>
            <w:tcW w:w="853" w:type="dxa"/>
          </w:tcPr>
          <w:p>
            <w:pPr>
              <w:pStyle w:val="TableParagraph"/>
              <w:rPr>
                <w:sz w:val="24"/>
              </w:rPr>
            </w:pPr>
          </w:p>
        </w:tc>
        <w:tc>
          <w:tcPr>
            <w:tcW w:w="864" w:type="dxa"/>
          </w:tcPr>
          <w:p>
            <w:pPr>
              <w:pStyle w:val="TableParagraph"/>
              <w:rPr>
                <w:sz w:val="24"/>
              </w:rPr>
            </w:pPr>
          </w:p>
        </w:tc>
      </w:tr>
      <w:tr>
        <w:trPr>
          <w:trHeight w:val="448" w:hRule="atLeast"/>
        </w:trPr>
        <w:tc>
          <w:tcPr>
            <w:tcW w:w="535" w:type="dxa"/>
            <w:vMerge/>
            <w:tcBorders>
              <w:top w:val="nil"/>
            </w:tcBorders>
          </w:tcPr>
          <w:p>
            <w:pPr>
              <w:rPr>
                <w:sz w:val="2"/>
                <w:szCs w:val="2"/>
              </w:rPr>
            </w:pPr>
          </w:p>
        </w:tc>
        <w:tc>
          <w:tcPr>
            <w:tcW w:w="2124" w:type="dxa"/>
          </w:tcPr>
          <w:p>
            <w:pPr>
              <w:pStyle w:val="TableParagraph"/>
              <w:spacing w:before="2"/>
              <w:ind w:left="105"/>
              <w:rPr>
                <w:sz w:val="26"/>
              </w:rPr>
            </w:pPr>
            <w:r>
              <w:rPr>
                <w:sz w:val="26"/>
              </w:rPr>
              <w:t>Sà lan</w:t>
            </w:r>
          </w:p>
        </w:tc>
        <w:tc>
          <w:tcPr>
            <w:tcW w:w="710" w:type="dxa"/>
          </w:tcPr>
          <w:p>
            <w:pPr>
              <w:pStyle w:val="TableParagraph"/>
              <w:spacing w:before="2"/>
              <w:ind w:left="108"/>
              <w:rPr>
                <w:sz w:val="26"/>
              </w:rPr>
            </w:pPr>
            <w:r>
              <w:rPr>
                <w:sz w:val="26"/>
              </w:rPr>
              <w:t>Cái</w:t>
            </w:r>
          </w:p>
        </w:tc>
        <w:tc>
          <w:tcPr>
            <w:tcW w:w="991" w:type="dxa"/>
          </w:tcPr>
          <w:p>
            <w:pPr>
              <w:pStyle w:val="TableParagraph"/>
              <w:spacing w:before="2"/>
              <w:ind w:left="108"/>
              <w:rPr>
                <w:sz w:val="26"/>
              </w:rPr>
            </w:pPr>
            <w:r>
              <w:rPr>
                <w:sz w:val="26"/>
              </w:rPr>
              <w:t>55</w:t>
            </w:r>
          </w:p>
        </w:tc>
        <w:tc>
          <w:tcPr>
            <w:tcW w:w="1135" w:type="dxa"/>
          </w:tcPr>
          <w:p>
            <w:pPr>
              <w:pStyle w:val="TableParagraph"/>
              <w:rPr>
                <w:sz w:val="24"/>
              </w:rPr>
            </w:pPr>
          </w:p>
        </w:tc>
        <w:tc>
          <w:tcPr>
            <w:tcW w:w="991" w:type="dxa"/>
          </w:tcPr>
          <w:p>
            <w:pPr>
              <w:pStyle w:val="TableParagraph"/>
              <w:spacing w:before="2"/>
              <w:ind w:left="107"/>
              <w:rPr>
                <w:sz w:val="26"/>
              </w:rPr>
            </w:pPr>
            <w:r>
              <w:rPr>
                <w:w w:val="99"/>
                <w:sz w:val="26"/>
              </w:rPr>
              <w:t>4</w:t>
            </w:r>
          </w:p>
        </w:tc>
        <w:tc>
          <w:tcPr>
            <w:tcW w:w="1133" w:type="dxa"/>
          </w:tcPr>
          <w:p>
            <w:pPr>
              <w:pStyle w:val="TableParagraph"/>
              <w:rPr>
                <w:sz w:val="24"/>
              </w:rPr>
            </w:pPr>
          </w:p>
        </w:tc>
        <w:tc>
          <w:tcPr>
            <w:tcW w:w="853" w:type="dxa"/>
          </w:tcPr>
          <w:p>
            <w:pPr>
              <w:pStyle w:val="TableParagraph"/>
              <w:rPr>
                <w:sz w:val="24"/>
              </w:rPr>
            </w:pPr>
          </w:p>
        </w:tc>
        <w:tc>
          <w:tcPr>
            <w:tcW w:w="864" w:type="dxa"/>
          </w:tcPr>
          <w:p>
            <w:pPr>
              <w:pStyle w:val="TableParagraph"/>
              <w:rPr>
                <w:sz w:val="24"/>
              </w:rPr>
            </w:pPr>
          </w:p>
        </w:tc>
      </w:tr>
      <w:tr>
        <w:trPr>
          <w:trHeight w:val="448" w:hRule="atLeast"/>
        </w:trPr>
        <w:tc>
          <w:tcPr>
            <w:tcW w:w="535" w:type="dxa"/>
            <w:vMerge/>
            <w:tcBorders>
              <w:top w:val="nil"/>
            </w:tcBorders>
          </w:tcPr>
          <w:p>
            <w:pPr>
              <w:rPr>
                <w:sz w:val="2"/>
                <w:szCs w:val="2"/>
              </w:rPr>
            </w:pPr>
          </w:p>
        </w:tc>
        <w:tc>
          <w:tcPr>
            <w:tcW w:w="2124" w:type="dxa"/>
          </w:tcPr>
          <w:p>
            <w:pPr>
              <w:pStyle w:val="TableParagraph"/>
              <w:spacing w:before="2"/>
              <w:ind w:left="105"/>
              <w:rPr>
                <w:sz w:val="26"/>
              </w:rPr>
            </w:pPr>
            <w:r>
              <w:rPr>
                <w:sz w:val="26"/>
              </w:rPr>
              <w:t>Đầu kéo</w:t>
            </w:r>
          </w:p>
        </w:tc>
        <w:tc>
          <w:tcPr>
            <w:tcW w:w="710" w:type="dxa"/>
          </w:tcPr>
          <w:p>
            <w:pPr>
              <w:pStyle w:val="TableParagraph"/>
              <w:spacing w:before="2"/>
              <w:ind w:left="108"/>
              <w:rPr>
                <w:sz w:val="26"/>
              </w:rPr>
            </w:pPr>
            <w:r>
              <w:rPr>
                <w:sz w:val="26"/>
              </w:rPr>
              <w:t>Cái</w:t>
            </w:r>
          </w:p>
        </w:tc>
        <w:tc>
          <w:tcPr>
            <w:tcW w:w="991" w:type="dxa"/>
          </w:tcPr>
          <w:p>
            <w:pPr>
              <w:pStyle w:val="TableParagraph"/>
              <w:spacing w:before="2"/>
              <w:ind w:left="108"/>
              <w:rPr>
                <w:sz w:val="26"/>
              </w:rPr>
            </w:pPr>
            <w:r>
              <w:rPr>
                <w:sz w:val="26"/>
              </w:rPr>
              <w:t>150</w:t>
            </w:r>
          </w:p>
        </w:tc>
        <w:tc>
          <w:tcPr>
            <w:tcW w:w="1135" w:type="dxa"/>
          </w:tcPr>
          <w:p>
            <w:pPr>
              <w:pStyle w:val="TableParagraph"/>
              <w:spacing w:before="2"/>
              <w:ind w:left="109"/>
              <w:rPr>
                <w:sz w:val="26"/>
              </w:rPr>
            </w:pPr>
            <w:r>
              <w:rPr>
                <w:sz w:val="26"/>
              </w:rPr>
              <w:t>10</w:t>
            </w:r>
          </w:p>
        </w:tc>
        <w:tc>
          <w:tcPr>
            <w:tcW w:w="991" w:type="dxa"/>
          </w:tcPr>
          <w:p>
            <w:pPr>
              <w:pStyle w:val="TableParagraph"/>
              <w:spacing w:before="2"/>
              <w:ind w:left="107"/>
              <w:rPr>
                <w:sz w:val="26"/>
              </w:rPr>
            </w:pPr>
            <w:r>
              <w:rPr>
                <w:sz w:val="26"/>
              </w:rPr>
              <w:t>40</w:t>
            </w:r>
          </w:p>
        </w:tc>
        <w:tc>
          <w:tcPr>
            <w:tcW w:w="1133" w:type="dxa"/>
          </w:tcPr>
          <w:p>
            <w:pPr>
              <w:pStyle w:val="TableParagraph"/>
              <w:spacing w:before="2"/>
              <w:ind w:left="109"/>
              <w:rPr>
                <w:sz w:val="26"/>
              </w:rPr>
            </w:pPr>
            <w:r>
              <w:rPr>
                <w:sz w:val="26"/>
              </w:rPr>
              <w:t>20</w:t>
            </w:r>
          </w:p>
        </w:tc>
        <w:tc>
          <w:tcPr>
            <w:tcW w:w="853" w:type="dxa"/>
          </w:tcPr>
          <w:p>
            <w:pPr>
              <w:pStyle w:val="TableParagraph"/>
              <w:spacing w:before="2"/>
              <w:ind w:left="110"/>
              <w:rPr>
                <w:sz w:val="26"/>
              </w:rPr>
            </w:pPr>
            <w:r>
              <w:rPr>
                <w:w w:val="99"/>
                <w:sz w:val="26"/>
              </w:rPr>
              <w:t>3</w:t>
            </w:r>
          </w:p>
        </w:tc>
        <w:tc>
          <w:tcPr>
            <w:tcW w:w="864" w:type="dxa"/>
          </w:tcPr>
          <w:p>
            <w:pPr>
              <w:pStyle w:val="TableParagraph"/>
              <w:rPr>
                <w:sz w:val="24"/>
              </w:rPr>
            </w:pPr>
          </w:p>
        </w:tc>
      </w:tr>
      <w:tr>
        <w:trPr>
          <w:trHeight w:val="448" w:hRule="atLeast"/>
        </w:trPr>
        <w:tc>
          <w:tcPr>
            <w:tcW w:w="535" w:type="dxa"/>
            <w:vMerge/>
            <w:tcBorders>
              <w:top w:val="nil"/>
            </w:tcBorders>
          </w:tcPr>
          <w:p>
            <w:pPr>
              <w:rPr>
                <w:sz w:val="2"/>
                <w:szCs w:val="2"/>
              </w:rPr>
            </w:pPr>
          </w:p>
        </w:tc>
        <w:tc>
          <w:tcPr>
            <w:tcW w:w="2124" w:type="dxa"/>
          </w:tcPr>
          <w:p>
            <w:pPr>
              <w:pStyle w:val="TableParagraph"/>
              <w:spacing w:before="1"/>
              <w:ind w:left="105"/>
              <w:rPr>
                <w:sz w:val="26"/>
              </w:rPr>
            </w:pPr>
            <w:r>
              <w:rPr>
                <w:sz w:val="26"/>
              </w:rPr>
              <w:t>Rơ móc</w:t>
            </w:r>
          </w:p>
        </w:tc>
        <w:tc>
          <w:tcPr>
            <w:tcW w:w="710" w:type="dxa"/>
          </w:tcPr>
          <w:p>
            <w:pPr>
              <w:pStyle w:val="TableParagraph"/>
              <w:spacing w:before="1"/>
              <w:ind w:left="108"/>
              <w:rPr>
                <w:sz w:val="26"/>
              </w:rPr>
            </w:pPr>
            <w:r>
              <w:rPr>
                <w:sz w:val="26"/>
              </w:rPr>
              <w:t>Cái</w:t>
            </w:r>
          </w:p>
        </w:tc>
        <w:tc>
          <w:tcPr>
            <w:tcW w:w="991" w:type="dxa"/>
          </w:tcPr>
          <w:p>
            <w:pPr>
              <w:pStyle w:val="TableParagraph"/>
              <w:spacing w:before="1"/>
              <w:ind w:left="108"/>
              <w:rPr>
                <w:sz w:val="26"/>
              </w:rPr>
            </w:pPr>
            <w:r>
              <w:rPr>
                <w:sz w:val="26"/>
              </w:rPr>
              <w:t>425</w:t>
            </w:r>
          </w:p>
        </w:tc>
        <w:tc>
          <w:tcPr>
            <w:tcW w:w="1135" w:type="dxa"/>
          </w:tcPr>
          <w:p>
            <w:pPr>
              <w:pStyle w:val="TableParagraph"/>
              <w:rPr>
                <w:sz w:val="24"/>
              </w:rPr>
            </w:pPr>
          </w:p>
        </w:tc>
        <w:tc>
          <w:tcPr>
            <w:tcW w:w="991" w:type="dxa"/>
          </w:tcPr>
          <w:p>
            <w:pPr>
              <w:pStyle w:val="TableParagraph"/>
              <w:spacing w:before="1"/>
              <w:ind w:left="107"/>
              <w:rPr>
                <w:sz w:val="26"/>
              </w:rPr>
            </w:pPr>
            <w:r>
              <w:rPr>
                <w:sz w:val="26"/>
              </w:rPr>
              <w:t>75</w:t>
            </w:r>
          </w:p>
        </w:tc>
        <w:tc>
          <w:tcPr>
            <w:tcW w:w="1133" w:type="dxa"/>
          </w:tcPr>
          <w:p>
            <w:pPr>
              <w:pStyle w:val="TableParagraph"/>
              <w:spacing w:before="1"/>
              <w:ind w:left="109"/>
              <w:rPr>
                <w:sz w:val="26"/>
              </w:rPr>
            </w:pPr>
            <w:r>
              <w:rPr>
                <w:sz w:val="26"/>
              </w:rPr>
              <w:t>20</w:t>
            </w:r>
          </w:p>
        </w:tc>
        <w:tc>
          <w:tcPr>
            <w:tcW w:w="853" w:type="dxa"/>
          </w:tcPr>
          <w:p>
            <w:pPr>
              <w:pStyle w:val="TableParagraph"/>
              <w:spacing w:before="1"/>
              <w:ind w:left="110"/>
              <w:rPr>
                <w:sz w:val="26"/>
              </w:rPr>
            </w:pPr>
            <w:r>
              <w:rPr>
                <w:w w:val="99"/>
                <w:sz w:val="26"/>
              </w:rPr>
              <w:t>9</w:t>
            </w:r>
          </w:p>
        </w:tc>
        <w:tc>
          <w:tcPr>
            <w:tcW w:w="864" w:type="dxa"/>
          </w:tcPr>
          <w:p>
            <w:pPr>
              <w:pStyle w:val="TableParagraph"/>
              <w:rPr>
                <w:sz w:val="24"/>
              </w:rPr>
            </w:pPr>
          </w:p>
        </w:tc>
      </w:tr>
    </w:tbl>
    <w:p>
      <w:pPr>
        <w:spacing w:line="275" w:lineRule="exact" w:before="0"/>
        <w:ind w:left="0" w:right="888" w:firstLine="0"/>
        <w:jc w:val="right"/>
        <w:rPr>
          <w:i/>
          <w:sz w:val="24"/>
        </w:rPr>
      </w:pPr>
      <w:r>
        <w:rPr>
          <w:i/>
          <w:sz w:val="24"/>
        </w:rPr>
        <w:t>Nguồn: VPA.</w:t>
      </w:r>
      <w:r>
        <w:rPr>
          <w:i/>
          <w:spacing w:val="-1"/>
          <w:sz w:val="24"/>
        </w:rPr>
        <w:t> </w:t>
      </w:r>
      <w:r>
        <w:rPr>
          <w:i/>
          <w:sz w:val="24"/>
        </w:rPr>
        <w:t>2019</w:t>
      </w:r>
    </w:p>
    <w:p>
      <w:pPr>
        <w:spacing w:after="0" w:line="275" w:lineRule="exact"/>
        <w:jc w:val="right"/>
        <w:rPr>
          <w:sz w:val="24"/>
        </w:rPr>
        <w:sectPr>
          <w:pgSz w:w="11910" w:h="16850"/>
          <w:pgMar w:header="751" w:footer="0" w:top="960" w:bottom="280" w:left="820" w:right="240"/>
        </w:sectPr>
      </w:pPr>
    </w:p>
    <w:p>
      <w:pPr>
        <w:pStyle w:val="BodyText"/>
        <w:spacing w:before="10"/>
        <w:rPr>
          <w:i/>
          <w:sz w:val="16"/>
        </w:rPr>
      </w:pPr>
    </w:p>
    <w:p>
      <w:pPr>
        <w:pStyle w:val="Heading1"/>
        <w:spacing w:before="80"/>
        <w:ind w:left="941"/>
      </w:pPr>
      <w:r>
        <w:rPr/>
        <w:t>Miền Trung</w:t>
      </w:r>
    </w:p>
    <w:p>
      <w:pPr>
        <w:pStyle w:val="BodyText"/>
        <w:spacing w:before="8" w:after="1"/>
        <w:rPr>
          <w:b/>
          <w:sz w:val="25"/>
        </w:rPr>
      </w:pPr>
    </w:p>
    <w:tbl>
      <w:tblPr>
        <w:tblW w:w="0" w:type="auto"/>
        <w:jc w:val="left"/>
        <w:tblInd w:w="860" w:type="dxa"/>
        <w:tblBorders>
          <w:top w:val="double" w:sz="1" w:space="0" w:color="000000"/>
          <w:left w:val="double" w:sz="1" w:space="0" w:color="000000"/>
          <w:bottom w:val="double" w:sz="1" w:space="0" w:color="000000"/>
          <w:right w:val="double" w:sz="1" w:space="0" w:color="000000"/>
          <w:insideH w:val="double" w:sz="1" w:space="0" w:color="000000"/>
          <w:insideV w:val="double" w:sz="1" w:space="0" w:color="000000"/>
        </w:tblBorders>
        <w:tblLayout w:type="fixed"/>
        <w:tblCellMar>
          <w:top w:w="0" w:type="dxa"/>
          <w:left w:w="0" w:type="dxa"/>
          <w:bottom w:w="0" w:type="dxa"/>
          <w:right w:w="0" w:type="dxa"/>
        </w:tblCellMar>
        <w:tblLook w:val="01E0"/>
      </w:tblPr>
      <w:tblGrid>
        <w:gridCol w:w="1603"/>
        <w:gridCol w:w="7527"/>
      </w:tblGrid>
      <w:tr>
        <w:trPr>
          <w:trHeight w:val="4603" w:hRule="atLeast"/>
        </w:trPr>
        <w:tc>
          <w:tcPr>
            <w:tcW w:w="1603" w:type="dxa"/>
          </w:tcPr>
          <w:p>
            <w:pPr>
              <w:pStyle w:val="TableParagraph"/>
              <w:rPr>
                <w:b/>
                <w:sz w:val="26"/>
              </w:rPr>
            </w:pPr>
          </w:p>
          <w:p>
            <w:pPr>
              <w:pStyle w:val="TableParagraph"/>
              <w:rPr>
                <w:b/>
                <w:sz w:val="26"/>
              </w:rPr>
            </w:pPr>
          </w:p>
          <w:p>
            <w:pPr>
              <w:pStyle w:val="TableParagraph"/>
              <w:rPr>
                <w:b/>
                <w:sz w:val="26"/>
              </w:rPr>
            </w:pPr>
          </w:p>
          <w:p>
            <w:pPr>
              <w:pStyle w:val="TableParagraph"/>
              <w:rPr>
                <w:b/>
                <w:sz w:val="26"/>
              </w:rPr>
            </w:pPr>
          </w:p>
          <w:p>
            <w:pPr>
              <w:pStyle w:val="TableParagraph"/>
              <w:rPr>
                <w:b/>
                <w:sz w:val="26"/>
              </w:rPr>
            </w:pPr>
          </w:p>
          <w:p>
            <w:pPr>
              <w:pStyle w:val="TableParagraph"/>
              <w:rPr>
                <w:b/>
                <w:sz w:val="34"/>
              </w:rPr>
            </w:pPr>
          </w:p>
          <w:p>
            <w:pPr>
              <w:pStyle w:val="TableParagraph"/>
              <w:spacing w:line="360" w:lineRule="auto"/>
              <w:ind w:left="576" w:right="121" w:hanging="432"/>
              <w:rPr>
                <w:b/>
                <w:sz w:val="24"/>
              </w:rPr>
            </w:pPr>
            <w:hyperlink r:id="rId44">
              <w:r>
                <w:rPr>
                  <w:b/>
                  <w:sz w:val="24"/>
                </w:rPr>
                <w:t>Cảng Thanh</w:t>
              </w:r>
            </w:hyperlink>
            <w:r>
              <w:rPr>
                <w:b/>
                <w:sz w:val="24"/>
              </w:rPr>
              <w:t> </w:t>
            </w:r>
            <w:hyperlink r:id="rId44">
              <w:r>
                <w:rPr>
                  <w:b/>
                  <w:sz w:val="24"/>
                </w:rPr>
                <w:t>Hóa</w:t>
              </w:r>
            </w:hyperlink>
          </w:p>
        </w:tc>
        <w:tc>
          <w:tcPr>
            <w:tcW w:w="7527" w:type="dxa"/>
            <w:tcBorders>
              <w:right w:val="single" w:sz="4" w:space="0" w:color="000000"/>
            </w:tcBorders>
          </w:tcPr>
          <w:p>
            <w:pPr>
              <w:pStyle w:val="TableParagraph"/>
              <w:spacing w:before="23"/>
              <w:ind w:left="29"/>
              <w:rPr>
                <w:sz w:val="24"/>
              </w:rPr>
            </w:pPr>
            <w:r>
              <w:rPr>
                <w:sz w:val="24"/>
              </w:rPr>
              <w:t>Vị trí cảng:</w:t>
            </w:r>
          </w:p>
          <w:p>
            <w:pPr>
              <w:pStyle w:val="TableParagraph"/>
              <w:spacing w:line="360" w:lineRule="auto" w:before="140"/>
              <w:ind w:left="29" w:right="2586"/>
              <w:rPr>
                <w:sz w:val="24"/>
              </w:rPr>
            </w:pPr>
            <w:r>
              <w:rPr>
                <w:b/>
                <w:sz w:val="24"/>
              </w:rPr>
              <w:t>. Bến cảng Nghi Sơn</w:t>
            </w:r>
            <w:r>
              <w:rPr>
                <w:sz w:val="24"/>
              </w:rPr>
              <w:t>: 19°18’20″N – 105°49’00″E ĐT: (84.37)</w:t>
            </w:r>
            <w:r>
              <w:rPr>
                <w:spacing w:val="-1"/>
                <w:sz w:val="24"/>
              </w:rPr>
              <w:t> </w:t>
            </w:r>
            <w:r>
              <w:rPr>
                <w:sz w:val="24"/>
              </w:rPr>
              <w:t>3862237</w:t>
            </w:r>
          </w:p>
          <w:p>
            <w:pPr>
              <w:pStyle w:val="TableParagraph"/>
              <w:ind w:left="29"/>
              <w:rPr>
                <w:sz w:val="24"/>
              </w:rPr>
            </w:pPr>
            <w:r>
              <w:rPr>
                <w:sz w:val="24"/>
              </w:rPr>
              <w:t>Fax: (84.37)</w:t>
            </w:r>
            <w:r>
              <w:rPr>
                <w:spacing w:val="-5"/>
                <w:sz w:val="24"/>
              </w:rPr>
              <w:t> </w:t>
            </w:r>
            <w:r>
              <w:rPr>
                <w:sz w:val="24"/>
              </w:rPr>
              <w:t>3862373</w:t>
            </w:r>
          </w:p>
          <w:p>
            <w:pPr>
              <w:pStyle w:val="TableParagraph"/>
              <w:spacing w:before="137"/>
              <w:ind w:left="29"/>
              <w:rPr>
                <w:sz w:val="24"/>
              </w:rPr>
            </w:pPr>
            <w:r>
              <w:rPr>
                <w:sz w:val="24"/>
              </w:rPr>
              <w:t>Điểm đón trả hoa tiêu: 19°17’01″N – 105°49’50″E</w:t>
            </w:r>
          </w:p>
          <w:p>
            <w:pPr>
              <w:pStyle w:val="TableParagraph"/>
              <w:spacing w:before="139"/>
              <w:ind w:left="29"/>
              <w:rPr>
                <w:sz w:val="24"/>
              </w:rPr>
            </w:pPr>
            <w:r>
              <w:rPr>
                <w:b/>
                <w:sz w:val="24"/>
              </w:rPr>
              <w:t>. Bến cảng Lễ Môn</w:t>
            </w:r>
            <w:r>
              <w:rPr>
                <w:sz w:val="24"/>
              </w:rPr>
              <w:t>: 19°48’00″N – 105°49’00″E</w:t>
            </w:r>
          </w:p>
          <w:p>
            <w:pPr>
              <w:pStyle w:val="TableParagraph"/>
              <w:spacing w:line="360" w:lineRule="auto" w:before="137"/>
              <w:ind w:left="29" w:right="335"/>
              <w:rPr>
                <w:b/>
                <w:sz w:val="24"/>
              </w:rPr>
            </w:pPr>
            <w:r>
              <w:rPr>
                <w:sz w:val="24"/>
              </w:rPr>
              <w:t>Luồng vào bến cảng Nghi Sơn: </w:t>
            </w:r>
            <w:r>
              <w:rPr>
                <w:b/>
                <w:sz w:val="24"/>
              </w:rPr>
              <w:t>2 km</w:t>
            </w:r>
            <w:r>
              <w:rPr>
                <w:sz w:val="24"/>
              </w:rPr>
              <w:t>. Độ sâu: </w:t>
            </w:r>
            <w:r>
              <w:rPr>
                <w:b/>
                <w:sz w:val="24"/>
              </w:rPr>
              <w:t>-8.5 m</w:t>
            </w:r>
            <w:r>
              <w:rPr>
                <w:sz w:val="24"/>
              </w:rPr>
              <w:t>. Mớn nước cao nhất cho tàu ra vào: </w:t>
            </w:r>
            <w:r>
              <w:rPr>
                <w:b/>
                <w:sz w:val="24"/>
              </w:rPr>
              <w:t>8.5</w:t>
            </w:r>
            <w:r>
              <w:rPr>
                <w:b/>
                <w:spacing w:val="-2"/>
                <w:sz w:val="24"/>
              </w:rPr>
              <w:t> </w:t>
            </w:r>
            <w:r>
              <w:rPr>
                <w:b/>
                <w:sz w:val="24"/>
              </w:rPr>
              <w:t>m</w:t>
            </w:r>
          </w:p>
          <w:p>
            <w:pPr>
              <w:pStyle w:val="TableParagraph"/>
              <w:spacing w:line="360" w:lineRule="auto"/>
              <w:ind w:left="29" w:right="382"/>
              <w:rPr>
                <w:b/>
                <w:sz w:val="24"/>
              </w:rPr>
            </w:pPr>
            <w:r>
              <w:rPr>
                <w:sz w:val="24"/>
              </w:rPr>
              <w:t>Luồng vào bến cảng Lễ Môn: </w:t>
            </w:r>
            <w:r>
              <w:rPr>
                <w:b/>
                <w:sz w:val="24"/>
              </w:rPr>
              <w:t>16 km</w:t>
            </w:r>
            <w:r>
              <w:rPr>
                <w:sz w:val="24"/>
              </w:rPr>
              <w:t>. Độ sâu: </w:t>
            </w:r>
            <w:r>
              <w:rPr>
                <w:b/>
                <w:sz w:val="24"/>
              </w:rPr>
              <w:t>-0.8 m. </w:t>
            </w:r>
            <w:r>
              <w:rPr>
                <w:sz w:val="24"/>
              </w:rPr>
              <w:t>Mớn nước cao</w:t>
            </w:r>
            <w:r>
              <w:rPr>
                <w:spacing w:val="-14"/>
                <w:sz w:val="24"/>
              </w:rPr>
              <w:t> </w:t>
            </w:r>
            <w:r>
              <w:rPr>
                <w:sz w:val="24"/>
              </w:rPr>
              <w:t>nhất cho tàu ra vào: </w:t>
            </w:r>
            <w:r>
              <w:rPr>
                <w:b/>
                <w:sz w:val="24"/>
              </w:rPr>
              <w:t>3.2</w:t>
            </w:r>
            <w:r>
              <w:rPr>
                <w:b/>
                <w:spacing w:val="-2"/>
                <w:sz w:val="24"/>
              </w:rPr>
              <w:t> </w:t>
            </w:r>
            <w:r>
              <w:rPr>
                <w:b/>
                <w:sz w:val="24"/>
              </w:rPr>
              <w:t>m</w:t>
            </w:r>
          </w:p>
          <w:p>
            <w:pPr>
              <w:pStyle w:val="TableParagraph"/>
              <w:ind w:left="29"/>
              <w:rPr>
                <w:sz w:val="24"/>
              </w:rPr>
            </w:pPr>
            <w:r>
              <w:rPr>
                <w:sz w:val="24"/>
              </w:rPr>
              <w:t>Chế độ thủy triều: </w:t>
            </w:r>
            <w:r>
              <w:rPr>
                <w:b/>
                <w:sz w:val="24"/>
              </w:rPr>
              <w:t>nhật triều không đều</w:t>
            </w:r>
            <w:r>
              <w:rPr>
                <w:sz w:val="24"/>
              </w:rPr>
              <w:t>. Chênh lệch b/q: –</w:t>
            </w:r>
            <w:r>
              <w:rPr>
                <w:b/>
                <w:sz w:val="24"/>
              </w:rPr>
              <w:t>2.5 m</w:t>
            </w:r>
            <w:r>
              <w:rPr>
                <w:sz w:val="24"/>
              </w:rPr>
              <w:t>.</w:t>
            </w:r>
          </w:p>
        </w:tc>
      </w:tr>
      <w:tr>
        <w:trPr>
          <w:trHeight w:val="2536" w:hRule="atLeast"/>
        </w:trPr>
        <w:tc>
          <w:tcPr>
            <w:tcW w:w="1603" w:type="dxa"/>
          </w:tcPr>
          <w:p>
            <w:pPr>
              <w:pStyle w:val="TableParagraph"/>
              <w:rPr>
                <w:b/>
                <w:sz w:val="26"/>
              </w:rPr>
            </w:pPr>
          </w:p>
          <w:p>
            <w:pPr>
              <w:pStyle w:val="TableParagraph"/>
              <w:rPr>
                <w:b/>
                <w:sz w:val="26"/>
              </w:rPr>
            </w:pPr>
          </w:p>
          <w:p>
            <w:pPr>
              <w:pStyle w:val="TableParagraph"/>
              <w:rPr>
                <w:b/>
                <w:sz w:val="26"/>
              </w:rPr>
            </w:pPr>
          </w:p>
          <w:p>
            <w:pPr>
              <w:pStyle w:val="TableParagraph"/>
              <w:spacing w:before="162"/>
              <w:ind w:left="36"/>
              <w:rPr>
                <w:b/>
                <w:sz w:val="24"/>
              </w:rPr>
            </w:pPr>
            <w:hyperlink r:id="rId45">
              <w:r>
                <w:rPr>
                  <w:b/>
                  <w:sz w:val="24"/>
                </w:rPr>
                <w:t>Cảng Đà Nẵng</w:t>
              </w:r>
            </w:hyperlink>
          </w:p>
        </w:tc>
        <w:tc>
          <w:tcPr>
            <w:tcW w:w="7527" w:type="dxa"/>
            <w:tcBorders>
              <w:right w:val="single" w:sz="4" w:space="0" w:color="000000"/>
            </w:tcBorders>
          </w:tcPr>
          <w:p>
            <w:pPr>
              <w:pStyle w:val="TableParagraph"/>
              <w:spacing w:before="25"/>
              <w:ind w:left="29"/>
              <w:rPr>
                <w:sz w:val="24"/>
              </w:rPr>
            </w:pPr>
            <w:r>
              <w:rPr>
                <w:sz w:val="24"/>
              </w:rPr>
              <w:t>Vị trí Cảng: 16°07’02″N – 108°12’08″E</w:t>
            </w:r>
          </w:p>
          <w:p>
            <w:pPr>
              <w:pStyle w:val="TableParagraph"/>
              <w:spacing w:before="136"/>
              <w:ind w:left="29"/>
              <w:rPr>
                <w:sz w:val="24"/>
              </w:rPr>
            </w:pPr>
            <w:r>
              <w:rPr>
                <w:sz w:val="24"/>
              </w:rPr>
              <w:t>Điểm lấy hoa tiêu: 16°10’N – 108°11’E</w:t>
            </w:r>
          </w:p>
          <w:p>
            <w:pPr>
              <w:pStyle w:val="TableParagraph"/>
              <w:spacing w:line="360" w:lineRule="auto" w:before="140"/>
              <w:ind w:left="29" w:right="185"/>
              <w:rPr>
                <w:sz w:val="24"/>
              </w:rPr>
            </w:pPr>
            <w:r>
              <w:rPr>
                <w:sz w:val="24"/>
              </w:rPr>
              <w:t>Dài</w:t>
            </w:r>
            <w:r>
              <w:rPr>
                <w:b/>
                <w:sz w:val="24"/>
              </w:rPr>
              <w:t>6 km</w:t>
            </w:r>
            <w:r>
              <w:rPr>
                <w:sz w:val="24"/>
              </w:rPr>
              <w:t>. Độ sâu: </w:t>
            </w:r>
            <w:r>
              <w:rPr>
                <w:b/>
                <w:sz w:val="24"/>
              </w:rPr>
              <w:t>-10-17 m</w:t>
            </w:r>
            <w:r>
              <w:rPr>
                <w:sz w:val="24"/>
              </w:rPr>
              <w:t>. Chế độ thủy triều: </w:t>
            </w:r>
            <w:r>
              <w:rPr>
                <w:b/>
                <w:sz w:val="24"/>
              </w:rPr>
              <w:t>bán nhật triều</w:t>
            </w:r>
            <w:r>
              <w:rPr>
                <w:sz w:val="24"/>
              </w:rPr>
              <w:t>. Chênh lệch bình quân: </w:t>
            </w:r>
            <w:r>
              <w:rPr>
                <w:b/>
                <w:sz w:val="24"/>
              </w:rPr>
              <w:t>0.9 m</w:t>
            </w:r>
            <w:r>
              <w:rPr>
                <w:sz w:val="24"/>
              </w:rPr>
              <w:t>.</w:t>
            </w:r>
          </w:p>
          <w:p>
            <w:pPr>
              <w:pStyle w:val="TableParagraph"/>
              <w:ind w:left="29"/>
              <w:rPr>
                <w:sz w:val="24"/>
              </w:rPr>
            </w:pPr>
            <w:r>
              <w:rPr>
                <w:sz w:val="24"/>
              </w:rPr>
              <w:t>Mớn nước cao nhất cho tàu ra vào: –</w:t>
            </w:r>
            <w:r>
              <w:rPr>
                <w:b/>
                <w:sz w:val="24"/>
              </w:rPr>
              <w:t>12 m</w:t>
            </w:r>
            <w:r>
              <w:rPr>
                <w:sz w:val="24"/>
              </w:rPr>
              <w:t>. Cỡ tàu lớn nhất tiếp nhận được:</w:t>
            </w:r>
          </w:p>
          <w:p>
            <w:pPr>
              <w:pStyle w:val="TableParagraph"/>
              <w:spacing w:before="137"/>
              <w:ind w:left="29"/>
              <w:rPr>
                <w:sz w:val="24"/>
              </w:rPr>
            </w:pPr>
            <w:r>
              <w:rPr>
                <w:sz w:val="24"/>
              </w:rPr>
              <w:t>45.000 DWT</w:t>
            </w:r>
          </w:p>
        </w:tc>
      </w:tr>
      <w:tr>
        <w:trPr>
          <w:trHeight w:val="2117" w:hRule="atLeast"/>
        </w:trPr>
        <w:tc>
          <w:tcPr>
            <w:tcW w:w="1603" w:type="dxa"/>
          </w:tcPr>
          <w:p>
            <w:pPr>
              <w:pStyle w:val="TableParagraph"/>
              <w:rPr>
                <w:b/>
                <w:sz w:val="26"/>
              </w:rPr>
            </w:pPr>
          </w:p>
          <w:p>
            <w:pPr>
              <w:pStyle w:val="TableParagraph"/>
              <w:rPr>
                <w:b/>
                <w:sz w:val="30"/>
              </w:rPr>
            </w:pPr>
          </w:p>
          <w:p>
            <w:pPr>
              <w:pStyle w:val="TableParagraph"/>
              <w:spacing w:line="360" w:lineRule="auto"/>
              <w:ind w:left="502" w:right="242" w:hanging="238"/>
              <w:rPr>
                <w:b/>
                <w:sz w:val="24"/>
              </w:rPr>
            </w:pPr>
            <w:r>
              <w:rPr>
                <w:b/>
                <w:sz w:val="24"/>
              </w:rPr>
              <w:t>Cảng Quy Nhơn</w:t>
            </w:r>
          </w:p>
        </w:tc>
        <w:tc>
          <w:tcPr>
            <w:tcW w:w="7527" w:type="dxa"/>
            <w:tcBorders>
              <w:right w:val="single" w:sz="4" w:space="0" w:color="000000"/>
            </w:tcBorders>
          </w:tcPr>
          <w:p>
            <w:pPr>
              <w:pStyle w:val="TableParagraph"/>
              <w:spacing w:before="22"/>
              <w:ind w:left="29"/>
              <w:rPr>
                <w:sz w:val="24"/>
              </w:rPr>
            </w:pPr>
            <w:r>
              <w:rPr>
                <w:sz w:val="24"/>
              </w:rPr>
              <w:t>Vị trí Cảng : 13°44’33″N – 109°14’E</w:t>
            </w:r>
          </w:p>
          <w:p>
            <w:pPr>
              <w:pStyle w:val="TableParagraph"/>
              <w:spacing w:before="139"/>
              <w:ind w:left="29"/>
              <w:rPr>
                <w:sz w:val="24"/>
              </w:rPr>
            </w:pPr>
            <w:r>
              <w:rPr>
                <w:sz w:val="24"/>
              </w:rPr>
              <w:t>Điểm lấy hoa tiêu : 13°44’33″N – 109°15’00″E</w:t>
            </w:r>
          </w:p>
          <w:p>
            <w:pPr>
              <w:pStyle w:val="TableParagraph"/>
              <w:spacing w:line="360" w:lineRule="auto" w:before="137"/>
              <w:ind w:left="29" w:right="197"/>
              <w:rPr>
                <w:sz w:val="24"/>
              </w:rPr>
            </w:pPr>
            <w:r>
              <w:rPr>
                <w:sz w:val="24"/>
              </w:rPr>
              <w:t>Dài</w:t>
            </w:r>
            <w:r>
              <w:rPr>
                <w:i/>
                <w:sz w:val="24"/>
              </w:rPr>
              <w:t>: </w:t>
            </w:r>
            <w:r>
              <w:rPr>
                <w:b/>
                <w:sz w:val="24"/>
              </w:rPr>
              <w:t>7 km</w:t>
            </w:r>
            <w:r>
              <w:rPr>
                <w:sz w:val="24"/>
              </w:rPr>
              <w:t>. Độ sâu: </w:t>
            </w:r>
            <w:r>
              <w:rPr>
                <w:b/>
                <w:sz w:val="24"/>
              </w:rPr>
              <w:t>-10.5 m</w:t>
            </w:r>
            <w:r>
              <w:rPr>
                <w:sz w:val="24"/>
              </w:rPr>
              <w:t>. Chế độ thủy triều: </w:t>
            </w:r>
            <w:r>
              <w:rPr>
                <w:b/>
                <w:sz w:val="24"/>
              </w:rPr>
              <w:t>bán nhật triều không đều</w:t>
            </w:r>
            <w:r>
              <w:rPr>
                <w:sz w:val="24"/>
              </w:rPr>
              <w:t>. Chênh lệch bình quân: </w:t>
            </w:r>
            <w:r>
              <w:rPr>
                <w:b/>
                <w:sz w:val="24"/>
              </w:rPr>
              <w:t>2 m</w:t>
            </w:r>
            <w:r>
              <w:rPr>
                <w:sz w:val="24"/>
              </w:rPr>
              <w:t>. Mớn nước cao nhất tàu ra vào: </w:t>
            </w:r>
            <w:r>
              <w:rPr>
                <w:b/>
                <w:sz w:val="24"/>
              </w:rPr>
              <w:t>-12 m</w:t>
            </w:r>
            <w:r>
              <w:rPr>
                <w:sz w:val="24"/>
              </w:rPr>
              <w:t>.</w:t>
            </w:r>
          </w:p>
          <w:p>
            <w:pPr>
              <w:pStyle w:val="TableParagraph"/>
              <w:ind w:left="29"/>
              <w:rPr>
                <w:sz w:val="24"/>
              </w:rPr>
            </w:pPr>
            <w:r>
              <w:rPr>
                <w:sz w:val="24"/>
              </w:rPr>
              <w:t>Cỡ tàu lớn nhất tiếp nhận được: 30.000 DWT</w:t>
            </w:r>
          </w:p>
        </w:tc>
      </w:tr>
      <w:tr>
        <w:trPr>
          <w:trHeight w:val="2536" w:hRule="atLeast"/>
        </w:trPr>
        <w:tc>
          <w:tcPr>
            <w:tcW w:w="1603" w:type="dxa"/>
          </w:tcPr>
          <w:p>
            <w:pPr>
              <w:pStyle w:val="TableParagraph"/>
              <w:rPr>
                <w:b/>
                <w:sz w:val="26"/>
              </w:rPr>
            </w:pPr>
          </w:p>
          <w:p>
            <w:pPr>
              <w:pStyle w:val="TableParagraph"/>
              <w:rPr>
                <w:b/>
                <w:sz w:val="26"/>
              </w:rPr>
            </w:pPr>
          </w:p>
          <w:p>
            <w:pPr>
              <w:pStyle w:val="TableParagraph"/>
              <w:rPr>
                <w:b/>
                <w:sz w:val="26"/>
              </w:rPr>
            </w:pPr>
          </w:p>
          <w:p>
            <w:pPr>
              <w:pStyle w:val="TableParagraph"/>
              <w:spacing w:before="163"/>
              <w:ind w:left="27"/>
              <w:rPr>
                <w:b/>
                <w:sz w:val="24"/>
              </w:rPr>
            </w:pPr>
            <w:r>
              <w:rPr>
                <w:b/>
                <w:sz w:val="24"/>
              </w:rPr>
              <w:t>Cảng Thị Nại</w:t>
            </w:r>
          </w:p>
        </w:tc>
        <w:tc>
          <w:tcPr>
            <w:tcW w:w="7527" w:type="dxa"/>
            <w:tcBorders>
              <w:right w:val="single" w:sz="4" w:space="0" w:color="000000"/>
            </w:tcBorders>
          </w:tcPr>
          <w:p>
            <w:pPr>
              <w:pStyle w:val="TableParagraph"/>
              <w:spacing w:before="25"/>
              <w:ind w:left="29"/>
              <w:rPr>
                <w:sz w:val="24"/>
              </w:rPr>
            </w:pPr>
            <w:r>
              <w:rPr>
                <w:sz w:val="24"/>
              </w:rPr>
              <w:t>Vị trí Cảng: 13°46’N – 109°15’16″E</w:t>
            </w:r>
          </w:p>
          <w:p>
            <w:pPr>
              <w:pStyle w:val="TableParagraph"/>
              <w:spacing w:line="362" w:lineRule="auto" w:before="136"/>
              <w:ind w:left="29" w:right="2566"/>
              <w:rPr>
                <w:b/>
                <w:sz w:val="24"/>
              </w:rPr>
            </w:pPr>
            <w:r>
              <w:rPr>
                <w:sz w:val="24"/>
              </w:rPr>
              <w:t>Điểm đón trả hoa tiêu: 13°44’19″N – 109°15’16″E Dài: </w:t>
            </w:r>
            <w:r>
              <w:rPr>
                <w:b/>
                <w:sz w:val="24"/>
              </w:rPr>
              <w:t>6 km </w:t>
            </w:r>
            <w:r>
              <w:rPr>
                <w:sz w:val="24"/>
              </w:rPr>
              <w:t>; Độ sâu: </w:t>
            </w:r>
            <w:r>
              <w:rPr>
                <w:b/>
                <w:sz w:val="24"/>
              </w:rPr>
              <w:t>11 m</w:t>
            </w:r>
            <w:r>
              <w:rPr>
                <w:sz w:val="24"/>
              </w:rPr>
              <w:t>; Mớn Nước: </w:t>
            </w:r>
            <w:r>
              <w:rPr>
                <w:b/>
                <w:sz w:val="24"/>
              </w:rPr>
              <w:t>6.5 m</w:t>
            </w:r>
          </w:p>
          <w:p>
            <w:pPr>
              <w:pStyle w:val="TableParagraph"/>
              <w:spacing w:line="271" w:lineRule="exact"/>
              <w:ind w:left="29"/>
              <w:rPr>
                <w:b/>
                <w:sz w:val="24"/>
              </w:rPr>
            </w:pPr>
            <w:r>
              <w:rPr>
                <w:sz w:val="24"/>
              </w:rPr>
              <w:t>Chế độ thủy triều: </w:t>
            </w:r>
            <w:r>
              <w:rPr>
                <w:b/>
                <w:sz w:val="24"/>
              </w:rPr>
              <w:t>bán nhật triều</w:t>
            </w:r>
            <w:r>
              <w:rPr>
                <w:sz w:val="24"/>
              </w:rPr>
              <w:t>; Chênh lệch bình quân: </w:t>
            </w:r>
            <w:r>
              <w:rPr>
                <w:b/>
                <w:sz w:val="24"/>
              </w:rPr>
              <w:t>1.7 m</w:t>
            </w:r>
          </w:p>
          <w:p>
            <w:pPr>
              <w:pStyle w:val="TableParagraph"/>
              <w:spacing w:before="140"/>
              <w:ind w:left="29"/>
              <w:rPr>
                <w:b/>
                <w:sz w:val="24"/>
              </w:rPr>
            </w:pPr>
            <w:r>
              <w:rPr>
                <w:sz w:val="24"/>
              </w:rPr>
              <w:t>Cỡ tàu lớn nhất tiếp nhận được: </w:t>
            </w:r>
            <w:r>
              <w:rPr>
                <w:b/>
                <w:sz w:val="24"/>
              </w:rPr>
              <w:t>5.000 GRT</w:t>
            </w:r>
          </w:p>
          <w:p>
            <w:pPr>
              <w:pStyle w:val="TableParagraph"/>
              <w:spacing w:before="137"/>
              <w:ind w:left="29"/>
              <w:rPr>
                <w:b/>
                <w:sz w:val="24"/>
              </w:rPr>
            </w:pPr>
            <w:r>
              <w:rPr>
                <w:sz w:val="24"/>
              </w:rPr>
              <w:t>Mớn nước cao nhất: </w:t>
            </w:r>
            <w:r>
              <w:rPr>
                <w:b/>
                <w:sz w:val="24"/>
              </w:rPr>
              <w:t>-6.5m</w:t>
            </w:r>
          </w:p>
        </w:tc>
      </w:tr>
      <w:tr>
        <w:trPr>
          <w:trHeight w:val="1281" w:hRule="atLeast"/>
        </w:trPr>
        <w:tc>
          <w:tcPr>
            <w:tcW w:w="1603" w:type="dxa"/>
          </w:tcPr>
          <w:p>
            <w:pPr>
              <w:pStyle w:val="TableParagraph"/>
              <w:spacing w:line="360" w:lineRule="auto" w:before="229"/>
              <w:ind w:left="468" w:right="248" w:hanging="197"/>
              <w:rPr>
                <w:b/>
                <w:sz w:val="24"/>
              </w:rPr>
            </w:pPr>
            <w:r>
              <w:rPr>
                <w:b/>
                <w:sz w:val="24"/>
              </w:rPr>
              <w:t>Cảng Nha Trang</w:t>
            </w:r>
          </w:p>
        </w:tc>
        <w:tc>
          <w:tcPr>
            <w:tcW w:w="7527" w:type="dxa"/>
            <w:tcBorders>
              <w:right w:val="single" w:sz="4" w:space="0" w:color="000000"/>
            </w:tcBorders>
          </w:tcPr>
          <w:p>
            <w:pPr>
              <w:pStyle w:val="TableParagraph"/>
              <w:spacing w:before="22"/>
              <w:ind w:left="29"/>
              <w:rPr>
                <w:sz w:val="24"/>
              </w:rPr>
            </w:pPr>
            <w:r>
              <w:rPr>
                <w:sz w:val="24"/>
              </w:rPr>
              <w:t>Vị trí Cảng: 12°12’N – 109°13′ E</w:t>
            </w:r>
          </w:p>
          <w:p>
            <w:pPr>
              <w:pStyle w:val="TableParagraph"/>
              <w:spacing w:line="410" w:lineRule="atLeast" w:before="5"/>
              <w:ind w:left="29" w:right="1111"/>
              <w:rPr>
                <w:sz w:val="24"/>
              </w:rPr>
            </w:pPr>
            <w:r>
              <w:rPr>
                <w:sz w:val="24"/>
              </w:rPr>
              <w:t>Điểm đón trả hoa tiêu: 12°14’5″N – 109°18’7″E and 12°10’2″N – 109°15’5″E</w:t>
            </w:r>
          </w:p>
        </w:tc>
      </w:tr>
    </w:tbl>
    <w:p>
      <w:pPr>
        <w:spacing w:after="0" w:line="410" w:lineRule="atLeast"/>
        <w:rPr>
          <w:sz w:val="24"/>
        </w:rPr>
        <w:sectPr>
          <w:pgSz w:w="11910" w:h="16850"/>
          <w:pgMar w:header="751" w:footer="0" w:top="960" w:bottom="280" w:left="820" w:right="240"/>
        </w:sectPr>
      </w:pPr>
    </w:p>
    <w:p>
      <w:pPr>
        <w:pStyle w:val="BodyText"/>
        <w:spacing w:before="10" w:after="1"/>
        <w:rPr>
          <w:b/>
          <w:sz w:val="24"/>
        </w:rPr>
      </w:pPr>
    </w:p>
    <w:tbl>
      <w:tblPr>
        <w:tblW w:w="0" w:type="auto"/>
        <w:jc w:val="left"/>
        <w:tblInd w:w="860" w:type="dxa"/>
        <w:tblBorders>
          <w:top w:val="double" w:sz="1" w:space="0" w:color="000000"/>
          <w:left w:val="double" w:sz="1" w:space="0" w:color="000000"/>
          <w:bottom w:val="double" w:sz="1" w:space="0" w:color="000000"/>
          <w:right w:val="double" w:sz="1" w:space="0" w:color="000000"/>
          <w:insideH w:val="double" w:sz="1" w:space="0" w:color="000000"/>
          <w:insideV w:val="double" w:sz="1" w:space="0" w:color="000000"/>
        </w:tblBorders>
        <w:tblLayout w:type="fixed"/>
        <w:tblCellMar>
          <w:top w:w="0" w:type="dxa"/>
          <w:left w:w="0" w:type="dxa"/>
          <w:bottom w:w="0" w:type="dxa"/>
          <w:right w:w="0" w:type="dxa"/>
        </w:tblCellMar>
        <w:tblLook w:val="01E0"/>
      </w:tblPr>
      <w:tblGrid>
        <w:gridCol w:w="1603"/>
        <w:gridCol w:w="7527"/>
      </w:tblGrid>
      <w:tr>
        <w:trPr>
          <w:trHeight w:val="2112" w:hRule="atLeast"/>
        </w:trPr>
        <w:tc>
          <w:tcPr>
            <w:tcW w:w="1603" w:type="dxa"/>
          </w:tcPr>
          <w:p>
            <w:pPr>
              <w:pStyle w:val="TableParagraph"/>
              <w:rPr>
                <w:sz w:val="24"/>
              </w:rPr>
            </w:pPr>
          </w:p>
        </w:tc>
        <w:tc>
          <w:tcPr>
            <w:tcW w:w="7527" w:type="dxa"/>
            <w:tcBorders>
              <w:right w:val="single" w:sz="4" w:space="0" w:color="000000"/>
            </w:tcBorders>
          </w:tcPr>
          <w:p>
            <w:pPr>
              <w:pStyle w:val="TableParagraph"/>
              <w:spacing w:line="362" w:lineRule="auto" w:before="16"/>
              <w:ind w:left="29" w:right="225"/>
              <w:rPr>
                <w:sz w:val="24"/>
              </w:rPr>
            </w:pPr>
            <w:r>
              <w:rPr>
                <w:sz w:val="24"/>
              </w:rPr>
              <w:t>Dài</w:t>
            </w:r>
            <w:r>
              <w:rPr>
                <w:b/>
                <w:sz w:val="24"/>
              </w:rPr>
              <w:t>: 5 km</w:t>
            </w:r>
            <w:r>
              <w:rPr>
                <w:sz w:val="24"/>
              </w:rPr>
              <w:t>. Độ sâu: </w:t>
            </w:r>
            <w:r>
              <w:rPr>
                <w:b/>
                <w:sz w:val="24"/>
              </w:rPr>
              <w:t>11.1 m</w:t>
            </w:r>
            <w:r>
              <w:rPr>
                <w:sz w:val="24"/>
              </w:rPr>
              <w:t>. Chế độ thủy triều: </w:t>
            </w:r>
            <w:r>
              <w:rPr>
                <w:b/>
                <w:sz w:val="24"/>
              </w:rPr>
              <w:t>nhật triều</w:t>
            </w:r>
            <w:r>
              <w:rPr>
                <w:sz w:val="24"/>
              </w:rPr>
              <w:t>. Chênh lệch bình quân: </w:t>
            </w:r>
            <w:r>
              <w:rPr>
                <w:b/>
                <w:sz w:val="24"/>
              </w:rPr>
              <w:t>1.4 m</w:t>
            </w:r>
            <w:r>
              <w:rPr>
                <w:sz w:val="24"/>
              </w:rPr>
              <w:t>.</w:t>
            </w:r>
          </w:p>
          <w:p>
            <w:pPr>
              <w:pStyle w:val="TableParagraph"/>
              <w:spacing w:line="271" w:lineRule="exact"/>
              <w:ind w:left="29"/>
              <w:rPr>
                <w:sz w:val="24"/>
              </w:rPr>
            </w:pPr>
            <w:r>
              <w:rPr>
                <w:sz w:val="24"/>
              </w:rPr>
              <w:t>Mớn nước cao nhất cho tàu ra vào: –</w:t>
            </w:r>
            <w:r>
              <w:rPr>
                <w:b/>
                <w:sz w:val="24"/>
              </w:rPr>
              <w:t>11.8 m</w:t>
            </w:r>
            <w:r>
              <w:rPr>
                <w:sz w:val="24"/>
              </w:rPr>
              <w:t>.</w:t>
            </w:r>
          </w:p>
          <w:p>
            <w:pPr>
              <w:pStyle w:val="TableParagraph"/>
              <w:spacing w:line="360" w:lineRule="auto" w:before="139"/>
              <w:ind w:left="29" w:right="402"/>
              <w:rPr>
                <w:sz w:val="24"/>
              </w:rPr>
            </w:pPr>
            <w:r>
              <w:rPr>
                <w:sz w:val="24"/>
              </w:rPr>
              <w:t>Cỡ tàu lớn nhất tiếp nhận được: tàu hàng 20.000 DWT. tàu khách dài đến 240m</w:t>
            </w:r>
          </w:p>
        </w:tc>
      </w:tr>
      <w:tr>
        <w:trPr>
          <w:trHeight w:val="2119" w:hRule="atLeast"/>
        </w:trPr>
        <w:tc>
          <w:tcPr>
            <w:tcW w:w="1603" w:type="dxa"/>
          </w:tcPr>
          <w:p>
            <w:pPr>
              <w:pStyle w:val="TableParagraph"/>
              <w:rPr>
                <w:b/>
                <w:sz w:val="26"/>
              </w:rPr>
            </w:pPr>
          </w:p>
          <w:p>
            <w:pPr>
              <w:pStyle w:val="TableParagraph"/>
              <w:spacing w:before="2"/>
              <w:rPr>
                <w:b/>
                <w:sz w:val="30"/>
              </w:rPr>
            </w:pPr>
          </w:p>
          <w:p>
            <w:pPr>
              <w:pStyle w:val="TableParagraph"/>
              <w:spacing w:line="360" w:lineRule="auto"/>
              <w:ind w:left="557" w:right="181" w:hanging="353"/>
              <w:rPr>
                <w:b/>
                <w:sz w:val="24"/>
              </w:rPr>
            </w:pPr>
            <w:r>
              <w:rPr>
                <w:b/>
                <w:sz w:val="24"/>
              </w:rPr>
              <w:t>Cảng Chân Mây</w:t>
            </w:r>
          </w:p>
        </w:tc>
        <w:tc>
          <w:tcPr>
            <w:tcW w:w="7527" w:type="dxa"/>
            <w:tcBorders>
              <w:right w:val="single" w:sz="4" w:space="0" w:color="000000"/>
            </w:tcBorders>
          </w:tcPr>
          <w:p>
            <w:pPr>
              <w:pStyle w:val="TableParagraph"/>
              <w:spacing w:before="25"/>
              <w:ind w:left="29"/>
              <w:rPr>
                <w:sz w:val="24"/>
              </w:rPr>
            </w:pPr>
            <w:r>
              <w:rPr>
                <w:sz w:val="24"/>
              </w:rPr>
              <w:t>Vị trí cảng: 16°20’00″N – 108°00’00″E</w:t>
            </w:r>
          </w:p>
          <w:p>
            <w:pPr>
              <w:pStyle w:val="TableParagraph"/>
              <w:spacing w:before="136"/>
              <w:ind w:left="29"/>
              <w:rPr>
                <w:sz w:val="24"/>
              </w:rPr>
            </w:pPr>
            <w:r>
              <w:rPr>
                <w:sz w:val="24"/>
              </w:rPr>
              <w:t>Điểm đón trả hoa tiêu: 16°21’17″N – 108°00’00″E</w:t>
            </w:r>
          </w:p>
          <w:p>
            <w:pPr>
              <w:pStyle w:val="TableParagraph"/>
              <w:spacing w:line="360" w:lineRule="auto" w:before="140"/>
              <w:ind w:left="29" w:right="197"/>
              <w:rPr>
                <w:sz w:val="24"/>
              </w:rPr>
            </w:pPr>
            <w:r>
              <w:rPr>
                <w:sz w:val="24"/>
              </w:rPr>
              <w:t>Dài</w:t>
            </w:r>
            <w:r>
              <w:rPr>
                <w:i/>
                <w:sz w:val="24"/>
              </w:rPr>
              <w:t>: </w:t>
            </w:r>
            <w:r>
              <w:rPr>
                <w:b/>
                <w:sz w:val="24"/>
              </w:rPr>
              <w:t>2.7 km</w:t>
            </w:r>
            <w:r>
              <w:rPr>
                <w:sz w:val="24"/>
              </w:rPr>
              <w:t>. Độ sâu: </w:t>
            </w:r>
            <w:r>
              <w:rPr>
                <w:b/>
                <w:sz w:val="24"/>
              </w:rPr>
              <w:t>-12 m</w:t>
            </w:r>
            <w:r>
              <w:rPr>
                <w:sz w:val="24"/>
              </w:rPr>
              <w:t>. Chế độ thủy triều: </w:t>
            </w:r>
            <w:r>
              <w:rPr>
                <w:b/>
                <w:sz w:val="24"/>
              </w:rPr>
              <w:t>bán nhật triều không đều</w:t>
            </w:r>
            <w:r>
              <w:rPr>
                <w:sz w:val="24"/>
              </w:rPr>
              <w:t>. Chênh lệch bình quân: </w:t>
            </w:r>
            <w:r>
              <w:rPr>
                <w:b/>
                <w:sz w:val="24"/>
              </w:rPr>
              <w:t>0.8 m</w:t>
            </w:r>
            <w:r>
              <w:rPr>
                <w:sz w:val="24"/>
              </w:rPr>
              <w:t>. Mớn nước cao nhất cho tàu ra vào </w:t>
            </w:r>
            <w:r>
              <w:rPr>
                <w:b/>
                <w:sz w:val="24"/>
              </w:rPr>
              <w:t>11 m</w:t>
            </w:r>
            <w:r>
              <w:rPr>
                <w:sz w:val="24"/>
              </w:rPr>
              <w:t>.</w:t>
            </w:r>
          </w:p>
          <w:p>
            <w:pPr>
              <w:pStyle w:val="TableParagraph"/>
              <w:ind w:left="29"/>
              <w:rPr>
                <w:sz w:val="24"/>
              </w:rPr>
            </w:pPr>
            <w:r>
              <w:rPr>
                <w:sz w:val="24"/>
              </w:rPr>
              <w:t>Cỡ tàu lớn nhất tiếp nhận được: 30.000 DWT</w:t>
            </w:r>
          </w:p>
        </w:tc>
      </w:tr>
    </w:tbl>
    <w:p>
      <w:pPr>
        <w:spacing w:after="0"/>
        <w:rPr>
          <w:sz w:val="24"/>
        </w:rPr>
        <w:sectPr>
          <w:pgSz w:w="11910" w:h="16850"/>
          <w:pgMar w:header="751" w:footer="0" w:top="960" w:bottom="280" w:left="820" w:right="240"/>
        </w:sectPr>
      </w:pPr>
    </w:p>
    <w:p>
      <w:pPr>
        <w:spacing w:before="436"/>
        <w:ind w:left="0" w:right="0" w:firstLine="0"/>
        <w:jc w:val="right"/>
        <w:rPr>
          <w:b/>
          <w:sz w:val="48"/>
        </w:rPr>
      </w:pPr>
      <w:r>
        <w:rPr>
          <w:b/>
          <w:sz w:val="48"/>
        </w:rPr>
        <w:t>Miền bắc</w:t>
      </w:r>
    </w:p>
    <w:p>
      <w:pPr>
        <w:spacing w:before="19"/>
        <w:ind w:left="1722" w:right="0" w:firstLine="0"/>
        <w:jc w:val="left"/>
        <w:rPr>
          <w:i/>
          <w:sz w:val="24"/>
        </w:rPr>
      </w:pPr>
      <w:r>
        <w:rPr/>
        <w:br w:type="column"/>
      </w:r>
      <w:r>
        <w:rPr>
          <w:i/>
          <w:sz w:val="24"/>
        </w:rPr>
        <w:t>Nguồn: VPA. 2019</w:t>
      </w:r>
    </w:p>
    <w:p>
      <w:pPr>
        <w:spacing w:after="0"/>
        <w:jc w:val="left"/>
        <w:rPr>
          <w:sz w:val="24"/>
        </w:rPr>
        <w:sectPr>
          <w:type w:val="continuous"/>
          <w:pgSz w:w="11910" w:h="16850"/>
          <w:pgMar w:top="1840" w:bottom="280" w:left="820" w:right="240"/>
          <w:cols w:num="2" w:equalWidth="0">
            <w:col w:w="6374" w:space="40"/>
            <w:col w:w="4436"/>
          </w:cols>
        </w:sectPr>
      </w:pPr>
    </w:p>
    <w:p>
      <w:pPr>
        <w:pStyle w:val="BodyText"/>
        <w:spacing w:before="8"/>
        <w:rPr>
          <w:i/>
          <w:sz w:val="25"/>
        </w:rPr>
      </w:pPr>
      <w:r>
        <w:rPr/>
        <w:pict>
          <v:shape style="position:absolute;margin-left:82.104004pt;margin-top:773.255981pt;width:458.95pt;height:.5pt;mso-position-horizontal-relative:page;mso-position-vertical-relative:page;z-index:-30410752" coordorigin="1642,15465" coordsize="9179,10" path="m10821,15465l3785,15465,3776,15465,1642,15465,1642,15475,3776,15475,3785,15475,10821,15475,10821,15465xe" filled="true" fillcolor="#000000" stroked="false">
            <v:path arrowok="t"/>
            <v:fill type="solid"/>
            <w10:wrap type="none"/>
          </v:shape>
        </w:pict>
      </w:r>
    </w:p>
    <w:tbl>
      <w:tblPr>
        <w:tblW w:w="0" w:type="auto"/>
        <w:jc w:val="left"/>
        <w:tblInd w:w="868" w:type="dxa"/>
        <w:tblBorders>
          <w:top w:val="double" w:sz="1" w:space="0" w:color="000000"/>
          <w:left w:val="double" w:sz="1" w:space="0" w:color="000000"/>
          <w:bottom w:val="double" w:sz="1" w:space="0" w:color="000000"/>
          <w:right w:val="double" w:sz="1" w:space="0" w:color="000000"/>
          <w:insideH w:val="double" w:sz="1" w:space="0" w:color="000000"/>
          <w:insideV w:val="double" w:sz="1" w:space="0" w:color="000000"/>
        </w:tblBorders>
        <w:tblLayout w:type="fixed"/>
        <w:tblCellMar>
          <w:top w:w="0" w:type="dxa"/>
          <w:left w:w="0" w:type="dxa"/>
          <w:bottom w:w="0" w:type="dxa"/>
          <w:right w:w="0" w:type="dxa"/>
        </w:tblCellMar>
        <w:tblLook w:val="01E0"/>
      </w:tblPr>
      <w:tblGrid>
        <w:gridCol w:w="2094"/>
        <w:gridCol w:w="7018"/>
      </w:tblGrid>
      <w:tr>
        <w:trPr>
          <w:trHeight w:val="2947" w:hRule="atLeast"/>
        </w:trPr>
        <w:tc>
          <w:tcPr>
            <w:tcW w:w="2094" w:type="dxa"/>
            <w:tcBorders>
              <w:left w:val="single" w:sz="4" w:space="0" w:color="000000"/>
            </w:tcBorders>
          </w:tcPr>
          <w:p>
            <w:pPr>
              <w:pStyle w:val="TableParagraph"/>
              <w:rPr>
                <w:i/>
                <w:sz w:val="26"/>
              </w:rPr>
            </w:pPr>
          </w:p>
          <w:p>
            <w:pPr>
              <w:pStyle w:val="TableParagraph"/>
              <w:rPr>
                <w:i/>
                <w:sz w:val="26"/>
              </w:rPr>
            </w:pPr>
          </w:p>
          <w:p>
            <w:pPr>
              <w:pStyle w:val="TableParagraph"/>
              <w:rPr>
                <w:i/>
                <w:sz w:val="26"/>
              </w:rPr>
            </w:pPr>
          </w:p>
          <w:p>
            <w:pPr>
              <w:pStyle w:val="TableParagraph"/>
              <w:spacing w:before="11"/>
              <w:rPr>
                <w:i/>
                <w:sz w:val="31"/>
              </w:rPr>
            </w:pPr>
          </w:p>
          <w:p>
            <w:pPr>
              <w:pStyle w:val="TableParagraph"/>
              <w:ind w:left="19"/>
              <w:rPr>
                <w:b/>
                <w:sz w:val="24"/>
              </w:rPr>
            </w:pPr>
            <w:hyperlink r:id="rId46">
              <w:r>
                <w:rPr>
                  <w:b/>
                  <w:sz w:val="24"/>
                </w:rPr>
                <w:t>Cảng Hải Phòng</w:t>
              </w:r>
            </w:hyperlink>
          </w:p>
        </w:tc>
        <w:tc>
          <w:tcPr>
            <w:tcW w:w="7018" w:type="dxa"/>
            <w:tcBorders>
              <w:right w:val="single" w:sz="4" w:space="0" w:color="000000"/>
            </w:tcBorders>
          </w:tcPr>
          <w:p>
            <w:pPr>
              <w:pStyle w:val="TableParagraph"/>
              <w:spacing w:before="23"/>
              <w:ind w:left="29"/>
              <w:rPr>
                <w:sz w:val="24"/>
              </w:rPr>
            </w:pPr>
            <w:r>
              <w:rPr>
                <w:sz w:val="24"/>
              </w:rPr>
              <w:t>Vị trí Cảng: 20°52’N – 106°41’E</w:t>
            </w:r>
          </w:p>
          <w:p>
            <w:pPr>
              <w:pStyle w:val="TableParagraph"/>
              <w:spacing w:before="137"/>
              <w:ind w:left="29"/>
              <w:rPr>
                <w:sz w:val="24"/>
              </w:rPr>
            </w:pPr>
            <w:r>
              <w:rPr>
                <w:sz w:val="24"/>
              </w:rPr>
              <w:t>Điểm đón trả hoa tiêu: 24°60’N – 106°51’E</w:t>
            </w:r>
          </w:p>
          <w:p>
            <w:pPr>
              <w:pStyle w:val="TableParagraph"/>
              <w:spacing w:line="360" w:lineRule="auto" w:before="139"/>
              <w:ind w:left="29" w:right="169"/>
              <w:rPr>
                <w:sz w:val="24"/>
              </w:rPr>
            </w:pPr>
            <w:r>
              <w:rPr>
                <w:sz w:val="24"/>
              </w:rPr>
              <w:t>Luồng vào cảng từ Bến Bính đến phao số 0</w:t>
            </w:r>
            <w:r>
              <w:rPr>
                <w:i/>
                <w:sz w:val="24"/>
              </w:rPr>
              <w:t>:</w:t>
            </w:r>
            <w:r>
              <w:rPr>
                <w:b/>
                <w:i/>
                <w:sz w:val="24"/>
              </w:rPr>
              <w:t>30.2 </w:t>
            </w:r>
            <w:r>
              <w:rPr>
                <w:b/>
                <w:sz w:val="24"/>
              </w:rPr>
              <w:t>km</w:t>
            </w:r>
            <w:r>
              <w:rPr>
                <w:sz w:val="24"/>
              </w:rPr>
              <w:t>. Độ sâu luồng: từ điểm đón hoa tiêu đến khu vực Cảng Đình Vũ: </w:t>
            </w:r>
            <w:r>
              <w:rPr>
                <w:b/>
                <w:sz w:val="24"/>
              </w:rPr>
              <w:t>-7.3 m</w:t>
            </w:r>
            <w:r>
              <w:rPr>
                <w:sz w:val="24"/>
              </w:rPr>
              <w:t>. từ Cảng Đình Vũ đến khu vực XNXD Hoàng Diệu và Chùa Vẽ: </w:t>
            </w:r>
            <w:r>
              <w:rPr>
                <w:b/>
                <w:sz w:val="24"/>
              </w:rPr>
              <w:t>-5.5m</w:t>
            </w:r>
            <w:r>
              <w:rPr>
                <w:sz w:val="24"/>
              </w:rPr>
              <w:t>. Chế độ thủy triều: </w:t>
            </w:r>
            <w:r>
              <w:rPr>
                <w:b/>
                <w:sz w:val="24"/>
              </w:rPr>
              <w:t>nhật triều </w:t>
            </w:r>
            <w:r>
              <w:rPr>
                <w:b/>
                <w:i/>
                <w:sz w:val="24"/>
              </w:rPr>
              <w:t>(diurnal)</w:t>
            </w:r>
            <w:r>
              <w:rPr>
                <w:sz w:val="24"/>
              </w:rPr>
              <w:t>. Chênh lệch bình quân: </w:t>
            </w:r>
            <w:r>
              <w:rPr>
                <w:b/>
                <w:sz w:val="24"/>
              </w:rPr>
              <w:t>2.5m</w:t>
            </w:r>
            <w:r>
              <w:rPr>
                <w:sz w:val="24"/>
              </w:rPr>
              <w:t>.</w:t>
            </w:r>
          </w:p>
          <w:p>
            <w:pPr>
              <w:pStyle w:val="TableParagraph"/>
              <w:spacing w:before="1"/>
              <w:ind w:left="29"/>
              <w:rPr>
                <w:sz w:val="24"/>
              </w:rPr>
            </w:pPr>
            <w:r>
              <w:rPr>
                <w:sz w:val="24"/>
              </w:rPr>
              <w:t>Cỡ tàu lớn nhất tiếp nhận được: </w:t>
            </w:r>
            <w:r>
              <w:rPr>
                <w:b/>
                <w:sz w:val="24"/>
              </w:rPr>
              <w:t>40.000 DWT</w:t>
            </w:r>
            <w:r>
              <w:rPr>
                <w:sz w:val="24"/>
              </w:rPr>
              <w:t>.</w:t>
            </w:r>
          </w:p>
        </w:tc>
      </w:tr>
      <w:tr>
        <w:trPr>
          <w:trHeight w:val="2533" w:hRule="atLeast"/>
        </w:trPr>
        <w:tc>
          <w:tcPr>
            <w:tcW w:w="2094" w:type="dxa"/>
            <w:tcBorders>
              <w:left w:val="single" w:sz="4" w:space="0" w:color="000000"/>
            </w:tcBorders>
          </w:tcPr>
          <w:p>
            <w:pPr>
              <w:pStyle w:val="TableParagraph"/>
              <w:rPr>
                <w:i/>
                <w:sz w:val="26"/>
              </w:rPr>
            </w:pPr>
          </w:p>
          <w:p>
            <w:pPr>
              <w:pStyle w:val="TableParagraph"/>
              <w:rPr>
                <w:i/>
                <w:sz w:val="26"/>
              </w:rPr>
            </w:pPr>
          </w:p>
          <w:p>
            <w:pPr>
              <w:pStyle w:val="TableParagraph"/>
              <w:rPr>
                <w:i/>
                <w:sz w:val="26"/>
              </w:rPr>
            </w:pPr>
          </w:p>
          <w:p>
            <w:pPr>
              <w:pStyle w:val="TableParagraph"/>
              <w:spacing w:before="162"/>
              <w:ind w:left="19"/>
              <w:rPr>
                <w:b/>
                <w:sz w:val="24"/>
              </w:rPr>
            </w:pPr>
            <w:hyperlink r:id="rId46">
              <w:r>
                <w:rPr>
                  <w:b/>
                  <w:sz w:val="24"/>
                </w:rPr>
                <w:t>Cảng Đoạn Xá</w:t>
              </w:r>
            </w:hyperlink>
          </w:p>
        </w:tc>
        <w:tc>
          <w:tcPr>
            <w:tcW w:w="7018" w:type="dxa"/>
            <w:tcBorders>
              <w:right w:val="single" w:sz="4" w:space="0" w:color="000000"/>
            </w:tcBorders>
          </w:tcPr>
          <w:p>
            <w:pPr>
              <w:pStyle w:val="TableParagraph"/>
              <w:spacing w:before="25"/>
              <w:ind w:left="29"/>
              <w:rPr>
                <w:sz w:val="24"/>
              </w:rPr>
            </w:pPr>
            <w:r>
              <w:rPr>
                <w:sz w:val="24"/>
              </w:rPr>
              <w:t>Vị trí Cảng: 20°52’N – 106°41’E</w:t>
            </w:r>
          </w:p>
          <w:p>
            <w:pPr>
              <w:pStyle w:val="TableParagraph"/>
              <w:spacing w:line="360" w:lineRule="auto" w:before="136"/>
              <w:ind w:left="29" w:right="2465"/>
              <w:rPr>
                <w:b/>
                <w:sz w:val="24"/>
              </w:rPr>
            </w:pPr>
            <w:r>
              <w:rPr>
                <w:sz w:val="24"/>
              </w:rPr>
              <w:t>Điểm đón trả hoa tiêu: 20°40’N – 106°51’E Dài: </w:t>
            </w:r>
            <w:r>
              <w:rPr>
                <w:b/>
                <w:sz w:val="24"/>
              </w:rPr>
              <w:t>30 Km </w:t>
            </w:r>
            <w:r>
              <w:rPr>
                <w:sz w:val="24"/>
              </w:rPr>
              <w:t>; Sâu: </w:t>
            </w:r>
            <w:r>
              <w:rPr>
                <w:b/>
                <w:sz w:val="24"/>
              </w:rPr>
              <w:t>-4.5 m </w:t>
            </w:r>
            <w:r>
              <w:rPr>
                <w:sz w:val="24"/>
              </w:rPr>
              <w:t>; Mớn Nước: </w:t>
            </w:r>
            <w:r>
              <w:rPr>
                <w:b/>
                <w:sz w:val="24"/>
              </w:rPr>
              <w:t>-8.4 m</w:t>
            </w:r>
          </w:p>
          <w:p>
            <w:pPr>
              <w:pStyle w:val="TableParagraph"/>
              <w:spacing w:before="1"/>
              <w:ind w:left="29"/>
              <w:rPr>
                <w:b/>
                <w:sz w:val="24"/>
              </w:rPr>
            </w:pPr>
            <w:r>
              <w:rPr>
                <w:sz w:val="24"/>
              </w:rPr>
              <w:t>Chế độ thủy triều: </w:t>
            </w:r>
            <w:r>
              <w:rPr>
                <w:b/>
                <w:sz w:val="24"/>
              </w:rPr>
              <w:t>nhật triều</w:t>
            </w:r>
            <w:r>
              <w:rPr>
                <w:sz w:val="24"/>
              </w:rPr>
              <w:t>; Chênh lệch bình quân: </w:t>
            </w:r>
            <w:r>
              <w:rPr>
                <w:b/>
                <w:sz w:val="24"/>
              </w:rPr>
              <w:t>3.0 m</w:t>
            </w:r>
          </w:p>
          <w:p>
            <w:pPr>
              <w:pStyle w:val="TableParagraph"/>
              <w:spacing w:before="139"/>
              <w:ind w:left="29"/>
              <w:rPr>
                <w:b/>
                <w:sz w:val="24"/>
              </w:rPr>
            </w:pPr>
            <w:r>
              <w:rPr>
                <w:sz w:val="24"/>
              </w:rPr>
              <w:t>Mớn nước cao nhất tàu ra vào: </w:t>
            </w:r>
            <w:r>
              <w:rPr>
                <w:b/>
                <w:sz w:val="24"/>
              </w:rPr>
              <w:t>-8.4m</w:t>
            </w:r>
          </w:p>
          <w:p>
            <w:pPr>
              <w:pStyle w:val="TableParagraph"/>
              <w:spacing w:before="137"/>
              <w:ind w:left="29"/>
              <w:rPr>
                <w:b/>
                <w:sz w:val="24"/>
              </w:rPr>
            </w:pPr>
            <w:r>
              <w:rPr>
                <w:sz w:val="24"/>
              </w:rPr>
              <w:t>Cỡ tàu lớn nhất tiếp nhận được: </w:t>
            </w:r>
            <w:r>
              <w:rPr>
                <w:b/>
                <w:sz w:val="24"/>
              </w:rPr>
              <w:t>10.000 DWT</w:t>
            </w:r>
          </w:p>
        </w:tc>
      </w:tr>
      <w:tr>
        <w:trPr>
          <w:trHeight w:val="2121" w:hRule="atLeast"/>
        </w:trPr>
        <w:tc>
          <w:tcPr>
            <w:tcW w:w="2094" w:type="dxa"/>
            <w:tcBorders>
              <w:left w:val="single" w:sz="4" w:space="0" w:color="000000"/>
            </w:tcBorders>
          </w:tcPr>
          <w:p>
            <w:pPr>
              <w:pStyle w:val="TableParagraph"/>
              <w:rPr>
                <w:i/>
                <w:sz w:val="26"/>
              </w:rPr>
            </w:pPr>
          </w:p>
          <w:p>
            <w:pPr>
              <w:pStyle w:val="TableParagraph"/>
              <w:rPr>
                <w:i/>
                <w:sz w:val="26"/>
              </w:rPr>
            </w:pPr>
          </w:p>
          <w:p>
            <w:pPr>
              <w:pStyle w:val="TableParagraph"/>
              <w:spacing w:before="2"/>
              <w:rPr>
                <w:i/>
                <w:sz w:val="22"/>
              </w:rPr>
            </w:pPr>
          </w:p>
          <w:p>
            <w:pPr>
              <w:pStyle w:val="TableParagraph"/>
              <w:ind w:left="19"/>
              <w:rPr>
                <w:b/>
                <w:sz w:val="24"/>
              </w:rPr>
            </w:pPr>
            <w:hyperlink r:id="rId47">
              <w:r>
                <w:rPr>
                  <w:b/>
                  <w:sz w:val="24"/>
                </w:rPr>
                <w:t>Cảng </w:t>
              </w:r>
            </w:hyperlink>
            <w:r>
              <w:rPr>
                <w:b/>
                <w:sz w:val="24"/>
              </w:rPr>
              <w:t>TRANSVINA</w:t>
            </w:r>
          </w:p>
        </w:tc>
        <w:tc>
          <w:tcPr>
            <w:tcW w:w="7018" w:type="dxa"/>
            <w:tcBorders>
              <w:right w:val="single" w:sz="4" w:space="0" w:color="000000"/>
            </w:tcBorders>
          </w:tcPr>
          <w:p>
            <w:pPr>
              <w:pStyle w:val="TableParagraph"/>
              <w:spacing w:before="25"/>
              <w:ind w:left="29"/>
              <w:rPr>
                <w:sz w:val="24"/>
              </w:rPr>
            </w:pPr>
            <w:r>
              <w:rPr>
                <w:sz w:val="24"/>
              </w:rPr>
              <w:t>Vị trí cảng : 20°52’N – 106°41’E</w:t>
            </w:r>
          </w:p>
          <w:p>
            <w:pPr>
              <w:pStyle w:val="TableParagraph"/>
              <w:spacing w:before="137"/>
              <w:ind w:left="29"/>
              <w:rPr>
                <w:sz w:val="24"/>
              </w:rPr>
            </w:pPr>
            <w:r>
              <w:rPr>
                <w:sz w:val="24"/>
              </w:rPr>
              <w:t>Điểm đón trả hoa tiêu: 20°40’N – 106°51’E</w:t>
            </w:r>
          </w:p>
          <w:p>
            <w:pPr>
              <w:pStyle w:val="TableParagraph"/>
              <w:spacing w:line="360" w:lineRule="auto" w:before="139"/>
              <w:ind w:left="29" w:right="293"/>
              <w:rPr>
                <w:sz w:val="24"/>
              </w:rPr>
            </w:pPr>
            <w:r>
              <w:rPr>
                <w:sz w:val="24"/>
              </w:rPr>
              <w:t>Dài</w:t>
            </w:r>
            <w:r>
              <w:rPr>
                <w:i/>
                <w:sz w:val="24"/>
              </w:rPr>
              <w:t>: </w:t>
            </w:r>
            <w:r>
              <w:rPr>
                <w:b/>
                <w:sz w:val="24"/>
              </w:rPr>
              <w:t>42 km</w:t>
            </w:r>
            <w:r>
              <w:rPr>
                <w:sz w:val="24"/>
              </w:rPr>
              <w:t>. Độ sâu luồng: </w:t>
            </w:r>
            <w:r>
              <w:rPr>
                <w:b/>
                <w:sz w:val="24"/>
              </w:rPr>
              <w:t>-5.7 m</w:t>
            </w:r>
            <w:r>
              <w:rPr>
                <w:sz w:val="24"/>
              </w:rPr>
              <w:t>. Chế độ thủy triều: </w:t>
            </w:r>
            <w:r>
              <w:rPr>
                <w:b/>
                <w:sz w:val="24"/>
              </w:rPr>
              <w:t>nhật triều</w:t>
            </w:r>
            <w:r>
              <w:rPr>
                <w:sz w:val="24"/>
              </w:rPr>
              <w:t>. Chênh lệch bình quân: </w:t>
            </w:r>
            <w:r>
              <w:rPr>
                <w:b/>
                <w:sz w:val="24"/>
              </w:rPr>
              <w:t>3 m</w:t>
            </w:r>
            <w:r>
              <w:rPr>
                <w:sz w:val="24"/>
              </w:rPr>
              <w:t>. Mớn nước cao nhất tàu ra và: </w:t>
            </w:r>
            <w:r>
              <w:rPr>
                <w:b/>
                <w:sz w:val="24"/>
              </w:rPr>
              <w:t>-8.6 m</w:t>
            </w:r>
            <w:r>
              <w:rPr>
                <w:sz w:val="24"/>
              </w:rPr>
              <w:t>. Cỡ tàu lớn nhất tiếp nhận được: 12.000 DWT</w:t>
            </w:r>
          </w:p>
        </w:tc>
      </w:tr>
      <w:tr>
        <w:trPr>
          <w:trHeight w:val="867" w:hRule="atLeast"/>
        </w:trPr>
        <w:tc>
          <w:tcPr>
            <w:tcW w:w="2094" w:type="dxa"/>
            <w:tcBorders>
              <w:left w:val="single" w:sz="4" w:space="0" w:color="000000"/>
              <w:bottom w:val="single" w:sz="4" w:space="0" w:color="000000"/>
            </w:tcBorders>
          </w:tcPr>
          <w:p>
            <w:pPr>
              <w:pStyle w:val="TableParagraph"/>
              <w:spacing w:before="231"/>
              <w:ind w:left="19"/>
              <w:rPr>
                <w:b/>
                <w:sz w:val="24"/>
              </w:rPr>
            </w:pPr>
            <w:r>
              <w:rPr>
                <w:b/>
                <w:sz w:val="24"/>
              </w:rPr>
              <w:t>Cảng Đình Vũ</w:t>
            </w:r>
          </w:p>
        </w:tc>
        <w:tc>
          <w:tcPr>
            <w:tcW w:w="7018" w:type="dxa"/>
            <w:tcBorders>
              <w:bottom w:val="single" w:sz="4" w:space="0" w:color="000000"/>
              <w:right w:val="single" w:sz="4" w:space="0" w:color="000000"/>
            </w:tcBorders>
          </w:tcPr>
          <w:p>
            <w:pPr>
              <w:pStyle w:val="TableParagraph"/>
              <w:spacing w:before="25"/>
              <w:ind w:left="29"/>
              <w:rPr>
                <w:sz w:val="24"/>
              </w:rPr>
            </w:pPr>
            <w:r>
              <w:rPr>
                <w:sz w:val="24"/>
              </w:rPr>
              <w:t>Vị trí Cảng: 20°54’N – 106°46’E</w:t>
            </w:r>
          </w:p>
          <w:p>
            <w:pPr>
              <w:pStyle w:val="TableParagraph"/>
              <w:spacing w:before="136"/>
              <w:ind w:left="29"/>
              <w:rPr>
                <w:sz w:val="24"/>
              </w:rPr>
            </w:pPr>
            <w:r>
              <w:rPr>
                <w:sz w:val="24"/>
              </w:rPr>
              <w:t>Điểm đón trả hoa tiêu: 20°40’N – 106°51’E</w:t>
            </w:r>
          </w:p>
        </w:tc>
      </w:tr>
    </w:tbl>
    <w:p>
      <w:pPr>
        <w:spacing w:after="0"/>
        <w:rPr>
          <w:sz w:val="24"/>
        </w:rPr>
        <w:sectPr>
          <w:type w:val="continuous"/>
          <w:pgSz w:w="11910" w:h="16850"/>
          <w:pgMar w:top="1840" w:bottom="280" w:left="820" w:right="240"/>
        </w:sectPr>
      </w:pPr>
    </w:p>
    <w:p>
      <w:pPr>
        <w:pStyle w:val="BodyText"/>
        <w:spacing w:before="9"/>
        <w:rPr>
          <w:i/>
          <w:sz w:val="23"/>
        </w:rPr>
      </w:pPr>
    </w:p>
    <w:p>
      <w:pPr>
        <w:pStyle w:val="BodyText"/>
        <w:spacing w:line="20" w:lineRule="exact"/>
        <w:ind w:left="836"/>
        <w:rPr>
          <w:sz w:val="2"/>
        </w:rPr>
      </w:pPr>
      <w:r>
        <w:rPr>
          <w:sz w:val="2"/>
        </w:rPr>
        <w:pict>
          <v:group style="width:458.25pt;height:.5pt;mso-position-horizontal-relative:char;mso-position-vertical-relative:line" coordorigin="0,0" coordsize="9165,10">
            <v:shape style="position:absolute;left:0;top:0;width:9165;height:10" coordorigin="0,0" coordsize="9165,10" path="m9165,0l2129,0,2119,0,0,0,0,10,2119,10,2129,10,9165,10,9165,0xe" filled="true" fillcolor="#000000" stroked="false">
              <v:path arrowok="t"/>
              <v:fill type="solid"/>
            </v:shape>
          </v:group>
        </w:pict>
      </w:r>
      <w:r>
        <w:rPr>
          <w:sz w:val="2"/>
        </w:rPr>
      </w:r>
    </w:p>
    <w:tbl>
      <w:tblPr>
        <w:tblW w:w="0" w:type="auto"/>
        <w:jc w:val="left"/>
        <w:tblInd w:w="86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2094"/>
        <w:gridCol w:w="7018"/>
      </w:tblGrid>
      <w:tr>
        <w:trPr>
          <w:trHeight w:val="2523" w:hRule="atLeast"/>
        </w:trPr>
        <w:tc>
          <w:tcPr>
            <w:tcW w:w="2094" w:type="dxa"/>
            <w:tcBorders>
              <w:top w:val="nil"/>
              <w:bottom w:val="double" w:sz="1" w:space="0" w:color="000000"/>
              <w:right w:val="double" w:sz="1" w:space="0" w:color="000000"/>
            </w:tcBorders>
          </w:tcPr>
          <w:p>
            <w:pPr>
              <w:pStyle w:val="TableParagraph"/>
              <w:rPr>
                <w:sz w:val="24"/>
              </w:rPr>
            </w:pPr>
          </w:p>
        </w:tc>
        <w:tc>
          <w:tcPr>
            <w:tcW w:w="7018" w:type="dxa"/>
            <w:tcBorders>
              <w:left w:val="double" w:sz="1" w:space="0" w:color="000000"/>
              <w:bottom w:val="double" w:sz="1" w:space="0" w:color="000000"/>
            </w:tcBorders>
          </w:tcPr>
          <w:p>
            <w:pPr>
              <w:pStyle w:val="TableParagraph"/>
              <w:spacing w:before="13"/>
              <w:ind w:left="29"/>
              <w:rPr>
                <w:sz w:val="24"/>
              </w:rPr>
            </w:pPr>
            <w:r>
              <w:rPr>
                <w:sz w:val="24"/>
              </w:rPr>
              <w:t>Dài: 14 hải lý.</w:t>
            </w:r>
          </w:p>
          <w:p>
            <w:pPr>
              <w:pStyle w:val="TableParagraph"/>
              <w:spacing w:before="140"/>
              <w:ind w:left="29"/>
              <w:rPr>
                <w:sz w:val="24"/>
              </w:rPr>
            </w:pPr>
            <w:r>
              <w:rPr>
                <w:sz w:val="24"/>
              </w:rPr>
              <w:t>Độ sâu luồng: </w:t>
            </w:r>
            <w:r>
              <w:rPr>
                <w:b/>
                <w:sz w:val="24"/>
              </w:rPr>
              <w:t>-5.7 m</w:t>
            </w:r>
            <w:r>
              <w:rPr>
                <w:sz w:val="24"/>
              </w:rPr>
              <w:t>.</w:t>
            </w:r>
          </w:p>
          <w:p>
            <w:pPr>
              <w:pStyle w:val="TableParagraph"/>
              <w:spacing w:line="360" w:lineRule="auto" w:before="136"/>
              <w:ind w:left="29" w:right="4069"/>
              <w:rPr>
                <w:sz w:val="24"/>
              </w:rPr>
            </w:pPr>
            <w:r>
              <w:rPr>
                <w:sz w:val="24"/>
              </w:rPr>
              <w:t>Chế độ thủy triều: </w:t>
            </w:r>
            <w:r>
              <w:rPr>
                <w:b/>
                <w:sz w:val="24"/>
              </w:rPr>
              <w:t>nhật triều</w:t>
            </w:r>
            <w:r>
              <w:rPr>
                <w:sz w:val="24"/>
              </w:rPr>
              <w:t>. Chênh lệch bình quân: </w:t>
            </w:r>
            <w:r>
              <w:rPr>
                <w:b/>
                <w:sz w:val="24"/>
              </w:rPr>
              <w:t>2.7 m</w:t>
            </w:r>
            <w:r>
              <w:rPr>
                <w:sz w:val="24"/>
              </w:rPr>
              <w:t>.</w:t>
            </w:r>
          </w:p>
          <w:p>
            <w:pPr>
              <w:pStyle w:val="TableParagraph"/>
              <w:spacing w:before="1"/>
              <w:ind w:left="29"/>
              <w:rPr>
                <w:sz w:val="24"/>
              </w:rPr>
            </w:pPr>
            <w:r>
              <w:rPr>
                <w:sz w:val="24"/>
              </w:rPr>
              <w:t>Mớn nước cao nhất tàu ra vào: </w:t>
            </w:r>
            <w:r>
              <w:rPr>
                <w:b/>
                <w:sz w:val="24"/>
              </w:rPr>
              <w:t>-9 m</w:t>
            </w:r>
            <w:r>
              <w:rPr>
                <w:sz w:val="24"/>
              </w:rPr>
              <w:t>.</w:t>
            </w:r>
          </w:p>
          <w:p>
            <w:pPr>
              <w:pStyle w:val="TableParagraph"/>
              <w:spacing w:before="136"/>
              <w:ind w:left="29"/>
              <w:rPr>
                <w:sz w:val="24"/>
              </w:rPr>
            </w:pPr>
            <w:r>
              <w:rPr>
                <w:sz w:val="24"/>
              </w:rPr>
              <w:t>Cỡ tàu lớn nhất tiếp nhận được: 40.000 DWT</w:t>
            </w:r>
          </w:p>
        </w:tc>
      </w:tr>
    </w:tbl>
    <w:p>
      <w:pPr>
        <w:spacing w:before="26"/>
        <w:ind w:left="0" w:right="888" w:firstLine="0"/>
        <w:jc w:val="right"/>
        <w:rPr>
          <w:i/>
          <w:sz w:val="24"/>
        </w:rPr>
      </w:pPr>
      <w:r>
        <w:rPr>
          <w:i/>
          <w:sz w:val="24"/>
        </w:rPr>
        <w:t>Nguồn: VPA. 2019</w:t>
      </w:r>
    </w:p>
    <w:p>
      <w:pPr>
        <w:spacing w:after="0"/>
        <w:jc w:val="right"/>
        <w:rPr>
          <w:sz w:val="24"/>
        </w:rPr>
        <w:sectPr>
          <w:pgSz w:w="11910" w:h="16850"/>
          <w:pgMar w:header="751" w:footer="0" w:top="960" w:bottom="280" w:left="820" w:right="240"/>
        </w:sectPr>
      </w:pPr>
    </w:p>
    <w:p>
      <w:pPr>
        <w:pStyle w:val="BodyText"/>
        <w:spacing w:before="1"/>
        <w:rPr>
          <w:i/>
          <w:sz w:val="16"/>
        </w:rPr>
      </w:pPr>
    </w:p>
    <w:p>
      <w:pPr>
        <w:pStyle w:val="Heading4"/>
      </w:pPr>
      <w:r>
        <w:rPr/>
        <w:t>PHỤ LỤC 2</w:t>
      </w:r>
    </w:p>
    <w:p>
      <w:pPr>
        <w:spacing w:before="160"/>
        <w:ind w:left="944" w:right="952" w:firstLine="0"/>
        <w:jc w:val="center"/>
        <w:rPr>
          <w:b/>
          <w:sz w:val="28"/>
        </w:rPr>
      </w:pPr>
      <w:r>
        <w:rPr>
          <w:b/>
          <w:sz w:val="28"/>
        </w:rPr>
        <w:t>BẢNG CÂU HỎI THẢO LUẬN NHÓM</w:t>
      </w:r>
    </w:p>
    <w:p>
      <w:pPr>
        <w:pStyle w:val="BodyText"/>
        <w:rPr>
          <w:b/>
          <w:sz w:val="20"/>
        </w:rPr>
      </w:pPr>
    </w:p>
    <w:p>
      <w:pPr>
        <w:pStyle w:val="Heading6"/>
        <w:spacing w:before="245"/>
        <w:ind w:left="943" w:right="952"/>
        <w:jc w:val="center"/>
      </w:pPr>
      <w:r>
        <w:rPr/>
        <w:t>THẢO LUẬN NHÓM</w:t>
      </w:r>
    </w:p>
    <w:p>
      <w:pPr>
        <w:pStyle w:val="BodyText"/>
        <w:spacing w:before="149"/>
        <w:ind w:left="882"/>
      </w:pPr>
      <w:r>
        <w:rPr/>
        <w:t>Kính chào Quý Anh. Chị.</w:t>
      </w:r>
    </w:p>
    <w:p>
      <w:pPr>
        <w:pStyle w:val="BodyText"/>
        <w:spacing w:line="360" w:lineRule="auto" w:before="150"/>
        <w:ind w:left="882" w:right="891"/>
        <w:jc w:val="both"/>
      </w:pPr>
      <w:r>
        <w:rPr/>
        <w:t>Hôm nay tôi rất hân hạnh được đón tiếp quý Anh (Chị) để chúng ta cùng nhau thảo luận về những yếu tố tạo lợi thế cạnh tranh cho cảng container tại Việt Nam. Rất mong sự góp ý tích cực từ quý Anh (Chị). ở đây chúng ta không có ý kiến đúng hay sai mà tất cả các ý kiến của quý Anh (Chị) đều đóng góp cho nghiên cứu này được tốt hơn. Bây giờ chúng ta hãy tự giới thiệu tên. chức vụ. nơi công tác đề làm quen với</w:t>
      </w:r>
      <w:r>
        <w:rPr>
          <w:spacing w:val="-17"/>
        </w:rPr>
        <w:t> </w:t>
      </w:r>
      <w:r>
        <w:rPr/>
        <w:t>nhau</w:t>
      </w:r>
    </w:p>
    <w:p>
      <w:pPr>
        <w:pStyle w:val="BodyText"/>
        <w:ind w:left="882"/>
        <w:jc w:val="both"/>
      </w:pPr>
      <w:r>
        <w:rPr/>
        <w:t>Xin trân trọng cảm ơn.</w:t>
      </w:r>
    </w:p>
    <w:p>
      <w:pPr>
        <w:pStyle w:val="Heading6"/>
        <w:numPr>
          <w:ilvl w:val="0"/>
          <w:numId w:val="36"/>
        </w:numPr>
        <w:tabs>
          <w:tab w:pos="1099" w:val="left" w:leader="none"/>
        </w:tabs>
        <w:spacing w:line="240" w:lineRule="auto" w:before="150" w:after="0"/>
        <w:ind w:left="1098" w:right="0" w:hanging="217"/>
        <w:jc w:val="both"/>
      </w:pPr>
      <w:r>
        <w:rPr/>
        <w:t>Cơ sở hạ tầng</w:t>
      </w:r>
      <w:r>
        <w:rPr>
          <w:spacing w:val="-4"/>
        </w:rPr>
        <w:t> </w:t>
      </w:r>
      <w:r>
        <w:rPr/>
        <w:t>cảng</w:t>
      </w:r>
    </w:p>
    <w:p>
      <w:pPr>
        <w:pStyle w:val="ListParagraph"/>
        <w:numPr>
          <w:ilvl w:val="0"/>
          <w:numId w:val="37"/>
        </w:numPr>
        <w:tabs>
          <w:tab w:pos="1127" w:val="left" w:leader="none"/>
        </w:tabs>
        <w:spacing w:line="360" w:lineRule="auto" w:before="150" w:after="0"/>
        <w:ind w:left="882" w:right="888" w:firstLine="0"/>
        <w:jc w:val="both"/>
        <w:rPr>
          <w:sz w:val="26"/>
        </w:rPr>
      </w:pPr>
      <w:r>
        <w:rPr>
          <w:sz w:val="26"/>
        </w:rPr>
        <w:t>Anh (Chị) cho biết cảng container có các cơ sở hạ tầng nào? và các cơ sở hạ tầng này phải như thế nào mới mang lại lợi thế cạnh</w:t>
      </w:r>
      <w:r>
        <w:rPr>
          <w:spacing w:val="-7"/>
          <w:sz w:val="26"/>
        </w:rPr>
        <w:t> </w:t>
      </w:r>
      <w:r>
        <w:rPr>
          <w:sz w:val="26"/>
        </w:rPr>
        <w:t>tranh?</w:t>
      </w:r>
    </w:p>
    <w:p>
      <w:pPr>
        <w:pStyle w:val="ListParagraph"/>
        <w:numPr>
          <w:ilvl w:val="0"/>
          <w:numId w:val="37"/>
        </w:numPr>
        <w:tabs>
          <w:tab w:pos="1190" w:val="left" w:leader="none"/>
        </w:tabs>
        <w:spacing w:line="360" w:lineRule="auto" w:before="0" w:after="0"/>
        <w:ind w:left="882" w:right="888" w:firstLine="0"/>
        <w:jc w:val="both"/>
        <w:rPr>
          <w:sz w:val="26"/>
        </w:rPr>
      </w:pPr>
      <w:r>
        <w:rPr>
          <w:sz w:val="26"/>
        </w:rPr>
        <w:t>Tôi xin đưa ra một số câu hỏi sau đây và Anh (Chị) cho tôi biết Anh (Chị) có hiểu câu hỏi này hay không? và câu hỏi này nói lên điều gì? nếu đánh giá yếu tố cơ sở hạ tầng ảnh hưởng đến lợi thế cạnh tranh cảng container Việt Nam thì cần thêm và bớt gì? tại</w:t>
      </w:r>
      <w:r>
        <w:rPr>
          <w:spacing w:val="-2"/>
          <w:sz w:val="26"/>
        </w:rPr>
        <w:t> </w:t>
      </w:r>
      <w:r>
        <w:rPr>
          <w:sz w:val="26"/>
        </w:rPr>
        <w:t>sao?</w:t>
      </w:r>
    </w:p>
    <w:p>
      <w:pPr>
        <w:pStyle w:val="ListParagraph"/>
        <w:numPr>
          <w:ilvl w:val="1"/>
          <w:numId w:val="37"/>
        </w:numPr>
        <w:tabs>
          <w:tab w:pos="1862" w:val="left" w:leader="none"/>
        </w:tabs>
        <w:spacing w:line="240" w:lineRule="auto" w:before="0" w:after="0"/>
        <w:ind w:left="1861" w:right="0" w:hanging="260"/>
        <w:jc w:val="both"/>
        <w:rPr>
          <w:sz w:val="26"/>
        </w:rPr>
      </w:pPr>
      <w:r>
        <w:rPr>
          <w:sz w:val="26"/>
        </w:rPr>
        <w:t>Trang thiết bị cảng hiện</w:t>
      </w:r>
      <w:r>
        <w:rPr>
          <w:spacing w:val="-3"/>
          <w:sz w:val="26"/>
        </w:rPr>
        <w:t> </w:t>
      </w:r>
      <w:r>
        <w:rPr>
          <w:sz w:val="26"/>
        </w:rPr>
        <w:t>đại</w:t>
      </w:r>
    </w:p>
    <w:p>
      <w:pPr>
        <w:pStyle w:val="ListParagraph"/>
        <w:numPr>
          <w:ilvl w:val="1"/>
          <w:numId w:val="37"/>
        </w:numPr>
        <w:tabs>
          <w:tab w:pos="1862" w:val="left" w:leader="none"/>
        </w:tabs>
        <w:spacing w:line="240" w:lineRule="auto" w:before="150" w:after="0"/>
        <w:ind w:left="1861" w:right="0" w:hanging="260"/>
        <w:jc w:val="both"/>
        <w:rPr>
          <w:sz w:val="26"/>
        </w:rPr>
      </w:pPr>
      <w:r>
        <w:rPr>
          <w:sz w:val="26"/>
        </w:rPr>
        <w:t>Năng suất xếp dỡ thiết bị container</w:t>
      </w:r>
      <w:r>
        <w:rPr>
          <w:spacing w:val="-7"/>
          <w:sz w:val="26"/>
        </w:rPr>
        <w:t> </w:t>
      </w:r>
      <w:r>
        <w:rPr>
          <w:sz w:val="26"/>
        </w:rPr>
        <w:t>cao</w:t>
      </w:r>
    </w:p>
    <w:p>
      <w:pPr>
        <w:pStyle w:val="ListParagraph"/>
        <w:numPr>
          <w:ilvl w:val="1"/>
          <w:numId w:val="37"/>
        </w:numPr>
        <w:tabs>
          <w:tab w:pos="1862" w:val="left" w:leader="none"/>
        </w:tabs>
        <w:spacing w:line="240" w:lineRule="auto" w:before="150" w:after="0"/>
        <w:ind w:left="1861" w:right="0" w:hanging="260"/>
        <w:jc w:val="left"/>
        <w:rPr>
          <w:sz w:val="26"/>
        </w:rPr>
      </w:pPr>
      <w:r>
        <w:rPr>
          <w:sz w:val="26"/>
        </w:rPr>
        <w:t>Hệ thống cứu chữa sự cố ở cảng đạt tiêu</w:t>
      </w:r>
      <w:r>
        <w:rPr>
          <w:spacing w:val="-5"/>
          <w:sz w:val="26"/>
        </w:rPr>
        <w:t> </w:t>
      </w:r>
      <w:r>
        <w:rPr>
          <w:sz w:val="26"/>
        </w:rPr>
        <w:t>chuẩn</w:t>
      </w:r>
    </w:p>
    <w:p>
      <w:pPr>
        <w:pStyle w:val="ListParagraph"/>
        <w:numPr>
          <w:ilvl w:val="1"/>
          <w:numId w:val="37"/>
        </w:numPr>
        <w:tabs>
          <w:tab w:pos="1862" w:val="left" w:leader="none"/>
        </w:tabs>
        <w:spacing w:line="240" w:lineRule="auto" w:before="149" w:after="0"/>
        <w:ind w:left="1861" w:right="0" w:hanging="260"/>
        <w:jc w:val="left"/>
        <w:rPr>
          <w:sz w:val="26"/>
        </w:rPr>
      </w:pPr>
      <w:r>
        <w:rPr>
          <w:sz w:val="26"/>
        </w:rPr>
        <w:t>Điều kiện cơ sở hạ tầng đạt tiêu chuẩn</w:t>
      </w:r>
      <w:r>
        <w:rPr>
          <w:spacing w:val="-4"/>
          <w:sz w:val="26"/>
        </w:rPr>
        <w:t> </w:t>
      </w:r>
      <w:r>
        <w:rPr>
          <w:sz w:val="26"/>
        </w:rPr>
        <w:t>cao</w:t>
      </w:r>
    </w:p>
    <w:p>
      <w:pPr>
        <w:pStyle w:val="ListParagraph"/>
        <w:numPr>
          <w:ilvl w:val="1"/>
          <w:numId w:val="37"/>
        </w:numPr>
        <w:tabs>
          <w:tab w:pos="1862" w:val="left" w:leader="none"/>
        </w:tabs>
        <w:spacing w:line="240" w:lineRule="auto" w:before="148" w:after="0"/>
        <w:ind w:left="1861" w:right="0" w:hanging="260"/>
        <w:jc w:val="left"/>
        <w:rPr>
          <w:sz w:val="26"/>
        </w:rPr>
      </w:pPr>
      <w:r>
        <w:rPr>
          <w:sz w:val="26"/>
        </w:rPr>
        <w:t>Số lượng bến đậu tàu nhiều</w:t>
      </w:r>
    </w:p>
    <w:p>
      <w:pPr>
        <w:pStyle w:val="ListParagraph"/>
        <w:numPr>
          <w:ilvl w:val="1"/>
          <w:numId w:val="37"/>
        </w:numPr>
        <w:tabs>
          <w:tab w:pos="1862" w:val="left" w:leader="none"/>
        </w:tabs>
        <w:spacing w:line="240" w:lineRule="auto" w:before="150" w:after="0"/>
        <w:ind w:left="1861" w:right="0" w:hanging="260"/>
        <w:jc w:val="left"/>
        <w:rPr>
          <w:sz w:val="26"/>
        </w:rPr>
      </w:pPr>
      <w:r>
        <w:rPr>
          <w:sz w:val="26"/>
        </w:rPr>
        <w:t>Số lượng cầu tàu nước sâu</w:t>
      </w:r>
      <w:r>
        <w:rPr>
          <w:spacing w:val="-6"/>
          <w:sz w:val="26"/>
        </w:rPr>
        <w:t> </w:t>
      </w:r>
      <w:r>
        <w:rPr>
          <w:sz w:val="26"/>
        </w:rPr>
        <w:t>nhiều</w:t>
      </w:r>
    </w:p>
    <w:p>
      <w:pPr>
        <w:pStyle w:val="ListParagraph"/>
        <w:numPr>
          <w:ilvl w:val="1"/>
          <w:numId w:val="37"/>
        </w:numPr>
        <w:tabs>
          <w:tab w:pos="1862" w:val="left" w:leader="none"/>
        </w:tabs>
        <w:spacing w:line="240" w:lineRule="auto" w:before="149" w:after="0"/>
        <w:ind w:left="1861" w:right="0" w:hanging="260"/>
        <w:jc w:val="left"/>
        <w:rPr>
          <w:sz w:val="26"/>
        </w:rPr>
      </w:pPr>
      <w:r>
        <w:rPr>
          <w:sz w:val="26"/>
        </w:rPr>
        <w:t>Số lượng trang thiết bị xếp dỡ</w:t>
      </w:r>
      <w:r>
        <w:rPr>
          <w:spacing w:val="-3"/>
          <w:sz w:val="26"/>
        </w:rPr>
        <w:t> </w:t>
      </w:r>
      <w:r>
        <w:rPr>
          <w:sz w:val="26"/>
        </w:rPr>
        <w:t>nhiều</w:t>
      </w:r>
    </w:p>
    <w:p>
      <w:pPr>
        <w:pStyle w:val="Heading6"/>
        <w:numPr>
          <w:ilvl w:val="0"/>
          <w:numId w:val="36"/>
        </w:numPr>
        <w:tabs>
          <w:tab w:pos="1214" w:val="left" w:leader="none"/>
        </w:tabs>
        <w:spacing w:line="240" w:lineRule="auto" w:before="151" w:after="0"/>
        <w:ind w:left="1213" w:right="0" w:hanging="332"/>
        <w:jc w:val="both"/>
      </w:pPr>
      <w:r>
        <w:rPr/>
        <w:t>Vị trí cảng</w:t>
      </w:r>
      <w:r>
        <w:rPr>
          <w:spacing w:val="-4"/>
        </w:rPr>
        <w:t> </w:t>
      </w:r>
      <w:r>
        <w:rPr/>
        <w:t>container</w:t>
      </w:r>
    </w:p>
    <w:p>
      <w:pPr>
        <w:pStyle w:val="ListParagraph"/>
        <w:numPr>
          <w:ilvl w:val="0"/>
          <w:numId w:val="38"/>
        </w:numPr>
        <w:tabs>
          <w:tab w:pos="1130" w:val="left" w:leader="none"/>
        </w:tabs>
        <w:spacing w:line="360" w:lineRule="auto" w:before="150" w:after="0"/>
        <w:ind w:left="882" w:right="891" w:firstLine="0"/>
        <w:jc w:val="both"/>
        <w:rPr>
          <w:sz w:val="26"/>
        </w:rPr>
      </w:pPr>
      <w:r>
        <w:rPr>
          <w:sz w:val="26"/>
        </w:rPr>
        <w:t>Anh (Chị) cho biết cảng container có vị trí nằm ở khu vực như thế nào mới được xem là</w:t>
      </w:r>
      <w:r>
        <w:rPr>
          <w:spacing w:val="-2"/>
          <w:sz w:val="26"/>
        </w:rPr>
        <w:t> </w:t>
      </w:r>
      <w:r>
        <w:rPr>
          <w:sz w:val="26"/>
        </w:rPr>
        <w:t>tốt.?</w:t>
      </w:r>
    </w:p>
    <w:p>
      <w:pPr>
        <w:pStyle w:val="ListParagraph"/>
        <w:numPr>
          <w:ilvl w:val="0"/>
          <w:numId w:val="38"/>
        </w:numPr>
        <w:tabs>
          <w:tab w:pos="1190" w:val="left" w:leader="none"/>
        </w:tabs>
        <w:spacing w:line="360" w:lineRule="auto" w:before="0" w:after="0"/>
        <w:ind w:left="882" w:right="891" w:firstLine="0"/>
        <w:jc w:val="both"/>
        <w:rPr>
          <w:sz w:val="26"/>
        </w:rPr>
      </w:pPr>
      <w:r>
        <w:rPr>
          <w:sz w:val="26"/>
        </w:rPr>
        <w:t>Tôi xin đưa ra một số câu hỏi sau đây và Anh (Chị) cho tôi biết Anh (Chị) có hiểu câu hỏi này hay không? và câu hỏi này nói lên điều gì? nếu đánh giá yếu tố vị trí cảng ảnh hưởng đến lợi thế cạnh tranh cảng container thì cần thêm và bớt gì? tại</w:t>
      </w:r>
      <w:r>
        <w:rPr>
          <w:spacing w:val="-13"/>
          <w:sz w:val="26"/>
        </w:rPr>
        <w:t> </w:t>
      </w:r>
      <w:r>
        <w:rPr>
          <w:sz w:val="26"/>
        </w:rPr>
        <w:t>sao?</w:t>
      </w:r>
    </w:p>
    <w:p>
      <w:pPr>
        <w:pStyle w:val="ListParagraph"/>
        <w:numPr>
          <w:ilvl w:val="1"/>
          <w:numId w:val="38"/>
        </w:numPr>
        <w:tabs>
          <w:tab w:pos="1862" w:val="left" w:leader="none"/>
        </w:tabs>
        <w:spacing w:line="298" w:lineRule="exact" w:before="0" w:after="0"/>
        <w:ind w:left="1861" w:right="0" w:hanging="260"/>
        <w:jc w:val="both"/>
        <w:rPr>
          <w:sz w:val="26"/>
        </w:rPr>
      </w:pPr>
      <w:r>
        <w:rPr>
          <w:sz w:val="26"/>
        </w:rPr>
        <w:t>Vị trí địa lý thuận</w:t>
      </w:r>
      <w:r>
        <w:rPr>
          <w:spacing w:val="-2"/>
          <w:sz w:val="26"/>
        </w:rPr>
        <w:t> </w:t>
      </w:r>
      <w:r>
        <w:rPr>
          <w:sz w:val="26"/>
        </w:rPr>
        <w:t>lợi</w:t>
      </w:r>
    </w:p>
    <w:p>
      <w:pPr>
        <w:spacing w:after="0" w:line="298" w:lineRule="exact"/>
        <w:jc w:val="both"/>
        <w:rPr>
          <w:sz w:val="26"/>
        </w:rPr>
        <w:sectPr>
          <w:pgSz w:w="11910" w:h="16850"/>
          <w:pgMar w:header="751" w:footer="0" w:top="960" w:bottom="280" w:left="820" w:right="240"/>
        </w:sectPr>
      </w:pPr>
    </w:p>
    <w:p>
      <w:pPr>
        <w:pStyle w:val="BodyText"/>
        <w:spacing w:before="3"/>
        <w:rPr>
          <w:sz w:val="16"/>
        </w:rPr>
      </w:pPr>
    </w:p>
    <w:p>
      <w:pPr>
        <w:pStyle w:val="ListParagraph"/>
        <w:numPr>
          <w:ilvl w:val="1"/>
          <w:numId w:val="38"/>
        </w:numPr>
        <w:tabs>
          <w:tab w:pos="1862" w:val="left" w:leader="none"/>
        </w:tabs>
        <w:spacing w:line="240" w:lineRule="auto" w:before="88" w:after="0"/>
        <w:ind w:left="1861" w:right="0" w:hanging="260"/>
        <w:jc w:val="left"/>
        <w:rPr>
          <w:sz w:val="26"/>
        </w:rPr>
      </w:pPr>
      <w:r>
        <w:rPr>
          <w:sz w:val="26"/>
        </w:rPr>
        <w:t>Cảng gần những tuyến hàng hải chính</w:t>
      </w:r>
      <w:r>
        <w:rPr>
          <w:spacing w:val="-5"/>
          <w:sz w:val="26"/>
        </w:rPr>
        <w:t> </w:t>
      </w:r>
      <w:r>
        <w:rPr>
          <w:sz w:val="26"/>
        </w:rPr>
        <w:t>yếu</w:t>
      </w:r>
    </w:p>
    <w:p>
      <w:pPr>
        <w:pStyle w:val="ListParagraph"/>
        <w:numPr>
          <w:ilvl w:val="1"/>
          <w:numId w:val="38"/>
        </w:numPr>
        <w:tabs>
          <w:tab w:pos="1871" w:val="left" w:leader="none"/>
        </w:tabs>
        <w:spacing w:line="360" w:lineRule="auto" w:before="151" w:after="0"/>
        <w:ind w:left="882" w:right="891" w:firstLine="719"/>
        <w:jc w:val="left"/>
        <w:rPr>
          <w:sz w:val="26"/>
        </w:rPr>
      </w:pPr>
      <w:r>
        <w:rPr>
          <w:sz w:val="26"/>
        </w:rPr>
        <w:t>Tuyến đường liên kết liên hợp đến cảng phù hợp cho vận tải lượng hàng lớn (vd: đường sắt. xa lộ. sà lan. hàng</w:t>
      </w:r>
      <w:r>
        <w:rPr>
          <w:spacing w:val="-3"/>
          <w:sz w:val="26"/>
        </w:rPr>
        <w:t> </w:t>
      </w:r>
      <w:r>
        <w:rPr>
          <w:sz w:val="26"/>
        </w:rPr>
        <w:t>không...)</w:t>
      </w:r>
    </w:p>
    <w:p>
      <w:pPr>
        <w:pStyle w:val="ListParagraph"/>
        <w:numPr>
          <w:ilvl w:val="1"/>
          <w:numId w:val="38"/>
        </w:numPr>
        <w:tabs>
          <w:tab w:pos="1862" w:val="left" w:leader="none"/>
        </w:tabs>
        <w:spacing w:line="240" w:lineRule="auto" w:before="0" w:after="0"/>
        <w:ind w:left="1861" w:right="0" w:hanging="260"/>
        <w:jc w:val="left"/>
        <w:rPr>
          <w:sz w:val="26"/>
        </w:rPr>
      </w:pPr>
      <w:r>
        <w:rPr>
          <w:sz w:val="26"/>
        </w:rPr>
        <w:t>Cảng gần các thềm lục địa</w:t>
      </w:r>
      <w:r>
        <w:rPr>
          <w:spacing w:val="-5"/>
          <w:sz w:val="26"/>
        </w:rPr>
        <w:t> </w:t>
      </w:r>
      <w:r>
        <w:rPr>
          <w:sz w:val="26"/>
        </w:rPr>
        <w:t>Á-Âu</w:t>
      </w:r>
    </w:p>
    <w:p>
      <w:pPr>
        <w:pStyle w:val="ListParagraph"/>
        <w:numPr>
          <w:ilvl w:val="1"/>
          <w:numId w:val="38"/>
        </w:numPr>
        <w:tabs>
          <w:tab w:pos="1862" w:val="left" w:leader="none"/>
        </w:tabs>
        <w:spacing w:line="240" w:lineRule="auto" w:before="150" w:after="0"/>
        <w:ind w:left="1861" w:right="0" w:hanging="260"/>
        <w:jc w:val="left"/>
        <w:rPr>
          <w:sz w:val="26"/>
        </w:rPr>
      </w:pPr>
      <w:r>
        <w:rPr>
          <w:sz w:val="26"/>
        </w:rPr>
        <w:t>Gần các cảng trung chuyển lớn trên thế giới (Cảng Singapore. Hồng</w:t>
      </w:r>
      <w:r>
        <w:rPr>
          <w:spacing w:val="-10"/>
          <w:sz w:val="26"/>
        </w:rPr>
        <w:t> </w:t>
      </w:r>
      <w:r>
        <w:rPr>
          <w:sz w:val="26"/>
        </w:rPr>
        <w:t>Kông…)</w:t>
      </w:r>
    </w:p>
    <w:p>
      <w:pPr>
        <w:pStyle w:val="ListParagraph"/>
        <w:numPr>
          <w:ilvl w:val="1"/>
          <w:numId w:val="38"/>
        </w:numPr>
        <w:tabs>
          <w:tab w:pos="1862" w:val="left" w:leader="none"/>
        </w:tabs>
        <w:spacing w:line="240" w:lineRule="auto" w:before="150" w:after="0"/>
        <w:ind w:left="1861" w:right="0" w:hanging="260"/>
        <w:jc w:val="left"/>
        <w:rPr>
          <w:sz w:val="26"/>
        </w:rPr>
      </w:pPr>
      <w:r>
        <w:rPr>
          <w:sz w:val="26"/>
        </w:rPr>
        <w:t>Cảng gần các khu công nghiệp. khu chế xuất</w:t>
      </w:r>
    </w:p>
    <w:p>
      <w:pPr>
        <w:pStyle w:val="ListParagraph"/>
        <w:numPr>
          <w:ilvl w:val="1"/>
          <w:numId w:val="38"/>
        </w:numPr>
        <w:tabs>
          <w:tab w:pos="1862" w:val="left" w:leader="none"/>
        </w:tabs>
        <w:spacing w:line="240" w:lineRule="auto" w:before="147" w:after="0"/>
        <w:ind w:left="1861" w:right="0" w:hanging="260"/>
        <w:jc w:val="left"/>
        <w:rPr>
          <w:sz w:val="26"/>
        </w:rPr>
      </w:pPr>
      <w:r>
        <w:rPr>
          <w:sz w:val="26"/>
        </w:rPr>
        <w:t>Cảng gần các trung tâm thương</w:t>
      </w:r>
      <w:r>
        <w:rPr>
          <w:spacing w:val="-5"/>
          <w:sz w:val="26"/>
        </w:rPr>
        <w:t> </w:t>
      </w:r>
      <w:r>
        <w:rPr>
          <w:sz w:val="26"/>
        </w:rPr>
        <w:t>mại</w:t>
      </w:r>
    </w:p>
    <w:p>
      <w:pPr>
        <w:pStyle w:val="Heading6"/>
        <w:numPr>
          <w:ilvl w:val="0"/>
          <w:numId w:val="36"/>
        </w:numPr>
        <w:tabs>
          <w:tab w:pos="1314" w:val="left" w:leader="none"/>
        </w:tabs>
        <w:spacing w:line="240" w:lineRule="auto" w:before="150" w:after="0"/>
        <w:ind w:left="1314" w:right="0" w:hanging="432"/>
        <w:jc w:val="both"/>
      </w:pPr>
      <w:r>
        <w:rPr/>
        <w:t>Khả năng kết nối nội địa của cảng</w:t>
      </w:r>
    </w:p>
    <w:p>
      <w:pPr>
        <w:pStyle w:val="ListParagraph"/>
        <w:numPr>
          <w:ilvl w:val="0"/>
          <w:numId w:val="39"/>
        </w:numPr>
        <w:tabs>
          <w:tab w:pos="1106" w:val="left" w:leader="none"/>
        </w:tabs>
        <w:spacing w:line="240" w:lineRule="auto" w:before="150" w:after="0"/>
        <w:ind w:left="1105" w:right="0" w:hanging="224"/>
        <w:jc w:val="both"/>
        <w:rPr>
          <w:sz w:val="26"/>
        </w:rPr>
      </w:pPr>
      <w:r>
        <w:rPr>
          <w:sz w:val="26"/>
        </w:rPr>
        <w:t>Anh (Chị) cho biết cảng container có các hệ thống kết nối nội địa</w:t>
      </w:r>
      <w:r>
        <w:rPr>
          <w:spacing w:val="-6"/>
          <w:sz w:val="26"/>
        </w:rPr>
        <w:t> </w:t>
      </w:r>
      <w:r>
        <w:rPr>
          <w:sz w:val="26"/>
        </w:rPr>
        <w:t>nào?</w:t>
      </w:r>
    </w:p>
    <w:p>
      <w:pPr>
        <w:pStyle w:val="ListParagraph"/>
        <w:numPr>
          <w:ilvl w:val="0"/>
          <w:numId w:val="39"/>
        </w:numPr>
        <w:tabs>
          <w:tab w:pos="1190" w:val="left" w:leader="none"/>
        </w:tabs>
        <w:spacing w:line="360" w:lineRule="auto" w:before="150" w:after="0"/>
        <w:ind w:left="882" w:right="888" w:firstLine="0"/>
        <w:jc w:val="both"/>
        <w:rPr>
          <w:sz w:val="26"/>
        </w:rPr>
      </w:pPr>
      <w:r>
        <w:rPr>
          <w:sz w:val="26"/>
        </w:rPr>
        <w:t>Tôi xin đưa ra một số câu hỏi sau đây và Anh (Chị) cho tôi biết Anh (Chị) có hiểu câu hỏi này hay không? và câu hỏi này nói lên điều gì? nếu đánh giá yếu tố khả năng kết nối nội địa của cảng container ảnh hưởng đến lợi thế cạnh tranh cảng container thì cần thêm và bớt gì? tại</w:t>
      </w:r>
      <w:r>
        <w:rPr>
          <w:spacing w:val="3"/>
          <w:sz w:val="26"/>
        </w:rPr>
        <w:t> </w:t>
      </w:r>
      <w:r>
        <w:rPr>
          <w:sz w:val="26"/>
        </w:rPr>
        <w:t>sao?</w:t>
      </w:r>
    </w:p>
    <w:p>
      <w:pPr>
        <w:pStyle w:val="ListParagraph"/>
        <w:numPr>
          <w:ilvl w:val="1"/>
          <w:numId w:val="39"/>
        </w:numPr>
        <w:tabs>
          <w:tab w:pos="1862" w:val="left" w:leader="none"/>
        </w:tabs>
        <w:spacing w:line="298" w:lineRule="exact" w:before="0" w:after="0"/>
        <w:ind w:left="1861" w:right="0" w:hanging="260"/>
        <w:jc w:val="both"/>
        <w:rPr>
          <w:sz w:val="26"/>
        </w:rPr>
      </w:pPr>
      <w:r>
        <w:rPr>
          <w:sz w:val="26"/>
        </w:rPr>
        <w:t>Có nhiều tuyến đường bộ đến</w:t>
      </w:r>
      <w:r>
        <w:rPr>
          <w:spacing w:val="-3"/>
          <w:sz w:val="26"/>
        </w:rPr>
        <w:t> </w:t>
      </w:r>
      <w:r>
        <w:rPr>
          <w:sz w:val="26"/>
        </w:rPr>
        <w:t>cảng</w:t>
      </w:r>
    </w:p>
    <w:p>
      <w:pPr>
        <w:pStyle w:val="ListParagraph"/>
        <w:numPr>
          <w:ilvl w:val="1"/>
          <w:numId w:val="39"/>
        </w:numPr>
        <w:tabs>
          <w:tab w:pos="1862" w:val="left" w:leader="none"/>
        </w:tabs>
        <w:spacing w:line="240" w:lineRule="auto" w:before="150" w:after="0"/>
        <w:ind w:left="1861" w:right="0" w:hanging="260"/>
        <w:jc w:val="left"/>
        <w:rPr>
          <w:sz w:val="26"/>
        </w:rPr>
      </w:pPr>
      <w:r>
        <w:rPr>
          <w:sz w:val="26"/>
        </w:rPr>
        <w:t>Khả năng kết nối của cảng với các mạng lưới Logistics nội địa</w:t>
      </w:r>
      <w:r>
        <w:rPr>
          <w:spacing w:val="-5"/>
          <w:sz w:val="26"/>
        </w:rPr>
        <w:t> </w:t>
      </w:r>
      <w:r>
        <w:rPr>
          <w:sz w:val="26"/>
        </w:rPr>
        <w:t>cao</w:t>
      </w:r>
    </w:p>
    <w:p>
      <w:pPr>
        <w:pStyle w:val="ListParagraph"/>
        <w:numPr>
          <w:ilvl w:val="1"/>
          <w:numId w:val="39"/>
        </w:numPr>
        <w:tabs>
          <w:tab w:pos="1862" w:val="left" w:leader="none"/>
        </w:tabs>
        <w:spacing w:line="240" w:lineRule="auto" w:before="150" w:after="0"/>
        <w:ind w:left="1861" w:right="0" w:hanging="260"/>
        <w:jc w:val="left"/>
        <w:rPr>
          <w:sz w:val="26"/>
        </w:rPr>
      </w:pPr>
      <w:r>
        <w:rPr>
          <w:sz w:val="26"/>
        </w:rPr>
        <w:t>Có nhiều tuyến đường sắt đến</w:t>
      </w:r>
      <w:r>
        <w:rPr>
          <w:spacing w:val="-2"/>
          <w:sz w:val="26"/>
        </w:rPr>
        <w:t> </w:t>
      </w:r>
      <w:r>
        <w:rPr>
          <w:sz w:val="26"/>
        </w:rPr>
        <w:t>cảng</w:t>
      </w:r>
    </w:p>
    <w:p>
      <w:pPr>
        <w:pStyle w:val="Heading6"/>
        <w:numPr>
          <w:ilvl w:val="0"/>
          <w:numId w:val="36"/>
        </w:numPr>
        <w:tabs>
          <w:tab w:pos="1365" w:val="left" w:leader="none"/>
        </w:tabs>
        <w:spacing w:line="240" w:lineRule="auto" w:before="150" w:after="0"/>
        <w:ind w:left="1364" w:right="0" w:hanging="483"/>
        <w:jc w:val="both"/>
      </w:pPr>
      <w:r>
        <w:rPr/>
        <w:t>Độ tin cậy cảng</w:t>
      </w:r>
      <w:r>
        <w:rPr>
          <w:spacing w:val="-5"/>
        </w:rPr>
        <w:t> </w:t>
      </w:r>
      <w:r>
        <w:rPr/>
        <w:t>container</w:t>
      </w:r>
    </w:p>
    <w:p>
      <w:pPr>
        <w:pStyle w:val="ListParagraph"/>
        <w:numPr>
          <w:ilvl w:val="0"/>
          <w:numId w:val="40"/>
        </w:numPr>
        <w:tabs>
          <w:tab w:pos="1106" w:val="left" w:leader="none"/>
        </w:tabs>
        <w:spacing w:line="240" w:lineRule="auto" w:before="150" w:after="0"/>
        <w:ind w:left="1105" w:right="0" w:hanging="224"/>
        <w:jc w:val="both"/>
        <w:rPr>
          <w:sz w:val="26"/>
        </w:rPr>
      </w:pPr>
      <w:r>
        <w:rPr>
          <w:sz w:val="26"/>
        </w:rPr>
        <w:t>Anh (Chị) cho biết cảng container được xem là tin cậy thì phải như thế</w:t>
      </w:r>
      <w:r>
        <w:rPr>
          <w:spacing w:val="-12"/>
          <w:sz w:val="26"/>
        </w:rPr>
        <w:t> </w:t>
      </w:r>
      <w:r>
        <w:rPr>
          <w:sz w:val="26"/>
        </w:rPr>
        <w:t>nào.?</w:t>
      </w:r>
    </w:p>
    <w:p>
      <w:pPr>
        <w:pStyle w:val="ListParagraph"/>
        <w:numPr>
          <w:ilvl w:val="0"/>
          <w:numId w:val="40"/>
        </w:numPr>
        <w:tabs>
          <w:tab w:pos="1190" w:val="left" w:leader="none"/>
        </w:tabs>
        <w:spacing w:line="360" w:lineRule="auto" w:before="150" w:after="0"/>
        <w:ind w:left="882" w:right="891" w:firstLine="0"/>
        <w:jc w:val="both"/>
        <w:rPr>
          <w:sz w:val="26"/>
        </w:rPr>
      </w:pPr>
      <w:r>
        <w:rPr>
          <w:sz w:val="26"/>
        </w:rPr>
        <w:t>Tôi xin đưa ra một số câu hỏi sau đây và Anh (Chị) cho tôi biết Anh (Chị) có hiểu câu hỏi này hay không? và câu hỏi này nói lên điều gì? nếu đánh giá yếu tố độ tin cậy ảnh hưởng đến lợi thế cạnh tranh cảng container thì cần thêm và bớt gì? tại</w:t>
      </w:r>
      <w:r>
        <w:rPr>
          <w:spacing w:val="-12"/>
          <w:sz w:val="26"/>
        </w:rPr>
        <w:t> </w:t>
      </w:r>
      <w:r>
        <w:rPr>
          <w:sz w:val="26"/>
        </w:rPr>
        <w:t>sao?</w:t>
      </w:r>
    </w:p>
    <w:p>
      <w:pPr>
        <w:pStyle w:val="ListParagraph"/>
        <w:numPr>
          <w:ilvl w:val="1"/>
          <w:numId w:val="40"/>
        </w:numPr>
        <w:tabs>
          <w:tab w:pos="1862" w:val="left" w:leader="none"/>
        </w:tabs>
        <w:spacing w:line="298" w:lineRule="exact" w:before="0" w:after="0"/>
        <w:ind w:left="1861" w:right="0" w:hanging="260"/>
        <w:jc w:val="both"/>
        <w:rPr>
          <w:sz w:val="26"/>
        </w:rPr>
      </w:pPr>
      <w:r>
        <w:rPr>
          <w:sz w:val="26"/>
        </w:rPr>
        <w:t>Khả năng đáp ứng nhanh của</w:t>
      </w:r>
      <w:r>
        <w:rPr>
          <w:spacing w:val="-5"/>
          <w:sz w:val="26"/>
        </w:rPr>
        <w:t> </w:t>
      </w:r>
      <w:r>
        <w:rPr>
          <w:sz w:val="26"/>
        </w:rPr>
        <w:t>cảng</w:t>
      </w:r>
    </w:p>
    <w:p>
      <w:pPr>
        <w:pStyle w:val="ListParagraph"/>
        <w:numPr>
          <w:ilvl w:val="1"/>
          <w:numId w:val="40"/>
        </w:numPr>
        <w:tabs>
          <w:tab w:pos="1862" w:val="left" w:leader="none"/>
        </w:tabs>
        <w:spacing w:line="240" w:lineRule="auto" w:before="150" w:after="0"/>
        <w:ind w:left="1861" w:right="0" w:hanging="260"/>
        <w:jc w:val="left"/>
        <w:rPr>
          <w:sz w:val="26"/>
        </w:rPr>
      </w:pPr>
      <w:r>
        <w:rPr>
          <w:sz w:val="26"/>
        </w:rPr>
        <w:t>Uy tính của cảng về thiệt hại hàng</w:t>
      </w:r>
      <w:r>
        <w:rPr>
          <w:spacing w:val="1"/>
          <w:sz w:val="26"/>
        </w:rPr>
        <w:t> </w:t>
      </w:r>
      <w:r>
        <w:rPr>
          <w:sz w:val="26"/>
        </w:rPr>
        <w:t>hoá</w:t>
      </w:r>
    </w:p>
    <w:p>
      <w:pPr>
        <w:pStyle w:val="ListParagraph"/>
        <w:numPr>
          <w:ilvl w:val="1"/>
          <w:numId w:val="40"/>
        </w:numPr>
        <w:tabs>
          <w:tab w:pos="1862" w:val="left" w:leader="none"/>
        </w:tabs>
        <w:spacing w:line="240" w:lineRule="auto" w:before="150" w:after="0"/>
        <w:ind w:left="1861" w:right="0" w:hanging="260"/>
        <w:jc w:val="left"/>
        <w:rPr>
          <w:sz w:val="26"/>
        </w:rPr>
      </w:pPr>
      <w:r>
        <w:rPr>
          <w:sz w:val="26"/>
        </w:rPr>
        <w:t>Hệ thống quản lý</w:t>
      </w:r>
      <w:r>
        <w:rPr>
          <w:spacing w:val="-3"/>
          <w:sz w:val="26"/>
        </w:rPr>
        <w:t> </w:t>
      </w:r>
      <w:r>
        <w:rPr>
          <w:sz w:val="26"/>
        </w:rPr>
        <w:t>tốt</w:t>
      </w:r>
    </w:p>
    <w:p>
      <w:pPr>
        <w:pStyle w:val="ListParagraph"/>
        <w:numPr>
          <w:ilvl w:val="1"/>
          <w:numId w:val="40"/>
        </w:numPr>
        <w:tabs>
          <w:tab w:pos="1862" w:val="left" w:leader="none"/>
        </w:tabs>
        <w:spacing w:line="240" w:lineRule="auto" w:before="149" w:after="0"/>
        <w:ind w:left="1861" w:right="0" w:hanging="260"/>
        <w:jc w:val="left"/>
        <w:rPr>
          <w:sz w:val="26"/>
        </w:rPr>
      </w:pPr>
      <w:r>
        <w:rPr>
          <w:sz w:val="26"/>
        </w:rPr>
        <w:t>Hệ thống thông tin nhanh chóng, kịp</w:t>
      </w:r>
      <w:r>
        <w:rPr>
          <w:spacing w:val="-5"/>
          <w:sz w:val="26"/>
        </w:rPr>
        <w:t> </w:t>
      </w:r>
      <w:r>
        <w:rPr>
          <w:sz w:val="26"/>
        </w:rPr>
        <w:t>thời</w:t>
      </w:r>
    </w:p>
    <w:p>
      <w:pPr>
        <w:pStyle w:val="ListParagraph"/>
        <w:numPr>
          <w:ilvl w:val="1"/>
          <w:numId w:val="40"/>
        </w:numPr>
        <w:tabs>
          <w:tab w:pos="1862" w:val="left" w:leader="none"/>
        </w:tabs>
        <w:spacing w:line="240" w:lineRule="auto" w:before="151" w:after="0"/>
        <w:ind w:left="1861" w:right="0" w:hanging="260"/>
        <w:jc w:val="left"/>
        <w:rPr>
          <w:sz w:val="26"/>
        </w:rPr>
      </w:pPr>
      <w:r>
        <w:rPr>
          <w:sz w:val="26"/>
        </w:rPr>
        <w:t>Chiến lược và chính sách cảng phù</w:t>
      </w:r>
      <w:r>
        <w:rPr>
          <w:spacing w:val="-2"/>
          <w:sz w:val="26"/>
        </w:rPr>
        <w:t> </w:t>
      </w:r>
      <w:r>
        <w:rPr>
          <w:sz w:val="26"/>
        </w:rPr>
        <w:t>hợp</w:t>
      </w:r>
    </w:p>
    <w:p>
      <w:pPr>
        <w:pStyle w:val="Heading6"/>
        <w:numPr>
          <w:ilvl w:val="0"/>
          <w:numId w:val="36"/>
        </w:numPr>
        <w:tabs>
          <w:tab w:pos="1199" w:val="left" w:leader="none"/>
        </w:tabs>
        <w:spacing w:line="240" w:lineRule="auto" w:before="150" w:after="0"/>
        <w:ind w:left="1198" w:right="0" w:hanging="317"/>
        <w:jc w:val="left"/>
      </w:pPr>
      <w:r>
        <w:rPr/>
        <w:t>Chi phí dịch vụ Logistics của cảng container Việt</w:t>
      </w:r>
      <w:r>
        <w:rPr>
          <w:spacing w:val="-3"/>
        </w:rPr>
        <w:t> </w:t>
      </w:r>
      <w:r>
        <w:rPr/>
        <w:t>Nam.</w:t>
      </w:r>
    </w:p>
    <w:p>
      <w:pPr>
        <w:pStyle w:val="ListParagraph"/>
        <w:numPr>
          <w:ilvl w:val="0"/>
          <w:numId w:val="41"/>
        </w:numPr>
        <w:tabs>
          <w:tab w:pos="1113" w:val="left" w:leader="none"/>
        </w:tabs>
        <w:spacing w:line="360" w:lineRule="auto" w:before="147" w:after="0"/>
        <w:ind w:left="882" w:right="888" w:firstLine="0"/>
        <w:jc w:val="left"/>
        <w:rPr>
          <w:sz w:val="26"/>
        </w:rPr>
      </w:pPr>
      <w:r>
        <w:rPr>
          <w:sz w:val="26"/>
        </w:rPr>
        <w:t>Anh (Chị) cho biết chi phí dịch vụ Logistics của cảng container phải như thế nào để tăng lợi thế cạnh</w:t>
      </w:r>
      <w:r>
        <w:rPr>
          <w:spacing w:val="-3"/>
          <w:sz w:val="26"/>
        </w:rPr>
        <w:t> </w:t>
      </w:r>
      <w:r>
        <w:rPr>
          <w:sz w:val="26"/>
        </w:rPr>
        <w:t>tranh?</w:t>
      </w:r>
    </w:p>
    <w:p>
      <w:pPr>
        <w:pStyle w:val="ListParagraph"/>
        <w:numPr>
          <w:ilvl w:val="0"/>
          <w:numId w:val="41"/>
        </w:numPr>
        <w:tabs>
          <w:tab w:pos="1190" w:val="left" w:leader="none"/>
        </w:tabs>
        <w:spacing w:line="360" w:lineRule="auto" w:before="1" w:after="0"/>
        <w:ind w:left="882" w:right="888" w:firstLine="0"/>
        <w:jc w:val="left"/>
        <w:rPr>
          <w:sz w:val="26"/>
        </w:rPr>
      </w:pPr>
      <w:r>
        <w:rPr>
          <w:sz w:val="26"/>
        </w:rPr>
        <w:t>Tôi xin đưa ra một số câu hỏi sau đây và Anh (Chị) cho tôi biết Anh (Chị) có hiểu câu</w:t>
      </w:r>
      <w:r>
        <w:rPr>
          <w:spacing w:val="16"/>
          <w:sz w:val="26"/>
        </w:rPr>
        <w:t> </w:t>
      </w:r>
      <w:r>
        <w:rPr>
          <w:sz w:val="26"/>
        </w:rPr>
        <w:t>hỏi</w:t>
      </w:r>
      <w:r>
        <w:rPr>
          <w:spacing w:val="17"/>
          <w:sz w:val="26"/>
        </w:rPr>
        <w:t> </w:t>
      </w:r>
      <w:r>
        <w:rPr>
          <w:sz w:val="26"/>
        </w:rPr>
        <w:t>này</w:t>
      </w:r>
      <w:r>
        <w:rPr>
          <w:spacing w:val="17"/>
          <w:sz w:val="26"/>
        </w:rPr>
        <w:t> </w:t>
      </w:r>
      <w:r>
        <w:rPr>
          <w:sz w:val="26"/>
        </w:rPr>
        <w:t>hay</w:t>
      </w:r>
      <w:r>
        <w:rPr>
          <w:spacing w:val="17"/>
          <w:sz w:val="26"/>
        </w:rPr>
        <w:t> </w:t>
      </w:r>
      <w:r>
        <w:rPr>
          <w:sz w:val="26"/>
        </w:rPr>
        <w:t>không?</w:t>
      </w:r>
      <w:r>
        <w:rPr>
          <w:spacing w:val="19"/>
          <w:sz w:val="26"/>
        </w:rPr>
        <w:t> </w:t>
      </w:r>
      <w:r>
        <w:rPr>
          <w:sz w:val="26"/>
        </w:rPr>
        <w:t>và</w:t>
      </w:r>
      <w:r>
        <w:rPr>
          <w:spacing w:val="17"/>
          <w:sz w:val="26"/>
        </w:rPr>
        <w:t> </w:t>
      </w:r>
      <w:r>
        <w:rPr>
          <w:sz w:val="26"/>
        </w:rPr>
        <w:t>câu</w:t>
      </w:r>
      <w:r>
        <w:rPr>
          <w:spacing w:val="18"/>
          <w:sz w:val="26"/>
        </w:rPr>
        <w:t> </w:t>
      </w:r>
      <w:r>
        <w:rPr>
          <w:sz w:val="26"/>
        </w:rPr>
        <w:t>hỏi</w:t>
      </w:r>
      <w:r>
        <w:rPr>
          <w:spacing w:val="17"/>
          <w:sz w:val="26"/>
        </w:rPr>
        <w:t> </w:t>
      </w:r>
      <w:r>
        <w:rPr>
          <w:sz w:val="26"/>
        </w:rPr>
        <w:t>này</w:t>
      </w:r>
      <w:r>
        <w:rPr>
          <w:spacing w:val="18"/>
          <w:sz w:val="26"/>
        </w:rPr>
        <w:t> </w:t>
      </w:r>
      <w:r>
        <w:rPr>
          <w:sz w:val="26"/>
        </w:rPr>
        <w:t>nói</w:t>
      </w:r>
      <w:r>
        <w:rPr>
          <w:spacing w:val="17"/>
          <w:sz w:val="26"/>
        </w:rPr>
        <w:t> </w:t>
      </w:r>
      <w:r>
        <w:rPr>
          <w:sz w:val="26"/>
        </w:rPr>
        <w:t>lên</w:t>
      </w:r>
      <w:r>
        <w:rPr>
          <w:spacing w:val="17"/>
          <w:sz w:val="26"/>
        </w:rPr>
        <w:t> </w:t>
      </w:r>
      <w:r>
        <w:rPr>
          <w:sz w:val="26"/>
        </w:rPr>
        <w:t>điều</w:t>
      </w:r>
      <w:r>
        <w:rPr>
          <w:spacing w:val="17"/>
          <w:sz w:val="26"/>
        </w:rPr>
        <w:t> </w:t>
      </w:r>
      <w:r>
        <w:rPr>
          <w:sz w:val="26"/>
        </w:rPr>
        <w:t>gì?</w:t>
      </w:r>
      <w:r>
        <w:rPr>
          <w:spacing w:val="18"/>
          <w:sz w:val="26"/>
        </w:rPr>
        <w:t> </w:t>
      </w:r>
      <w:r>
        <w:rPr>
          <w:sz w:val="26"/>
        </w:rPr>
        <w:t>nếu</w:t>
      </w:r>
      <w:r>
        <w:rPr>
          <w:spacing w:val="17"/>
          <w:sz w:val="26"/>
        </w:rPr>
        <w:t> </w:t>
      </w:r>
      <w:r>
        <w:rPr>
          <w:sz w:val="26"/>
        </w:rPr>
        <w:t>đánh</w:t>
      </w:r>
      <w:r>
        <w:rPr>
          <w:spacing w:val="18"/>
          <w:sz w:val="26"/>
        </w:rPr>
        <w:t> </w:t>
      </w:r>
      <w:r>
        <w:rPr>
          <w:sz w:val="26"/>
        </w:rPr>
        <w:t>giá</w:t>
      </w:r>
      <w:r>
        <w:rPr>
          <w:spacing w:val="17"/>
          <w:sz w:val="26"/>
        </w:rPr>
        <w:t> </w:t>
      </w:r>
      <w:r>
        <w:rPr>
          <w:sz w:val="26"/>
        </w:rPr>
        <w:t>chi</w:t>
      </w:r>
      <w:r>
        <w:rPr>
          <w:spacing w:val="17"/>
          <w:sz w:val="26"/>
        </w:rPr>
        <w:t> </w:t>
      </w:r>
      <w:r>
        <w:rPr>
          <w:sz w:val="26"/>
        </w:rPr>
        <w:t>phí</w:t>
      </w:r>
      <w:r>
        <w:rPr>
          <w:spacing w:val="17"/>
          <w:sz w:val="26"/>
        </w:rPr>
        <w:t> </w:t>
      </w:r>
      <w:r>
        <w:rPr>
          <w:sz w:val="26"/>
        </w:rPr>
        <w:t>dịch</w:t>
      </w:r>
      <w:r>
        <w:rPr>
          <w:spacing w:val="17"/>
          <w:sz w:val="26"/>
        </w:rPr>
        <w:t> </w:t>
      </w:r>
      <w:r>
        <w:rPr>
          <w:sz w:val="26"/>
        </w:rPr>
        <w:t>vụ</w:t>
      </w:r>
    </w:p>
    <w:p>
      <w:pPr>
        <w:spacing w:after="0" w:line="360" w:lineRule="auto"/>
        <w:jc w:val="left"/>
        <w:rPr>
          <w:sz w:val="26"/>
        </w:rPr>
        <w:sectPr>
          <w:pgSz w:w="11910" w:h="16850"/>
          <w:pgMar w:header="751" w:footer="0" w:top="960" w:bottom="280" w:left="820" w:right="240"/>
        </w:sectPr>
      </w:pPr>
    </w:p>
    <w:p>
      <w:pPr>
        <w:pStyle w:val="BodyText"/>
        <w:spacing w:before="3"/>
        <w:rPr>
          <w:sz w:val="16"/>
        </w:rPr>
      </w:pPr>
    </w:p>
    <w:p>
      <w:pPr>
        <w:pStyle w:val="BodyText"/>
        <w:spacing w:line="360" w:lineRule="auto" w:before="88"/>
        <w:ind w:left="882" w:right="884"/>
      </w:pPr>
      <w:r>
        <w:rPr/>
        <w:t>Logistics cảng ảnh hưởng đến lợi thế cạnh tranh cảng container thì cần thêm và bớt gì? tại sao?</w:t>
      </w:r>
    </w:p>
    <w:p>
      <w:pPr>
        <w:pStyle w:val="ListParagraph"/>
        <w:numPr>
          <w:ilvl w:val="1"/>
          <w:numId w:val="41"/>
        </w:numPr>
        <w:tabs>
          <w:tab w:pos="1862" w:val="left" w:leader="none"/>
        </w:tabs>
        <w:spacing w:line="240" w:lineRule="auto" w:before="1" w:after="0"/>
        <w:ind w:left="1861" w:right="0" w:hanging="260"/>
        <w:jc w:val="left"/>
        <w:rPr>
          <w:sz w:val="26"/>
        </w:rPr>
      </w:pPr>
      <w:r>
        <w:rPr>
          <w:sz w:val="26"/>
        </w:rPr>
        <w:t>Chi phí cảng phù hợp với chất lượng dịch</w:t>
      </w:r>
      <w:r>
        <w:rPr>
          <w:spacing w:val="-6"/>
          <w:sz w:val="26"/>
        </w:rPr>
        <w:t> </w:t>
      </w:r>
      <w:r>
        <w:rPr>
          <w:sz w:val="26"/>
        </w:rPr>
        <w:t>vụ.</w:t>
      </w:r>
    </w:p>
    <w:p>
      <w:pPr>
        <w:pStyle w:val="ListParagraph"/>
        <w:numPr>
          <w:ilvl w:val="1"/>
          <w:numId w:val="41"/>
        </w:numPr>
        <w:tabs>
          <w:tab w:pos="1862" w:val="left" w:leader="none"/>
        </w:tabs>
        <w:spacing w:line="240" w:lineRule="auto" w:before="150" w:after="0"/>
        <w:ind w:left="1861" w:right="0" w:hanging="260"/>
        <w:jc w:val="left"/>
        <w:rPr>
          <w:sz w:val="26"/>
        </w:rPr>
      </w:pPr>
      <w:r>
        <w:rPr>
          <w:sz w:val="26"/>
        </w:rPr>
        <w:t>Chi phí cảng ổn</w:t>
      </w:r>
      <w:r>
        <w:rPr>
          <w:spacing w:val="1"/>
          <w:sz w:val="26"/>
        </w:rPr>
        <w:t> </w:t>
      </w:r>
      <w:r>
        <w:rPr>
          <w:sz w:val="26"/>
        </w:rPr>
        <w:t>định</w:t>
      </w:r>
    </w:p>
    <w:p>
      <w:pPr>
        <w:pStyle w:val="ListParagraph"/>
        <w:numPr>
          <w:ilvl w:val="1"/>
          <w:numId w:val="41"/>
        </w:numPr>
        <w:tabs>
          <w:tab w:pos="1862" w:val="left" w:leader="none"/>
        </w:tabs>
        <w:spacing w:line="240" w:lineRule="auto" w:before="150" w:after="0"/>
        <w:ind w:left="1861" w:right="0" w:hanging="260"/>
        <w:jc w:val="left"/>
        <w:rPr>
          <w:sz w:val="26"/>
        </w:rPr>
      </w:pPr>
      <w:r>
        <w:rPr>
          <w:sz w:val="26"/>
        </w:rPr>
        <w:t>Cảng phí</w:t>
      </w:r>
      <w:r>
        <w:rPr>
          <w:spacing w:val="-2"/>
          <w:sz w:val="26"/>
        </w:rPr>
        <w:t> </w:t>
      </w:r>
      <w:r>
        <w:rPr>
          <w:sz w:val="26"/>
        </w:rPr>
        <w:t>thấp</w:t>
      </w:r>
    </w:p>
    <w:p>
      <w:pPr>
        <w:pStyle w:val="ListParagraph"/>
        <w:numPr>
          <w:ilvl w:val="1"/>
          <w:numId w:val="41"/>
        </w:numPr>
        <w:tabs>
          <w:tab w:pos="1862" w:val="left" w:leader="none"/>
        </w:tabs>
        <w:spacing w:line="240" w:lineRule="auto" w:before="150" w:after="0"/>
        <w:ind w:left="1861" w:right="0" w:hanging="260"/>
        <w:jc w:val="left"/>
        <w:rPr>
          <w:sz w:val="26"/>
        </w:rPr>
      </w:pPr>
      <w:r>
        <w:rPr>
          <w:sz w:val="26"/>
        </w:rPr>
        <w:t>Chi phí phụ trợ phù</w:t>
      </w:r>
      <w:r>
        <w:rPr>
          <w:spacing w:val="-2"/>
          <w:sz w:val="26"/>
        </w:rPr>
        <w:t> </w:t>
      </w:r>
      <w:r>
        <w:rPr>
          <w:sz w:val="26"/>
        </w:rPr>
        <w:t>hợp</w:t>
      </w:r>
    </w:p>
    <w:p>
      <w:pPr>
        <w:pStyle w:val="ListParagraph"/>
        <w:numPr>
          <w:ilvl w:val="1"/>
          <w:numId w:val="41"/>
        </w:numPr>
        <w:tabs>
          <w:tab w:pos="1862" w:val="left" w:leader="none"/>
        </w:tabs>
        <w:spacing w:line="240" w:lineRule="auto" w:before="147" w:after="0"/>
        <w:ind w:left="1861" w:right="0" w:hanging="260"/>
        <w:jc w:val="left"/>
        <w:rPr>
          <w:sz w:val="26"/>
        </w:rPr>
      </w:pPr>
      <w:r>
        <w:rPr>
          <w:sz w:val="26"/>
        </w:rPr>
        <w:t>Chi phí cảng luôn cạnh</w:t>
      </w:r>
      <w:r>
        <w:rPr>
          <w:spacing w:val="-3"/>
          <w:sz w:val="26"/>
        </w:rPr>
        <w:t> </w:t>
      </w:r>
      <w:r>
        <w:rPr>
          <w:sz w:val="26"/>
        </w:rPr>
        <w:t>tranh</w:t>
      </w:r>
    </w:p>
    <w:p>
      <w:pPr>
        <w:pStyle w:val="ListParagraph"/>
        <w:numPr>
          <w:ilvl w:val="1"/>
          <w:numId w:val="41"/>
        </w:numPr>
        <w:tabs>
          <w:tab w:pos="1862" w:val="left" w:leader="none"/>
        </w:tabs>
        <w:spacing w:line="240" w:lineRule="auto" w:before="150" w:after="0"/>
        <w:ind w:left="1861" w:right="0" w:hanging="260"/>
        <w:jc w:val="left"/>
        <w:rPr>
          <w:sz w:val="26"/>
        </w:rPr>
      </w:pPr>
      <w:r>
        <w:rPr>
          <w:sz w:val="26"/>
        </w:rPr>
        <w:t>Chi phí cảng có nhiều ưu</w:t>
      </w:r>
      <w:r>
        <w:rPr>
          <w:spacing w:val="-1"/>
          <w:sz w:val="26"/>
        </w:rPr>
        <w:t> </w:t>
      </w:r>
      <w:r>
        <w:rPr>
          <w:sz w:val="26"/>
        </w:rPr>
        <w:t>đãi.</w:t>
      </w:r>
    </w:p>
    <w:p>
      <w:pPr>
        <w:pStyle w:val="Heading6"/>
        <w:numPr>
          <w:ilvl w:val="0"/>
          <w:numId w:val="36"/>
        </w:numPr>
        <w:tabs>
          <w:tab w:pos="1300" w:val="left" w:leader="none"/>
        </w:tabs>
        <w:spacing w:line="240" w:lineRule="auto" w:before="150" w:after="0"/>
        <w:ind w:left="1299" w:right="0" w:hanging="418"/>
        <w:jc w:val="both"/>
      </w:pPr>
      <w:r>
        <w:rPr/>
        <w:t>Chất lượng dịch vụ Logistics cảng</w:t>
      </w:r>
      <w:r>
        <w:rPr>
          <w:spacing w:val="-1"/>
        </w:rPr>
        <w:t> </w:t>
      </w:r>
      <w:r>
        <w:rPr/>
        <w:t>container</w:t>
      </w:r>
    </w:p>
    <w:p>
      <w:pPr>
        <w:pStyle w:val="ListParagraph"/>
        <w:numPr>
          <w:ilvl w:val="0"/>
          <w:numId w:val="42"/>
        </w:numPr>
        <w:tabs>
          <w:tab w:pos="1127" w:val="left" w:leader="none"/>
        </w:tabs>
        <w:spacing w:line="360" w:lineRule="auto" w:before="150" w:after="0"/>
        <w:ind w:left="882" w:right="891" w:firstLine="0"/>
        <w:jc w:val="both"/>
        <w:rPr>
          <w:sz w:val="26"/>
        </w:rPr>
      </w:pPr>
      <w:r>
        <w:rPr>
          <w:sz w:val="26"/>
        </w:rPr>
        <w:t>Anh (Chị) cho biết chất lượng dịch vụ Logistics cảng container thường được đánh giá bằng các hoạt động nào?</w:t>
      </w:r>
    </w:p>
    <w:p>
      <w:pPr>
        <w:pStyle w:val="ListParagraph"/>
        <w:numPr>
          <w:ilvl w:val="0"/>
          <w:numId w:val="42"/>
        </w:numPr>
        <w:tabs>
          <w:tab w:pos="1190" w:val="left" w:leader="none"/>
        </w:tabs>
        <w:spacing w:line="360" w:lineRule="auto" w:before="1" w:after="0"/>
        <w:ind w:left="882" w:right="888" w:firstLine="0"/>
        <w:jc w:val="both"/>
        <w:rPr>
          <w:sz w:val="26"/>
        </w:rPr>
      </w:pPr>
      <w:r>
        <w:rPr>
          <w:sz w:val="26"/>
        </w:rPr>
        <w:t>Tôi xin đưa ra một số câu hỏi sau đây và Anh (Chị) cho tôi biết Anh (Chị) có hiểu câu hỏi này hay không? và câu hỏi này nói lên điều gì? nếu đánh giá chất lượng dịch vụ Logistics cảng container ảnh hưởng đến lợi thế cạnh tranh thì cần thêm và bớt gì? tại</w:t>
      </w:r>
      <w:r>
        <w:rPr>
          <w:spacing w:val="-2"/>
          <w:sz w:val="26"/>
        </w:rPr>
        <w:t> </w:t>
      </w:r>
      <w:r>
        <w:rPr>
          <w:sz w:val="26"/>
        </w:rPr>
        <w:t>sao?</w:t>
      </w:r>
    </w:p>
    <w:p>
      <w:pPr>
        <w:pStyle w:val="ListParagraph"/>
        <w:numPr>
          <w:ilvl w:val="1"/>
          <w:numId w:val="42"/>
        </w:numPr>
        <w:tabs>
          <w:tab w:pos="1862" w:val="left" w:leader="none"/>
        </w:tabs>
        <w:spacing w:line="298" w:lineRule="exact" w:before="0" w:after="0"/>
        <w:ind w:left="1861" w:right="0" w:hanging="260"/>
        <w:jc w:val="both"/>
        <w:rPr>
          <w:sz w:val="26"/>
        </w:rPr>
      </w:pPr>
      <w:r>
        <w:rPr>
          <w:sz w:val="26"/>
        </w:rPr>
        <w:t>Năng lực cung cấp container</w:t>
      </w:r>
      <w:r>
        <w:rPr>
          <w:spacing w:val="-5"/>
          <w:sz w:val="26"/>
        </w:rPr>
        <w:t> </w:t>
      </w:r>
      <w:r>
        <w:rPr>
          <w:sz w:val="26"/>
        </w:rPr>
        <w:t>rỗng</w:t>
      </w:r>
    </w:p>
    <w:p>
      <w:pPr>
        <w:pStyle w:val="ListParagraph"/>
        <w:numPr>
          <w:ilvl w:val="1"/>
          <w:numId w:val="42"/>
        </w:numPr>
        <w:tabs>
          <w:tab w:pos="1862" w:val="left" w:leader="none"/>
        </w:tabs>
        <w:spacing w:line="240" w:lineRule="auto" w:before="150" w:after="0"/>
        <w:ind w:left="1861" w:right="0" w:hanging="260"/>
        <w:jc w:val="left"/>
        <w:rPr>
          <w:sz w:val="26"/>
        </w:rPr>
      </w:pPr>
      <w:r>
        <w:rPr>
          <w:sz w:val="26"/>
        </w:rPr>
        <w:t>Dịch vụ chuyển tải nhanh</w:t>
      </w:r>
      <w:r>
        <w:rPr>
          <w:spacing w:val="-3"/>
          <w:sz w:val="26"/>
        </w:rPr>
        <w:t> </w:t>
      </w:r>
      <w:r>
        <w:rPr>
          <w:sz w:val="26"/>
        </w:rPr>
        <w:t>chóng</w:t>
      </w:r>
    </w:p>
    <w:p>
      <w:pPr>
        <w:pStyle w:val="ListParagraph"/>
        <w:numPr>
          <w:ilvl w:val="1"/>
          <w:numId w:val="42"/>
        </w:numPr>
        <w:tabs>
          <w:tab w:pos="1862" w:val="left" w:leader="none"/>
        </w:tabs>
        <w:spacing w:line="240" w:lineRule="auto" w:before="150" w:after="0"/>
        <w:ind w:left="1861" w:right="0" w:hanging="260"/>
        <w:jc w:val="left"/>
        <w:rPr>
          <w:sz w:val="26"/>
        </w:rPr>
      </w:pPr>
      <w:r>
        <w:rPr>
          <w:sz w:val="26"/>
        </w:rPr>
        <w:t>Hệ thống thông tin nhanh chóng. kịp</w:t>
      </w:r>
      <w:r>
        <w:rPr>
          <w:spacing w:val="-5"/>
          <w:sz w:val="26"/>
        </w:rPr>
        <w:t> </w:t>
      </w:r>
      <w:r>
        <w:rPr>
          <w:sz w:val="26"/>
        </w:rPr>
        <w:t>thời</w:t>
      </w:r>
    </w:p>
    <w:p>
      <w:pPr>
        <w:pStyle w:val="ListParagraph"/>
        <w:numPr>
          <w:ilvl w:val="1"/>
          <w:numId w:val="42"/>
        </w:numPr>
        <w:tabs>
          <w:tab w:pos="1869" w:val="left" w:leader="none"/>
        </w:tabs>
        <w:spacing w:line="360" w:lineRule="auto" w:before="150" w:after="0"/>
        <w:ind w:left="882" w:right="890" w:firstLine="719"/>
        <w:jc w:val="left"/>
        <w:rPr>
          <w:sz w:val="26"/>
        </w:rPr>
      </w:pPr>
      <w:r>
        <w:rPr>
          <w:sz w:val="26"/>
        </w:rPr>
        <w:t>Cấu trúc tổ chức bến cảng tiện lợi cho việc sử dụng làm giảm chi phí và thời gian cho khách</w:t>
      </w:r>
      <w:r>
        <w:rPr>
          <w:spacing w:val="-3"/>
          <w:sz w:val="26"/>
        </w:rPr>
        <w:t> </w:t>
      </w:r>
      <w:r>
        <w:rPr>
          <w:sz w:val="26"/>
        </w:rPr>
        <w:t>hàng</w:t>
      </w:r>
    </w:p>
    <w:p>
      <w:pPr>
        <w:pStyle w:val="ListParagraph"/>
        <w:numPr>
          <w:ilvl w:val="1"/>
          <w:numId w:val="42"/>
        </w:numPr>
        <w:tabs>
          <w:tab w:pos="1869" w:val="left" w:leader="none"/>
        </w:tabs>
        <w:spacing w:line="360" w:lineRule="auto" w:before="0" w:after="0"/>
        <w:ind w:left="882" w:right="891" w:firstLine="719"/>
        <w:jc w:val="left"/>
        <w:rPr>
          <w:sz w:val="26"/>
        </w:rPr>
      </w:pPr>
      <w:r>
        <w:rPr>
          <w:sz w:val="26"/>
        </w:rPr>
        <w:t>Thiết kế bến bãi container tiện lợi cho việc sử dụng làm giảm chi phí và thời gian cho khách</w:t>
      </w:r>
      <w:r>
        <w:rPr>
          <w:spacing w:val="-3"/>
          <w:sz w:val="26"/>
        </w:rPr>
        <w:t> </w:t>
      </w:r>
      <w:r>
        <w:rPr>
          <w:sz w:val="26"/>
        </w:rPr>
        <w:t>hàng</w:t>
      </w:r>
    </w:p>
    <w:p>
      <w:pPr>
        <w:pStyle w:val="ListParagraph"/>
        <w:numPr>
          <w:ilvl w:val="1"/>
          <w:numId w:val="42"/>
        </w:numPr>
        <w:tabs>
          <w:tab w:pos="1862" w:val="left" w:leader="none"/>
        </w:tabs>
        <w:spacing w:line="240" w:lineRule="auto" w:before="0" w:after="0"/>
        <w:ind w:left="1861" w:right="0" w:hanging="260"/>
        <w:jc w:val="left"/>
        <w:rPr>
          <w:sz w:val="26"/>
        </w:rPr>
      </w:pPr>
      <w:r>
        <w:rPr>
          <w:sz w:val="26"/>
        </w:rPr>
        <w:t>Bố trí thiết bị xếp dỡ phù</w:t>
      </w:r>
      <w:r>
        <w:rPr>
          <w:spacing w:val="-5"/>
          <w:sz w:val="26"/>
        </w:rPr>
        <w:t> </w:t>
      </w:r>
      <w:r>
        <w:rPr>
          <w:sz w:val="26"/>
        </w:rPr>
        <w:t>hợp</w:t>
      </w:r>
    </w:p>
    <w:p>
      <w:pPr>
        <w:pStyle w:val="ListParagraph"/>
        <w:numPr>
          <w:ilvl w:val="1"/>
          <w:numId w:val="42"/>
        </w:numPr>
        <w:tabs>
          <w:tab w:pos="1862" w:val="left" w:leader="none"/>
        </w:tabs>
        <w:spacing w:line="240" w:lineRule="auto" w:before="149" w:after="0"/>
        <w:ind w:left="1861" w:right="0" w:hanging="260"/>
        <w:jc w:val="left"/>
        <w:rPr>
          <w:sz w:val="26"/>
        </w:rPr>
      </w:pPr>
      <w:r>
        <w:rPr>
          <w:sz w:val="26"/>
        </w:rPr>
        <w:t>Hoạt động khai thác của cảng định hướng vào phục vụ khách</w:t>
      </w:r>
      <w:r>
        <w:rPr>
          <w:spacing w:val="-5"/>
          <w:sz w:val="26"/>
        </w:rPr>
        <w:t> </w:t>
      </w:r>
      <w:r>
        <w:rPr>
          <w:sz w:val="26"/>
        </w:rPr>
        <w:t>hàng</w:t>
      </w:r>
    </w:p>
    <w:p>
      <w:pPr>
        <w:pStyle w:val="ListParagraph"/>
        <w:numPr>
          <w:ilvl w:val="1"/>
          <w:numId w:val="42"/>
        </w:numPr>
        <w:tabs>
          <w:tab w:pos="1862" w:val="left" w:leader="none"/>
        </w:tabs>
        <w:spacing w:line="240" w:lineRule="auto" w:before="150" w:after="0"/>
        <w:ind w:left="1861" w:right="0" w:hanging="260"/>
        <w:jc w:val="left"/>
        <w:rPr>
          <w:sz w:val="26"/>
        </w:rPr>
      </w:pPr>
      <w:r>
        <w:rPr>
          <w:sz w:val="26"/>
        </w:rPr>
        <w:t>Dịch vụ thủ tục hải quan thuận</w:t>
      </w:r>
      <w:r>
        <w:rPr>
          <w:spacing w:val="-2"/>
          <w:sz w:val="26"/>
        </w:rPr>
        <w:t> </w:t>
      </w:r>
      <w:r>
        <w:rPr>
          <w:sz w:val="26"/>
        </w:rPr>
        <w:t>lợi</w:t>
      </w:r>
    </w:p>
    <w:p>
      <w:pPr>
        <w:pStyle w:val="ListParagraph"/>
        <w:numPr>
          <w:ilvl w:val="1"/>
          <w:numId w:val="42"/>
        </w:numPr>
        <w:tabs>
          <w:tab w:pos="1862" w:val="left" w:leader="none"/>
        </w:tabs>
        <w:spacing w:line="240" w:lineRule="auto" w:before="150" w:after="0"/>
        <w:ind w:left="1861" w:right="0" w:hanging="260"/>
        <w:jc w:val="left"/>
        <w:rPr>
          <w:sz w:val="26"/>
        </w:rPr>
      </w:pPr>
      <w:r>
        <w:rPr>
          <w:sz w:val="26"/>
        </w:rPr>
        <w:t>Dịch vụ lai dắt tàu vào cảng nhanh</w:t>
      </w:r>
      <w:r>
        <w:rPr>
          <w:spacing w:val="-6"/>
          <w:sz w:val="26"/>
        </w:rPr>
        <w:t> </w:t>
      </w:r>
      <w:r>
        <w:rPr>
          <w:sz w:val="26"/>
        </w:rPr>
        <w:t>chóng</w:t>
      </w:r>
    </w:p>
    <w:p>
      <w:pPr>
        <w:pStyle w:val="ListParagraph"/>
        <w:numPr>
          <w:ilvl w:val="1"/>
          <w:numId w:val="42"/>
        </w:numPr>
        <w:tabs>
          <w:tab w:pos="1991" w:val="left" w:leader="none"/>
        </w:tabs>
        <w:spacing w:line="240" w:lineRule="auto" w:before="150" w:after="0"/>
        <w:ind w:left="1990" w:right="0" w:hanging="389"/>
        <w:jc w:val="left"/>
        <w:rPr>
          <w:sz w:val="26"/>
        </w:rPr>
      </w:pPr>
      <w:r>
        <w:rPr>
          <w:sz w:val="26"/>
        </w:rPr>
        <w:t>Năng lực hệ thống trao đổi dữ liệu điện</w:t>
      </w:r>
      <w:r>
        <w:rPr>
          <w:spacing w:val="-1"/>
          <w:sz w:val="26"/>
        </w:rPr>
        <w:t> </w:t>
      </w:r>
      <w:r>
        <w:rPr>
          <w:sz w:val="26"/>
        </w:rPr>
        <w:t>tử.</w:t>
      </w:r>
    </w:p>
    <w:p>
      <w:pPr>
        <w:pStyle w:val="Heading6"/>
        <w:numPr>
          <w:ilvl w:val="0"/>
          <w:numId w:val="36"/>
        </w:numPr>
        <w:tabs>
          <w:tab w:pos="1401" w:val="left" w:leader="none"/>
        </w:tabs>
        <w:spacing w:line="240" w:lineRule="auto" w:before="147" w:after="0"/>
        <w:ind w:left="1400" w:right="0" w:hanging="519"/>
        <w:jc w:val="left"/>
      </w:pPr>
      <w:r>
        <w:rPr/>
        <w:t>Lợi thế cạnh tranh của cảng container Việt</w:t>
      </w:r>
      <w:r>
        <w:rPr>
          <w:spacing w:val="-3"/>
        </w:rPr>
        <w:t> </w:t>
      </w:r>
      <w:r>
        <w:rPr/>
        <w:t>Nam</w:t>
      </w:r>
    </w:p>
    <w:p>
      <w:pPr>
        <w:pStyle w:val="ListParagraph"/>
        <w:numPr>
          <w:ilvl w:val="0"/>
          <w:numId w:val="43"/>
        </w:numPr>
        <w:tabs>
          <w:tab w:pos="1134" w:val="left" w:leader="none"/>
        </w:tabs>
        <w:spacing w:line="360" w:lineRule="auto" w:before="150" w:after="0"/>
        <w:ind w:left="882" w:right="891" w:firstLine="0"/>
        <w:jc w:val="left"/>
        <w:rPr>
          <w:sz w:val="26"/>
        </w:rPr>
      </w:pPr>
      <w:r>
        <w:rPr>
          <w:sz w:val="26"/>
        </w:rPr>
        <w:t>Anh (Chị) cho biết để đánh giá một cảng container có lợi thế cạnh tranh cao hay thấp hay thì cần có các tiêu chí</w:t>
      </w:r>
      <w:r>
        <w:rPr>
          <w:spacing w:val="-3"/>
          <w:sz w:val="26"/>
        </w:rPr>
        <w:t> </w:t>
      </w:r>
      <w:r>
        <w:rPr>
          <w:sz w:val="26"/>
        </w:rPr>
        <w:t>nào.?</w:t>
      </w:r>
    </w:p>
    <w:p>
      <w:pPr>
        <w:pStyle w:val="ListParagraph"/>
        <w:numPr>
          <w:ilvl w:val="0"/>
          <w:numId w:val="43"/>
        </w:numPr>
        <w:tabs>
          <w:tab w:pos="1190" w:val="left" w:leader="none"/>
        </w:tabs>
        <w:spacing w:line="360" w:lineRule="auto" w:before="1" w:after="0"/>
        <w:ind w:left="882" w:right="891" w:firstLine="0"/>
        <w:jc w:val="left"/>
        <w:rPr>
          <w:sz w:val="26"/>
        </w:rPr>
      </w:pPr>
      <w:r>
        <w:rPr>
          <w:sz w:val="26"/>
        </w:rPr>
        <w:t>Tôi xin đưa ra một số câu hỏi sau đây và Anh (Chị) cho tôi biết Anh (Chị) có hiểu câu hỏi này hay không? và câu hỏi này nói lên điều gì? nếu đánh giá lợi thế cạnh</w:t>
      </w:r>
      <w:r>
        <w:rPr>
          <w:spacing w:val="60"/>
          <w:sz w:val="26"/>
        </w:rPr>
        <w:t> </w:t>
      </w:r>
      <w:r>
        <w:rPr>
          <w:sz w:val="26"/>
        </w:rPr>
        <w:t>tranh</w:t>
      </w:r>
    </w:p>
    <w:p>
      <w:pPr>
        <w:spacing w:after="0" w:line="360" w:lineRule="auto"/>
        <w:jc w:val="left"/>
        <w:rPr>
          <w:sz w:val="26"/>
        </w:rPr>
        <w:sectPr>
          <w:pgSz w:w="11910" w:h="16850"/>
          <w:pgMar w:header="751" w:footer="0" w:top="960" w:bottom="280" w:left="820" w:right="240"/>
        </w:sectPr>
      </w:pPr>
    </w:p>
    <w:p>
      <w:pPr>
        <w:pStyle w:val="BodyText"/>
        <w:spacing w:before="3"/>
        <w:rPr>
          <w:sz w:val="16"/>
        </w:rPr>
      </w:pPr>
    </w:p>
    <w:p>
      <w:pPr>
        <w:pStyle w:val="BodyText"/>
        <w:spacing w:line="360" w:lineRule="auto" w:before="88"/>
        <w:ind w:left="882" w:right="924"/>
      </w:pPr>
      <w:r>
        <w:rPr/>
        <w:t>của cảng container theo định hướng giá trị khách hàng thì cần thêm và bớt các tiêu chí gì? tại sao?</w:t>
      </w:r>
    </w:p>
    <w:p>
      <w:pPr>
        <w:pStyle w:val="ListParagraph"/>
        <w:numPr>
          <w:ilvl w:val="1"/>
          <w:numId w:val="43"/>
        </w:numPr>
        <w:tabs>
          <w:tab w:pos="1874" w:val="left" w:leader="none"/>
        </w:tabs>
        <w:spacing w:line="360" w:lineRule="auto" w:before="1" w:after="0"/>
        <w:ind w:left="882" w:right="890" w:firstLine="719"/>
        <w:jc w:val="left"/>
        <w:rPr>
          <w:sz w:val="26"/>
        </w:rPr>
      </w:pPr>
      <w:r>
        <w:rPr>
          <w:sz w:val="26"/>
        </w:rPr>
        <w:t>Lợi ích khách hàng nhận được khi sử dụng dịch vụ cảng xứng đáng với thời gian bỏ</w:t>
      </w:r>
      <w:r>
        <w:rPr>
          <w:spacing w:val="-3"/>
          <w:sz w:val="26"/>
        </w:rPr>
        <w:t> </w:t>
      </w:r>
      <w:r>
        <w:rPr>
          <w:sz w:val="26"/>
        </w:rPr>
        <w:t>ra</w:t>
      </w:r>
    </w:p>
    <w:p>
      <w:pPr>
        <w:pStyle w:val="ListParagraph"/>
        <w:numPr>
          <w:ilvl w:val="1"/>
          <w:numId w:val="43"/>
        </w:numPr>
        <w:tabs>
          <w:tab w:pos="1881" w:val="left" w:leader="none"/>
        </w:tabs>
        <w:spacing w:line="360" w:lineRule="auto" w:before="1" w:after="0"/>
        <w:ind w:left="882" w:right="888" w:firstLine="719"/>
        <w:jc w:val="left"/>
        <w:rPr>
          <w:sz w:val="26"/>
        </w:rPr>
      </w:pPr>
      <w:r>
        <w:rPr>
          <w:sz w:val="26"/>
        </w:rPr>
        <w:t>Lợi ích khách hàng nhận được khi sử dụng dịch vụ cảng xứng đáng với chi phí bỏ</w:t>
      </w:r>
      <w:r>
        <w:rPr>
          <w:spacing w:val="-3"/>
          <w:sz w:val="26"/>
        </w:rPr>
        <w:t> </w:t>
      </w:r>
      <w:r>
        <w:rPr>
          <w:sz w:val="26"/>
        </w:rPr>
        <w:t>ra.</w:t>
      </w:r>
    </w:p>
    <w:p>
      <w:pPr>
        <w:pStyle w:val="ListParagraph"/>
        <w:numPr>
          <w:ilvl w:val="1"/>
          <w:numId w:val="43"/>
        </w:numPr>
        <w:tabs>
          <w:tab w:pos="1862" w:val="left" w:leader="none"/>
        </w:tabs>
        <w:spacing w:line="297" w:lineRule="exact" w:before="0" w:after="0"/>
        <w:ind w:left="1861" w:right="0" w:hanging="260"/>
        <w:jc w:val="left"/>
        <w:rPr>
          <w:sz w:val="26"/>
        </w:rPr>
      </w:pPr>
      <w:r>
        <w:rPr>
          <w:sz w:val="26"/>
        </w:rPr>
        <w:t>Khách hàng có thể sử dụng nhiều dịch vụ hơn so với nhu</w:t>
      </w:r>
      <w:r>
        <w:rPr>
          <w:spacing w:val="-7"/>
          <w:sz w:val="26"/>
        </w:rPr>
        <w:t> </w:t>
      </w:r>
      <w:r>
        <w:rPr>
          <w:sz w:val="26"/>
        </w:rPr>
        <w:t>cầu</w:t>
      </w:r>
    </w:p>
    <w:p>
      <w:pPr>
        <w:pStyle w:val="ListParagraph"/>
        <w:numPr>
          <w:ilvl w:val="1"/>
          <w:numId w:val="43"/>
        </w:numPr>
        <w:tabs>
          <w:tab w:pos="1862" w:val="left" w:leader="none"/>
        </w:tabs>
        <w:spacing w:line="240" w:lineRule="auto" w:before="150" w:after="0"/>
        <w:ind w:left="1861" w:right="0" w:hanging="260"/>
        <w:jc w:val="left"/>
        <w:rPr>
          <w:sz w:val="26"/>
        </w:rPr>
      </w:pPr>
      <w:r>
        <w:rPr>
          <w:sz w:val="26"/>
        </w:rPr>
        <w:t>Người gửi hàng rất hài lòng vào dịch vụ</w:t>
      </w:r>
      <w:r>
        <w:rPr>
          <w:spacing w:val="-1"/>
          <w:sz w:val="26"/>
        </w:rPr>
        <w:t> </w:t>
      </w:r>
      <w:r>
        <w:rPr>
          <w:sz w:val="26"/>
        </w:rPr>
        <w:t>cảng</w:t>
      </w:r>
    </w:p>
    <w:p>
      <w:pPr>
        <w:pStyle w:val="ListParagraph"/>
        <w:numPr>
          <w:ilvl w:val="1"/>
          <w:numId w:val="43"/>
        </w:numPr>
        <w:tabs>
          <w:tab w:pos="1862" w:val="left" w:leader="none"/>
        </w:tabs>
        <w:spacing w:line="240" w:lineRule="auto" w:before="150" w:after="0"/>
        <w:ind w:left="1861" w:right="0" w:hanging="260"/>
        <w:jc w:val="left"/>
        <w:rPr>
          <w:sz w:val="26"/>
        </w:rPr>
      </w:pPr>
      <w:r>
        <w:rPr>
          <w:sz w:val="26"/>
        </w:rPr>
        <w:t>Chủ tàu rất hài lòng về dịch vụ</w:t>
      </w:r>
      <w:r>
        <w:rPr>
          <w:spacing w:val="-2"/>
          <w:sz w:val="26"/>
        </w:rPr>
        <w:t> </w:t>
      </w:r>
      <w:r>
        <w:rPr>
          <w:sz w:val="26"/>
        </w:rPr>
        <w:t>cảng</w:t>
      </w:r>
    </w:p>
    <w:p>
      <w:pPr>
        <w:pStyle w:val="ListParagraph"/>
        <w:numPr>
          <w:ilvl w:val="1"/>
          <w:numId w:val="43"/>
        </w:numPr>
        <w:tabs>
          <w:tab w:pos="1862" w:val="left" w:leader="none"/>
        </w:tabs>
        <w:spacing w:line="240" w:lineRule="auto" w:before="150" w:after="0"/>
        <w:ind w:left="1861" w:right="0" w:hanging="260"/>
        <w:jc w:val="left"/>
        <w:rPr>
          <w:sz w:val="26"/>
        </w:rPr>
      </w:pPr>
      <w:r>
        <w:rPr>
          <w:sz w:val="26"/>
        </w:rPr>
        <w:t>Đại lý và các công ty giao nhận rất hài lòng về dịch vụ</w:t>
      </w:r>
      <w:r>
        <w:rPr>
          <w:spacing w:val="-7"/>
          <w:sz w:val="26"/>
        </w:rPr>
        <w:t> </w:t>
      </w:r>
      <w:r>
        <w:rPr>
          <w:sz w:val="26"/>
        </w:rPr>
        <w:t>cảng</w:t>
      </w:r>
    </w:p>
    <w:p>
      <w:pPr>
        <w:pStyle w:val="BodyText"/>
        <w:rPr>
          <w:sz w:val="28"/>
        </w:rPr>
      </w:pPr>
    </w:p>
    <w:p>
      <w:pPr>
        <w:pStyle w:val="BodyText"/>
        <w:spacing w:before="1"/>
        <w:rPr>
          <w:sz w:val="24"/>
        </w:rPr>
      </w:pPr>
    </w:p>
    <w:p>
      <w:pPr>
        <w:pStyle w:val="Heading7"/>
        <w:jc w:val="left"/>
        <w:rPr>
          <w:i/>
        </w:rPr>
      </w:pPr>
      <w:r>
        <w:rPr>
          <w:i/>
        </w:rPr>
        <w:t>Xin chân thành cảm ơn sự hợp tác của Anh (Chị)</w:t>
      </w:r>
    </w:p>
    <w:p>
      <w:pPr>
        <w:spacing w:after="0"/>
        <w:jc w:val="left"/>
        <w:sectPr>
          <w:pgSz w:w="11910" w:h="16850"/>
          <w:pgMar w:header="751" w:footer="0" w:top="960" w:bottom="280" w:left="820" w:right="240"/>
        </w:sectPr>
      </w:pPr>
    </w:p>
    <w:p>
      <w:pPr>
        <w:pStyle w:val="BodyText"/>
        <w:spacing w:before="1"/>
        <w:rPr>
          <w:b/>
          <w:i/>
          <w:sz w:val="16"/>
        </w:rPr>
      </w:pPr>
    </w:p>
    <w:p>
      <w:pPr>
        <w:spacing w:before="89"/>
        <w:ind w:left="944" w:right="952" w:firstLine="0"/>
        <w:jc w:val="center"/>
        <w:rPr>
          <w:b/>
          <w:sz w:val="28"/>
        </w:rPr>
      </w:pPr>
      <w:r>
        <w:rPr>
          <w:b/>
          <w:sz w:val="28"/>
        </w:rPr>
        <w:t>PHỤ LỤC 4</w:t>
      </w:r>
    </w:p>
    <w:p>
      <w:pPr>
        <w:spacing w:before="160"/>
        <w:ind w:left="946" w:right="952" w:firstLine="0"/>
        <w:jc w:val="center"/>
        <w:rPr>
          <w:b/>
          <w:sz w:val="28"/>
        </w:rPr>
      </w:pPr>
      <w:r>
        <w:rPr>
          <w:b/>
          <w:sz w:val="28"/>
        </w:rPr>
        <w:t>BẢNG CÂU HỎI KHẢO SÁT</w:t>
      </w:r>
    </w:p>
    <w:p>
      <w:pPr>
        <w:pStyle w:val="BodyText"/>
        <w:rPr>
          <w:b/>
          <w:sz w:val="41"/>
        </w:rPr>
      </w:pPr>
    </w:p>
    <w:p>
      <w:pPr>
        <w:spacing w:before="0"/>
        <w:ind w:left="946" w:right="952" w:firstLine="0"/>
        <w:jc w:val="center"/>
        <w:rPr>
          <w:b/>
          <w:sz w:val="52"/>
        </w:rPr>
      </w:pPr>
      <w:r>
        <w:rPr>
          <w:b/>
          <w:sz w:val="52"/>
        </w:rPr>
        <w:t>PHIẾU KHẢO SÁT</w:t>
      </w:r>
    </w:p>
    <w:p>
      <w:pPr>
        <w:pStyle w:val="BodyText"/>
        <w:spacing w:line="360" w:lineRule="auto" w:before="303"/>
        <w:ind w:left="882" w:right="888"/>
        <w:jc w:val="both"/>
      </w:pPr>
      <w:r>
        <w:rPr/>
        <w:t>Kính chào Quý Anh, Chị quản lý doanh nghiệp là khách hàng của cảng và khu bến container tại Việt Nam!</w:t>
      </w:r>
    </w:p>
    <w:p>
      <w:pPr>
        <w:pStyle w:val="BodyText"/>
        <w:spacing w:line="360" w:lineRule="auto"/>
        <w:ind w:left="882" w:right="888"/>
        <w:jc w:val="both"/>
      </w:pPr>
      <w:r>
        <w:rPr/>
        <w:t>Chúng tôi là nhóm nghiên cứu thuộc trường Đại học Tài chính Marketing đang thực hiện đề tài cấp cơ sở với đề tài “</w:t>
      </w:r>
      <w:r>
        <w:rPr>
          <w:i/>
        </w:rPr>
        <w:t>Nâng cao năng lực cạnh tranh cảng cho container tại </w:t>
      </w:r>
      <w:r>
        <w:rPr>
          <w:i/>
        </w:rPr>
        <w:t>Việt Nam</w:t>
      </w:r>
      <w:r>
        <w:rPr/>
        <w:t>”. Để có những cơ sở tốt nhất cho việc thực hiện đề tài. Chúng tôi rất mong nhân được sự hợp tác của Quý doanh nghiệp trong việc cung cấp một số thông tin liên quan theo bảng câu hỏi dưới đây. Chúng tôi cam kết thông tin khảo sát chỉ phục vụ  cho mục đích nghiên cứu trong khuôn khổ của đề tài. Rất mong nhận được sự hợp tác của Quý doanh</w:t>
      </w:r>
      <w:r>
        <w:rPr>
          <w:spacing w:val="-3"/>
        </w:rPr>
        <w:t> </w:t>
      </w:r>
      <w:r>
        <w:rPr/>
        <w:t>nghiệp.</w:t>
      </w:r>
    </w:p>
    <w:p>
      <w:pPr>
        <w:pStyle w:val="BodyText"/>
        <w:ind w:left="882"/>
        <w:jc w:val="both"/>
        <w:rPr>
          <w:sz w:val="24"/>
        </w:rPr>
      </w:pPr>
      <w:r>
        <w:rPr/>
        <w:t>Xin trân trọng cảm ơn</w:t>
      </w:r>
      <w:r>
        <w:rPr>
          <w:sz w:val="24"/>
        </w:rPr>
        <w:t>.</w:t>
      </w:r>
    </w:p>
    <w:p>
      <w:pPr>
        <w:spacing w:line="360" w:lineRule="auto" w:before="149"/>
        <w:ind w:left="882" w:right="922" w:firstLine="0"/>
        <w:jc w:val="left"/>
        <w:rPr>
          <w:b/>
          <w:sz w:val="36"/>
        </w:rPr>
      </w:pPr>
      <w:r>
        <w:rPr>
          <w:b/>
          <w:sz w:val="36"/>
        </w:rPr>
        <w:t>Câu 1: Theo Anh (Chị) tác động của các yếu tố dưới đây sẽ ảnh hưởng đến lợi thế cạnh cạnh của cảng container không?</w:t>
      </w:r>
    </w:p>
    <w:p>
      <w:pPr>
        <w:spacing w:line="360" w:lineRule="auto" w:before="2"/>
        <w:ind w:left="882" w:right="1077" w:firstLine="0"/>
        <w:jc w:val="left"/>
        <w:rPr>
          <w:sz w:val="26"/>
        </w:rPr>
      </w:pPr>
      <w:r>
        <w:rPr>
          <w:sz w:val="26"/>
        </w:rPr>
        <w:t>Theo các phát biểu dưới đây thì đối với mỗi phát biểu Anh/chị hãy đánh dấu “X” vào một trong các các con số từ 1 đến 5 mà </w:t>
      </w:r>
      <w:r>
        <w:rPr>
          <w:b/>
          <w:i/>
          <w:sz w:val="26"/>
        </w:rPr>
        <w:t>theo quan điểm riêng của cá nhân Anh/chị </w:t>
      </w:r>
      <w:r>
        <w:rPr>
          <w:b/>
          <w:i/>
          <w:sz w:val="26"/>
        </w:rPr>
        <w:t>cảm nhận là đúng nhất</w:t>
      </w:r>
      <w:r>
        <w:rPr>
          <w:sz w:val="26"/>
        </w:rPr>
        <w:t>; theo quy ước số càng lớn là Anh/chị càng đồng ý. theo quy ước cụ thể như sau:</w:t>
      </w:r>
    </w:p>
    <w:tbl>
      <w:tblPr>
        <w:tblW w:w="0" w:type="auto"/>
        <w:jc w:val="left"/>
        <w:tblInd w:w="17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2948"/>
        <w:gridCol w:w="2171"/>
        <w:gridCol w:w="1700"/>
        <w:gridCol w:w="1227"/>
        <w:gridCol w:w="2447"/>
      </w:tblGrid>
      <w:tr>
        <w:trPr>
          <w:trHeight w:val="813" w:hRule="atLeast"/>
        </w:trPr>
        <w:tc>
          <w:tcPr>
            <w:tcW w:w="2948" w:type="dxa"/>
          </w:tcPr>
          <w:p>
            <w:pPr>
              <w:pStyle w:val="TableParagraph"/>
              <w:spacing w:before="195"/>
              <w:ind w:left="192" w:right="184"/>
              <w:jc w:val="center"/>
              <w:rPr>
                <w:b/>
                <w:sz w:val="24"/>
              </w:rPr>
            </w:pPr>
            <w:r>
              <w:rPr>
                <w:b/>
                <w:sz w:val="24"/>
              </w:rPr>
              <w:t>Hoàn toàn không đồng ý</w:t>
            </w:r>
          </w:p>
        </w:tc>
        <w:tc>
          <w:tcPr>
            <w:tcW w:w="2171" w:type="dxa"/>
          </w:tcPr>
          <w:p>
            <w:pPr>
              <w:pStyle w:val="TableParagraph"/>
              <w:spacing w:before="195"/>
              <w:ind w:left="284" w:right="395"/>
              <w:jc w:val="center"/>
              <w:rPr>
                <w:b/>
                <w:sz w:val="24"/>
              </w:rPr>
            </w:pPr>
            <w:r>
              <w:rPr>
                <w:b/>
                <w:sz w:val="24"/>
              </w:rPr>
              <w:t>Không đồng ý</w:t>
            </w:r>
          </w:p>
        </w:tc>
        <w:tc>
          <w:tcPr>
            <w:tcW w:w="1700" w:type="dxa"/>
          </w:tcPr>
          <w:p>
            <w:pPr>
              <w:pStyle w:val="TableParagraph"/>
              <w:spacing w:before="195"/>
              <w:ind w:left="339" w:right="222"/>
              <w:jc w:val="center"/>
              <w:rPr>
                <w:b/>
                <w:sz w:val="24"/>
              </w:rPr>
            </w:pPr>
            <w:r>
              <w:rPr>
                <w:b/>
                <w:sz w:val="24"/>
              </w:rPr>
              <w:t>Trung hòa</w:t>
            </w:r>
          </w:p>
        </w:tc>
        <w:tc>
          <w:tcPr>
            <w:tcW w:w="1227" w:type="dxa"/>
          </w:tcPr>
          <w:p>
            <w:pPr>
              <w:pStyle w:val="TableParagraph"/>
              <w:spacing w:before="195"/>
              <w:ind w:left="227" w:right="222"/>
              <w:jc w:val="center"/>
              <w:rPr>
                <w:b/>
                <w:sz w:val="24"/>
              </w:rPr>
            </w:pPr>
            <w:r>
              <w:rPr>
                <w:b/>
                <w:sz w:val="24"/>
              </w:rPr>
              <w:t>Đồng ý</w:t>
            </w:r>
          </w:p>
        </w:tc>
        <w:tc>
          <w:tcPr>
            <w:tcW w:w="2447" w:type="dxa"/>
          </w:tcPr>
          <w:p>
            <w:pPr>
              <w:pStyle w:val="TableParagraph"/>
              <w:spacing w:before="195"/>
              <w:ind w:left="237" w:right="338"/>
              <w:jc w:val="center"/>
              <w:rPr>
                <w:b/>
                <w:sz w:val="24"/>
              </w:rPr>
            </w:pPr>
            <w:r>
              <w:rPr>
                <w:b/>
                <w:sz w:val="24"/>
              </w:rPr>
              <w:t>Hoàn toàn đồng ý</w:t>
            </w:r>
          </w:p>
        </w:tc>
      </w:tr>
      <w:tr>
        <w:trPr>
          <w:trHeight w:val="533" w:hRule="atLeast"/>
        </w:trPr>
        <w:tc>
          <w:tcPr>
            <w:tcW w:w="2948" w:type="dxa"/>
          </w:tcPr>
          <w:p>
            <w:pPr>
              <w:pStyle w:val="TableParagraph"/>
              <w:spacing w:line="298" w:lineRule="exact"/>
              <w:ind w:left="9"/>
              <w:jc w:val="center"/>
              <w:rPr>
                <w:b/>
                <w:sz w:val="26"/>
              </w:rPr>
            </w:pPr>
            <w:r>
              <w:rPr>
                <w:b/>
                <w:w w:val="99"/>
                <w:sz w:val="26"/>
              </w:rPr>
              <w:t>1</w:t>
            </w:r>
          </w:p>
        </w:tc>
        <w:tc>
          <w:tcPr>
            <w:tcW w:w="2171" w:type="dxa"/>
          </w:tcPr>
          <w:p>
            <w:pPr>
              <w:pStyle w:val="TableParagraph"/>
              <w:spacing w:line="298" w:lineRule="exact"/>
              <w:ind w:left="3"/>
              <w:jc w:val="center"/>
              <w:rPr>
                <w:b/>
                <w:sz w:val="26"/>
              </w:rPr>
            </w:pPr>
            <w:r>
              <w:rPr>
                <w:b/>
                <w:w w:val="99"/>
                <w:sz w:val="26"/>
              </w:rPr>
              <w:t>2</w:t>
            </w:r>
          </w:p>
        </w:tc>
        <w:tc>
          <w:tcPr>
            <w:tcW w:w="1700" w:type="dxa"/>
          </w:tcPr>
          <w:p>
            <w:pPr>
              <w:pStyle w:val="TableParagraph"/>
              <w:spacing w:line="298" w:lineRule="exact"/>
              <w:ind w:left="7"/>
              <w:jc w:val="center"/>
              <w:rPr>
                <w:b/>
                <w:sz w:val="26"/>
              </w:rPr>
            </w:pPr>
            <w:r>
              <w:rPr>
                <w:b/>
                <w:w w:val="99"/>
                <w:sz w:val="26"/>
              </w:rPr>
              <w:t>3</w:t>
            </w:r>
          </w:p>
        </w:tc>
        <w:tc>
          <w:tcPr>
            <w:tcW w:w="1227" w:type="dxa"/>
          </w:tcPr>
          <w:p>
            <w:pPr>
              <w:pStyle w:val="TableParagraph"/>
              <w:spacing w:line="298" w:lineRule="exact"/>
              <w:ind w:left="3"/>
              <w:jc w:val="center"/>
              <w:rPr>
                <w:b/>
                <w:sz w:val="26"/>
              </w:rPr>
            </w:pPr>
            <w:r>
              <w:rPr>
                <w:b/>
                <w:w w:val="99"/>
                <w:sz w:val="26"/>
              </w:rPr>
              <w:t>4</w:t>
            </w:r>
          </w:p>
        </w:tc>
        <w:tc>
          <w:tcPr>
            <w:tcW w:w="2447" w:type="dxa"/>
          </w:tcPr>
          <w:p>
            <w:pPr>
              <w:pStyle w:val="TableParagraph"/>
              <w:spacing w:line="298" w:lineRule="exact"/>
              <w:ind w:left="2"/>
              <w:jc w:val="center"/>
              <w:rPr>
                <w:b/>
                <w:sz w:val="26"/>
              </w:rPr>
            </w:pPr>
            <w:r>
              <w:rPr>
                <w:b/>
                <w:w w:val="99"/>
                <w:sz w:val="26"/>
              </w:rPr>
              <w:t>5</w:t>
            </w:r>
          </w:p>
        </w:tc>
      </w:tr>
    </w:tbl>
    <w:p>
      <w:pPr>
        <w:pStyle w:val="BodyText"/>
        <w:rPr>
          <w:sz w:val="20"/>
        </w:rPr>
      </w:pPr>
    </w:p>
    <w:p>
      <w:pPr>
        <w:pStyle w:val="BodyText"/>
        <w:spacing w:before="7"/>
        <w:rPr>
          <w:sz w:val="15"/>
        </w:rPr>
      </w:pPr>
    </w:p>
    <w:tbl>
      <w:tblPr>
        <w:tblW w:w="0" w:type="auto"/>
        <w:jc w:val="left"/>
        <w:tblInd w:w="1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632"/>
        <w:gridCol w:w="5941"/>
        <w:gridCol w:w="900"/>
        <w:gridCol w:w="811"/>
        <w:gridCol w:w="720"/>
        <w:gridCol w:w="808"/>
        <w:gridCol w:w="810"/>
      </w:tblGrid>
      <w:tr>
        <w:trPr>
          <w:trHeight w:val="2070" w:hRule="atLeast"/>
        </w:trPr>
        <w:tc>
          <w:tcPr>
            <w:tcW w:w="632" w:type="dxa"/>
          </w:tcPr>
          <w:p>
            <w:pPr>
              <w:pStyle w:val="TableParagraph"/>
              <w:rPr>
                <w:sz w:val="28"/>
              </w:rPr>
            </w:pPr>
          </w:p>
          <w:p>
            <w:pPr>
              <w:pStyle w:val="TableParagraph"/>
              <w:rPr>
                <w:sz w:val="28"/>
              </w:rPr>
            </w:pPr>
          </w:p>
          <w:p>
            <w:pPr>
              <w:pStyle w:val="TableParagraph"/>
              <w:spacing w:before="169"/>
              <w:ind w:left="155"/>
              <w:rPr>
                <w:b/>
                <w:sz w:val="26"/>
              </w:rPr>
            </w:pPr>
            <w:r>
              <w:rPr>
                <w:b/>
                <w:sz w:val="26"/>
              </w:rPr>
              <w:t>Stt</w:t>
            </w:r>
          </w:p>
        </w:tc>
        <w:tc>
          <w:tcPr>
            <w:tcW w:w="5941" w:type="dxa"/>
          </w:tcPr>
          <w:p>
            <w:pPr>
              <w:pStyle w:val="TableParagraph"/>
              <w:rPr>
                <w:sz w:val="28"/>
              </w:rPr>
            </w:pPr>
          </w:p>
          <w:p>
            <w:pPr>
              <w:pStyle w:val="TableParagraph"/>
              <w:rPr>
                <w:sz w:val="28"/>
              </w:rPr>
            </w:pPr>
          </w:p>
          <w:p>
            <w:pPr>
              <w:pStyle w:val="TableParagraph"/>
              <w:spacing w:before="169"/>
              <w:ind w:left="1943"/>
              <w:rPr>
                <w:b/>
                <w:sz w:val="26"/>
              </w:rPr>
            </w:pPr>
            <w:r>
              <w:rPr>
                <w:b/>
                <w:sz w:val="26"/>
              </w:rPr>
              <w:t>CÁC PHÁT BIỂU</w:t>
            </w:r>
          </w:p>
        </w:tc>
        <w:tc>
          <w:tcPr>
            <w:tcW w:w="900" w:type="dxa"/>
          </w:tcPr>
          <w:p>
            <w:pPr>
              <w:pStyle w:val="TableParagraph"/>
              <w:spacing w:line="360" w:lineRule="auto" w:before="1"/>
              <w:ind w:left="128" w:right="116" w:firstLine="40"/>
              <w:jc w:val="both"/>
              <w:rPr>
                <w:b/>
                <w:sz w:val="24"/>
              </w:rPr>
            </w:pPr>
            <w:r>
              <w:rPr>
                <w:b/>
                <w:sz w:val="24"/>
              </w:rPr>
              <w:t>Hoàn toàn không đồng</w:t>
            </w:r>
          </w:p>
          <w:p>
            <w:pPr>
              <w:pStyle w:val="TableParagraph"/>
              <w:spacing w:line="274" w:lineRule="exact"/>
              <w:ind w:left="68"/>
              <w:jc w:val="center"/>
              <w:rPr>
                <w:b/>
                <w:sz w:val="24"/>
              </w:rPr>
            </w:pPr>
            <w:r>
              <w:rPr>
                <w:b/>
                <w:sz w:val="24"/>
              </w:rPr>
              <w:t>ý</w:t>
            </w:r>
          </w:p>
        </w:tc>
        <w:tc>
          <w:tcPr>
            <w:tcW w:w="811" w:type="dxa"/>
          </w:tcPr>
          <w:p>
            <w:pPr>
              <w:pStyle w:val="TableParagraph"/>
              <w:rPr>
                <w:sz w:val="26"/>
              </w:rPr>
            </w:pPr>
          </w:p>
          <w:p>
            <w:pPr>
              <w:pStyle w:val="TableParagraph"/>
              <w:spacing w:before="11"/>
              <w:rPr>
                <w:sz w:val="27"/>
              </w:rPr>
            </w:pPr>
          </w:p>
          <w:p>
            <w:pPr>
              <w:pStyle w:val="TableParagraph"/>
              <w:spacing w:line="360" w:lineRule="auto"/>
              <w:ind w:left="-4" w:right="105"/>
              <w:jc w:val="center"/>
              <w:rPr>
                <w:b/>
                <w:sz w:val="24"/>
              </w:rPr>
            </w:pPr>
            <w:r>
              <w:rPr>
                <w:b/>
                <w:sz w:val="24"/>
              </w:rPr>
              <w:t>Không đồng</w:t>
            </w:r>
          </w:p>
          <w:p>
            <w:pPr>
              <w:pStyle w:val="TableParagraph"/>
              <w:ind w:right="51"/>
              <w:jc w:val="center"/>
              <w:rPr>
                <w:b/>
                <w:sz w:val="24"/>
              </w:rPr>
            </w:pPr>
            <w:r>
              <w:rPr>
                <w:b/>
                <w:sz w:val="24"/>
              </w:rPr>
              <w:t>ý</w:t>
            </w:r>
          </w:p>
        </w:tc>
        <w:tc>
          <w:tcPr>
            <w:tcW w:w="720" w:type="dxa"/>
          </w:tcPr>
          <w:p>
            <w:pPr>
              <w:pStyle w:val="TableParagraph"/>
              <w:rPr>
                <w:sz w:val="26"/>
              </w:rPr>
            </w:pPr>
          </w:p>
          <w:p>
            <w:pPr>
              <w:pStyle w:val="TableParagraph"/>
              <w:spacing w:before="11"/>
              <w:rPr>
                <w:sz w:val="27"/>
              </w:rPr>
            </w:pPr>
          </w:p>
          <w:p>
            <w:pPr>
              <w:pStyle w:val="TableParagraph"/>
              <w:spacing w:line="360" w:lineRule="auto"/>
              <w:ind w:left="199" w:right="6" w:hanging="169"/>
              <w:rPr>
                <w:b/>
                <w:sz w:val="24"/>
              </w:rPr>
            </w:pPr>
            <w:r>
              <w:rPr>
                <w:b/>
                <w:sz w:val="24"/>
              </w:rPr>
              <w:t>Trung hòa</w:t>
            </w:r>
          </w:p>
        </w:tc>
        <w:tc>
          <w:tcPr>
            <w:tcW w:w="808" w:type="dxa"/>
          </w:tcPr>
          <w:p>
            <w:pPr>
              <w:pStyle w:val="TableParagraph"/>
              <w:rPr>
                <w:sz w:val="26"/>
              </w:rPr>
            </w:pPr>
          </w:p>
          <w:p>
            <w:pPr>
              <w:pStyle w:val="TableParagraph"/>
              <w:spacing w:before="11"/>
              <w:rPr>
                <w:sz w:val="27"/>
              </w:rPr>
            </w:pPr>
          </w:p>
          <w:p>
            <w:pPr>
              <w:pStyle w:val="TableParagraph"/>
              <w:spacing w:line="360" w:lineRule="auto"/>
              <w:ind w:left="372" w:right="104" w:hanging="245"/>
              <w:rPr>
                <w:b/>
                <w:sz w:val="24"/>
              </w:rPr>
            </w:pPr>
            <w:r>
              <w:rPr>
                <w:b/>
                <w:sz w:val="24"/>
              </w:rPr>
              <w:t>Đồng ý</w:t>
            </w:r>
          </w:p>
        </w:tc>
        <w:tc>
          <w:tcPr>
            <w:tcW w:w="810" w:type="dxa"/>
          </w:tcPr>
          <w:p>
            <w:pPr>
              <w:pStyle w:val="TableParagraph"/>
              <w:spacing w:line="360" w:lineRule="auto" w:before="207"/>
              <w:ind w:left="69" w:right="166"/>
              <w:jc w:val="center"/>
              <w:rPr>
                <w:b/>
                <w:sz w:val="24"/>
              </w:rPr>
            </w:pPr>
            <w:r>
              <w:rPr>
                <w:b/>
                <w:sz w:val="24"/>
              </w:rPr>
              <w:t>Hoàn</w:t>
            </w:r>
            <w:r>
              <w:rPr>
                <w:b/>
                <w:w w:val="99"/>
                <w:sz w:val="24"/>
              </w:rPr>
              <w:t> </w:t>
            </w:r>
            <w:r>
              <w:rPr>
                <w:b/>
                <w:sz w:val="24"/>
              </w:rPr>
              <w:t>toàn đồng ý</w:t>
            </w:r>
          </w:p>
        </w:tc>
      </w:tr>
    </w:tbl>
    <w:p>
      <w:pPr>
        <w:spacing w:after="0" w:line="360" w:lineRule="auto"/>
        <w:jc w:val="center"/>
        <w:rPr>
          <w:sz w:val="24"/>
        </w:rPr>
        <w:sectPr>
          <w:pgSz w:w="11910" w:h="16850"/>
          <w:pgMar w:header="751" w:footer="0" w:top="960" w:bottom="280" w:left="820" w:right="240"/>
        </w:sectPr>
      </w:pPr>
    </w:p>
    <w:p>
      <w:pPr>
        <w:pStyle w:val="BodyText"/>
        <w:spacing w:before="9"/>
        <w:rPr>
          <w:sz w:val="23"/>
        </w:rPr>
      </w:pPr>
    </w:p>
    <w:tbl>
      <w:tblPr>
        <w:tblW w:w="0" w:type="auto"/>
        <w:jc w:val="left"/>
        <w:tblInd w:w="1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632"/>
        <w:gridCol w:w="5941"/>
        <w:gridCol w:w="900"/>
        <w:gridCol w:w="811"/>
        <w:gridCol w:w="720"/>
        <w:gridCol w:w="808"/>
        <w:gridCol w:w="810"/>
      </w:tblGrid>
      <w:tr>
        <w:trPr>
          <w:trHeight w:val="448" w:hRule="atLeast"/>
        </w:trPr>
        <w:tc>
          <w:tcPr>
            <w:tcW w:w="10622" w:type="dxa"/>
            <w:gridSpan w:val="7"/>
          </w:tcPr>
          <w:p>
            <w:pPr>
              <w:pStyle w:val="TableParagraph"/>
              <w:spacing w:before="2"/>
              <w:ind w:left="-1"/>
              <w:rPr>
                <w:b/>
                <w:sz w:val="26"/>
              </w:rPr>
            </w:pPr>
            <w:r>
              <w:rPr>
                <w:b/>
                <w:sz w:val="26"/>
              </w:rPr>
              <w:t>Cơ sở hạ tầng cảng container</w:t>
            </w:r>
          </w:p>
        </w:tc>
      </w:tr>
      <w:tr>
        <w:trPr>
          <w:trHeight w:val="448" w:hRule="atLeast"/>
        </w:trPr>
        <w:tc>
          <w:tcPr>
            <w:tcW w:w="632" w:type="dxa"/>
          </w:tcPr>
          <w:p>
            <w:pPr>
              <w:pStyle w:val="TableParagraph"/>
              <w:spacing w:before="2"/>
              <w:ind w:left="6"/>
              <w:jc w:val="center"/>
              <w:rPr>
                <w:sz w:val="26"/>
              </w:rPr>
            </w:pPr>
            <w:r>
              <w:rPr>
                <w:w w:val="99"/>
                <w:sz w:val="26"/>
              </w:rPr>
              <w:t>1</w:t>
            </w:r>
          </w:p>
        </w:tc>
        <w:tc>
          <w:tcPr>
            <w:tcW w:w="5941" w:type="dxa"/>
          </w:tcPr>
          <w:p>
            <w:pPr>
              <w:pStyle w:val="TableParagraph"/>
              <w:spacing w:before="2"/>
              <w:ind w:left="107"/>
              <w:rPr>
                <w:sz w:val="26"/>
              </w:rPr>
            </w:pPr>
            <w:r>
              <w:rPr>
                <w:sz w:val="26"/>
              </w:rPr>
              <w:t>Trang thiết bị cảng hiện đại</w:t>
            </w:r>
          </w:p>
        </w:tc>
        <w:tc>
          <w:tcPr>
            <w:tcW w:w="900" w:type="dxa"/>
          </w:tcPr>
          <w:p>
            <w:pPr>
              <w:pStyle w:val="TableParagraph"/>
              <w:spacing w:before="2"/>
              <w:ind w:left="6"/>
              <w:jc w:val="center"/>
              <w:rPr>
                <w:sz w:val="26"/>
              </w:rPr>
            </w:pPr>
            <w:r>
              <w:rPr>
                <w:w w:val="99"/>
                <w:sz w:val="26"/>
              </w:rPr>
              <w:t>1</w:t>
            </w:r>
          </w:p>
        </w:tc>
        <w:tc>
          <w:tcPr>
            <w:tcW w:w="811" w:type="dxa"/>
          </w:tcPr>
          <w:p>
            <w:pPr>
              <w:pStyle w:val="TableParagraph"/>
              <w:spacing w:before="2"/>
              <w:ind w:left="4"/>
              <w:jc w:val="center"/>
              <w:rPr>
                <w:sz w:val="26"/>
              </w:rPr>
            </w:pPr>
            <w:r>
              <w:rPr>
                <w:w w:val="99"/>
                <w:sz w:val="26"/>
              </w:rPr>
              <w:t>2</w:t>
            </w:r>
          </w:p>
        </w:tc>
        <w:tc>
          <w:tcPr>
            <w:tcW w:w="720" w:type="dxa"/>
          </w:tcPr>
          <w:p>
            <w:pPr>
              <w:pStyle w:val="TableParagraph"/>
              <w:spacing w:before="2"/>
              <w:ind w:left="5"/>
              <w:jc w:val="center"/>
              <w:rPr>
                <w:sz w:val="26"/>
              </w:rPr>
            </w:pPr>
            <w:r>
              <w:rPr>
                <w:w w:val="99"/>
                <w:sz w:val="26"/>
              </w:rPr>
              <w:t>3</w:t>
            </w:r>
          </w:p>
        </w:tc>
        <w:tc>
          <w:tcPr>
            <w:tcW w:w="808" w:type="dxa"/>
          </w:tcPr>
          <w:p>
            <w:pPr>
              <w:pStyle w:val="TableParagraph"/>
              <w:spacing w:before="2"/>
              <w:ind w:left="4"/>
              <w:jc w:val="center"/>
              <w:rPr>
                <w:sz w:val="26"/>
              </w:rPr>
            </w:pPr>
            <w:r>
              <w:rPr>
                <w:w w:val="99"/>
                <w:sz w:val="26"/>
              </w:rPr>
              <w:t>4</w:t>
            </w:r>
          </w:p>
        </w:tc>
        <w:tc>
          <w:tcPr>
            <w:tcW w:w="810" w:type="dxa"/>
          </w:tcPr>
          <w:p>
            <w:pPr>
              <w:pStyle w:val="TableParagraph"/>
              <w:spacing w:before="2"/>
              <w:ind w:left="8"/>
              <w:jc w:val="center"/>
              <w:rPr>
                <w:sz w:val="26"/>
              </w:rPr>
            </w:pPr>
            <w:r>
              <w:rPr>
                <w:w w:val="99"/>
                <w:sz w:val="26"/>
              </w:rPr>
              <w:t>5</w:t>
            </w:r>
          </w:p>
        </w:tc>
      </w:tr>
      <w:tr>
        <w:trPr>
          <w:trHeight w:val="448" w:hRule="atLeast"/>
        </w:trPr>
        <w:tc>
          <w:tcPr>
            <w:tcW w:w="632" w:type="dxa"/>
          </w:tcPr>
          <w:p>
            <w:pPr>
              <w:pStyle w:val="TableParagraph"/>
              <w:spacing w:before="2"/>
              <w:ind w:left="6"/>
              <w:jc w:val="center"/>
              <w:rPr>
                <w:sz w:val="26"/>
              </w:rPr>
            </w:pPr>
            <w:r>
              <w:rPr>
                <w:w w:val="99"/>
                <w:sz w:val="26"/>
              </w:rPr>
              <w:t>2</w:t>
            </w:r>
          </w:p>
        </w:tc>
        <w:tc>
          <w:tcPr>
            <w:tcW w:w="5941" w:type="dxa"/>
          </w:tcPr>
          <w:p>
            <w:pPr>
              <w:pStyle w:val="TableParagraph"/>
              <w:spacing w:before="2"/>
              <w:ind w:left="107"/>
              <w:rPr>
                <w:sz w:val="26"/>
              </w:rPr>
            </w:pPr>
            <w:r>
              <w:rPr>
                <w:sz w:val="26"/>
              </w:rPr>
              <w:t>Năng suất xếp dỡ thiết bị container cao</w:t>
            </w:r>
          </w:p>
        </w:tc>
        <w:tc>
          <w:tcPr>
            <w:tcW w:w="900" w:type="dxa"/>
          </w:tcPr>
          <w:p>
            <w:pPr>
              <w:pStyle w:val="TableParagraph"/>
              <w:spacing w:before="2"/>
              <w:ind w:left="6"/>
              <w:jc w:val="center"/>
              <w:rPr>
                <w:sz w:val="26"/>
              </w:rPr>
            </w:pPr>
            <w:r>
              <w:rPr>
                <w:w w:val="99"/>
                <w:sz w:val="26"/>
              </w:rPr>
              <w:t>1</w:t>
            </w:r>
          </w:p>
        </w:tc>
        <w:tc>
          <w:tcPr>
            <w:tcW w:w="811" w:type="dxa"/>
          </w:tcPr>
          <w:p>
            <w:pPr>
              <w:pStyle w:val="TableParagraph"/>
              <w:spacing w:before="2"/>
              <w:ind w:left="4"/>
              <w:jc w:val="center"/>
              <w:rPr>
                <w:sz w:val="26"/>
              </w:rPr>
            </w:pPr>
            <w:r>
              <w:rPr>
                <w:w w:val="99"/>
                <w:sz w:val="26"/>
              </w:rPr>
              <w:t>2</w:t>
            </w:r>
          </w:p>
        </w:tc>
        <w:tc>
          <w:tcPr>
            <w:tcW w:w="720" w:type="dxa"/>
          </w:tcPr>
          <w:p>
            <w:pPr>
              <w:pStyle w:val="TableParagraph"/>
              <w:spacing w:before="2"/>
              <w:ind w:left="5"/>
              <w:jc w:val="center"/>
              <w:rPr>
                <w:sz w:val="26"/>
              </w:rPr>
            </w:pPr>
            <w:r>
              <w:rPr>
                <w:w w:val="99"/>
                <w:sz w:val="26"/>
              </w:rPr>
              <w:t>3</w:t>
            </w:r>
          </w:p>
        </w:tc>
        <w:tc>
          <w:tcPr>
            <w:tcW w:w="808" w:type="dxa"/>
          </w:tcPr>
          <w:p>
            <w:pPr>
              <w:pStyle w:val="TableParagraph"/>
              <w:spacing w:before="2"/>
              <w:ind w:left="4"/>
              <w:jc w:val="center"/>
              <w:rPr>
                <w:sz w:val="26"/>
              </w:rPr>
            </w:pPr>
            <w:r>
              <w:rPr>
                <w:w w:val="99"/>
                <w:sz w:val="26"/>
              </w:rPr>
              <w:t>4</w:t>
            </w:r>
          </w:p>
        </w:tc>
        <w:tc>
          <w:tcPr>
            <w:tcW w:w="810" w:type="dxa"/>
          </w:tcPr>
          <w:p>
            <w:pPr>
              <w:pStyle w:val="TableParagraph"/>
              <w:spacing w:before="2"/>
              <w:ind w:left="8"/>
              <w:jc w:val="center"/>
              <w:rPr>
                <w:sz w:val="26"/>
              </w:rPr>
            </w:pPr>
            <w:r>
              <w:rPr>
                <w:w w:val="99"/>
                <w:sz w:val="26"/>
              </w:rPr>
              <w:t>5</w:t>
            </w:r>
          </w:p>
        </w:tc>
      </w:tr>
      <w:tr>
        <w:trPr>
          <w:trHeight w:val="448" w:hRule="atLeast"/>
        </w:trPr>
        <w:tc>
          <w:tcPr>
            <w:tcW w:w="632" w:type="dxa"/>
          </w:tcPr>
          <w:p>
            <w:pPr>
              <w:pStyle w:val="TableParagraph"/>
              <w:spacing w:before="2"/>
              <w:ind w:left="6"/>
              <w:jc w:val="center"/>
              <w:rPr>
                <w:sz w:val="26"/>
              </w:rPr>
            </w:pPr>
            <w:r>
              <w:rPr>
                <w:w w:val="99"/>
                <w:sz w:val="26"/>
              </w:rPr>
              <w:t>3</w:t>
            </w:r>
          </w:p>
        </w:tc>
        <w:tc>
          <w:tcPr>
            <w:tcW w:w="5941" w:type="dxa"/>
          </w:tcPr>
          <w:p>
            <w:pPr>
              <w:pStyle w:val="TableParagraph"/>
              <w:spacing w:before="2"/>
              <w:ind w:left="107"/>
              <w:rPr>
                <w:sz w:val="26"/>
              </w:rPr>
            </w:pPr>
            <w:r>
              <w:rPr>
                <w:sz w:val="26"/>
              </w:rPr>
              <w:t>Hệ thống cứu chữa sự cố ở cảng đạt tiêu chuẩn</w:t>
            </w:r>
          </w:p>
        </w:tc>
        <w:tc>
          <w:tcPr>
            <w:tcW w:w="900" w:type="dxa"/>
          </w:tcPr>
          <w:p>
            <w:pPr>
              <w:pStyle w:val="TableParagraph"/>
              <w:spacing w:before="2"/>
              <w:ind w:left="6"/>
              <w:jc w:val="center"/>
              <w:rPr>
                <w:sz w:val="26"/>
              </w:rPr>
            </w:pPr>
            <w:r>
              <w:rPr>
                <w:w w:val="99"/>
                <w:sz w:val="26"/>
              </w:rPr>
              <w:t>1</w:t>
            </w:r>
          </w:p>
        </w:tc>
        <w:tc>
          <w:tcPr>
            <w:tcW w:w="811" w:type="dxa"/>
          </w:tcPr>
          <w:p>
            <w:pPr>
              <w:pStyle w:val="TableParagraph"/>
              <w:spacing w:before="2"/>
              <w:ind w:left="4"/>
              <w:jc w:val="center"/>
              <w:rPr>
                <w:sz w:val="26"/>
              </w:rPr>
            </w:pPr>
            <w:r>
              <w:rPr>
                <w:w w:val="99"/>
                <w:sz w:val="26"/>
              </w:rPr>
              <w:t>2</w:t>
            </w:r>
          </w:p>
        </w:tc>
        <w:tc>
          <w:tcPr>
            <w:tcW w:w="720" w:type="dxa"/>
          </w:tcPr>
          <w:p>
            <w:pPr>
              <w:pStyle w:val="TableParagraph"/>
              <w:spacing w:before="2"/>
              <w:ind w:left="5"/>
              <w:jc w:val="center"/>
              <w:rPr>
                <w:sz w:val="26"/>
              </w:rPr>
            </w:pPr>
            <w:r>
              <w:rPr>
                <w:w w:val="99"/>
                <w:sz w:val="26"/>
              </w:rPr>
              <w:t>3</w:t>
            </w:r>
          </w:p>
        </w:tc>
        <w:tc>
          <w:tcPr>
            <w:tcW w:w="808" w:type="dxa"/>
          </w:tcPr>
          <w:p>
            <w:pPr>
              <w:pStyle w:val="TableParagraph"/>
              <w:spacing w:before="2"/>
              <w:ind w:left="4"/>
              <w:jc w:val="center"/>
              <w:rPr>
                <w:sz w:val="26"/>
              </w:rPr>
            </w:pPr>
            <w:r>
              <w:rPr>
                <w:w w:val="99"/>
                <w:sz w:val="26"/>
              </w:rPr>
              <w:t>4</w:t>
            </w:r>
          </w:p>
        </w:tc>
        <w:tc>
          <w:tcPr>
            <w:tcW w:w="810" w:type="dxa"/>
          </w:tcPr>
          <w:p>
            <w:pPr>
              <w:pStyle w:val="TableParagraph"/>
              <w:spacing w:before="2"/>
              <w:ind w:left="8"/>
              <w:jc w:val="center"/>
              <w:rPr>
                <w:sz w:val="26"/>
              </w:rPr>
            </w:pPr>
            <w:r>
              <w:rPr>
                <w:w w:val="99"/>
                <w:sz w:val="26"/>
              </w:rPr>
              <w:t>5</w:t>
            </w:r>
          </w:p>
        </w:tc>
      </w:tr>
      <w:tr>
        <w:trPr>
          <w:trHeight w:val="448" w:hRule="atLeast"/>
        </w:trPr>
        <w:tc>
          <w:tcPr>
            <w:tcW w:w="632" w:type="dxa"/>
          </w:tcPr>
          <w:p>
            <w:pPr>
              <w:pStyle w:val="TableParagraph"/>
              <w:spacing w:before="2"/>
              <w:ind w:left="6"/>
              <w:jc w:val="center"/>
              <w:rPr>
                <w:sz w:val="26"/>
              </w:rPr>
            </w:pPr>
            <w:r>
              <w:rPr>
                <w:w w:val="99"/>
                <w:sz w:val="26"/>
              </w:rPr>
              <w:t>4</w:t>
            </w:r>
          </w:p>
        </w:tc>
        <w:tc>
          <w:tcPr>
            <w:tcW w:w="5941" w:type="dxa"/>
          </w:tcPr>
          <w:p>
            <w:pPr>
              <w:pStyle w:val="TableParagraph"/>
              <w:spacing w:before="2"/>
              <w:ind w:left="107"/>
              <w:rPr>
                <w:sz w:val="26"/>
              </w:rPr>
            </w:pPr>
            <w:r>
              <w:rPr>
                <w:sz w:val="26"/>
              </w:rPr>
              <w:t>Điều kiện cơ sở hạ tầng đạt tiêu chuẩn cao</w:t>
            </w:r>
          </w:p>
        </w:tc>
        <w:tc>
          <w:tcPr>
            <w:tcW w:w="900" w:type="dxa"/>
          </w:tcPr>
          <w:p>
            <w:pPr>
              <w:pStyle w:val="TableParagraph"/>
              <w:spacing w:before="2"/>
              <w:ind w:left="6"/>
              <w:jc w:val="center"/>
              <w:rPr>
                <w:sz w:val="26"/>
              </w:rPr>
            </w:pPr>
            <w:r>
              <w:rPr>
                <w:w w:val="99"/>
                <w:sz w:val="26"/>
              </w:rPr>
              <w:t>1</w:t>
            </w:r>
          </w:p>
        </w:tc>
        <w:tc>
          <w:tcPr>
            <w:tcW w:w="811" w:type="dxa"/>
          </w:tcPr>
          <w:p>
            <w:pPr>
              <w:pStyle w:val="TableParagraph"/>
              <w:spacing w:before="2"/>
              <w:ind w:left="4"/>
              <w:jc w:val="center"/>
              <w:rPr>
                <w:sz w:val="26"/>
              </w:rPr>
            </w:pPr>
            <w:r>
              <w:rPr>
                <w:w w:val="99"/>
                <w:sz w:val="26"/>
              </w:rPr>
              <w:t>2</w:t>
            </w:r>
          </w:p>
        </w:tc>
        <w:tc>
          <w:tcPr>
            <w:tcW w:w="720" w:type="dxa"/>
          </w:tcPr>
          <w:p>
            <w:pPr>
              <w:pStyle w:val="TableParagraph"/>
              <w:spacing w:before="2"/>
              <w:ind w:left="5"/>
              <w:jc w:val="center"/>
              <w:rPr>
                <w:sz w:val="26"/>
              </w:rPr>
            </w:pPr>
            <w:r>
              <w:rPr>
                <w:w w:val="99"/>
                <w:sz w:val="26"/>
              </w:rPr>
              <w:t>3</w:t>
            </w:r>
          </w:p>
        </w:tc>
        <w:tc>
          <w:tcPr>
            <w:tcW w:w="808" w:type="dxa"/>
          </w:tcPr>
          <w:p>
            <w:pPr>
              <w:pStyle w:val="TableParagraph"/>
              <w:spacing w:before="2"/>
              <w:ind w:left="4"/>
              <w:jc w:val="center"/>
              <w:rPr>
                <w:sz w:val="26"/>
              </w:rPr>
            </w:pPr>
            <w:r>
              <w:rPr>
                <w:w w:val="99"/>
                <w:sz w:val="26"/>
              </w:rPr>
              <w:t>4</w:t>
            </w:r>
          </w:p>
        </w:tc>
        <w:tc>
          <w:tcPr>
            <w:tcW w:w="810" w:type="dxa"/>
          </w:tcPr>
          <w:p>
            <w:pPr>
              <w:pStyle w:val="TableParagraph"/>
              <w:spacing w:before="2"/>
              <w:ind w:left="8"/>
              <w:jc w:val="center"/>
              <w:rPr>
                <w:sz w:val="26"/>
              </w:rPr>
            </w:pPr>
            <w:r>
              <w:rPr>
                <w:w w:val="99"/>
                <w:sz w:val="26"/>
              </w:rPr>
              <w:t>5</w:t>
            </w:r>
          </w:p>
        </w:tc>
      </w:tr>
      <w:tr>
        <w:trPr>
          <w:trHeight w:val="448" w:hRule="atLeast"/>
        </w:trPr>
        <w:tc>
          <w:tcPr>
            <w:tcW w:w="632" w:type="dxa"/>
          </w:tcPr>
          <w:p>
            <w:pPr>
              <w:pStyle w:val="TableParagraph"/>
              <w:spacing w:before="4"/>
              <w:ind w:left="6"/>
              <w:jc w:val="center"/>
              <w:rPr>
                <w:sz w:val="26"/>
              </w:rPr>
            </w:pPr>
            <w:r>
              <w:rPr>
                <w:w w:val="99"/>
                <w:sz w:val="26"/>
              </w:rPr>
              <w:t>5</w:t>
            </w:r>
          </w:p>
        </w:tc>
        <w:tc>
          <w:tcPr>
            <w:tcW w:w="5941" w:type="dxa"/>
          </w:tcPr>
          <w:p>
            <w:pPr>
              <w:pStyle w:val="TableParagraph"/>
              <w:spacing w:before="4"/>
              <w:ind w:left="107"/>
              <w:rPr>
                <w:sz w:val="26"/>
              </w:rPr>
            </w:pPr>
            <w:r>
              <w:rPr>
                <w:sz w:val="26"/>
              </w:rPr>
              <w:t>Số lượng bến đậu tàu nhiều</w:t>
            </w:r>
          </w:p>
        </w:tc>
        <w:tc>
          <w:tcPr>
            <w:tcW w:w="900" w:type="dxa"/>
          </w:tcPr>
          <w:p>
            <w:pPr>
              <w:pStyle w:val="TableParagraph"/>
              <w:spacing w:before="4"/>
              <w:ind w:left="6"/>
              <w:jc w:val="center"/>
              <w:rPr>
                <w:sz w:val="26"/>
              </w:rPr>
            </w:pPr>
            <w:r>
              <w:rPr>
                <w:w w:val="99"/>
                <w:sz w:val="26"/>
              </w:rPr>
              <w:t>1</w:t>
            </w:r>
          </w:p>
        </w:tc>
        <w:tc>
          <w:tcPr>
            <w:tcW w:w="811" w:type="dxa"/>
          </w:tcPr>
          <w:p>
            <w:pPr>
              <w:pStyle w:val="TableParagraph"/>
              <w:spacing w:before="4"/>
              <w:ind w:left="4"/>
              <w:jc w:val="center"/>
              <w:rPr>
                <w:sz w:val="26"/>
              </w:rPr>
            </w:pPr>
            <w:r>
              <w:rPr>
                <w:w w:val="99"/>
                <w:sz w:val="26"/>
              </w:rPr>
              <w:t>2</w:t>
            </w:r>
          </w:p>
        </w:tc>
        <w:tc>
          <w:tcPr>
            <w:tcW w:w="720" w:type="dxa"/>
          </w:tcPr>
          <w:p>
            <w:pPr>
              <w:pStyle w:val="TableParagraph"/>
              <w:spacing w:before="4"/>
              <w:ind w:left="5"/>
              <w:jc w:val="center"/>
              <w:rPr>
                <w:sz w:val="26"/>
              </w:rPr>
            </w:pPr>
            <w:r>
              <w:rPr>
                <w:w w:val="99"/>
                <w:sz w:val="26"/>
              </w:rPr>
              <w:t>3</w:t>
            </w:r>
          </w:p>
        </w:tc>
        <w:tc>
          <w:tcPr>
            <w:tcW w:w="808" w:type="dxa"/>
          </w:tcPr>
          <w:p>
            <w:pPr>
              <w:pStyle w:val="TableParagraph"/>
              <w:spacing w:before="4"/>
              <w:ind w:left="4"/>
              <w:jc w:val="center"/>
              <w:rPr>
                <w:sz w:val="26"/>
              </w:rPr>
            </w:pPr>
            <w:r>
              <w:rPr>
                <w:w w:val="99"/>
                <w:sz w:val="26"/>
              </w:rPr>
              <w:t>4</w:t>
            </w:r>
          </w:p>
        </w:tc>
        <w:tc>
          <w:tcPr>
            <w:tcW w:w="810" w:type="dxa"/>
          </w:tcPr>
          <w:p>
            <w:pPr>
              <w:pStyle w:val="TableParagraph"/>
              <w:spacing w:before="4"/>
              <w:ind w:left="8"/>
              <w:jc w:val="center"/>
              <w:rPr>
                <w:sz w:val="26"/>
              </w:rPr>
            </w:pPr>
            <w:r>
              <w:rPr>
                <w:w w:val="99"/>
                <w:sz w:val="26"/>
              </w:rPr>
              <w:t>5</w:t>
            </w:r>
          </w:p>
        </w:tc>
      </w:tr>
      <w:tr>
        <w:trPr>
          <w:trHeight w:val="448" w:hRule="atLeast"/>
        </w:trPr>
        <w:tc>
          <w:tcPr>
            <w:tcW w:w="632" w:type="dxa"/>
          </w:tcPr>
          <w:p>
            <w:pPr>
              <w:pStyle w:val="TableParagraph"/>
              <w:spacing w:before="4"/>
              <w:ind w:left="6"/>
              <w:jc w:val="center"/>
              <w:rPr>
                <w:sz w:val="26"/>
              </w:rPr>
            </w:pPr>
            <w:r>
              <w:rPr>
                <w:w w:val="99"/>
                <w:sz w:val="26"/>
              </w:rPr>
              <w:t>6</w:t>
            </w:r>
          </w:p>
        </w:tc>
        <w:tc>
          <w:tcPr>
            <w:tcW w:w="5941" w:type="dxa"/>
          </w:tcPr>
          <w:p>
            <w:pPr>
              <w:pStyle w:val="TableParagraph"/>
              <w:spacing w:before="4"/>
              <w:ind w:left="107"/>
              <w:rPr>
                <w:sz w:val="26"/>
              </w:rPr>
            </w:pPr>
            <w:r>
              <w:rPr>
                <w:sz w:val="26"/>
              </w:rPr>
              <w:t>Số lượng cầu tàu nước sâu nhiều</w:t>
            </w:r>
          </w:p>
        </w:tc>
        <w:tc>
          <w:tcPr>
            <w:tcW w:w="900" w:type="dxa"/>
          </w:tcPr>
          <w:p>
            <w:pPr>
              <w:pStyle w:val="TableParagraph"/>
              <w:spacing w:before="4"/>
              <w:ind w:left="6"/>
              <w:jc w:val="center"/>
              <w:rPr>
                <w:sz w:val="26"/>
              </w:rPr>
            </w:pPr>
            <w:r>
              <w:rPr>
                <w:w w:val="99"/>
                <w:sz w:val="26"/>
              </w:rPr>
              <w:t>1</w:t>
            </w:r>
          </w:p>
        </w:tc>
        <w:tc>
          <w:tcPr>
            <w:tcW w:w="811" w:type="dxa"/>
          </w:tcPr>
          <w:p>
            <w:pPr>
              <w:pStyle w:val="TableParagraph"/>
              <w:spacing w:before="4"/>
              <w:ind w:left="4"/>
              <w:jc w:val="center"/>
              <w:rPr>
                <w:sz w:val="26"/>
              </w:rPr>
            </w:pPr>
            <w:r>
              <w:rPr>
                <w:w w:val="99"/>
                <w:sz w:val="26"/>
              </w:rPr>
              <w:t>2</w:t>
            </w:r>
          </w:p>
        </w:tc>
        <w:tc>
          <w:tcPr>
            <w:tcW w:w="720" w:type="dxa"/>
          </w:tcPr>
          <w:p>
            <w:pPr>
              <w:pStyle w:val="TableParagraph"/>
              <w:spacing w:before="4"/>
              <w:ind w:left="5"/>
              <w:jc w:val="center"/>
              <w:rPr>
                <w:sz w:val="26"/>
              </w:rPr>
            </w:pPr>
            <w:r>
              <w:rPr>
                <w:w w:val="99"/>
                <w:sz w:val="26"/>
              </w:rPr>
              <w:t>3</w:t>
            </w:r>
          </w:p>
        </w:tc>
        <w:tc>
          <w:tcPr>
            <w:tcW w:w="808" w:type="dxa"/>
          </w:tcPr>
          <w:p>
            <w:pPr>
              <w:pStyle w:val="TableParagraph"/>
              <w:spacing w:before="4"/>
              <w:ind w:left="4"/>
              <w:jc w:val="center"/>
              <w:rPr>
                <w:sz w:val="26"/>
              </w:rPr>
            </w:pPr>
            <w:r>
              <w:rPr>
                <w:w w:val="99"/>
                <w:sz w:val="26"/>
              </w:rPr>
              <w:t>4</w:t>
            </w:r>
          </w:p>
        </w:tc>
        <w:tc>
          <w:tcPr>
            <w:tcW w:w="810" w:type="dxa"/>
          </w:tcPr>
          <w:p>
            <w:pPr>
              <w:pStyle w:val="TableParagraph"/>
              <w:spacing w:before="4"/>
              <w:ind w:left="8"/>
              <w:jc w:val="center"/>
              <w:rPr>
                <w:sz w:val="26"/>
              </w:rPr>
            </w:pPr>
            <w:r>
              <w:rPr>
                <w:w w:val="99"/>
                <w:sz w:val="26"/>
              </w:rPr>
              <w:t>5</w:t>
            </w:r>
          </w:p>
        </w:tc>
      </w:tr>
      <w:tr>
        <w:trPr>
          <w:trHeight w:val="448" w:hRule="atLeast"/>
        </w:trPr>
        <w:tc>
          <w:tcPr>
            <w:tcW w:w="632" w:type="dxa"/>
          </w:tcPr>
          <w:p>
            <w:pPr>
              <w:pStyle w:val="TableParagraph"/>
              <w:spacing w:before="4"/>
              <w:ind w:left="6"/>
              <w:jc w:val="center"/>
              <w:rPr>
                <w:sz w:val="26"/>
              </w:rPr>
            </w:pPr>
            <w:r>
              <w:rPr>
                <w:w w:val="99"/>
                <w:sz w:val="26"/>
              </w:rPr>
              <w:t>7</w:t>
            </w:r>
          </w:p>
        </w:tc>
        <w:tc>
          <w:tcPr>
            <w:tcW w:w="5941" w:type="dxa"/>
          </w:tcPr>
          <w:p>
            <w:pPr>
              <w:pStyle w:val="TableParagraph"/>
              <w:spacing w:before="4"/>
              <w:ind w:left="107"/>
              <w:rPr>
                <w:sz w:val="26"/>
              </w:rPr>
            </w:pPr>
            <w:r>
              <w:rPr>
                <w:sz w:val="26"/>
              </w:rPr>
              <w:t>Số lượng trang thiết bị xếp dỡ nhiều</w:t>
            </w:r>
          </w:p>
        </w:tc>
        <w:tc>
          <w:tcPr>
            <w:tcW w:w="900" w:type="dxa"/>
          </w:tcPr>
          <w:p>
            <w:pPr>
              <w:pStyle w:val="TableParagraph"/>
              <w:spacing w:before="4"/>
              <w:ind w:left="6"/>
              <w:jc w:val="center"/>
              <w:rPr>
                <w:sz w:val="26"/>
              </w:rPr>
            </w:pPr>
            <w:r>
              <w:rPr>
                <w:w w:val="99"/>
                <w:sz w:val="26"/>
              </w:rPr>
              <w:t>1</w:t>
            </w:r>
          </w:p>
        </w:tc>
        <w:tc>
          <w:tcPr>
            <w:tcW w:w="811" w:type="dxa"/>
          </w:tcPr>
          <w:p>
            <w:pPr>
              <w:pStyle w:val="TableParagraph"/>
              <w:spacing w:before="4"/>
              <w:ind w:left="4"/>
              <w:jc w:val="center"/>
              <w:rPr>
                <w:sz w:val="26"/>
              </w:rPr>
            </w:pPr>
            <w:r>
              <w:rPr>
                <w:w w:val="99"/>
                <w:sz w:val="26"/>
              </w:rPr>
              <w:t>2</w:t>
            </w:r>
          </w:p>
        </w:tc>
        <w:tc>
          <w:tcPr>
            <w:tcW w:w="720" w:type="dxa"/>
          </w:tcPr>
          <w:p>
            <w:pPr>
              <w:pStyle w:val="TableParagraph"/>
              <w:spacing w:before="4"/>
              <w:ind w:left="5"/>
              <w:jc w:val="center"/>
              <w:rPr>
                <w:sz w:val="26"/>
              </w:rPr>
            </w:pPr>
            <w:r>
              <w:rPr>
                <w:w w:val="99"/>
                <w:sz w:val="26"/>
              </w:rPr>
              <w:t>3</w:t>
            </w:r>
          </w:p>
        </w:tc>
        <w:tc>
          <w:tcPr>
            <w:tcW w:w="808" w:type="dxa"/>
          </w:tcPr>
          <w:p>
            <w:pPr>
              <w:pStyle w:val="TableParagraph"/>
              <w:spacing w:before="4"/>
              <w:ind w:left="4"/>
              <w:jc w:val="center"/>
              <w:rPr>
                <w:sz w:val="26"/>
              </w:rPr>
            </w:pPr>
            <w:r>
              <w:rPr>
                <w:w w:val="99"/>
                <w:sz w:val="26"/>
              </w:rPr>
              <w:t>4</w:t>
            </w:r>
          </w:p>
        </w:tc>
        <w:tc>
          <w:tcPr>
            <w:tcW w:w="810" w:type="dxa"/>
          </w:tcPr>
          <w:p>
            <w:pPr>
              <w:pStyle w:val="TableParagraph"/>
              <w:spacing w:before="4"/>
              <w:ind w:left="8"/>
              <w:jc w:val="center"/>
              <w:rPr>
                <w:sz w:val="26"/>
              </w:rPr>
            </w:pPr>
            <w:r>
              <w:rPr>
                <w:w w:val="99"/>
                <w:sz w:val="26"/>
              </w:rPr>
              <w:t>5</w:t>
            </w:r>
          </w:p>
        </w:tc>
      </w:tr>
      <w:tr>
        <w:trPr>
          <w:trHeight w:val="448" w:hRule="atLeast"/>
        </w:trPr>
        <w:tc>
          <w:tcPr>
            <w:tcW w:w="10622" w:type="dxa"/>
            <w:gridSpan w:val="7"/>
          </w:tcPr>
          <w:p>
            <w:pPr>
              <w:pStyle w:val="TableParagraph"/>
              <w:spacing w:before="4"/>
              <w:ind w:left="107"/>
              <w:rPr>
                <w:b/>
                <w:sz w:val="26"/>
              </w:rPr>
            </w:pPr>
            <w:r>
              <w:rPr>
                <w:b/>
                <w:sz w:val="26"/>
              </w:rPr>
              <w:t>Vị trí cảng container</w:t>
            </w:r>
          </w:p>
        </w:tc>
      </w:tr>
      <w:tr>
        <w:trPr>
          <w:trHeight w:val="448" w:hRule="atLeast"/>
        </w:trPr>
        <w:tc>
          <w:tcPr>
            <w:tcW w:w="632" w:type="dxa"/>
          </w:tcPr>
          <w:p>
            <w:pPr>
              <w:pStyle w:val="TableParagraph"/>
              <w:spacing w:before="4"/>
              <w:ind w:left="6"/>
              <w:jc w:val="center"/>
              <w:rPr>
                <w:sz w:val="26"/>
              </w:rPr>
            </w:pPr>
            <w:r>
              <w:rPr>
                <w:w w:val="99"/>
                <w:sz w:val="26"/>
              </w:rPr>
              <w:t>8</w:t>
            </w:r>
          </w:p>
        </w:tc>
        <w:tc>
          <w:tcPr>
            <w:tcW w:w="5941" w:type="dxa"/>
          </w:tcPr>
          <w:p>
            <w:pPr>
              <w:pStyle w:val="TableParagraph"/>
              <w:spacing w:before="4"/>
              <w:ind w:left="107"/>
              <w:rPr>
                <w:sz w:val="26"/>
              </w:rPr>
            </w:pPr>
            <w:r>
              <w:rPr>
                <w:sz w:val="26"/>
              </w:rPr>
              <w:t>Vị trí địa lý thuận lợi</w:t>
            </w:r>
          </w:p>
        </w:tc>
        <w:tc>
          <w:tcPr>
            <w:tcW w:w="900" w:type="dxa"/>
          </w:tcPr>
          <w:p>
            <w:pPr>
              <w:pStyle w:val="TableParagraph"/>
              <w:spacing w:before="4"/>
              <w:ind w:left="6"/>
              <w:jc w:val="center"/>
              <w:rPr>
                <w:sz w:val="26"/>
              </w:rPr>
            </w:pPr>
            <w:r>
              <w:rPr>
                <w:w w:val="99"/>
                <w:sz w:val="26"/>
              </w:rPr>
              <w:t>1</w:t>
            </w:r>
          </w:p>
        </w:tc>
        <w:tc>
          <w:tcPr>
            <w:tcW w:w="811" w:type="dxa"/>
          </w:tcPr>
          <w:p>
            <w:pPr>
              <w:pStyle w:val="TableParagraph"/>
              <w:spacing w:before="4"/>
              <w:ind w:left="4"/>
              <w:jc w:val="center"/>
              <w:rPr>
                <w:sz w:val="26"/>
              </w:rPr>
            </w:pPr>
            <w:r>
              <w:rPr>
                <w:w w:val="99"/>
                <w:sz w:val="26"/>
              </w:rPr>
              <w:t>2</w:t>
            </w:r>
          </w:p>
        </w:tc>
        <w:tc>
          <w:tcPr>
            <w:tcW w:w="720" w:type="dxa"/>
          </w:tcPr>
          <w:p>
            <w:pPr>
              <w:pStyle w:val="TableParagraph"/>
              <w:spacing w:before="4"/>
              <w:ind w:left="5"/>
              <w:jc w:val="center"/>
              <w:rPr>
                <w:sz w:val="26"/>
              </w:rPr>
            </w:pPr>
            <w:r>
              <w:rPr>
                <w:w w:val="99"/>
                <w:sz w:val="26"/>
              </w:rPr>
              <w:t>3</w:t>
            </w:r>
          </w:p>
        </w:tc>
        <w:tc>
          <w:tcPr>
            <w:tcW w:w="808" w:type="dxa"/>
          </w:tcPr>
          <w:p>
            <w:pPr>
              <w:pStyle w:val="TableParagraph"/>
              <w:spacing w:before="4"/>
              <w:ind w:left="4"/>
              <w:jc w:val="center"/>
              <w:rPr>
                <w:sz w:val="26"/>
              </w:rPr>
            </w:pPr>
            <w:r>
              <w:rPr>
                <w:w w:val="99"/>
                <w:sz w:val="26"/>
              </w:rPr>
              <w:t>4</w:t>
            </w:r>
          </w:p>
        </w:tc>
        <w:tc>
          <w:tcPr>
            <w:tcW w:w="810" w:type="dxa"/>
          </w:tcPr>
          <w:p>
            <w:pPr>
              <w:pStyle w:val="TableParagraph"/>
              <w:spacing w:before="4"/>
              <w:ind w:left="8"/>
              <w:jc w:val="center"/>
              <w:rPr>
                <w:sz w:val="26"/>
              </w:rPr>
            </w:pPr>
            <w:r>
              <w:rPr>
                <w:w w:val="99"/>
                <w:sz w:val="26"/>
              </w:rPr>
              <w:t>5</w:t>
            </w:r>
          </w:p>
        </w:tc>
      </w:tr>
      <w:tr>
        <w:trPr>
          <w:trHeight w:val="448" w:hRule="atLeast"/>
        </w:trPr>
        <w:tc>
          <w:tcPr>
            <w:tcW w:w="632" w:type="dxa"/>
          </w:tcPr>
          <w:p>
            <w:pPr>
              <w:pStyle w:val="TableParagraph"/>
              <w:spacing w:before="4"/>
              <w:ind w:left="6"/>
              <w:jc w:val="center"/>
              <w:rPr>
                <w:sz w:val="26"/>
              </w:rPr>
            </w:pPr>
            <w:r>
              <w:rPr>
                <w:w w:val="99"/>
                <w:sz w:val="26"/>
              </w:rPr>
              <w:t>9</w:t>
            </w:r>
          </w:p>
        </w:tc>
        <w:tc>
          <w:tcPr>
            <w:tcW w:w="5941" w:type="dxa"/>
          </w:tcPr>
          <w:p>
            <w:pPr>
              <w:pStyle w:val="TableParagraph"/>
              <w:spacing w:before="4"/>
              <w:ind w:left="107"/>
              <w:rPr>
                <w:sz w:val="26"/>
              </w:rPr>
            </w:pPr>
            <w:r>
              <w:rPr>
                <w:sz w:val="26"/>
              </w:rPr>
              <w:t>Khoảng cách luồng tàu vào ngắn</w:t>
            </w:r>
          </w:p>
        </w:tc>
        <w:tc>
          <w:tcPr>
            <w:tcW w:w="900" w:type="dxa"/>
          </w:tcPr>
          <w:p>
            <w:pPr>
              <w:pStyle w:val="TableParagraph"/>
              <w:spacing w:before="4"/>
              <w:ind w:left="6"/>
              <w:jc w:val="center"/>
              <w:rPr>
                <w:sz w:val="26"/>
              </w:rPr>
            </w:pPr>
            <w:r>
              <w:rPr>
                <w:w w:val="99"/>
                <w:sz w:val="26"/>
              </w:rPr>
              <w:t>1</w:t>
            </w:r>
          </w:p>
        </w:tc>
        <w:tc>
          <w:tcPr>
            <w:tcW w:w="811" w:type="dxa"/>
          </w:tcPr>
          <w:p>
            <w:pPr>
              <w:pStyle w:val="TableParagraph"/>
              <w:spacing w:before="4"/>
              <w:ind w:left="4"/>
              <w:jc w:val="center"/>
              <w:rPr>
                <w:sz w:val="26"/>
              </w:rPr>
            </w:pPr>
            <w:r>
              <w:rPr>
                <w:w w:val="99"/>
                <w:sz w:val="26"/>
              </w:rPr>
              <w:t>2</w:t>
            </w:r>
          </w:p>
        </w:tc>
        <w:tc>
          <w:tcPr>
            <w:tcW w:w="720" w:type="dxa"/>
          </w:tcPr>
          <w:p>
            <w:pPr>
              <w:pStyle w:val="TableParagraph"/>
              <w:spacing w:before="4"/>
              <w:ind w:left="5"/>
              <w:jc w:val="center"/>
              <w:rPr>
                <w:sz w:val="26"/>
              </w:rPr>
            </w:pPr>
            <w:r>
              <w:rPr>
                <w:w w:val="99"/>
                <w:sz w:val="26"/>
              </w:rPr>
              <w:t>3</w:t>
            </w:r>
          </w:p>
        </w:tc>
        <w:tc>
          <w:tcPr>
            <w:tcW w:w="808" w:type="dxa"/>
          </w:tcPr>
          <w:p>
            <w:pPr>
              <w:pStyle w:val="TableParagraph"/>
              <w:spacing w:before="4"/>
              <w:ind w:left="4"/>
              <w:jc w:val="center"/>
              <w:rPr>
                <w:sz w:val="26"/>
              </w:rPr>
            </w:pPr>
            <w:r>
              <w:rPr>
                <w:w w:val="99"/>
                <w:sz w:val="26"/>
              </w:rPr>
              <w:t>4</w:t>
            </w:r>
          </w:p>
        </w:tc>
        <w:tc>
          <w:tcPr>
            <w:tcW w:w="810" w:type="dxa"/>
          </w:tcPr>
          <w:p>
            <w:pPr>
              <w:pStyle w:val="TableParagraph"/>
              <w:spacing w:before="4"/>
              <w:ind w:left="8"/>
              <w:jc w:val="center"/>
              <w:rPr>
                <w:sz w:val="26"/>
              </w:rPr>
            </w:pPr>
            <w:r>
              <w:rPr>
                <w:w w:val="99"/>
                <w:sz w:val="26"/>
              </w:rPr>
              <w:t>5</w:t>
            </w:r>
          </w:p>
        </w:tc>
      </w:tr>
      <w:tr>
        <w:trPr>
          <w:trHeight w:val="450" w:hRule="atLeast"/>
        </w:trPr>
        <w:tc>
          <w:tcPr>
            <w:tcW w:w="632" w:type="dxa"/>
          </w:tcPr>
          <w:p>
            <w:pPr>
              <w:pStyle w:val="TableParagraph"/>
              <w:spacing w:before="4"/>
              <w:ind w:left="135" w:right="129"/>
              <w:jc w:val="center"/>
              <w:rPr>
                <w:sz w:val="26"/>
              </w:rPr>
            </w:pPr>
            <w:r>
              <w:rPr>
                <w:sz w:val="26"/>
              </w:rPr>
              <w:t>10</w:t>
            </w:r>
          </w:p>
        </w:tc>
        <w:tc>
          <w:tcPr>
            <w:tcW w:w="5941" w:type="dxa"/>
          </w:tcPr>
          <w:p>
            <w:pPr>
              <w:pStyle w:val="TableParagraph"/>
              <w:spacing w:before="4"/>
              <w:ind w:left="107"/>
              <w:rPr>
                <w:sz w:val="26"/>
              </w:rPr>
            </w:pPr>
            <w:r>
              <w:rPr>
                <w:sz w:val="26"/>
              </w:rPr>
              <w:t>Cảng gần những tuyến hàng hải chính yếu</w:t>
            </w:r>
          </w:p>
        </w:tc>
        <w:tc>
          <w:tcPr>
            <w:tcW w:w="900" w:type="dxa"/>
          </w:tcPr>
          <w:p>
            <w:pPr>
              <w:pStyle w:val="TableParagraph"/>
              <w:spacing w:before="4"/>
              <w:ind w:left="6"/>
              <w:jc w:val="center"/>
              <w:rPr>
                <w:sz w:val="26"/>
              </w:rPr>
            </w:pPr>
            <w:r>
              <w:rPr>
                <w:w w:val="99"/>
                <w:sz w:val="26"/>
              </w:rPr>
              <w:t>1</w:t>
            </w:r>
          </w:p>
        </w:tc>
        <w:tc>
          <w:tcPr>
            <w:tcW w:w="811" w:type="dxa"/>
          </w:tcPr>
          <w:p>
            <w:pPr>
              <w:pStyle w:val="TableParagraph"/>
              <w:spacing w:before="4"/>
              <w:ind w:left="4"/>
              <w:jc w:val="center"/>
              <w:rPr>
                <w:sz w:val="26"/>
              </w:rPr>
            </w:pPr>
            <w:r>
              <w:rPr>
                <w:w w:val="99"/>
                <w:sz w:val="26"/>
              </w:rPr>
              <w:t>2</w:t>
            </w:r>
          </w:p>
        </w:tc>
        <w:tc>
          <w:tcPr>
            <w:tcW w:w="720" w:type="dxa"/>
          </w:tcPr>
          <w:p>
            <w:pPr>
              <w:pStyle w:val="TableParagraph"/>
              <w:spacing w:before="4"/>
              <w:ind w:left="5"/>
              <w:jc w:val="center"/>
              <w:rPr>
                <w:sz w:val="26"/>
              </w:rPr>
            </w:pPr>
            <w:r>
              <w:rPr>
                <w:w w:val="99"/>
                <w:sz w:val="26"/>
              </w:rPr>
              <w:t>3</w:t>
            </w:r>
          </w:p>
        </w:tc>
        <w:tc>
          <w:tcPr>
            <w:tcW w:w="808" w:type="dxa"/>
          </w:tcPr>
          <w:p>
            <w:pPr>
              <w:pStyle w:val="TableParagraph"/>
              <w:spacing w:before="4"/>
              <w:ind w:left="4"/>
              <w:jc w:val="center"/>
              <w:rPr>
                <w:sz w:val="26"/>
              </w:rPr>
            </w:pPr>
            <w:r>
              <w:rPr>
                <w:w w:val="99"/>
                <w:sz w:val="26"/>
              </w:rPr>
              <w:t>4</w:t>
            </w:r>
          </w:p>
        </w:tc>
        <w:tc>
          <w:tcPr>
            <w:tcW w:w="810" w:type="dxa"/>
          </w:tcPr>
          <w:p>
            <w:pPr>
              <w:pStyle w:val="TableParagraph"/>
              <w:spacing w:before="4"/>
              <w:ind w:left="8"/>
              <w:jc w:val="center"/>
              <w:rPr>
                <w:sz w:val="26"/>
              </w:rPr>
            </w:pPr>
            <w:r>
              <w:rPr>
                <w:w w:val="99"/>
                <w:sz w:val="26"/>
              </w:rPr>
              <w:t>5</w:t>
            </w:r>
          </w:p>
        </w:tc>
      </w:tr>
      <w:tr>
        <w:trPr>
          <w:trHeight w:val="448" w:hRule="atLeast"/>
        </w:trPr>
        <w:tc>
          <w:tcPr>
            <w:tcW w:w="632" w:type="dxa"/>
          </w:tcPr>
          <w:p>
            <w:pPr>
              <w:pStyle w:val="TableParagraph"/>
              <w:spacing w:before="2"/>
              <w:ind w:left="135" w:right="129"/>
              <w:jc w:val="center"/>
              <w:rPr>
                <w:sz w:val="26"/>
              </w:rPr>
            </w:pPr>
            <w:r>
              <w:rPr>
                <w:sz w:val="26"/>
              </w:rPr>
              <w:t>11</w:t>
            </w:r>
          </w:p>
        </w:tc>
        <w:tc>
          <w:tcPr>
            <w:tcW w:w="5941" w:type="dxa"/>
          </w:tcPr>
          <w:p>
            <w:pPr>
              <w:pStyle w:val="TableParagraph"/>
              <w:spacing w:before="2"/>
              <w:ind w:left="107"/>
              <w:rPr>
                <w:sz w:val="26"/>
              </w:rPr>
            </w:pPr>
            <w:r>
              <w:rPr>
                <w:sz w:val="26"/>
              </w:rPr>
              <w:t>Cảng gần các cảng liên kết khác bao gồm các Depot</w:t>
            </w:r>
          </w:p>
        </w:tc>
        <w:tc>
          <w:tcPr>
            <w:tcW w:w="900" w:type="dxa"/>
          </w:tcPr>
          <w:p>
            <w:pPr>
              <w:pStyle w:val="TableParagraph"/>
              <w:spacing w:before="2"/>
              <w:ind w:left="6"/>
              <w:jc w:val="center"/>
              <w:rPr>
                <w:sz w:val="26"/>
              </w:rPr>
            </w:pPr>
            <w:r>
              <w:rPr>
                <w:w w:val="99"/>
                <w:sz w:val="26"/>
              </w:rPr>
              <w:t>1</w:t>
            </w:r>
          </w:p>
        </w:tc>
        <w:tc>
          <w:tcPr>
            <w:tcW w:w="811" w:type="dxa"/>
          </w:tcPr>
          <w:p>
            <w:pPr>
              <w:pStyle w:val="TableParagraph"/>
              <w:spacing w:before="2"/>
              <w:ind w:left="4"/>
              <w:jc w:val="center"/>
              <w:rPr>
                <w:sz w:val="26"/>
              </w:rPr>
            </w:pPr>
            <w:r>
              <w:rPr>
                <w:w w:val="99"/>
                <w:sz w:val="26"/>
              </w:rPr>
              <w:t>2</w:t>
            </w:r>
          </w:p>
        </w:tc>
        <w:tc>
          <w:tcPr>
            <w:tcW w:w="720" w:type="dxa"/>
          </w:tcPr>
          <w:p>
            <w:pPr>
              <w:pStyle w:val="TableParagraph"/>
              <w:spacing w:before="2"/>
              <w:ind w:left="5"/>
              <w:jc w:val="center"/>
              <w:rPr>
                <w:sz w:val="26"/>
              </w:rPr>
            </w:pPr>
            <w:r>
              <w:rPr>
                <w:w w:val="99"/>
                <w:sz w:val="26"/>
              </w:rPr>
              <w:t>3</w:t>
            </w:r>
          </w:p>
        </w:tc>
        <w:tc>
          <w:tcPr>
            <w:tcW w:w="808" w:type="dxa"/>
          </w:tcPr>
          <w:p>
            <w:pPr>
              <w:pStyle w:val="TableParagraph"/>
              <w:spacing w:before="2"/>
              <w:ind w:left="4"/>
              <w:jc w:val="center"/>
              <w:rPr>
                <w:sz w:val="26"/>
              </w:rPr>
            </w:pPr>
            <w:r>
              <w:rPr>
                <w:w w:val="99"/>
                <w:sz w:val="26"/>
              </w:rPr>
              <w:t>4</w:t>
            </w:r>
          </w:p>
        </w:tc>
        <w:tc>
          <w:tcPr>
            <w:tcW w:w="810" w:type="dxa"/>
          </w:tcPr>
          <w:p>
            <w:pPr>
              <w:pStyle w:val="TableParagraph"/>
              <w:spacing w:before="2"/>
              <w:ind w:left="8"/>
              <w:jc w:val="center"/>
              <w:rPr>
                <w:sz w:val="26"/>
              </w:rPr>
            </w:pPr>
            <w:r>
              <w:rPr>
                <w:w w:val="99"/>
                <w:sz w:val="26"/>
              </w:rPr>
              <w:t>5</w:t>
            </w:r>
          </w:p>
        </w:tc>
      </w:tr>
      <w:tr>
        <w:trPr>
          <w:trHeight w:val="1343" w:hRule="atLeast"/>
        </w:trPr>
        <w:tc>
          <w:tcPr>
            <w:tcW w:w="632" w:type="dxa"/>
          </w:tcPr>
          <w:p>
            <w:pPr>
              <w:pStyle w:val="TableParagraph"/>
              <w:spacing w:before="2"/>
              <w:rPr>
                <w:sz w:val="39"/>
              </w:rPr>
            </w:pPr>
          </w:p>
          <w:p>
            <w:pPr>
              <w:pStyle w:val="TableParagraph"/>
              <w:ind w:left="135" w:right="129"/>
              <w:jc w:val="center"/>
              <w:rPr>
                <w:sz w:val="26"/>
              </w:rPr>
            </w:pPr>
            <w:r>
              <w:rPr>
                <w:sz w:val="26"/>
              </w:rPr>
              <w:t>12</w:t>
            </w:r>
          </w:p>
        </w:tc>
        <w:tc>
          <w:tcPr>
            <w:tcW w:w="5941" w:type="dxa"/>
          </w:tcPr>
          <w:p>
            <w:pPr>
              <w:pStyle w:val="TableParagraph"/>
              <w:spacing w:before="2"/>
              <w:ind w:left="107"/>
              <w:rPr>
                <w:sz w:val="26"/>
              </w:rPr>
            </w:pPr>
            <w:r>
              <w:rPr>
                <w:sz w:val="26"/>
              </w:rPr>
              <w:t>Tuyến đường liên kết liên hợp đến cảng phù hợp cho</w:t>
            </w:r>
          </w:p>
          <w:p>
            <w:pPr>
              <w:pStyle w:val="TableParagraph"/>
              <w:spacing w:line="440" w:lineRule="atLeast" w:before="8"/>
              <w:ind w:left="107" w:right="445"/>
              <w:rPr>
                <w:sz w:val="26"/>
              </w:rPr>
            </w:pPr>
            <w:r>
              <w:rPr>
                <w:sz w:val="26"/>
              </w:rPr>
              <w:t>vận tải lượng hàng lớn (vd: đường sắt. xa lộ. sà lan. hàng không...)</w:t>
            </w:r>
          </w:p>
        </w:tc>
        <w:tc>
          <w:tcPr>
            <w:tcW w:w="900" w:type="dxa"/>
          </w:tcPr>
          <w:p>
            <w:pPr>
              <w:pStyle w:val="TableParagraph"/>
              <w:spacing w:before="2"/>
              <w:ind w:left="6"/>
              <w:jc w:val="center"/>
              <w:rPr>
                <w:sz w:val="26"/>
              </w:rPr>
            </w:pPr>
            <w:r>
              <w:rPr>
                <w:w w:val="99"/>
                <w:sz w:val="26"/>
              </w:rPr>
              <w:t>1</w:t>
            </w:r>
          </w:p>
        </w:tc>
        <w:tc>
          <w:tcPr>
            <w:tcW w:w="811" w:type="dxa"/>
          </w:tcPr>
          <w:p>
            <w:pPr>
              <w:pStyle w:val="TableParagraph"/>
              <w:spacing w:before="2"/>
              <w:ind w:left="4"/>
              <w:jc w:val="center"/>
              <w:rPr>
                <w:sz w:val="26"/>
              </w:rPr>
            </w:pPr>
            <w:r>
              <w:rPr>
                <w:w w:val="99"/>
                <w:sz w:val="26"/>
              </w:rPr>
              <w:t>2</w:t>
            </w:r>
          </w:p>
        </w:tc>
        <w:tc>
          <w:tcPr>
            <w:tcW w:w="720" w:type="dxa"/>
          </w:tcPr>
          <w:p>
            <w:pPr>
              <w:pStyle w:val="TableParagraph"/>
              <w:spacing w:before="2"/>
              <w:ind w:left="5"/>
              <w:jc w:val="center"/>
              <w:rPr>
                <w:sz w:val="26"/>
              </w:rPr>
            </w:pPr>
            <w:r>
              <w:rPr>
                <w:w w:val="99"/>
                <w:sz w:val="26"/>
              </w:rPr>
              <w:t>3</w:t>
            </w:r>
          </w:p>
        </w:tc>
        <w:tc>
          <w:tcPr>
            <w:tcW w:w="808" w:type="dxa"/>
          </w:tcPr>
          <w:p>
            <w:pPr>
              <w:pStyle w:val="TableParagraph"/>
              <w:spacing w:before="2"/>
              <w:ind w:left="4"/>
              <w:jc w:val="center"/>
              <w:rPr>
                <w:sz w:val="26"/>
              </w:rPr>
            </w:pPr>
            <w:r>
              <w:rPr>
                <w:w w:val="99"/>
                <w:sz w:val="26"/>
              </w:rPr>
              <w:t>4</w:t>
            </w:r>
          </w:p>
        </w:tc>
        <w:tc>
          <w:tcPr>
            <w:tcW w:w="810" w:type="dxa"/>
          </w:tcPr>
          <w:p>
            <w:pPr>
              <w:pStyle w:val="TableParagraph"/>
              <w:spacing w:before="2"/>
              <w:ind w:left="8"/>
              <w:jc w:val="center"/>
              <w:rPr>
                <w:sz w:val="26"/>
              </w:rPr>
            </w:pPr>
            <w:r>
              <w:rPr>
                <w:w w:val="99"/>
                <w:sz w:val="26"/>
              </w:rPr>
              <w:t>5</w:t>
            </w:r>
          </w:p>
        </w:tc>
      </w:tr>
      <w:tr>
        <w:trPr>
          <w:trHeight w:val="448" w:hRule="atLeast"/>
        </w:trPr>
        <w:tc>
          <w:tcPr>
            <w:tcW w:w="632" w:type="dxa"/>
          </w:tcPr>
          <w:p>
            <w:pPr>
              <w:pStyle w:val="TableParagraph"/>
              <w:spacing w:before="2"/>
              <w:ind w:left="135" w:right="129"/>
              <w:jc w:val="center"/>
              <w:rPr>
                <w:sz w:val="26"/>
              </w:rPr>
            </w:pPr>
            <w:r>
              <w:rPr>
                <w:sz w:val="26"/>
              </w:rPr>
              <w:t>13</w:t>
            </w:r>
          </w:p>
        </w:tc>
        <w:tc>
          <w:tcPr>
            <w:tcW w:w="5941" w:type="dxa"/>
          </w:tcPr>
          <w:p>
            <w:pPr>
              <w:pStyle w:val="TableParagraph"/>
              <w:spacing w:before="2"/>
              <w:ind w:left="107"/>
              <w:rPr>
                <w:sz w:val="26"/>
              </w:rPr>
            </w:pPr>
            <w:r>
              <w:rPr>
                <w:sz w:val="26"/>
              </w:rPr>
              <w:t>Cảng gần các thềm lục địa Á-Âu</w:t>
            </w:r>
          </w:p>
        </w:tc>
        <w:tc>
          <w:tcPr>
            <w:tcW w:w="900" w:type="dxa"/>
          </w:tcPr>
          <w:p>
            <w:pPr>
              <w:pStyle w:val="TableParagraph"/>
              <w:spacing w:before="2"/>
              <w:ind w:left="6"/>
              <w:jc w:val="center"/>
              <w:rPr>
                <w:sz w:val="26"/>
              </w:rPr>
            </w:pPr>
            <w:r>
              <w:rPr>
                <w:w w:val="99"/>
                <w:sz w:val="26"/>
              </w:rPr>
              <w:t>1</w:t>
            </w:r>
          </w:p>
        </w:tc>
        <w:tc>
          <w:tcPr>
            <w:tcW w:w="811" w:type="dxa"/>
          </w:tcPr>
          <w:p>
            <w:pPr>
              <w:pStyle w:val="TableParagraph"/>
              <w:spacing w:before="2"/>
              <w:ind w:left="4"/>
              <w:jc w:val="center"/>
              <w:rPr>
                <w:sz w:val="26"/>
              </w:rPr>
            </w:pPr>
            <w:r>
              <w:rPr>
                <w:w w:val="99"/>
                <w:sz w:val="26"/>
              </w:rPr>
              <w:t>2</w:t>
            </w:r>
          </w:p>
        </w:tc>
        <w:tc>
          <w:tcPr>
            <w:tcW w:w="720" w:type="dxa"/>
          </w:tcPr>
          <w:p>
            <w:pPr>
              <w:pStyle w:val="TableParagraph"/>
              <w:spacing w:before="2"/>
              <w:ind w:left="5"/>
              <w:jc w:val="center"/>
              <w:rPr>
                <w:sz w:val="26"/>
              </w:rPr>
            </w:pPr>
            <w:r>
              <w:rPr>
                <w:w w:val="99"/>
                <w:sz w:val="26"/>
              </w:rPr>
              <w:t>3</w:t>
            </w:r>
          </w:p>
        </w:tc>
        <w:tc>
          <w:tcPr>
            <w:tcW w:w="808" w:type="dxa"/>
          </w:tcPr>
          <w:p>
            <w:pPr>
              <w:pStyle w:val="TableParagraph"/>
              <w:spacing w:before="2"/>
              <w:ind w:left="4"/>
              <w:jc w:val="center"/>
              <w:rPr>
                <w:sz w:val="26"/>
              </w:rPr>
            </w:pPr>
            <w:r>
              <w:rPr>
                <w:w w:val="99"/>
                <w:sz w:val="26"/>
              </w:rPr>
              <w:t>4</w:t>
            </w:r>
          </w:p>
        </w:tc>
        <w:tc>
          <w:tcPr>
            <w:tcW w:w="810" w:type="dxa"/>
          </w:tcPr>
          <w:p>
            <w:pPr>
              <w:pStyle w:val="TableParagraph"/>
              <w:spacing w:before="2"/>
              <w:ind w:left="8"/>
              <w:jc w:val="center"/>
              <w:rPr>
                <w:sz w:val="26"/>
              </w:rPr>
            </w:pPr>
            <w:r>
              <w:rPr>
                <w:w w:val="99"/>
                <w:sz w:val="26"/>
              </w:rPr>
              <w:t>5</w:t>
            </w:r>
          </w:p>
        </w:tc>
      </w:tr>
      <w:tr>
        <w:trPr>
          <w:trHeight w:val="897" w:hRule="atLeast"/>
        </w:trPr>
        <w:tc>
          <w:tcPr>
            <w:tcW w:w="632" w:type="dxa"/>
          </w:tcPr>
          <w:p>
            <w:pPr>
              <w:pStyle w:val="TableParagraph"/>
              <w:spacing w:before="227"/>
              <w:ind w:left="135" w:right="129"/>
              <w:jc w:val="center"/>
              <w:rPr>
                <w:sz w:val="26"/>
              </w:rPr>
            </w:pPr>
            <w:r>
              <w:rPr>
                <w:sz w:val="26"/>
              </w:rPr>
              <w:t>14</w:t>
            </w:r>
          </w:p>
        </w:tc>
        <w:tc>
          <w:tcPr>
            <w:tcW w:w="5941" w:type="dxa"/>
          </w:tcPr>
          <w:p>
            <w:pPr>
              <w:pStyle w:val="TableParagraph"/>
              <w:spacing w:before="2"/>
              <w:ind w:left="107"/>
              <w:rPr>
                <w:sz w:val="26"/>
              </w:rPr>
            </w:pPr>
            <w:r>
              <w:rPr>
                <w:sz w:val="26"/>
              </w:rPr>
              <w:t>Gần các cảng trung chuyển lớn trên thế giới (Cảng</w:t>
            </w:r>
          </w:p>
          <w:p>
            <w:pPr>
              <w:pStyle w:val="TableParagraph"/>
              <w:spacing w:before="149"/>
              <w:ind w:left="107"/>
              <w:rPr>
                <w:sz w:val="26"/>
              </w:rPr>
            </w:pPr>
            <w:r>
              <w:rPr>
                <w:sz w:val="26"/>
              </w:rPr>
              <w:t>Singapore. Hồng Kông…)</w:t>
            </w:r>
          </w:p>
        </w:tc>
        <w:tc>
          <w:tcPr>
            <w:tcW w:w="900" w:type="dxa"/>
          </w:tcPr>
          <w:p>
            <w:pPr>
              <w:pStyle w:val="TableParagraph"/>
              <w:spacing w:before="2"/>
              <w:ind w:left="6"/>
              <w:jc w:val="center"/>
              <w:rPr>
                <w:sz w:val="26"/>
              </w:rPr>
            </w:pPr>
            <w:r>
              <w:rPr>
                <w:w w:val="99"/>
                <w:sz w:val="26"/>
              </w:rPr>
              <w:t>1</w:t>
            </w:r>
          </w:p>
        </w:tc>
        <w:tc>
          <w:tcPr>
            <w:tcW w:w="811" w:type="dxa"/>
          </w:tcPr>
          <w:p>
            <w:pPr>
              <w:pStyle w:val="TableParagraph"/>
              <w:spacing w:before="2"/>
              <w:ind w:left="4"/>
              <w:jc w:val="center"/>
              <w:rPr>
                <w:sz w:val="26"/>
              </w:rPr>
            </w:pPr>
            <w:r>
              <w:rPr>
                <w:w w:val="99"/>
                <w:sz w:val="26"/>
              </w:rPr>
              <w:t>2</w:t>
            </w:r>
          </w:p>
        </w:tc>
        <w:tc>
          <w:tcPr>
            <w:tcW w:w="720" w:type="dxa"/>
          </w:tcPr>
          <w:p>
            <w:pPr>
              <w:pStyle w:val="TableParagraph"/>
              <w:spacing w:before="2"/>
              <w:ind w:left="5"/>
              <w:jc w:val="center"/>
              <w:rPr>
                <w:sz w:val="26"/>
              </w:rPr>
            </w:pPr>
            <w:r>
              <w:rPr>
                <w:w w:val="99"/>
                <w:sz w:val="26"/>
              </w:rPr>
              <w:t>3</w:t>
            </w:r>
          </w:p>
        </w:tc>
        <w:tc>
          <w:tcPr>
            <w:tcW w:w="808" w:type="dxa"/>
          </w:tcPr>
          <w:p>
            <w:pPr>
              <w:pStyle w:val="TableParagraph"/>
              <w:spacing w:before="2"/>
              <w:ind w:left="4"/>
              <w:jc w:val="center"/>
              <w:rPr>
                <w:sz w:val="26"/>
              </w:rPr>
            </w:pPr>
            <w:r>
              <w:rPr>
                <w:w w:val="99"/>
                <w:sz w:val="26"/>
              </w:rPr>
              <w:t>4</w:t>
            </w:r>
          </w:p>
        </w:tc>
        <w:tc>
          <w:tcPr>
            <w:tcW w:w="810" w:type="dxa"/>
          </w:tcPr>
          <w:p>
            <w:pPr>
              <w:pStyle w:val="TableParagraph"/>
              <w:spacing w:before="2"/>
              <w:ind w:left="8"/>
              <w:jc w:val="center"/>
              <w:rPr>
                <w:sz w:val="26"/>
              </w:rPr>
            </w:pPr>
            <w:r>
              <w:rPr>
                <w:w w:val="99"/>
                <w:sz w:val="26"/>
              </w:rPr>
              <w:t>5</w:t>
            </w:r>
          </w:p>
        </w:tc>
      </w:tr>
      <w:tr>
        <w:trPr>
          <w:trHeight w:val="448" w:hRule="atLeast"/>
        </w:trPr>
        <w:tc>
          <w:tcPr>
            <w:tcW w:w="632" w:type="dxa"/>
          </w:tcPr>
          <w:p>
            <w:pPr>
              <w:pStyle w:val="TableParagraph"/>
              <w:spacing w:before="2"/>
              <w:ind w:left="135" w:right="129"/>
              <w:jc w:val="center"/>
              <w:rPr>
                <w:sz w:val="26"/>
              </w:rPr>
            </w:pPr>
            <w:r>
              <w:rPr>
                <w:sz w:val="26"/>
              </w:rPr>
              <w:t>15</w:t>
            </w:r>
          </w:p>
        </w:tc>
        <w:tc>
          <w:tcPr>
            <w:tcW w:w="5941" w:type="dxa"/>
          </w:tcPr>
          <w:p>
            <w:pPr>
              <w:pStyle w:val="TableParagraph"/>
              <w:spacing w:before="2"/>
              <w:ind w:left="107"/>
              <w:rPr>
                <w:sz w:val="26"/>
              </w:rPr>
            </w:pPr>
            <w:r>
              <w:rPr>
                <w:sz w:val="26"/>
              </w:rPr>
              <w:t>Cảng gần các khu công nghiệp. khu chế xuất</w:t>
            </w:r>
          </w:p>
        </w:tc>
        <w:tc>
          <w:tcPr>
            <w:tcW w:w="900" w:type="dxa"/>
          </w:tcPr>
          <w:p>
            <w:pPr>
              <w:pStyle w:val="TableParagraph"/>
              <w:spacing w:before="2"/>
              <w:ind w:left="6"/>
              <w:jc w:val="center"/>
              <w:rPr>
                <w:sz w:val="26"/>
              </w:rPr>
            </w:pPr>
            <w:r>
              <w:rPr>
                <w:w w:val="99"/>
                <w:sz w:val="26"/>
              </w:rPr>
              <w:t>1</w:t>
            </w:r>
          </w:p>
        </w:tc>
        <w:tc>
          <w:tcPr>
            <w:tcW w:w="811" w:type="dxa"/>
          </w:tcPr>
          <w:p>
            <w:pPr>
              <w:pStyle w:val="TableParagraph"/>
              <w:spacing w:before="2"/>
              <w:ind w:left="4"/>
              <w:jc w:val="center"/>
              <w:rPr>
                <w:sz w:val="26"/>
              </w:rPr>
            </w:pPr>
            <w:r>
              <w:rPr>
                <w:w w:val="99"/>
                <w:sz w:val="26"/>
              </w:rPr>
              <w:t>2</w:t>
            </w:r>
          </w:p>
        </w:tc>
        <w:tc>
          <w:tcPr>
            <w:tcW w:w="720" w:type="dxa"/>
          </w:tcPr>
          <w:p>
            <w:pPr>
              <w:pStyle w:val="TableParagraph"/>
              <w:spacing w:before="2"/>
              <w:ind w:left="5"/>
              <w:jc w:val="center"/>
              <w:rPr>
                <w:sz w:val="26"/>
              </w:rPr>
            </w:pPr>
            <w:r>
              <w:rPr>
                <w:w w:val="99"/>
                <w:sz w:val="26"/>
              </w:rPr>
              <w:t>3</w:t>
            </w:r>
          </w:p>
        </w:tc>
        <w:tc>
          <w:tcPr>
            <w:tcW w:w="808" w:type="dxa"/>
          </w:tcPr>
          <w:p>
            <w:pPr>
              <w:pStyle w:val="TableParagraph"/>
              <w:spacing w:before="2"/>
              <w:ind w:left="4"/>
              <w:jc w:val="center"/>
              <w:rPr>
                <w:sz w:val="26"/>
              </w:rPr>
            </w:pPr>
            <w:r>
              <w:rPr>
                <w:w w:val="99"/>
                <w:sz w:val="26"/>
              </w:rPr>
              <w:t>4</w:t>
            </w:r>
          </w:p>
        </w:tc>
        <w:tc>
          <w:tcPr>
            <w:tcW w:w="810" w:type="dxa"/>
          </w:tcPr>
          <w:p>
            <w:pPr>
              <w:pStyle w:val="TableParagraph"/>
              <w:spacing w:before="2"/>
              <w:ind w:left="8"/>
              <w:jc w:val="center"/>
              <w:rPr>
                <w:sz w:val="26"/>
              </w:rPr>
            </w:pPr>
            <w:r>
              <w:rPr>
                <w:w w:val="99"/>
                <w:sz w:val="26"/>
              </w:rPr>
              <w:t>5</w:t>
            </w:r>
          </w:p>
        </w:tc>
      </w:tr>
      <w:tr>
        <w:trPr>
          <w:trHeight w:val="448" w:hRule="atLeast"/>
        </w:trPr>
        <w:tc>
          <w:tcPr>
            <w:tcW w:w="632" w:type="dxa"/>
          </w:tcPr>
          <w:p>
            <w:pPr>
              <w:pStyle w:val="TableParagraph"/>
              <w:spacing w:before="2"/>
              <w:ind w:left="135" w:right="129"/>
              <w:jc w:val="center"/>
              <w:rPr>
                <w:sz w:val="26"/>
              </w:rPr>
            </w:pPr>
            <w:r>
              <w:rPr>
                <w:sz w:val="26"/>
              </w:rPr>
              <w:t>16</w:t>
            </w:r>
          </w:p>
        </w:tc>
        <w:tc>
          <w:tcPr>
            <w:tcW w:w="5941" w:type="dxa"/>
          </w:tcPr>
          <w:p>
            <w:pPr>
              <w:pStyle w:val="TableParagraph"/>
              <w:spacing w:before="2"/>
              <w:ind w:left="107"/>
              <w:rPr>
                <w:sz w:val="26"/>
              </w:rPr>
            </w:pPr>
            <w:r>
              <w:rPr>
                <w:sz w:val="26"/>
              </w:rPr>
              <w:t>Cảng gần các trung tâm thương mại</w:t>
            </w:r>
          </w:p>
        </w:tc>
        <w:tc>
          <w:tcPr>
            <w:tcW w:w="900" w:type="dxa"/>
          </w:tcPr>
          <w:p>
            <w:pPr>
              <w:pStyle w:val="TableParagraph"/>
              <w:spacing w:before="2"/>
              <w:ind w:left="6"/>
              <w:jc w:val="center"/>
              <w:rPr>
                <w:sz w:val="26"/>
              </w:rPr>
            </w:pPr>
            <w:r>
              <w:rPr>
                <w:w w:val="99"/>
                <w:sz w:val="26"/>
              </w:rPr>
              <w:t>1</w:t>
            </w:r>
          </w:p>
        </w:tc>
        <w:tc>
          <w:tcPr>
            <w:tcW w:w="811" w:type="dxa"/>
          </w:tcPr>
          <w:p>
            <w:pPr>
              <w:pStyle w:val="TableParagraph"/>
              <w:spacing w:before="2"/>
              <w:ind w:left="4"/>
              <w:jc w:val="center"/>
              <w:rPr>
                <w:sz w:val="26"/>
              </w:rPr>
            </w:pPr>
            <w:r>
              <w:rPr>
                <w:w w:val="99"/>
                <w:sz w:val="26"/>
              </w:rPr>
              <w:t>2</w:t>
            </w:r>
          </w:p>
        </w:tc>
        <w:tc>
          <w:tcPr>
            <w:tcW w:w="720" w:type="dxa"/>
          </w:tcPr>
          <w:p>
            <w:pPr>
              <w:pStyle w:val="TableParagraph"/>
              <w:spacing w:before="2"/>
              <w:ind w:left="5"/>
              <w:jc w:val="center"/>
              <w:rPr>
                <w:sz w:val="26"/>
              </w:rPr>
            </w:pPr>
            <w:r>
              <w:rPr>
                <w:w w:val="99"/>
                <w:sz w:val="26"/>
              </w:rPr>
              <w:t>3</w:t>
            </w:r>
          </w:p>
        </w:tc>
        <w:tc>
          <w:tcPr>
            <w:tcW w:w="808" w:type="dxa"/>
          </w:tcPr>
          <w:p>
            <w:pPr>
              <w:pStyle w:val="TableParagraph"/>
              <w:spacing w:before="2"/>
              <w:ind w:left="4"/>
              <w:jc w:val="center"/>
              <w:rPr>
                <w:sz w:val="26"/>
              </w:rPr>
            </w:pPr>
            <w:r>
              <w:rPr>
                <w:w w:val="99"/>
                <w:sz w:val="26"/>
              </w:rPr>
              <w:t>4</w:t>
            </w:r>
          </w:p>
        </w:tc>
        <w:tc>
          <w:tcPr>
            <w:tcW w:w="810" w:type="dxa"/>
          </w:tcPr>
          <w:p>
            <w:pPr>
              <w:pStyle w:val="TableParagraph"/>
              <w:spacing w:before="2"/>
              <w:ind w:left="8"/>
              <w:jc w:val="center"/>
              <w:rPr>
                <w:sz w:val="26"/>
              </w:rPr>
            </w:pPr>
            <w:r>
              <w:rPr>
                <w:w w:val="99"/>
                <w:sz w:val="26"/>
              </w:rPr>
              <w:t>5</w:t>
            </w:r>
          </w:p>
        </w:tc>
      </w:tr>
      <w:tr>
        <w:trPr>
          <w:trHeight w:val="448" w:hRule="atLeast"/>
        </w:trPr>
        <w:tc>
          <w:tcPr>
            <w:tcW w:w="10622" w:type="dxa"/>
            <w:gridSpan w:val="7"/>
          </w:tcPr>
          <w:p>
            <w:pPr>
              <w:pStyle w:val="TableParagraph"/>
              <w:spacing w:before="2"/>
              <w:ind w:left="107"/>
              <w:rPr>
                <w:b/>
                <w:sz w:val="26"/>
              </w:rPr>
            </w:pPr>
            <w:r>
              <w:rPr>
                <w:b/>
                <w:sz w:val="26"/>
              </w:rPr>
              <w:t>Khả năng kết nối nội địa của cảng container</w:t>
            </w:r>
          </w:p>
        </w:tc>
      </w:tr>
      <w:tr>
        <w:trPr>
          <w:trHeight w:val="448" w:hRule="atLeast"/>
        </w:trPr>
        <w:tc>
          <w:tcPr>
            <w:tcW w:w="632" w:type="dxa"/>
          </w:tcPr>
          <w:p>
            <w:pPr>
              <w:pStyle w:val="TableParagraph"/>
              <w:spacing w:before="2"/>
              <w:ind w:left="135" w:right="129"/>
              <w:jc w:val="center"/>
              <w:rPr>
                <w:sz w:val="26"/>
              </w:rPr>
            </w:pPr>
            <w:r>
              <w:rPr>
                <w:sz w:val="26"/>
              </w:rPr>
              <w:t>17</w:t>
            </w:r>
          </w:p>
        </w:tc>
        <w:tc>
          <w:tcPr>
            <w:tcW w:w="5941" w:type="dxa"/>
          </w:tcPr>
          <w:p>
            <w:pPr>
              <w:pStyle w:val="TableParagraph"/>
              <w:spacing w:before="2"/>
              <w:ind w:left="107"/>
              <w:rPr>
                <w:sz w:val="26"/>
              </w:rPr>
            </w:pPr>
            <w:r>
              <w:rPr>
                <w:sz w:val="26"/>
              </w:rPr>
              <w:t>Có nhiều tuyến đường sông đến cảng</w:t>
            </w:r>
          </w:p>
        </w:tc>
        <w:tc>
          <w:tcPr>
            <w:tcW w:w="900" w:type="dxa"/>
          </w:tcPr>
          <w:p>
            <w:pPr>
              <w:pStyle w:val="TableParagraph"/>
              <w:spacing w:before="2"/>
              <w:ind w:left="6"/>
              <w:jc w:val="center"/>
              <w:rPr>
                <w:sz w:val="26"/>
              </w:rPr>
            </w:pPr>
            <w:r>
              <w:rPr>
                <w:w w:val="99"/>
                <w:sz w:val="26"/>
              </w:rPr>
              <w:t>1</w:t>
            </w:r>
          </w:p>
        </w:tc>
        <w:tc>
          <w:tcPr>
            <w:tcW w:w="811" w:type="dxa"/>
          </w:tcPr>
          <w:p>
            <w:pPr>
              <w:pStyle w:val="TableParagraph"/>
              <w:spacing w:before="2"/>
              <w:ind w:left="4"/>
              <w:jc w:val="center"/>
              <w:rPr>
                <w:sz w:val="26"/>
              </w:rPr>
            </w:pPr>
            <w:r>
              <w:rPr>
                <w:w w:val="99"/>
                <w:sz w:val="26"/>
              </w:rPr>
              <w:t>2</w:t>
            </w:r>
          </w:p>
        </w:tc>
        <w:tc>
          <w:tcPr>
            <w:tcW w:w="720" w:type="dxa"/>
          </w:tcPr>
          <w:p>
            <w:pPr>
              <w:pStyle w:val="TableParagraph"/>
              <w:spacing w:before="2"/>
              <w:ind w:left="5"/>
              <w:jc w:val="center"/>
              <w:rPr>
                <w:sz w:val="26"/>
              </w:rPr>
            </w:pPr>
            <w:r>
              <w:rPr>
                <w:w w:val="99"/>
                <w:sz w:val="26"/>
              </w:rPr>
              <w:t>3</w:t>
            </w:r>
          </w:p>
        </w:tc>
        <w:tc>
          <w:tcPr>
            <w:tcW w:w="808" w:type="dxa"/>
          </w:tcPr>
          <w:p>
            <w:pPr>
              <w:pStyle w:val="TableParagraph"/>
              <w:spacing w:before="2"/>
              <w:ind w:left="4"/>
              <w:jc w:val="center"/>
              <w:rPr>
                <w:sz w:val="26"/>
              </w:rPr>
            </w:pPr>
            <w:r>
              <w:rPr>
                <w:w w:val="99"/>
                <w:sz w:val="26"/>
              </w:rPr>
              <w:t>4</w:t>
            </w:r>
          </w:p>
        </w:tc>
        <w:tc>
          <w:tcPr>
            <w:tcW w:w="810" w:type="dxa"/>
          </w:tcPr>
          <w:p>
            <w:pPr>
              <w:pStyle w:val="TableParagraph"/>
              <w:spacing w:before="2"/>
              <w:ind w:left="8"/>
              <w:jc w:val="center"/>
              <w:rPr>
                <w:sz w:val="26"/>
              </w:rPr>
            </w:pPr>
            <w:r>
              <w:rPr>
                <w:w w:val="99"/>
                <w:sz w:val="26"/>
              </w:rPr>
              <w:t>5</w:t>
            </w:r>
          </w:p>
        </w:tc>
      </w:tr>
      <w:tr>
        <w:trPr>
          <w:trHeight w:val="448" w:hRule="atLeast"/>
        </w:trPr>
        <w:tc>
          <w:tcPr>
            <w:tcW w:w="632" w:type="dxa"/>
          </w:tcPr>
          <w:p>
            <w:pPr>
              <w:pStyle w:val="TableParagraph"/>
              <w:spacing w:before="2"/>
              <w:ind w:left="135" w:right="129"/>
              <w:jc w:val="center"/>
              <w:rPr>
                <w:sz w:val="26"/>
              </w:rPr>
            </w:pPr>
            <w:r>
              <w:rPr>
                <w:sz w:val="26"/>
              </w:rPr>
              <w:t>18</w:t>
            </w:r>
          </w:p>
        </w:tc>
        <w:tc>
          <w:tcPr>
            <w:tcW w:w="5941" w:type="dxa"/>
          </w:tcPr>
          <w:p>
            <w:pPr>
              <w:pStyle w:val="TableParagraph"/>
              <w:spacing w:before="2"/>
              <w:ind w:left="107"/>
              <w:rPr>
                <w:sz w:val="26"/>
              </w:rPr>
            </w:pPr>
            <w:r>
              <w:rPr>
                <w:sz w:val="26"/>
              </w:rPr>
              <w:t>Có nhiều tuyến đường bộ đến cảng</w:t>
            </w:r>
          </w:p>
        </w:tc>
        <w:tc>
          <w:tcPr>
            <w:tcW w:w="900" w:type="dxa"/>
          </w:tcPr>
          <w:p>
            <w:pPr>
              <w:pStyle w:val="TableParagraph"/>
              <w:spacing w:before="2"/>
              <w:ind w:left="6"/>
              <w:jc w:val="center"/>
              <w:rPr>
                <w:sz w:val="26"/>
              </w:rPr>
            </w:pPr>
            <w:r>
              <w:rPr>
                <w:w w:val="99"/>
                <w:sz w:val="26"/>
              </w:rPr>
              <w:t>1</w:t>
            </w:r>
          </w:p>
        </w:tc>
        <w:tc>
          <w:tcPr>
            <w:tcW w:w="811" w:type="dxa"/>
          </w:tcPr>
          <w:p>
            <w:pPr>
              <w:pStyle w:val="TableParagraph"/>
              <w:spacing w:before="2"/>
              <w:ind w:left="4"/>
              <w:jc w:val="center"/>
              <w:rPr>
                <w:sz w:val="26"/>
              </w:rPr>
            </w:pPr>
            <w:r>
              <w:rPr>
                <w:w w:val="99"/>
                <w:sz w:val="26"/>
              </w:rPr>
              <w:t>2</w:t>
            </w:r>
          </w:p>
        </w:tc>
        <w:tc>
          <w:tcPr>
            <w:tcW w:w="720" w:type="dxa"/>
          </w:tcPr>
          <w:p>
            <w:pPr>
              <w:pStyle w:val="TableParagraph"/>
              <w:spacing w:before="2"/>
              <w:ind w:left="5"/>
              <w:jc w:val="center"/>
              <w:rPr>
                <w:sz w:val="26"/>
              </w:rPr>
            </w:pPr>
            <w:r>
              <w:rPr>
                <w:w w:val="99"/>
                <w:sz w:val="26"/>
              </w:rPr>
              <w:t>3</w:t>
            </w:r>
          </w:p>
        </w:tc>
        <w:tc>
          <w:tcPr>
            <w:tcW w:w="808" w:type="dxa"/>
          </w:tcPr>
          <w:p>
            <w:pPr>
              <w:pStyle w:val="TableParagraph"/>
              <w:spacing w:before="2"/>
              <w:ind w:left="4"/>
              <w:jc w:val="center"/>
              <w:rPr>
                <w:sz w:val="26"/>
              </w:rPr>
            </w:pPr>
            <w:r>
              <w:rPr>
                <w:w w:val="99"/>
                <w:sz w:val="26"/>
              </w:rPr>
              <w:t>4</w:t>
            </w:r>
          </w:p>
        </w:tc>
        <w:tc>
          <w:tcPr>
            <w:tcW w:w="810" w:type="dxa"/>
          </w:tcPr>
          <w:p>
            <w:pPr>
              <w:pStyle w:val="TableParagraph"/>
              <w:spacing w:before="2"/>
              <w:ind w:left="8"/>
              <w:jc w:val="center"/>
              <w:rPr>
                <w:sz w:val="26"/>
              </w:rPr>
            </w:pPr>
            <w:r>
              <w:rPr>
                <w:w w:val="99"/>
                <w:sz w:val="26"/>
              </w:rPr>
              <w:t>5</w:t>
            </w:r>
          </w:p>
        </w:tc>
      </w:tr>
      <w:tr>
        <w:trPr>
          <w:trHeight w:val="897" w:hRule="atLeast"/>
        </w:trPr>
        <w:tc>
          <w:tcPr>
            <w:tcW w:w="632" w:type="dxa"/>
          </w:tcPr>
          <w:p>
            <w:pPr>
              <w:pStyle w:val="TableParagraph"/>
              <w:spacing w:before="228"/>
              <w:ind w:left="135" w:right="129"/>
              <w:jc w:val="center"/>
              <w:rPr>
                <w:sz w:val="26"/>
              </w:rPr>
            </w:pPr>
            <w:r>
              <w:rPr>
                <w:sz w:val="26"/>
              </w:rPr>
              <w:t>19</w:t>
            </w:r>
          </w:p>
        </w:tc>
        <w:tc>
          <w:tcPr>
            <w:tcW w:w="5941" w:type="dxa"/>
          </w:tcPr>
          <w:p>
            <w:pPr>
              <w:pStyle w:val="TableParagraph"/>
              <w:spacing w:before="2"/>
              <w:ind w:left="107"/>
              <w:rPr>
                <w:sz w:val="26"/>
              </w:rPr>
            </w:pPr>
            <w:r>
              <w:rPr>
                <w:sz w:val="26"/>
              </w:rPr>
              <w:t>Khả năng kết nối của cảng với các mạng lưới</w:t>
            </w:r>
          </w:p>
          <w:p>
            <w:pPr>
              <w:pStyle w:val="TableParagraph"/>
              <w:spacing w:before="150"/>
              <w:ind w:left="107"/>
              <w:rPr>
                <w:sz w:val="26"/>
              </w:rPr>
            </w:pPr>
            <w:r>
              <w:rPr>
                <w:sz w:val="26"/>
              </w:rPr>
              <w:t>Logistics nội địa cao</w:t>
            </w:r>
          </w:p>
        </w:tc>
        <w:tc>
          <w:tcPr>
            <w:tcW w:w="900" w:type="dxa"/>
          </w:tcPr>
          <w:p>
            <w:pPr>
              <w:pStyle w:val="TableParagraph"/>
              <w:spacing w:before="2"/>
              <w:ind w:left="6"/>
              <w:jc w:val="center"/>
              <w:rPr>
                <w:sz w:val="26"/>
              </w:rPr>
            </w:pPr>
            <w:r>
              <w:rPr>
                <w:w w:val="99"/>
                <w:sz w:val="26"/>
              </w:rPr>
              <w:t>1</w:t>
            </w:r>
          </w:p>
        </w:tc>
        <w:tc>
          <w:tcPr>
            <w:tcW w:w="811" w:type="dxa"/>
          </w:tcPr>
          <w:p>
            <w:pPr>
              <w:pStyle w:val="TableParagraph"/>
              <w:spacing w:before="2"/>
              <w:ind w:left="4"/>
              <w:jc w:val="center"/>
              <w:rPr>
                <w:sz w:val="26"/>
              </w:rPr>
            </w:pPr>
            <w:r>
              <w:rPr>
                <w:w w:val="99"/>
                <w:sz w:val="26"/>
              </w:rPr>
              <w:t>2</w:t>
            </w:r>
          </w:p>
        </w:tc>
        <w:tc>
          <w:tcPr>
            <w:tcW w:w="720" w:type="dxa"/>
          </w:tcPr>
          <w:p>
            <w:pPr>
              <w:pStyle w:val="TableParagraph"/>
              <w:spacing w:before="2"/>
              <w:ind w:left="5"/>
              <w:jc w:val="center"/>
              <w:rPr>
                <w:sz w:val="26"/>
              </w:rPr>
            </w:pPr>
            <w:r>
              <w:rPr>
                <w:w w:val="99"/>
                <w:sz w:val="26"/>
              </w:rPr>
              <w:t>3</w:t>
            </w:r>
          </w:p>
        </w:tc>
        <w:tc>
          <w:tcPr>
            <w:tcW w:w="808" w:type="dxa"/>
          </w:tcPr>
          <w:p>
            <w:pPr>
              <w:pStyle w:val="TableParagraph"/>
              <w:spacing w:before="2"/>
              <w:ind w:left="4"/>
              <w:jc w:val="center"/>
              <w:rPr>
                <w:sz w:val="26"/>
              </w:rPr>
            </w:pPr>
            <w:r>
              <w:rPr>
                <w:w w:val="99"/>
                <w:sz w:val="26"/>
              </w:rPr>
              <w:t>4</w:t>
            </w:r>
          </w:p>
        </w:tc>
        <w:tc>
          <w:tcPr>
            <w:tcW w:w="810" w:type="dxa"/>
          </w:tcPr>
          <w:p>
            <w:pPr>
              <w:pStyle w:val="TableParagraph"/>
              <w:spacing w:before="2"/>
              <w:ind w:left="8"/>
              <w:jc w:val="center"/>
              <w:rPr>
                <w:sz w:val="26"/>
              </w:rPr>
            </w:pPr>
            <w:r>
              <w:rPr>
                <w:w w:val="99"/>
                <w:sz w:val="26"/>
              </w:rPr>
              <w:t>5</w:t>
            </w:r>
          </w:p>
        </w:tc>
      </w:tr>
      <w:tr>
        <w:trPr>
          <w:trHeight w:val="897" w:hRule="atLeast"/>
        </w:trPr>
        <w:tc>
          <w:tcPr>
            <w:tcW w:w="632" w:type="dxa"/>
          </w:tcPr>
          <w:p>
            <w:pPr>
              <w:pStyle w:val="TableParagraph"/>
              <w:spacing w:before="227"/>
              <w:ind w:left="135" w:right="129"/>
              <w:jc w:val="center"/>
              <w:rPr>
                <w:sz w:val="26"/>
              </w:rPr>
            </w:pPr>
            <w:r>
              <w:rPr>
                <w:sz w:val="26"/>
              </w:rPr>
              <w:t>20</w:t>
            </w:r>
          </w:p>
        </w:tc>
        <w:tc>
          <w:tcPr>
            <w:tcW w:w="5941" w:type="dxa"/>
          </w:tcPr>
          <w:p>
            <w:pPr>
              <w:pStyle w:val="TableParagraph"/>
              <w:spacing w:before="2"/>
              <w:ind w:left="107"/>
              <w:rPr>
                <w:sz w:val="26"/>
              </w:rPr>
            </w:pPr>
            <w:r>
              <w:rPr>
                <w:sz w:val="26"/>
              </w:rPr>
              <w:t>Lợi thế vận tải của các công ty Logistics trong khu</w:t>
            </w:r>
          </w:p>
          <w:p>
            <w:pPr>
              <w:pStyle w:val="TableParagraph"/>
              <w:spacing w:before="149"/>
              <w:ind w:left="107"/>
              <w:rPr>
                <w:sz w:val="26"/>
              </w:rPr>
            </w:pPr>
            <w:r>
              <w:rPr>
                <w:sz w:val="26"/>
              </w:rPr>
              <w:t>vực lớn</w:t>
            </w:r>
          </w:p>
        </w:tc>
        <w:tc>
          <w:tcPr>
            <w:tcW w:w="900" w:type="dxa"/>
          </w:tcPr>
          <w:p>
            <w:pPr>
              <w:pStyle w:val="TableParagraph"/>
              <w:spacing w:before="2"/>
              <w:ind w:left="6"/>
              <w:jc w:val="center"/>
              <w:rPr>
                <w:sz w:val="26"/>
              </w:rPr>
            </w:pPr>
            <w:r>
              <w:rPr>
                <w:w w:val="99"/>
                <w:sz w:val="26"/>
              </w:rPr>
              <w:t>1</w:t>
            </w:r>
          </w:p>
        </w:tc>
        <w:tc>
          <w:tcPr>
            <w:tcW w:w="811" w:type="dxa"/>
          </w:tcPr>
          <w:p>
            <w:pPr>
              <w:pStyle w:val="TableParagraph"/>
              <w:spacing w:before="2"/>
              <w:ind w:left="4"/>
              <w:jc w:val="center"/>
              <w:rPr>
                <w:sz w:val="26"/>
              </w:rPr>
            </w:pPr>
            <w:r>
              <w:rPr>
                <w:w w:val="99"/>
                <w:sz w:val="26"/>
              </w:rPr>
              <w:t>2</w:t>
            </w:r>
          </w:p>
        </w:tc>
        <w:tc>
          <w:tcPr>
            <w:tcW w:w="720" w:type="dxa"/>
          </w:tcPr>
          <w:p>
            <w:pPr>
              <w:pStyle w:val="TableParagraph"/>
              <w:spacing w:before="2"/>
              <w:ind w:left="5"/>
              <w:jc w:val="center"/>
              <w:rPr>
                <w:sz w:val="26"/>
              </w:rPr>
            </w:pPr>
            <w:r>
              <w:rPr>
                <w:w w:val="99"/>
                <w:sz w:val="26"/>
              </w:rPr>
              <w:t>3</w:t>
            </w:r>
          </w:p>
        </w:tc>
        <w:tc>
          <w:tcPr>
            <w:tcW w:w="808" w:type="dxa"/>
          </w:tcPr>
          <w:p>
            <w:pPr>
              <w:pStyle w:val="TableParagraph"/>
              <w:spacing w:before="2"/>
              <w:ind w:left="4"/>
              <w:jc w:val="center"/>
              <w:rPr>
                <w:sz w:val="26"/>
              </w:rPr>
            </w:pPr>
            <w:r>
              <w:rPr>
                <w:w w:val="99"/>
                <w:sz w:val="26"/>
              </w:rPr>
              <w:t>4</w:t>
            </w:r>
          </w:p>
        </w:tc>
        <w:tc>
          <w:tcPr>
            <w:tcW w:w="810" w:type="dxa"/>
          </w:tcPr>
          <w:p>
            <w:pPr>
              <w:pStyle w:val="TableParagraph"/>
              <w:spacing w:before="2"/>
              <w:ind w:left="8"/>
              <w:jc w:val="center"/>
              <w:rPr>
                <w:sz w:val="26"/>
              </w:rPr>
            </w:pPr>
            <w:r>
              <w:rPr>
                <w:w w:val="99"/>
                <w:sz w:val="26"/>
              </w:rPr>
              <w:t>5</w:t>
            </w:r>
          </w:p>
        </w:tc>
      </w:tr>
      <w:tr>
        <w:trPr>
          <w:trHeight w:val="897" w:hRule="atLeast"/>
        </w:trPr>
        <w:tc>
          <w:tcPr>
            <w:tcW w:w="632" w:type="dxa"/>
          </w:tcPr>
          <w:p>
            <w:pPr>
              <w:pStyle w:val="TableParagraph"/>
              <w:spacing w:before="227"/>
              <w:ind w:left="135" w:right="129"/>
              <w:jc w:val="center"/>
              <w:rPr>
                <w:sz w:val="26"/>
              </w:rPr>
            </w:pPr>
            <w:r>
              <w:rPr>
                <w:sz w:val="26"/>
              </w:rPr>
              <w:t>21</w:t>
            </w:r>
          </w:p>
        </w:tc>
        <w:tc>
          <w:tcPr>
            <w:tcW w:w="5941" w:type="dxa"/>
          </w:tcPr>
          <w:p>
            <w:pPr>
              <w:pStyle w:val="TableParagraph"/>
              <w:spacing w:before="2"/>
              <w:ind w:left="107"/>
              <w:rPr>
                <w:sz w:val="26"/>
              </w:rPr>
            </w:pPr>
            <w:r>
              <w:rPr>
                <w:sz w:val="26"/>
              </w:rPr>
              <w:t>Khả năng kết nối mạng lưới đường sông và đường bộ</w:t>
            </w:r>
          </w:p>
          <w:p>
            <w:pPr>
              <w:pStyle w:val="TableParagraph"/>
              <w:spacing w:before="149"/>
              <w:ind w:left="107"/>
              <w:rPr>
                <w:sz w:val="26"/>
              </w:rPr>
            </w:pPr>
            <w:r>
              <w:rPr>
                <w:sz w:val="26"/>
              </w:rPr>
              <w:t>vào các bãi container lớn</w:t>
            </w:r>
          </w:p>
        </w:tc>
        <w:tc>
          <w:tcPr>
            <w:tcW w:w="900" w:type="dxa"/>
          </w:tcPr>
          <w:p>
            <w:pPr>
              <w:pStyle w:val="TableParagraph"/>
              <w:spacing w:before="2"/>
              <w:ind w:left="6"/>
              <w:jc w:val="center"/>
              <w:rPr>
                <w:sz w:val="26"/>
              </w:rPr>
            </w:pPr>
            <w:r>
              <w:rPr>
                <w:w w:val="99"/>
                <w:sz w:val="26"/>
              </w:rPr>
              <w:t>1</w:t>
            </w:r>
          </w:p>
        </w:tc>
        <w:tc>
          <w:tcPr>
            <w:tcW w:w="811" w:type="dxa"/>
          </w:tcPr>
          <w:p>
            <w:pPr>
              <w:pStyle w:val="TableParagraph"/>
              <w:spacing w:before="2"/>
              <w:ind w:left="4"/>
              <w:jc w:val="center"/>
              <w:rPr>
                <w:sz w:val="26"/>
              </w:rPr>
            </w:pPr>
            <w:r>
              <w:rPr>
                <w:w w:val="99"/>
                <w:sz w:val="26"/>
              </w:rPr>
              <w:t>2</w:t>
            </w:r>
          </w:p>
        </w:tc>
        <w:tc>
          <w:tcPr>
            <w:tcW w:w="720" w:type="dxa"/>
          </w:tcPr>
          <w:p>
            <w:pPr>
              <w:pStyle w:val="TableParagraph"/>
              <w:spacing w:before="2"/>
              <w:ind w:left="5"/>
              <w:jc w:val="center"/>
              <w:rPr>
                <w:sz w:val="26"/>
              </w:rPr>
            </w:pPr>
            <w:r>
              <w:rPr>
                <w:w w:val="99"/>
                <w:sz w:val="26"/>
              </w:rPr>
              <w:t>3</w:t>
            </w:r>
          </w:p>
        </w:tc>
        <w:tc>
          <w:tcPr>
            <w:tcW w:w="808" w:type="dxa"/>
          </w:tcPr>
          <w:p>
            <w:pPr>
              <w:pStyle w:val="TableParagraph"/>
              <w:spacing w:before="2"/>
              <w:ind w:left="4"/>
              <w:jc w:val="center"/>
              <w:rPr>
                <w:sz w:val="26"/>
              </w:rPr>
            </w:pPr>
            <w:r>
              <w:rPr>
                <w:w w:val="99"/>
                <w:sz w:val="26"/>
              </w:rPr>
              <w:t>4</w:t>
            </w:r>
          </w:p>
        </w:tc>
        <w:tc>
          <w:tcPr>
            <w:tcW w:w="810" w:type="dxa"/>
          </w:tcPr>
          <w:p>
            <w:pPr>
              <w:pStyle w:val="TableParagraph"/>
              <w:spacing w:before="2"/>
              <w:ind w:left="8"/>
              <w:jc w:val="center"/>
              <w:rPr>
                <w:sz w:val="26"/>
              </w:rPr>
            </w:pPr>
            <w:r>
              <w:rPr>
                <w:w w:val="99"/>
                <w:sz w:val="26"/>
              </w:rPr>
              <w:t>5</w:t>
            </w:r>
          </w:p>
        </w:tc>
      </w:tr>
      <w:tr>
        <w:trPr>
          <w:trHeight w:val="448" w:hRule="atLeast"/>
        </w:trPr>
        <w:tc>
          <w:tcPr>
            <w:tcW w:w="10622" w:type="dxa"/>
            <w:gridSpan w:val="7"/>
          </w:tcPr>
          <w:p>
            <w:pPr>
              <w:pStyle w:val="TableParagraph"/>
              <w:spacing w:before="2"/>
              <w:ind w:left="107"/>
              <w:rPr>
                <w:b/>
                <w:sz w:val="26"/>
              </w:rPr>
            </w:pPr>
            <w:r>
              <w:rPr>
                <w:b/>
                <w:sz w:val="26"/>
              </w:rPr>
              <w:t>Độ tin cậy của cảng container</w:t>
            </w:r>
          </w:p>
        </w:tc>
      </w:tr>
    </w:tbl>
    <w:p>
      <w:pPr>
        <w:spacing w:after="0"/>
        <w:rPr>
          <w:sz w:val="26"/>
        </w:rPr>
        <w:sectPr>
          <w:pgSz w:w="11910" w:h="16850"/>
          <w:pgMar w:header="751" w:footer="0" w:top="960" w:bottom="280" w:left="820" w:right="240"/>
        </w:sectPr>
      </w:pPr>
    </w:p>
    <w:p>
      <w:pPr>
        <w:pStyle w:val="BodyText"/>
        <w:spacing w:before="9"/>
        <w:rPr>
          <w:sz w:val="23"/>
        </w:rPr>
      </w:pPr>
    </w:p>
    <w:tbl>
      <w:tblPr>
        <w:tblW w:w="0" w:type="auto"/>
        <w:jc w:val="left"/>
        <w:tblInd w:w="1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632"/>
        <w:gridCol w:w="5941"/>
        <w:gridCol w:w="900"/>
        <w:gridCol w:w="811"/>
        <w:gridCol w:w="720"/>
        <w:gridCol w:w="808"/>
        <w:gridCol w:w="810"/>
      </w:tblGrid>
      <w:tr>
        <w:trPr>
          <w:trHeight w:val="448" w:hRule="atLeast"/>
        </w:trPr>
        <w:tc>
          <w:tcPr>
            <w:tcW w:w="632" w:type="dxa"/>
          </w:tcPr>
          <w:p>
            <w:pPr>
              <w:pStyle w:val="TableParagraph"/>
              <w:spacing w:before="2"/>
              <w:ind w:left="135" w:right="129"/>
              <w:jc w:val="center"/>
              <w:rPr>
                <w:sz w:val="26"/>
              </w:rPr>
            </w:pPr>
            <w:r>
              <w:rPr>
                <w:sz w:val="26"/>
              </w:rPr>
              <w:t>22</w:t>
            </w:r>
          </w:p>
        </w:tc>
        <w:tc>
          <w:tcPr>
            <w:tcW w:w="5941" w:type="dxa"/>
          </w:tcPr>
          <w:p>
            <w:pPr>
              <w:pStyle w:val="TableParagraph"/>
              <w:spacing w:before="2"/>
              <w:ind w:left="107"/>
              <w:rPr>
                <w:sz w:val="26"/>
              </w:rPr>
            </w:pPr>
            <w:r>
              <w:rPr>
                <w:sz w:val="26"/>
              </w:rPr>
              <w:t>Khả năng đáp ứng nhanh của cảng</w:t>
            </w:r>
          </w:p>
        </w:tc>
        <w:tc>
          <w:tcPr>
            <w:tcW w:w="900" w:type="dxa"/>
          </w:tcPr>
          <w:p>
            <w:pPr>
              <w:pStyle w:val="TableParagraph"/>
              <w:spacing w:before="2"/>
              <w:ind w:left="6"/>
              <w:jc w:val="center"/>
              <w:rPr>
                <w:sz w:val="26"/>
              </w:rPr>
            </w:pPr>
            <w:r>
              <w:rPr>
                <w:w w:val="99"/>
                <w:sz w:val="26"/>
              </w:rPr>
              <w:t>1</w:t>
            </w:r>
          </w:p>
        </w:tc>
        <w:tc>
          <w:tcPr>
            <w:tcW w:w="811" w:type="dxa"/>
          </w:tcPr>
          <w:p>
            <w:pPr>
              <w:pStyle w:val="TableParagraph"/>
              <w:spacing w:before="2"/>
              <w:ind w:left="4"/>
              <w:jc w:val="center"/>
              <w:rPr>
                <w:sz w:val="26"/>
              </w:rPr>
            </w:pPr>
            <w:r>
              <w:rPr>
                <w:w w:val="99"/>
                <w:sz w:val="26"/>
              </w:rPr>
              <w:t>2</w:t>
            </w:r>
          </w:p>
        </w:tc>
        <w:tc>
          <w:tcPr>
            <w:tcW w:w="720" w:type="dxa"/>
          </w:tcPr>
          <w:p>
            <w:pPr>
              <w:pStyle w:val="TableParagraph"/>
              <w:spacing w:before="2"/>
              <w:ind w:left="5"/>
              <w:jc w:val="center"/>
              <w:rPr>
                <w:sz w:val="26"/>
              </w:rPr>
            </w:pPr>
            <w:r>
              <w:rPr>
                <w:w w:val="99"/>
                <w:sz w:val="26"/>
              </w:rPr>
              <w:t>3</w:t>
            </w:r>
          </w:p>
        </w:tc>
        <w:tc>
          <w:tcPr>
            <w:tcW w:w="808" w:type="dxa"/>
          </w:tcPr>
          <w:p>
            <w:pPr>
              <w:pStyle w:val="TableParagraph"/>
              <w:spacing w:before="2"/>
              <w:ind w:left="4"/>
              <w:jc w:val="center"/>
              <w:rPr>
                <w:sz w:val="26"/>
              </w:rPr>
            </w:pPr>
            <w:r>
              <w:rPr>
                <w:w w:val="99"/>
                <w:sz w:val="26"/>
              </w:rPr>
              <w:t>4</w:t>
            </w:r>
          </w:p>
        </w:tc>
        <w:tc>
          <w:tcPr>
            <w:tcW w:w="810" w:type="dxa"/>
          </w:tcPr>
          <w:p>
            <w:pPr>
              <w:pStyle w:val="TableParagraph"/>
              <w:spacing w:before="2"/>
              <w:ind w:left="8"/>
              <w:jc w:val="center"/>
              <w:rPr>
                <w:sz w:val="26"/>
              </w:rPr>
            </w:pPr>
            <w:r>
              <w:rPr>
                <w:w w:val="99"/>
                <w:sz w:val="26"/>
              </w:rPr>
              <w:t>5</w:t>
            </w:r>
          </w:p>
        </w:tc>
      </w:tr>
      <w:tr>
        <w:trPr>
          <w:trHeight w:val="448" w:hRule="atLeast"/>
        </w:trPr>
        <w:tc>
          <w:tcPr>
            <w:tcW w:w="632" w:type="dxa"/>
          </w:tcPr>
          <w:p>
            <w:pPr>
              <w:pStyle w:val="TableParagraph"/>
              <w:spacing w:before="2"/>
              <w:ind w:left="135" w:right="129"/>
              <w:jc w:val="center"/>
              <w:rPr>
                <w:sz w:val="26"/>
              </w:rPr>
            </w:pPr>
            <w:r>
              <w:rPr>
                <w:sz w:val="26"/>
              </w:rPr>
              <w:t>23</w:t>
            </w:r>
          </w:p>
        </w:tc>
        <w:tc>
          <w:tcPr>
            <w:tcW w:w="5941" w:type="dxa"/>
          </w:tcPr>
          <w:p>
            <w:pPr>
              <w:pStyle w:val="TableParagraph"/>
              <w:spacing w:before="2"/>
              <w:ind w:left="107"/>
              <w:rPr>
                <w:sz w:val="26"/>
              </w:rPr>
            </w:pPr>
            <w:r>
              <w:rPr>
                <w:sz w:val="26"/>
              </w:rPr>
              <w:t>Uy tín cảng về thiệt hại hàng hóa</w:t>
            </w:r>
          </w:p>
        </w:tc>
        <w:tc>
          <w:tcPr>
            <w:tcW w:w="900" w:type="dxa"/>
          </w:tcPr>
          <w:p>
            <w:pPr>
              <w:pStyle w:val="TableParagraph"/>
              <w:spacing w:before="2"/>
              <w:ind w:left="6"/>
              <w:jc w:val="center"/>
              <w:rPr>
                <w:sz w:val="26"/>
              </w:rPr>
            </w:pPr>
            <w:r>
              <w:rPr>
                <w:w w:val="99"/>
                <w:sz w:val="26"/>
              </w:rPr>
              <w:t>1</w:t>
            </w:r>
          </w:p>
        </w:tc>
        <w:tc>
          <w:tcPr>
            <w:tcW w:w="811" w:type="dxa"/>
          </w:tcPr>
          <w:p>
            <w:pPr>
              <w:pStyle w:val="TableParagraph"/>
              <w:spacing w:before="2"/>
              <w:ind w:left="4"/>
              <w:jc w:val="center"/>
              <w:rPr>
                <w:sz w:val="26"/>
              </w:rPr>
            </w:pPr>
            <w:r>
              <w:rPr>
                <w:w w:val="99"/>
                <w:sz w:val="26"/>
              </w:rPr>
              <w:t>2</w:t>
            </w:r>
          </w:p>
        </w:tc>
        <w:tc>
          <w:tcPr>
            <w:tcW w:w="720" w:type="dxa"/>
          </w:tcPr>
          <w:p>
            <w:pPr>
              <w:pStyle w:val="TableParagraph"/>
              <w:spacing w:before="2"/>
              <w:ind w:left="5"/>
              <w:jc w:val="center"/>
              <w:rPr>
                <w:sz w:val="26"/>
              </w:rPr>
            </w:pPr>
            <w:r>
              <w:rPr>
                <w:w w:val="99"/>
                <w:sz w:val="26"/>
              </w:rPr>
              <w:t>3</w:t>
            </w:r>
          </w:p>
        </w:tc>
        <w:tc>
          <w:tcPr>
            <w:tcW w:w="808" w:type="dxa"/>
          </w:tcPr>
          <w:p>
            <w:pPr>
              <w:pStyle w:val="TableParagraph"/>
              <w:spacing w:before="2"/>
              <w:ind w:left="4"/>
              <w:jc w:val="center"/>
              <w:rPr>
                <w:sz w:val="26"/>
              </w:rPr>
            </w:pPr>
            <w:r>
              <w:rPr>
                <w:w w:val="99"/>
                <w:sz w:val="26"/>
              </w:rPr>
              <w:t>4</w:t>
            </w:r>
          </w:p>
        </w:tc>
        <w:tc>
          <w:tcPr>
            <w:tcW w:w="810" w:type="dxa"/>
          </w:tcPr>
          <w:p>
            <w:pPr>
              <w:pStyle w:val="TableParagraph"/>
              <w:spacing w:before="2"/>
              <w:ind w:left="8"/>
              <w:jc w:val="center"/>
              <w:rPr>
                <w:sz w:val="26"/>
              </w:rPr>
            </w:pPr>
            <w:r>
              <w:rPr>
                <w:w w:val="99"/>
                <w:sz w:val="26"/>
              </w:rPr>
              <w:t>5</w:t>
            </w:r>
          </w:p>
        </w:tc>
      </w:tr>
      <w:tr>
        <w:trPr>
          <w:trHeight w:val="448" w:hRule="atLeast"/>
        </w:trPr>
        <w:tc>
          <w:tcPr>
            <w:tcW w:w="632" w:type="dxa"/>
          </w:tcPr>
          <w:p>
            <w:pPr>
              <w:pStyle w:val="TableParagraph"/>
              <w:spacing w:before="2"/>
              <w:ind w:left="135" w:right="129"/>
              <w:jc w:val="center"/>
              <w:rPr>
                <w:sz w:val="26"/>
              </w:rPr>
            </w:pPr>
            <w:r>
              <w:rPr>
                <w:sz w:val="26"/>
              </w:rPr>
              <w:t>24</w:t>
            </w:r>
          </w:p>
        </w:tc>
        <w:tc>
          <w:tcPr>
            <w:tcW w:w="5941" w:type="dxa"/>
          </w:tcPr>
          <w:p>
            <w:pPr>
              <w:pStyle w:val="TableParagraph"/>
              <w:spacing w:before="2"/>
              <w:ind w:left="107"/>
              <w:rPr>
                <w:sz w:val="26"/>
              </w:rPr>
            </w:pPr>
            <w:r>
              <w:rPr>
                <w:sz w:val="26"/>
              </w:rPr>
              <w:t>Hệ thống quản lý tốt</w:t>
            </w:r>
          </w:p>
        </w:tc>
        <w:tc>
          <w:tcPr>
            <w:tcW w:w="900" w:type="dxa"/>
          </w:tcPr>
          <w:p>
            <w:pPr>
              <w:pStyle w:val="TableParagraph"/>
              <w:spacing w:before="2"/>
              <w:ind w:left="6"/>
              <w:jc w:val="center"/>
              <w:rPr>
                <w:sz w:val="26"/>
              </w:rPr>
            </w:pPr>
            <w:r>
              <w:rPr>
                <w:w w:val="99"/>
                <w:sz w:val="26"/>
              </w:rPr>
              <w:t>1</w:t>
            </w:r>
          </w:p>
        </w:tc>
        <w:tc>
          <w:tcPr>
            <w:tcW w:w="811" w:type="dxa"/>
          </w:tcPr>
          <w:p>
            <w:pPr>
              <w:pStyle w:val="TableParagraph"/>
              <w:spacing w:before="2"/>
              <w:ind w:left="4"/>
              <w:jc w:val="center"/>
              <w:rPr>
                <w:sz w:val="26"/>
              </w:rPr>
            </w:pPr>
            <w:r>
              <w:rPr>
                <w:w w:val="99"/>
                <w:sz w:val="26"/>
              </w:rPr>
              <w:t>2</w:t>
            </w:r>
          </w:p>
        </w:tc>
        <w:tc>
          <w:tcPr>
            <w:tcW w:w="720" w:type="dxa"/>
          </w:tcPr>
          <w:p>
            <w:pPr>
              <w:pStyle w:val="TableParagraph"/>
              <w:spacing w:before="2"/>
              <w:ind w:left="5"/>
              <w:jc w:val="center"/>
              <w:rPr>
                <w:sz w:val="26"/>
              </w:rPr>
            </w:pPr>
            <w:r>
              <w:rPr>
                <w:w w:val="99"/>
                <w:sz w:val="26"/>
              </w:rPr>
              <w:t>3</w:t>
            </w:r>
          </w:p>
        </w:tc>
        <w:tc>
          <w:tcPr>
            <w:tcW w:w="808" w:type="dxa"/>
          </w:tcPr>
          <w:p>
            <w:pPr>
              <w:pStyle w:val="TableParagraph"/>
              <w:spacing w:before="2"/>
              <w:ind w:left="4"/>
              <w:jc w:val="center"/>
              <w:rPr>
                <w:sz w:val="26"/>
              </w:rPr>
            </w:pPr>
            <w:r>
              <w:rPr>
                <w:w w:val="99"/>
                <w:sz w:val="26"/>
              </w:rPr>
              <w:t>4</w:t>
            </w:r>
          </w:p>
        </w:tc>
        <w:tc>
          <w:tcPr>
            <w:tcW w:w="810" w:type="dxa"/>
          </w:tcPr>
          <w:p>
            <w:pPr>
              <w:pStyle w:val="TableParagraph"/>
              <w:spacing w:before="2"/>
              <w:ind w:left="8"/>
              <w:jc w:val="center"/>
              <w:rPr>
                <w:sz w:val="26"/>
              </w:rPr>
            </w:pPr>
            <w:r>
              <w:rPr>
                <w:w w:val="99"/>
                <w:sz w:val="26"/>
              </w:rPr>
              <w:t>5</w:t>
            </w:r>
          </w:p>
        </w:tc>
      </w:tr>
      <w:tr>
        <w:trPr>
          <w:trHeight w:val="448" w:hRule="atLeast"/>
        </w:trPr>
        <w:tc>
          <w:tcPr>
            <w:tcW w:w="632" w:type="dxa"/>
          </w:tcPr>
          <w:p>
            <w:pPr>
              <w:pStyle w:val="TableParagraph"/>
              <w:spacing w:before="2"/>
              <w:ind w:left="135" w:right="129"/>
              <w:jc w:val="center"/>
              <w:rPr>
                <w:sz w:val="26"/>
              </w:rPr>
            </w:pPr>
            <w:r>
              <w:rPr>
                <w:sz w:val="26"/>
              </w:rPr>
              <w:t>25</w:t>
            </w:r>
          </w:p>
        </w:tc>
        <w:tc>
          <w:tcPr>
            <w:tcW w:w="5941" w:type="dxa"/>
          </w:tcPr>
          <w:p>
            <w:pPr>
              <w:pStyle w:val="TableParagraph"/>
              <w:spacing w:before="2"/>
              <w:ind w:left="107"/>
              <w:rPr>
                <w:sz w:val="26"/>
              </w:rPr>
            </w:pPr>
            <w:r>
              <w:rPr>
                <w:sz w:val="26"/>
              </w:rPr>
              <w:t>Hệ thống thông tin nhanh chóng, kịp thời</w:t>
            </w:r>
          </w:p>
        </w:tc>
        <w:tc>
          <w:tcPr>
            <w:tcW w:w="900" w:type="dxa"/>
          </w:tcPr>
          <w:p>
            <w:pPr>
              <w:pStyle w:val="TableParagraph"/>
              <w:spacing w:before="2"/>
              <w:ind w:left="6"/>
              <w:jc w:val="center"/>
              <w:rPr>
                <w:sz w:val="26"/>
              </w:rPr>
            </w:pPr>
            <w:r>
              <w:rPr>
                <w:w w:val="99"/>
                <w:sz w:val="26"/>
              </w:rPr>
              <w:t>1</w:t>
            </w:r>
          </w:p>
        </w:tc>
        <w:tc>
          <w:tcPr>
            <w:tcW w:w="811" w:type="dxa"/>
          </w:tcPr>
          <w:p>
            <w:pPr>
              <w:pStyle w:val="TableParagraph"/>
              <w:spacing w:before="2"/>
              <w:ind w:left="4"/>
              <w:jc w:val="center"/>
              <w:rPr>
                <w:sz w:val="26"/>
              </w:rPr>
            </w:pPr>
            <w:r>
              <w:rPr>
                <w:w w:val="99"/>
                <w:sz w:val="26"/>
              </w:rPr>
              <w:t>2</w:t>
            </w:r>
          </w:p>
        </w:tc>
        <w:tc>
          <w:tcPr>
            <w:tcW w:w="720" w:type="dxa"/>
          </w:tcPr>
          <w:p>
            <w:pPr>
              <w:pStyle w:val="TableParagraph"/>
              <w:spacing w:before="2"/>
              <w:ind w:left="5"/>
              <w:jc w:val="center"/>
              <w:rPr>
                <w:sz w:val="26"/>
              </w:rPr>
            </w:pPr>
            <w:r>
              <w:rPr>
                <w:w w:val="99"/>
                <w:sz w:val="26"/>
              </w:rPr>
              <w:t>3</w:t>
            </w:r>
          </w:p>
        </w:tc>
        <w:tc>
          <w:tcPr>
            <w:tcW w:w="808" w:type="dxa"/>
          </w:tcPr>
          <w:p>
            <w:pPr>
              <w:pStyle w:val="TableParagraph"/>
              <w:spacing w:before="2"/>
              <w:ind w:left="4"/>
              <w:jc w:val="center"/>
              <w:rPr>
                <w:sz w:val="26"/>
              </w:rPr>
            </w:pPr>
            <w:r>
              <w:rPr>
                <w:w w:val="99"/>
                <w:sz w:val="26"/>
              </w:rPr>
              <w:t>4</w:t>
            </w:r>
          </w:p>
        </w:tc>
        <w:tc>
          <w:tcPr>
            <w:tcW w:w="810" w:type="dxa"/>
          </w:tcPr>
          <w:p>
            <w:pPr>
              <w:pStyle w:val="TableParagraph"/>
              <w:spacing w:before="2"/>
              <w:ind w:left="8"/>
              <w:jc w:val="center"/>
              <w:rPr>
                <w:sz w:val="26"/>
              </w:rPr>
            </w:pPr>
            <w:r>
              <w:rPr>
                <w:w w:val="99"/>
                <w:sz w:val="26"/>
              </w:rPr>
              <w:t>5</w:t>
            </w:r>
          </w:p>
        </w:tc>
      </w:tr>
      <w:tr>
        <w:trPr>
          <w:trHeight w:val="448" w:hRule="atLeast"/>
        </w:trPr>
        <w:tc>
          <w:tcPr>
            <w:tcW w:w="632" w:type="dxa"/>
          </w:tcPr>
          <w:p>
            <w:pPr>
              <w:pStyle w:val="TableParagraph"/>
              <w:spacing w:before="2"/>
              <w:ind w:left="135" w:right="129"/>
              <w:jc w:val="center"/>
              <w:rPr>
                <w:sz w:val="26"/>
              </w:rPr>
            </w:pPr>
            <w:r>
              <w:rPr>
                <w:sz w:val="26"/>
              </w:rPr>
              <w:t>26</w:t>
            </w:r>
          </w:p>
        </w:tc>
        <w:tc>
          <w:tcPr>
            <w:tcW w:w="5941" w:type="dxa"/>
          </w:tcPr>
          <w:p>
            <w:pPr>
              <w:pStyle w:val="TableParagraph"/>
              <w:spacing w:before="2"/>
              <w:ind w:left="107"/>
              <w:rPr>
                <w:sz w:val="26"/>
              </w:rPr>
            </w:pPr>
            <w:r>
              <w:rPr>
                <w:sz w:val="26"/>
              </w:rPr>
              <w:t>Chiến lược và chính sách cảng</w:t>
            </w:r>
          </w:p>
        </w:tc>
        <w:tc>
          <w:tcPr>
            <w:tcW w:w="900" w:type="dxa"/>
          </w:tcPr>
          <w:p>
            <w:pPr>
              <w:pStyle w:val="TableParagraph"/>
              <w:spacing w:before="2"/>
              <w:ind w:left="6"/>
              <w:jc w:val="center"/>
              <w:rPr>
                <w:sz w:val="26"/>
              </w:rPr>
            </w:pPr>
            <w:r>
              <w:rPr>
                <w:w w:val="99"/>
                <w:sz w:val="26"/>
              </w:rPr>
              <w:t>1</w:t>
            </w:r>
          </w:p>
        </w:tc>
        <w:tc>
          <w:tcPr>
            <w:tcW w:w="811" w:type="dxa"/>
          </w:tcPr>
          <w:p>
            <w:pPr>
              <w:pStyle w:val="TableParagraph"/>
              <w:spacing w:before="2"/>
              <w:ind w:left="4"/>
              <w:jc w:val="center"/>
              <w:rPr>
                <w:sz w:val="26"/>
              </w:rPr>
            </w:pPr>
            <w:r>
              <w:rPr>
                <w:w w:val="99"/>
                <w:sz w:val="26"/>
              </w:rPr>
              <w:t>2</w:t>
            </w:r>
          </w:p>
        </w:tc>
        <w:tc>
          <w:tcPr>
            <w:tcW w:w="720" w:type="dxa"/>
          </w:tcPr>
          <w:p>
            <w:pPr>
              <w:pStyle w:val="TableParagraph"/>
              <w:spacing w:before="2"/>
              <w:ind w:left="5"/>
              <w:jc w:val="center"/>
              <w:rPr>
                <w:sz w:val="26"/>
              </w:rPr>
            </w:pPr>
            <w:r>
              <w:rPr>
                <w:w w:val="99"/>
                <w:sz w:val="26"/>
              </w:rPr>
              <w:t>3</w:t>
            </w:r>
          </w:p>
        </w:tc>
        <w:tc>
          <w:tcPr>
            <w:tcW w:w="808" w:type="dxa"/>
          </w:tcPr>
          <w:p>
            <w:pPr>
              <w:pStyle w:val="TableParagraph"/>
              <w:spacing w:before="2"/>
              <w:ind w:left="4"/>
              <w:jc w:val="center"/>
              <w:rPr>
                <w:sz w:val="26"/>
              </w:rPr>
            </w:pPr>
            <w:r>
              <w:rPr>
                <w:w w:val="99"/>
                <w:sz w:val="26"/>
              </w:rPr>
              <w:t>4</w:t>
            </w:r>
          </w:p>
        </w:tc>
        <w:tc>
          <w:tcPr>
            <w:tcW w:w="810" w:type="dxa"/>
          </w:tcPr>
          <w:p>
            <w:pPr>
              <w:pStyle w:val="TableParagraph"/>
              <w:spacing w:before="2"/>
              <w:ind w:left="8"/>
              <w:jc w:val="center"/>
              <w:rPr>
                <w:sz w:val="26"/>
              </w:rPr>
            </w:pPr>
            <w:r>
              <w:rPr>
                <w:w w:val="99"/>
                <w:sz w:val="26"/>
              </w:rPr>
              <w:t>5</w:t>
            </w:r>
          </w:p>
        </w:tc>
      </w:tr>
      <w:tr>
        <w:trPr>
          <w:trHeight w:val="448" w:hRule="atLeast"/>
        </w:trPr>
        <w:tc>
          <w:tcPr>
            <w:tcW w:w="10622" w:type="dxa"/>
            <w:gridSpan w:val="7"/>
          </w:tcPr>
          <w:p>
            <w:pPr>
              <w:pStyle w:val="TableParagraph"/>
              <w:spacing w:before="4"/>
              <w:ind w:left="107"/>
              <w:rPr>
                <w:b/>
                <w:sz w:val="26"/>
              </w:rPr>
            </w:pPr>
            <w:r>
              <w:rPr>
                <w:b/>
                <w:sz w:val="26"/>
              </w:rPr>
              <w:t>Chi phí dịch vụ Logistics của cảng container</w:t>
            </w:r>
          </w:p>
        </w:tc>
      </w:tr>
      <w:tr>
        <w:trPr>
          <w:trHeight w:val="541" w:hRule="atLeast"/>
        </w:trPr>
        <w:tc>
          <w:tcPr>
            <w:tcW w:w="632" w:type="dxa"/>
          </w:tcPr>
          <w:p>
            <w:pPr>
              <w:pStyle w:val="TableParagraph"/>
              <w:spacing w:before="50"/>
              <w:ind w:left="135" w:right="129"/>
              <w:jc w:val="center"/>
              <w:rPr>
                <w:sz w:val="26"/>
              </w:rPr>
            </w:pPr>
            <w:r>
              <w:rPr>
                <w:sz w:val="26"/>
              </w:rPr>
              <w:t>27</w:t>
            </w:r>
          </w:p>
        </w:tc>
        <w:tc>
          <w:tcPr>
            <w:tcW w:w="5941" w:type="dxa"/>
          </w:tcPr>
          <w:p>
            <w:pPr>
              <w:pStyle w:val="TableParagraph"/>
              <w:spacing w:before="63"/>
              <w:ind w:left="107"/>
              <w:rPr>
                <w:sz w:val="24"/>
              </w:rPr>
            </w:pPr>
            <w:r>
              <w:rPr>
                <w:sz w:val="24"/>
              </w:rPr>
              <w:t>Chi phí cảng phù hợp với chất lượng dịch vụ</w:t>
            </w:r>
          </w:p>
        </w:tc>
        <w:tc>
          <w:tcPr>
            <w:tcW w:w="900" w:type="dxa"/>
          </w:tcPr>
          <w:p>
            <w:pPr>
              <w:pStyle w:val="TableParagraph"/>
              <w:spacing w:before="4"/>
              <w:ind w:left="6"/>
              <w:jc w:val="center"/>
              <w:rPr>
                <w:sz w:val="26"/>
              </w:rPr>
            </w:pPr>
            <w:r>
              <w:rPr>
                <w:w w:val="99"/>
                <w:sz w:val="26"/>
              </w:rPr>
              <w:t>1</w:t>
            </w:r>
          </w:p>
        </w:tc>
        <w:tc>
          <w:tcPr>
            <w:tcW w:w="811" w:type="dxa"/>
          </w:tcPr>
          <w:p>
            <w:pPr>
              <w:pStyle w:val="TableParagraph"/>
              <w:spacing w:before="4"/>
              <w:ind w:left="4"/>
              <w:jc w:val="center"/>
              <w:rPr>
                <w:sz w:val="26"/>
              </w:rPr>
            </w:pPr>
            <w:r>
              <w:rPr>
                <w:w w:val="99"/>
                <w:sz w:val="26"/>
              </w:rPr>
              <w:t>2</w:t>
            </w:r>
          </w:p>
        </w:tc>
        <w:tc>
          <w:tcPr>
            <w:tcW w:w="720" w:type="dxa"/>
          </w:tcPr>
          <w:p>
            <w:pPr>
              <w:pStyle w:val="TableParagraph"/>
              <w:spacing w:before="4"/>
              <w:ind w:left="5"/>
              <w:jc w:val="center"/>
              <w:rPr>
                <w:sz w:val="26"/>
              </w:rPr>
            </w:pPr>
            <w:r>
              <w:rPr>
                <w:w w:val="99"/>
                <w:sz w:val="26"/>
              </w:rPr>
              <w:t>3</w:t>
            </w:r>
          </w:p>
        </w:tc>
        <w:tc>
          <w:tcPr>
            <w:tcW w:w="808" w:type="dxa"/>
          </w:tcPr>
          <w:p>
            <w:pPr>
              <w:pStyle w:val="TableParagraph"/>
              <w:spacing w:before="4"/>
              <w:ind w:left="4"/>
              <w:jc w:val="center"/>
              <w:rPr>
                <w:sz w:val="26"/>
              </w:rPr>
            </w:pPr>
            <w:r>
              <w:rPr>
                <w:w w:val="99"/>
                <w:sz w:val="26"/>
              </w:rPr>
              <w:t>4</w:t>
            </w:r>
          </w:p>
        </w:tc>
        <w:tc>
          <w:tcPr>
            <w:tcW w:w="810" w:type="dxa"/>
          </w:tcPr>
          <w:p>
            <w:pPr>
              <w:pStyle w:val="TableParagraph"/>
              <w:spacing w:before="4"/>
              <w:ind w:left="8"/>
              <w:jc w:val="center"/>
              <w:rPr>
                <w:sz w:val="26"/>
              </w:rPr>
            </w:pPr>
            <w:r>
              <w:rPr>
                <w:w w:val="99"/>
                <w:sz w:val="26"/>
              </w:rPr>
              <w:t>5</w:t>
            </w:r>
          </w:p>
        </w:tc>
      </w:tr>
      <w:tr>
        <w:trPr>
          <w:trHeight w:val="448" w:hRule="atLeast"/>
        </w:trPr>
        <w:tc>
          <w:tcPr>
            <w:tcW w:w="632" w:type="dxa"/>
          </w:tcPr>
          <w:p>
            <w:pPr>
              <w:pStyle w:val="TableParagraph"/>
              <w:spacing w:before="2"/>
              <w:ind w:left="135" w:right="129"/>
              <w:jc w:val="center"/>
              <w:rPr>
                <w:sz w:val="26"/>
              </w:rPr>
            </w:pPr>
            <w:r>
              <w:rPr>
                <w:sz w:val="26"/>
              </w:rPr>
              <w:t>28</w:t>
            </w:r>
          </w:p>
        </w:tc>
        <w:tc>
          <w:tcPr>
            <w:tcW w:w="5941" w:type="dxa"/>
          </w:tcPr>
          <w:p>
            <w:pPr>
              <w:pStyle w:val="TableParagraph"/>
              <w:spacing w:before="15"/>
              <w:ind w:left="107"/>
              <w:rPr>
                <w:sz w:val="24"/>
              </w:rPr>
            </w:pPr>
            <w:r>
              <w:rPr>
                <w:sz w:val="24"/>
              </w:rPr>
              <w:t>Chi phí cảng ổn định</w:t>
            </w:r>
          </w:p>
        </w:tc>
        <w:tc>
          <w:tcPr>
            <w:tcW w:w="900" w:type="dxa"/>
          </w:tcPr>
          <w:p>
            <w:pPr>
              <w:pStyle w:val="TableParagraph"/>
              <w:spacing w:before="2"/>
              <w:ind w:left="6"/>
              <w:jc w:val="center"/>
              <w:rPr>
                <w:sz w:val="26"/>
              </w:rPr>
            </w:pPr>
            <w:r>
              <w:rPr>
                <w:w w:val="99"/>
                <w:sz w:val="26"/>
              </w:rPr>
              <w:t>1</w:t>
            </w:r>
          </w:p>
        </w:tc>
        <w:tc>
          <w:tcPr>
            <w:tcW w:w="811" w:type="dxa"/>
          </w:tcPr>
          <w:p>
            <w:pPr>
              <w:pStyle w:val="TableParagraph"/>
              <w:spacing w:before="2"/>
              <w:ind w:left="4"/>
              <w:jc w:val="center"/>
              <w:rPr>
                <w:sz w:val="26"/>
              </w:rPr>
            </w:pPr>
            <w:r>
              <w:rPr>
                <w:w w:val="99"/>
                <w:sz w:val="26"/>
              </w:rPr>
              <w:t>2</w:t>
            </w:r>
          </w:p>
        </w:tc>
        <w:tc>
          <w:tcPr>
            <w:tcW w:w="720" w:type="dxa"/>
          </w:tcPr>
          <w:p>
            <w:pPr>
              <w:pStyle w:val="TableParagraph"/>
              <w:spacing w:before="2"/>
              <w:ind w:left="5"/>
              <w:jc w:val="center"/>
              <w:rPr>
                <w:sz w:val="26"/>
              </w:rPr>
            </w:pPr>
            <w:r>
              <w:rPr>
                <w:w w:val="99"/>
                <w:sz w:val="26"/>
              </w:rPr>
              <w:t>3</w:t>
            </w:r>
          </w:p>
        </w:tc>
        <w:tc>
          <w:tcPr>
            <w:tcW w:w="808" w:type="dxa"/>
          </w:tcPr>
          <w:p>
            <w:pPr>
              <w:pStyle w:val="TableParagraph"/>
              <w:spacing w:before="2"/>
              <w:ind w:left="4"/>
              <w:jc w:val="center"/>
              <w:rPr>
                <w:sz w:val="26"/>
              </w:rPr>
            </w:pPr>
            <w:r>
              <w:rPr>
                <w:w w:val="99"/>
                <w:sz w:val="26"/>
              </w:rPr>
              <w:t>4</w:t>
            </w:r>
          </w:p>
        </w:tc>
        <w:tc>
          <w:tcPr>
            <w:tcW w:w="810" w:type="dxa"/>
          </w:tcPr>
          <w:p>
            <w:pPr>
              <w:pStyle w:val="TableParagraph"/>
              <w:spacing w:before="2"/>
              <w:ind w:left="8"/>
              <w:jc w:val="center"/>
              <w:rPr>
                <w:sz w:val="26"/>
              </w:rPr>
            </w:pPr>
            <w:r>
              <w:rPr>
                <w:w w:val="99"/>
                <w:sz w:val="26"/>
              </w:rPr>
              <w:t>5</w:t>
            </w:r>
          </w:p>
        </w:tc>
      </w:tr>
      <w:tr>
        <w:trPr>
          <w:trHeight w:val="448" w:hRule="atLeast"/>
        </w:trPr>
        <w:tc>
          <w:tcPr>
            <w:tcW w:w="632" w:type="dxa"/>
          </w:tcPr>
          <w:p>
            <w:pPr>
              <w:pStyle w:val="TableParagraph"/>
              <w:spacing w:before="2"/>
              <w:ind w:left="135" w:right="129"/>
              <w:jc w:val="center"/>
              <w:rPr>
                <w:sz w:val="26"/>
              </w:rPr>
            </w:pPr>
            <w:r>
              <w:rPr>
                <w:sz w:val="26"/>
              </w:rPr>
              <w:t>29</w:t>
            </w:r>
          </w:p>
        </w:tc>
        <w:tc>
          <w:tcPr>
            <w:tcW w:w="5941" w:type="dxa"/>
          </w:tcPr>
          <w:p>
            <w:pPr>
              <w:pStyle w:val="TableParagraph"/>
              <w:spacing w:before="15"/>
              <w:ind w:left="107"/>
              <w:rPr>
                <w:sz w:val="24"/>
              </w:rPr>
            </w:pPr>
            <w:r>
              <w:rPr>
                <w:sz w:val="24"/>
              </w:rPr>
              <w:t>Cảng phí thấp</w:t>
            </w:r>
          </w:p>
        </w:tc>
        <w:tc>
          <w:tcPr>
            <w:tcW w:w="900" w:type="dxa"/>
          </w:tcPr>
          <w:p>
            <w:pPr>
              <w:pStyle w:val="TableParagraph"/>
              <w:spacing w:before="2"/>
              <w:ind w:left="6"/>
              <w:jc w:val="center"/>
              <w:rPr>
                <w:sz w:val="26"/>
              </w:rPr>
            </w:pPr>
            <w:r>
              <w:rPr>
                <w:w w:val="99"/>
                <w:sz w:val="26"/>
              </w:rPr>
              <w:t>1</w:t>
            </w:r>
          </w:p>
        </w:tc>
        <w:tc>
          <w:tcPr>
            <w:tcW w:w="811" w:type="dxa"/>
          </w:tcPr>
          <w:p>
            <w:pPr>
              <w:pStyle w:val="TableParagraph"/>
              <w:spacing w:before="2"/>
              <w:ind w:left="4"/>
              <w:jc w:val="center"/>
              <w:rPr>
                <w:sz w:val="26"/>
              </w:rPr>
            </w:pPr>
            <w:r>
              <w:rPr>
                <w:w w:val="99"/>
                <w:sz w:val="26"/>
              </w:rPr>
              <w:t>2</w:t>
            </w:r>
          </w:p>
        </w:tc>
        <w:tc>
          <w:tcPr>
            <w:tcW w:w="720" w:type="dxa"/>
          </w:tcPr>
          <w:p>
            <w:pPr>
              <w:pStyle w:val="TableParagraph"/>
              <w:spacing w:before="2"/>
              <w:ind w:left="5"/>
              <w:jc w:val="center"/>
              <w:rPr>
                <w:sz w:val="26"/>
              </w:rPr>
            </w:pPr>
            <w:r>
              <w:rPr>
                <w:w w:val="99"/>
                <w:sz w:val="26"/>
              </w:rPr>
              <w:t>3</w:t>
            </w:r>
          </w:p>
        </w:tc>
        <w:tc>
          <w:tcPr>
            <w:tcW w:w="808" w:type="dxa"/>
          </w:tcPr>
          <w:p>
            <w:pPr>
              <w:pStyle w:val="TableParagraph"/>
              <w:spacing w:before="2"/>
              <w:ind w:left="4"/>
              <w:jc w:val="center"/>
              <w:rPr>
                <w:sz w:val="26"/>
              </w:rPr>
            </w:pPr>
            <w:r>
              <w:rPr>
                <w:w w:val="99"/>
                <w:sz w:val="26"/>
              </w:rPr>
              <w:t>4</w:t>
            </w:r>
          </w:p>
        </w:tc>
        <w:tc>
          <w:tcPr>
            <w:tcW w:w="810" w:type="dxa"/>
          </w:tcPr>
          <w:p>
            <w:pPr>
              <w:pStyle w:val="TableParagraph"/>
              <w:spacing w:before="2"/>
              <w:ind w:left="8"/>
              <w:jc w:val="center"/>
              <w:rPr>
                <w:sz w:val="26"/>
              </w:rPr>
            </w:pPr>
            <w:r>
              <w:rPr>
                <w:w w:val="99"/>
                <w:sz w:val="26"/>
              </w:rPr>
              <w:t>5</w:t>
            </w:r>
          </w:p>
        </w:tc>
      </w:tr>
      <w:tr>
        <w:trPr>
          <w:trHeight w:val="448" w:hRule="atLeast"/>
        </w:trPr>
        <w:tc>
          <w:tcPr>
            <w:tcW w:w="632" w:type="dxa"/>
          </w:tcPr>
          <w:p>
            <w:pPr>
              <w:pStyle w:val="TableParagraph"/>
              <w:spacing w:before="2"/>
              <w:ind w:left="135" w:right="129"/>
              <w:jc w:val="center"/>
              <w:rPr>
                <w:sz w:val="26"/>
              </w:rPr>
            </w:pPr>
            <w:r>
              <w:rPr>
                <w:sz w:val="26"/>
              </w:rPr>
              <w:t>30</w:t>
            </w:r>
          </w:p>
        </w:tc>
        <w:tc>
          <w:tcPr>
            <w:tcW w:w="5941" w:type="dxa"/>
          </w:tcPr>
          <w:p>
            <w:pPr>
              <w:pStyle w:val="TableParagraph"/>
              <w:spacing w:before="15"/>
              <w:ind w:left="107"/>
              <w:rPr>
                <w:sz w:val="24"/>
              </w:rPr>
            </w:pPr>
            <w:r>
              <w:rPr>
                <w:sz w:val="24"/>
              </w:rPr>
              <w:t>Chi phí phụ trợ phù hợp</w:t>
            </w:r>
          </w:p>
        </w:tc>
        <w:tc>
          <w:tcPr>
            <w:tcW w:w="900" w:type="dxa"/>
          </w:tcPr>
          <w:p>
            <w:pPr>
              <w:pStyle w:val="TableParagraph"/>
              <w:spacing w:before="2"/>
              <w:ind w:left="6"/>
              <w:jc w:val="center"/>
              <w:rPr>
                <w:sz w:val="26"/>
              </w:rPr>
            </w:pPr>
            <w:r>
              <w:rPr>
                <w:w w:val="99"/>
                <w:sz w:val="26"/>
              </w:rPr>
              <w:t>1</w:t>
            </w:r>
          </w:p>
        </w:tc>
        <w:tc>
          <w:tcPr>
            <w:tcW w:w="811" w:type="dxa"/>
          </w:tcPr>
          <w:p>
            <w:pPr>
              <w:pStyle w:val="TableParagraph"/>
              <w:spacing w:before="2"/>
              <w:ind w:left="4"/>
              <w:jc w:val="center"/>
              <w:rPr>
                <w:sz w:val="26"/>
              </w:rPr>
            </w:pPr>
            <w:r>
              <w:rPr>
                <w:w w:val="99"/>
                <w:sz w:val="26"/>
              </w:rPr>
              <w:t>2</w:t>
            </w:r>
          </w:p>
        </w:tc>
        <w:tc>
          <w:tcPr>
            <w:tcW w:w="720" w:type="dxa"/>
          </w:tcPr>
          <w:p>
            <w:pPr>
              <w:pStyle w:val="TableParagraph"/>
              <w:spacing w:before="2"/>
              <w:ind w:left="5"/>
              <w:jc w:val="center"/>
              <w:rPr>
                <w:sz w:val="26"/>
              </w:rPr>
            </w:pPr>
            <w:r>
              <w:rPr>
                <w:w w:val="99"/>
                <w:sz w:val="26"/>
              </w:rPr>
              <w:t>3</w:t>
            </w:r>
          </w:p>
        </w:tc>
        <w:tc>
          <w:tcPr>
            <w:tcW w:w="808" w:type="dxa"/>
          </w:tcPr>
          <w:p>
            <w:pPr>
              <w:pStyle w:val="TableParagraph"/>
              <w:spacing w:before="2"/>
              <w:ind w:left="4"/>
              <w:jc w:val="center"/>
              <w:rPr>
                <w:sz w:val="26"/>
              </w:rPr>
            </w:pPr>
            <w:r>
              <w:rPr>
                <w:w w:val="99"/>
                <w:sz w:val="26"/>
              </w:rPr>
              <w:t>4</w:t>
            </w:r>
          </w:p>
        </w:tc>
        <w:tc>
          <w:tcPr>
            <w:tcW w:w="810" w:type="dxa"/>
          </w:tcPr>
          <w:p>
            <w:pPr>
              <w:pStyle w:val="TableParagraph"/>
              <w:spacing w:before="2"/>
              <w:ind w:left="8"/>
              <w:jc w:val="center"/>
              <w:rPr>
                <w:sz w:val="26"/>
              </w:rPr>
            </w:pPr>
            <w:r>
              <w:rPr>
                <w:w w:val="99"/>
                <w:sz w:val="26"/>
              </w:rPr>
              <w:t>5</w:t>
            </w:r>
          </w:p>
        </w:tc>
      </w:tr>
      <w:tr>
        <w:trPr>
          <w:trHeight w:val="448" w:hRule="atLeast"/>
        </w:trPr>
        <w:tc>
          <w:tcPr>
            <w:tcW w:w="632" w:type="dxa"/>
          </w:tcPr>
          <w:p>
            <w:pPr>
              <w:pStyle w:val="TableParagraph"/>
              <w:spacing w:before="2"/>
              <w:ind w:left="135" w:right="129"/>
              <w:jc w:val="center"/>
              <w:rPr>
                <w:sz w:val="26"/>
              </w:rPr>
            </w:pPr>
            <w:r>
              <w:rPr>
                <w:sz w:val="26"/>
              </w:rPr>
              <w:t>31</w:t>
            </w:r>
          </w:p>
        </w:tc>
        <w:tc>
          <w:tcPr>
            <w:tcW w:w="5941" w:type="dxa"/>
          </w:tcPr>
          <w:p>
            <w:pPr>
              <w:pStyle w:val="TableParagraph"/>
              <w:spacing w:before="15"/>
              <w:ind w:left="107"/>
              <w:rPr>
                <w:sz w:val="24"/>
              </w:rPr>
            </w:pPr>
            <w:r>
              <w:rPr>
                <w:sz w:val="24"/>
              </w:rPr>
              <w:t>Chi phí cảng luôn cạnh tranh.</w:t>
            </w:r>
          </w:p>
        </w:tc>
        <w:tc>
          <w:tcPr>
            <w:tcW w:w="900" w:type="dxa"/>
          </w:tcPr>
          <w:p>
            <w:pPr>
              <w:pStyle w:val="TableParagraph"/>
              <w:spacing w:before="2"/>
              <w:ind w:left="6"/>
              <w:jc w:val="center"/>
              <w:rPr>
                <w:sz w:val="26"/>
              </w:rPr>
            </w:pPr>
            <w:r>
              <w:rPr>
                <w:w w:val="99"/>
                <w:sz w:val="26"/>
              </w:rPr>
              <w:t>1</w:t>
            </w:r>
          </w:p>
        </w:tc>
        <w:tc>
          <w:tcPr>
            <w:tcW w:w="811" w:type="dxa"/>
          </w:tcPr>
          <w:p>
            <w:pPr>
              <w:pStyle w:val="TableParagraph"/>
              <w:spacing w:before="2"/>
              <w:ind w:left="4"/>
              <w:jc w:val="center"/>
              <w:rPr>
                <w:sz w:val="26"/>
              </w:rPr>
            </w:pPr>
            <w:r>
              <w:rPr>
                <w:w w:val="99"/>
                <w:sz w:val="26"/>
              </w:rPr>
              <w:t>2</w:t>
            </w:r>
          </w:p>
        </w:tc>
        <w:tc>
          <w:tcPr>
            <w:tcW w:w="720" w:type="dxa"/>
          </w:tcPr>
          <w:p>
            <w:pPr>
              <w:pStyle w:val="TableParagraph"/>
              <w:spacing w:before="2"/>
              <w:ind w:left="5"/>
              <w:jc w:val="center"/>
              <w:rPr>
                <w:sz w:val="26"/>
              </w:rPr>
            </w:pPr>
            <w:r>
              <w:rPr>
                <w:w w:val="99"/>
                <w:sz w:val="26"/>
              </w:rPr>
              <w:t>3</w:t>
            </w:r>
          </w:p>
        </w:tc>
        <w:tc>
          <w:tcPr>
            <w:tcW w:w="808" w:type="dxa"/>
          </w:tcPr>
          <w:p>
            <w:pPr>
              <w:pStyle w:val="TableParagraph"/>
              <w:spacing w:before="2"/>
              <w:ind w:left="4"/>
              <w:jc w:val="center"/>
              <w:rPr>
                <w:sz w:val="26"/>
              </w:rPr>
            </w:pPr>
            <w:r>
              <w:rPr>
                <w:w w:val="99"/>
                <w:sz w:val="26"/>
              </w:rPr>
              <w:t>4</w:t>
            </w:r>
          </w:p>
        </w:tc>
        <w:tc>
          <w:tcPr>
            <w:tcW w:w="810" w:type="dxa"/>
          </w:tcPr>
          <w:p>
            <w:pPr>
              <w:pStyle w:val="TableParagraph"/>
              <w:spacing w:before="2"/>
              <w:ind w:left="8"/>
              <w:jc w:val="center"/>
              <w:rPr>
                <w:sz w:val="26"/>
              </w:rPr>
            </w:pPr>
            <w:r>
              <w:rPr>
                <w:w w:val="99"/>
                <w:sz w:val="26"/>
              </w:rPr>
              <w:t>5</w:t>
            </w:r>
          </w:p>
        </w:tc>
      </w:tr>
      <w:tr>
        <w:trPr>
          <w:trHeight w:val="448" w:hRule="atLeast"/>
        </w:trPr>
        <w:tc>
          <w:tcPr>
            <w:tcW w:w="632" w:type="dxa"/>
          </w:tcPr>
          <w:p>
            <w:pPr>
              <w:pStyle w:val="TableParagraph"/>
              <w:spacing w:before="2"/>
              <w:ind w:left="135" w:right="129"/>
              <w:jc w:val="center"/>
              <w:rPr>
                <w:sz w:val="26"/>
              </w:rPr>
            </w:pPr>
            <w:r>
              <w:rPr>
                <w:sz w:val="26"/>
              </w:rPr>
              <w:t>32</w:t>
            </w:r>
          </w:p>
        </w:tc>
        <w:tc>
          <w:tcPr>
            <w:tcW w:w="5941" w:type="dxa"/>
          </w:tcPr>
          <w:p>
            <w:pPr>
              <w:pStyle w:val="TableParagraph"/>
              <w:spacing w:before="2"/>
              <w:ind w:left="107"/>
              <w:rPr>
                <w:sz w:val="26"/>
              </w:rPr>
            </w:pPr>
            <w:r>
              <w:rPr>
                <w:color w:val="0D0D0D"/>
                <w:sz w:val="26"/>
              </w:rPr>
              <w:t>Chi phí cảng có nhiều ưu đãi</w:t>
            </w:r>
          </w:p>
        </w:tc>
        <w:tc>
          <w:tcPr>
            <w:tcW w:w="900" w:type="dxa"/>
          </w:tcPr>
          <w:p>
            <w:pPr>
              <w:pStyle w:val="TableParagraph"/>
              <w:spacing w:before="2"/>
              <w:ind w:left="6"/>
              <w:jc w:val="center"/>
              <w:rPr>
                <w:sz w:val="26"/>
              </w:rPr>
            </w:pPr>
            <w:r>
              <w:rPr>
                <w:w w:val="99"/>
                <w:sz w:val="26"/>
              </w:rPr>
              <w:t>1</w:t>
            </w:r>
          </w:p>
        </w:tc>
        <w:tc>
          <w:tcPr>
            <w:tcW w:w="811" w:type="dxa"/>
          </w:tcPr>
          <w:p>
            <w:pPr>
              <w:pStyle w:val="TableParagraph"/>
              <w:spacing w:before="2"/>
              <w:ind w:left="4"/>
              <w:jc w:val="center"/>
              <w:rPr>
                <w:sz w:val="26"/>
              </w:rPr>
            </w:pPr>
            <w:r>
              <w:rPr>
                <w:w w:val="99"/>
                <w:sz w:val="26"/>
              </w:rPr>
              <w:t>2</w:t>
            </w:r>
          </w:p>
        </w:tc>
        <w:tc>
          <w:tcPr>
            <w:tcW w:w="720" w:type="dxa"/>
          </w:tcPr>
          <w:p>
            <w:pPr>
              <w:pStyle w:val="TableParagraph"/>
              <w:spacing w:before="2"/>
              <w:ind w:left="5"/>
              <w:jc w:val="center"/>
              <w:rPr>
                <w:sz w:val="26"/>
              </w:rPr>
            </w:pPr>
            <w:r>
              <w:rPr>
                <w:w w:val="99"/>
                <w:sz w:val="26"/>
              </w:rPr>
              <w:t>3</w:t>
            </w:r>
          </w:p>
        </w:tc>
        <w:tc>
          <w:tcPr>
            <w:tcW w:w="808" w:type="dxa"/>
          </w:tcPr>
          <w:p>
            <w:pPr>
              <w:pStyle w:val="TableParagraph"/>
              <w:spacing w:before="2"/>
              <w:ind w:left="4"/>
              <w:jc w:val="center"/>
              <w:rPr>
                <w:sz w:val="26"/>
              </w:rPr>
            </w:pPr>
            <w:r>
              <w:rPr>
                <w:w w:val="99"/>
                <w:sz w:val="26"/>
              </w:rPr>
              <w:t>4</w:t>
            </w:r>
          </w:p>
        </w:tc>
        <w:tc>
          <w:tcPr>
            <w:tcW w:w="810" w:type="dxa"/>
          </w:tcPr>
          <w:p>
            <w:pPr>
              <w:pStyle w:val="TableParagraph"/>
              <w:spacing w:before="2"/>
              <w:ind w:left="8"/>
              <w:jc w:val="center"/>
              <w:rPr>
                <w:sz w:val="26"/>
              </w:rPr>
            </w:pPr>
            <w:r>
              <w:rPr>
                <w:w w:val="99"/>
                <w:sz w:val="26"/>
              </w:rPr>
              <w:t>5</w:t>
            </w:r>
          </w:p>
        </w:tc>
      </w:tr>
      <w:tr>
        <w:trPr>
          <w:trHeight w:val="448" w:hRule="atLeast"/>
        </w:trPr>
        <w:tc>
          <w:tcPr>
            <w:tcW w:w="10622" w:type="dxa"/>
            <w:gridSpan w:val="7"/>
          </w:tcPr>
          <w:p>
            <w:pPr>
              <w:pStyle w:val="TableParagraph"/>
              <w:spacing w:before="2"/>
              <w:ind w:left="107"/>
              <w:rPr>
                <w:b/>
                <w:sz w:val="26"/>
              </w:rPr>
            </w:pPr>
            <w:r>
              <w:rPr>
                <w:b/>
                <w:sz w:val="26"/>
              </w:rPr>
              <w:t>Chất lượng dịch vụ Logistics của cảng container</w:t>
            </w:r>
          </w:p>
        </w:tc>
      </w:tr>
      <w:tr>
        <w:trPr>
          <w:trHeight w:val="448" w:hRule="atLeast"/>
        </w:trPr>
        <w:tc>
          <w:tcPr>
            <w:tcW w:w="632" w:type="dxa"/>
          </w:tcPr>
          <w:p>
            <w:pPr>
              <w:pStyle w:val="TableParagraph"/>
              <w:spacing w:before="2"/>
              <w:ind w:left="135" w:right="129"/>
              <w:jc w:val="center"/>
              <w:rPr>
                <w:sz w:val="26"/>
              </w:rPr>
            </w:pPr>
            <w:r>
              <w:rPr>
                <w:sz w:val="26"/>
              </w:rPr>
              <w:t>33</w:t>
            </w:r>
          </w:p>
        </w:tc>
        <w:tc>
          <w:tcPr>
            <w:tcW w:w="5941" w:type="dxa"/>
          </w:tcPr>
          <w:p>
            <w:pPr>
              <w:pStyle w:val="TableParagraph"/>
              <w:spacing w:before="2"/>
              <w:ind w:left="107"/>
              <w:rPr>
                <w:sz w:val="26"/>
              </w:rPr>
            </w:pPr>
            <w:r>
              <w:rPr>
                <w:sz w:val="26"/>
              </w:rPr>
              <w:t>Năng lực cung cấp container</w:t>
            </w:r>
          </w:p>
        </w:tc>
        <w:tc>
          <w:tcPr>
            <w:tcW w:w="900" w:type="dxa"/>
          </w:tcPr>
          <w:p>
            <w:pPr>
              <w:pStyle w:val="TableParagraph"/>
              <w:spacing w:before="2"/>
              <w:ind w:left="6"/>
              <w:jc w:val="center"/>
              <w:rPr>
                <w:sz w:val="26"/>
              </w:rPr>
            </w:pPr>
            <w:r>
              <w:rPr>
                <w:w w:val="99"/>
                <w:sz w:val="26"/>
              </w:rPr>
              <w:t>1</w:t>
            </w:r>
          </w:p>
        </w:tc>
        <w:tc>
          <w:tcPr>
            <w:tcW w:w="811" w:type="dxa"/>
          </w:tcPr>
          <w:p>
            <w:pPr>
              <w:pStyle w:val="TableParagraph"/>
              <w:spacing w:before="2"/>
              <w:ind w:left="4"/>
              <w:jc w:val="center"/>
              <w:rPr>
                <w:sz w:val="26"/>
              </w:rPr>
            </w:pPr>
            <w:r>
              <w:rPr>
                <w:w w:val="99"/>
                <w:sz w:val="26"/>
              </w:rPr>
              <w:t>2</w:t>
            </w:r>
          </w:p>
        </w:tc>
        <w:tc>
          <w:tcPr>
            <w:tcW w:w="720" w:type="dxa"/>
          </w:tcPr>
          <w:p>
            <w:pPr>
              <w:pStyle w:val="TableParagraph"/>
              <w:spacing w:before="2"/>
              <w:ind w:left="5"/>
              <w:jc w:val="center"/>
              <w:rPr>
                <w:sz w:val="26"/>
              </w:rPr>
            </w:pPr>
            <w:r>
              <w:rPr>
                <w:w w:val="99"/>
                <w:sz w:val="26"/>
              </w:rPr>
              <w:t>3</w:t>
            </w:r>
          </w:p>
        </w:tc>
        <w:tc>
          <w:tcPr>
            <w:tcW w:w="808" w:type="dxa"/>
          </w:tcPr>
          <w:p>
            <w:pPr>
              <w:pStyle w:val="TableParagraph"/>
              <w:spacing w:before="2"/>
              <w:ind w:left="4"/>
              <w:jc w:val="center"/>
              <w:rPr>
                <w:sz w:val="26"/>
              </w:rPr>
            </w:pPr>
            <w:r>
              <w:rPr>
                <w:w w:val="99"/>
                <w:sz w:val="26"/>
              </w:rPr>
              <w:t>4</w:t>
            </w:r>
          </w:p>
        </w:tc>
        <w:tc>
          <w:tcPr>
            <w:tcW w:w="810" w:type="dxa"/>
          </w:tcPr>
          <w:p>
            <w:pPr>
              <w:pStyle w:val="TableParagraph"/>
              <w:spacing w:before="2"/>
              <w:ind w:left="8"/>
              <w:jc w:val="center"/>
              <w:rPr>
                <w:sz w:val="26"/>
              </w:rPr>
            </w:pPr>
            <w:r>
              <w:rPr>
                <w:w w:val="99"/>
                <w:sz w:val="26"/>
              </w:rPr>
              <w:t>5</w:t>
            </w:r>
          </w:p>
        </w:tc>
      </w:tr>
      <w:tr>
        <w:trPr>
          <w:trHeight w:val="448" w:hRule="atLeast"/>
        </w:trPr>
        <w:tc>
          <w:tcPr>
            <w:tcW w:w="632" w:type="dxa"/>
          </w:tcPr>
          <w:p>
            <w:pPr>
              <w:pStyle w:val="TableParagraph"/>
              <w:spacing w:before="2"/>
              <w:ind w:left="135" w:right="129"/>
              <w:jc w:val="center"/>
              <w:rPr>
                <w:sz w:val="26"/>
              </w:rPr>
            </w:pPr>
            <w:r>
              <w:rPr>
                <w:sz w:val="26"/>
              </w:rPr>
              <w:t>34</w:t>
            </w:r>
          </w:p>
        </w:tc>
        <w:tc>
          <w:tcPr>
            <w:tcW w:w="5941" w:type="dxa"/>
          </w:tcPr>
          <w:p>
            <w:pPr>
              <w:pStyle w:val="TableParagraph"/>
              <w:spacing w:before="2"/>
              <w:ind w:left="107"/>
              <w:rPr>
                <w:sz w:val="26"/>
              </w:rPr>
            </w:pPr>
            <w:r>
              <w:rPr>
                <w:sz w:val="26"/>
              </w:rPr>
              <w:t>Dịch vụ chuyển tải nhanh chóng</w:t>
            </w:r>
          </w:p>
        </w:tc>
        <w:tc>
          <w:tcPr>
            <w:tcW w:w="900" w:type="dxa"/>
          </w:tcPr>
          <w:p>
            <w:pPr>
              <w:pStyle w:val="TableParagraph"/>
              <w:spacing w:before="2"/>
              <w:ind w:left="6"/>
              <w:jc w:val="center"/>
              <w:rPr>
                <w:sz w:val="26"/>
              </w:rPr>
            </w:pPr>
            <w:r>
              <w:rPr>
                <w:w w:val="99"/>
                <w:sz w:val="26"/>
              </w:rPr>
              <w:t>1</w:t>
            </w:r>
          </w:p>
        </w:tc>
        <w:tc>
          <w:tcPr>
            <w:tcW w:w="811" w:type="dxa"/>
          </w:tcPr>
          <w:p>
            <w:pPr>
              <w:pStyle w:val="TableParagraph"/>
              <w:spacing w:before="2"/>
              <w:ind w:left="4"/>
              <w:jc w:val="center"/>
              <w:rPr>
                <w:sz w:val="26"/>
              </w:rPr>
            </w:pPr>
            <w:r>
              <w:rPr>
                <w:w w:val="99"/>
                <w:sz w:val="26"/>
              </w:rPr>
              <w:t>2</w:t>
            </w:r>
          </w:p>
        </w:tc>
        <w:tc>
          <w:tcPr>
            <w:tcW w:w="720" w:type="dxa"/>
          </w:tcPr>
          <w:p>
            <w:pPr>
              <w:pStyle w:val="TableParagraph"/>
              <w:spacing w:before="2"/>
              <w:ind w:left="5"/>
              <w:jc w:val="center"/>
              <w:rPr>
                <w:sz w:val="26"/>
              </w:rPr>
            </w:pPr>
            <w:r>
              <w:rPr>
                <w:w w:val="99"/>
                <w:sz w:val="26"/>
              </w:rPr>
              <w:t>3</w:t>
            </w:r>
          </w:p>
        </w:tc>
        <w:tc>
          <w:tcPr>
            <w:tcW w:w="808" w:type="dxa"/>
          </w:tcPr>
          <w:p>
            <w:pPr>
              <w:pStyle w:val="TableParagraph"/>
              <w:spacing w:before="2"/>
              <w:ind w:left="4"/>
              <w:jc w:val="center"/>
              <w:rPr>
                <w:sz w:val="26"/>
              </w:rPr>
            </w:pPr>
            <w:r>
              <w:rPr>
                <w:w w:val="99"/>
                <w:sz w:val="26"/>
              </w:rPr>
              <w:t>4</w:t>
            </w:r>
          </w:p>
        </w:tc>
        <w:tc>
          <w:tcPr>
            <w:tcW w:w="810" w:type="dxa"/>
          </w:tcPr>
          <w:p>
            <w:pPr>
              <w:pStyle w:val="TableParagraph"/>
              <w:spacing w:before="2"/>
              <w:ind w:left="8"/>
              <w:jc w:val="center"/>
              <w:rPr>
                <w:sz w:val="26"/>
              </w:rPr>
            </w:pPr>
            <w:r>
              <w:rPr>
                <w:w w:val="99"/>
                <w:sz w:val="26"/>
              </w:rPr>
              <w:t>5</w:t>
            </w:r>
          </w:p>
        </w:tc>
      </w:tr>
      <w:tr>
        <w:trPr>
          <w:trHeight w:val="448" w:hRule="atLeast"/>
        </w:trPr>
        <w:tc>
          <w:tcPr>
            <w:tcW w:w="632" w:type="dxa"/>
          </w:tcPr>
          <w:p>
            <w:pPr>
              <w:pStyle w:val="TableParagraph"/>
              <w:spacing w:before="2"/>
              <w:ind w:left="135" w:right="129"/>
              <w:jc w:val="center"/>
              <w:rPr>
                <w:sz w:val="26"/>
              </w:rPr>
            </w:pPr>
            <w:r>
              <w:rPr>
                <w:sz w:val="26"/>
              </w:rPr>
              <w:t>35</w:t>
            </w:r>
          </w:p>
        </w:tc>
        <w:tc>
          <w:tcPr>
            <w:tcW w:w="5941" w:type="dxa"/>
          </w:tcPr>
          <w:p>
            <w:pPr>
              <w:pStyle w:val="TableParagraph"/>
              <w:spacing w:before="2"/>
              <w:ind w:left="107"/>
              <w:rPr>
                <w:sz w:val="26"/>
              </w:rPr>
            </w:pPr>
            <w:r>
              <w:rPr>
                <w:sz w:val="26"/>
              </w:rPr>
              <w:t>Hệ thống thông tin nhanh chóng, kịp thời</w:t>
            </w:r>
          </w:p>
        </w:tc>
        <w:tc>
          <w:tcPr>
            <w:tcW w:w="900" w:type="dxa"/>
          </w:tcPr>
          <w:p>
            <w:pPr>
              <w:pStyle w:val="TableParagraph"/>
              <w:spacing w:before="2"/>
              <w:ind w:left="6"/>
              <w:jc w:val="center"/>
              <w:rPr>
                <w:sz w:val="26"/>
              </w:rPr>
            </w:pPr>
            <w:r>
              <w:rPr>
                <w:w w:val="99"/>
                <w:sz w:val="26"/>
              </w:rPr>
              <w:t>1</w:t>
            </w:r>
          </w:p>
        </w:tc>
        <w:tc>
          <w:tcPr>
            <w:tcW w:w="811" w:type="dxa"/>
          </w:tcPr>
          <w:p>
            <w:pPr>
              <w:pStyle w:val="TableParagraph"/>
              <w:spacing w:before="2"/>
              <w:ind w:left="4"/>
              <w:jc w:val="center"/>
              <w:rPr>
                <w:sz w:val="26"/>
              </w:rPr>
            </w:pPr>
            <w:r>
              <w:rPr>
                <w:w w:val="99"/>
                <w:sz w:val="26"/>
              </w:rPr>
              <w:t>2</w:t>
            </w:r>
          </w:p>
        </w:tc>
        <w:tc>
          <w:tcPr>
            <w:tcW w:w="720" w:type="dxa"/>
          </w:tcPr>
          <w:p>
            <w:pPr>
              <w:pStyle w:val="TableParagraph"/>
              <w:spacing w:before="2"/>
              <w:ind w:left="5"/>
              <w:jc w:val="center"/>
              <w:rPr>
                <w:sz w:val="26"/>
              </w:rPr>
            </w:pPr>
            <w:r>
              <w:rPr>
                <w:w w:val="99"/>
                <w:sz w:val="26"/>
              </w:rPr>
              <w:t>3</w:t>
            </w:r>
          </w:p>
        </w:tc>
        <w:tc>
          <w:tcPr>
            <w:tcW w:w="808" w:type="dxa"/>
          </w:tcPr>
          <w:p>
            <w:pPr>
              <w:pStyle w:val="TableParagraph"/>
              <w:spacing w:before="2"/>
              <w:ind w:left="4"/>
              <w:jc w:val="center"/>
              <w:rPr>
                <w:sz w:val="26"/>
              </w:rPr>
            </w:pPr>
            <w:r>
              <w:rPr>
                <w:w w:val="99"/>
                <w:sz w:val="26"/>
              </w:rPr>
              <w:t>4</w:t>
            </w:r>
          </w:p>
        </w:tc>
        <w:tc>
          <w:tcPr>
            <w:tcW w:w="810" w:type="dxa"/>
          </w:tcPr>
          <w:p>
            <w:pPr>
              <w:pStyle w:val="TableParagraph"/>
              <w:spacing w:before="2"/>
              <w:ind w:left="8"/>
              <w:jc w:val="center"/>
              <w:rPr>
                <w:sz w:val="26"/>
              </w:rPr>
            </w:pPr>
            <w:r>
              <w:rPr>
                <w:w w:val="99"/>
                <w:sz w:val="26"/>
              </w:rPr>
              <w:t>5</w:t>
            </w:r>
          </w:p>
        </w:tc>
      </w:tr>
      <w:tr>
        <w:trPr>
          <w:trHeight w:val="897" w:hRule="atLeast"/>
        </w:trPr>
        <w:tc>
          <w:tcPr>
            <w:tcW w:w="632" w:type="dxa"/>
          </w:tcPr>
          <w:p>
            <w:pPr>
              <w:pStyle w:val="TableParagraph"/>
              <w:spacing w:before="225"/>
              <w:ind w:left="135" w:right="129"/>
              <w:jc w:val="center"/>
              <w:rPr>
                <w:sz w:val="26"/>
              </w:rPr>
            </w:pPr>
            <w:r>
              <w:rPr>
                <w:sz w:val="26"/>
              </w:rPr>
              <w:t>36</w:t>
            </w:r>
          </w:p>
        </w:tc>
        <w:tc>
          <w:tcPr>
            <w:tcW w:w="5941" w:type="dxa"/>
          </w:tcPr>
          <w:p>
            <w:pPr>
              <w:pStyle w:val="TableParagraph"/>
              <w:spacing w:before="2"/>
              <w:ind w:left="107"/>
              <w:rPr>
                <w:sz w:val="26"/>
              </w:rPr>
            </w:pPr>
            <w:r>
              <w:rPr>
                <w:sz w:val="26"/>
              </w:rPr>
              <w:t>Cấu trúc tổ chức bến cảng tiện lợi cho việc sử dụng</w:t>
            </w:r>
          </w:p>
          <w:p>
            <w:pPr>
              <w:pStyle w:val="TableParagraph"/>
              <w:spacing w:before="150"/>
              <w:ind w:left="107"/>
              <w:rPr>
                <w:sz w:val="26"/>
              </w:rPr>
            </w:pPr>
            <w:r>
              <w:rPr>
                <w:sz w:val="26"/>
              </w:rPr>
              <w:t>làm giảm chi phí và thời gian cho khách hàng</w:t>
            </w:r>
          </w:p>
        </w:tc>
        <w:tc>
          <w:tcPr>
            <w:tcW w:w="900" w:type="dxa"/>
          </w:tcPr>
          <w:p>
            <w:pPr>
              <w:pStyle w:val="TableParagraph"/>
              <w:spacing w:before="2"/>
              <w:ind w:left="6"/>
              <w:jc w:val="center"/>
              <w:rPr>
                <w:sz w:val="26"/>
              </w:rPr>
            </w:pPr>
            <w:r>
              <w:rPr>
                <w:w w:val="99"/>
                <w:sz w:val="26"/>
              </w:rPr>
              <w:t>1</w:t>
            </w:r>
          </w:p>
        </w:tc>
        <w:tc>
          <w:tcPr>
            <w:tcW w:w="811" w:type="dxa"/>
          </w:tcPr>
          <w:p>
            <w:pPr>
              <w:pStyle w:val="TableParagraph"/>
              <w:spacing w:before="2"/>
              <w:ind w:left="4"/>
              <w:jc w:val="center"/>
              <w:rPr>
                <w:sz w:val="26"/>
              </w:rPr>
            </w:pPr>
            <w:r>
              <w:rPr>
                <w:w w:val="99"/>
                <w:sz w:val="26"/>
              </w:rPr>
              <w:t>2</w:t>
            </w:r>
          </w:p>
        </w:tc>
        <w:tc>
          <w:tcPr>
            <w:tcW w:w="720" w:type="dxa"/>
          </w:tcPr>
          <w:p>
            <w:pPr>
              <w:pStyle w:val="TableParagraph"/>
              <w:spacing w:before="2"/>
              <w:ind w:left="5"/>
              <w:jc w:val="center"/>
              <w:rPr>
                <w:sz w:val="26"/>
              </w:rPr>
            </w:pPr>
            <w:r>
              <w:rPr>
                <w:w w:val="99"/>
                <w:sz w:val="26"/>
              </w:rPr>
              <w:t>3</w:t>
            </w:r>
          </w:p>
        </w:tc>
        <w:tc>
          <w:tcPr>
            <w:tcW w:w="808" w:type="dxa"/>
          </w:tcPr>
          <w:p>
            <w:pPr>
              <w:pStyle w:val="TableParagraph"/>
              <w:spacing w:before="2"/>
              <w:ind w:left="4"/>
              <w:jc w:val="center"/>
              <w:rPr>
                <w:sz w:val="26"/>
              </w:rPr>
            </w:pPr>
            <w:r>
              <w:rPr>
                <w:w w:val="99"/>
                <w:sz w:val="26"/>
              </w:rPr>
              <w:t>4</w:t>
            </w:r>
          </w:p>
        </w:tc>
        <w:tc>
          <w:tcPr>
            <w:tcW w:w="810" w:type="dxa"/>
          </w:tcPr>
          <w:p>
            <w:pPr>
              <w:pStyle w:val="TableParagraph"/>
              <w:spacing w:before="2"/>
              <w:ind w:left="8"/>
              <w:jc w:val="center"/>
              <w:rPr>
                <w:sz w:val="26"/>
              </w:rPr>
            </w:pPr>
            <w:r>
              <w:rPr>
                <w:w w:val="99"/>
                <w:sz w:val="26"/>
              </w:rPr>
              <w:t>5</w:t>
            </w:r>
          </w:p>
        </w:tc>
      </w:tr>
      <w:tr>
        <w:trPr>
          <w:trHeight w:val="897" w:hRule="atLeast"/>
        </w:trPr>
        <w:tc>
          <w:tcPr>
            <w:tcW w:w="632" w:type="dxa"/>
          </w:tcPr>
          <w:p>
            <w:pPr>
              <w:pStyle w:val="TableParagraph"/>
              <w:spacing w:before="225"/>
              <w:ind w:left="135" w:right="129"/>
              <w:jc w:val="center"/>
              <w:rPr>
                <w:sz w:val="26"/>
              </w:rPr>
            </w:pPr>
            <w:r>
              <w:rPr>
                <w:sz w:val="26"/>
              </w:rPr>
              <w:t>37</w:t>
            </w:r>
          </w:p>
        </w:tc>
        <w:tc>
          <w:tcPr>
            <w:tcW w:w="5941" w:type="dxa"/>
          </w:tcPr>
          <w:p>
            <w:pPr>
              <w:pStyle w:val="TableParagraph"/>
              <w:spacing w:before="2"/>
              <w:ind w:left="107"/>
              <w:rPr>
                <w:sz w:val="26"/>
              </w:rPr>
            </w:pPr>
            <w:r>
              <w:rPr>
                <w:sz w:val="26"/>
              </w:rPr>
              <w:t>Thiết kế bến bãi container tiện lợi cho việc sử dụng</w:t>
            </w:r>
          </w:p>
          <w:p>
            <w:pPr>
              <w:pStyle w:val="TableParagraph"/>
              <w:spacing w:before="149"/>
              <w:ind w:left="107"/>
              <w:rPr>
                <w:sz w:val="26"/>
              </w:rPr>
            </w:pPr>
            <w:r>
              <w:rPr>
                <w:sz w:val="26"/>
              </w:rPr>
              <w:t>làm giảm chi phí và thời gian cho khách hàng</w:t>
            </w:r>
          </w:p>
        </w:tc>
        <w:tc>
          <w:tcPr>
            <w:tcW w:w="900" w:type="dxa"/>
          </w:tcPr>
          <w:p>
            <w:pPr>
              <w:pStyle w:val="TableParagraph"/>
              <w:spacing w:before="2"/>
              <w:ind w:left="6"/>
              <w:jc w:val="center"/>
              <w:rPr>
                <w:sz w:val="26"/>
              </w:rPr>
            </w:pPr>
            <w:r>
              <w:rPr>
                <w:w w:val="99"/>
                <w:sz w:val="26"/>
              </w:rPr>
              <w:t>1</w:t>
            </w:r>
          </w:p>
        </w:tc>
        <w:tc>
          <w:tcPr>
            <w:tcW w:w="811" w:type="dxa"/>
          </w:tcPr>
          <w:p>
            <w:pPr>
              <w:pStyle w:val="TableParagraph"/>
              <w:spacing w:before="2"/>
              <w:ind w:left="4"/>
              <w:jc w:val="center"/>
              <w:rPr>
                <w:sz w:val="26"/>
              </w:rPr>
            </w:pPr>
            <w:r>
              <w:rPr>
                <w:w w:val="99"/>
                <w:sz w:val="26"/>
              </w:rPr>
              <w:t>2</w:t>
            </w:r>
          </w:p>
        </w:tc>
        <w:tc>
          <w:tcPr>
            <w:tcW w:w="720" w:type="dxa"/>
          </w:tcPr>
          <w:p>
            <w:pPr>
              <w:pStyle w:val="TableParagraph"/>
              <w:spacing w:before="2"/>
              <w:ind w:left="5"/>
              <w:jc w:val="center"/>
              <w:rPr>
                <w:sz w:val="26"/>
              </w:rPr>
            </w:pPr>
            <w:r>
              <w:rPr>
                <w:w w:val="99"/>
                <w:sz w:val="26"/>
              </w:rPr>
              <w:t>3</w:t>
            </w:r>
          </w:p>
        </w:tc>
        <w:tc>
          <w:tcPr>
            <w:tcW w:w="808" w:type="dxa"/>
          </w:tcPr>
          <w:p>
            <w:pPr>
              <w:pStyle w:val="TableParagraph"/>
              <w:spacing w:before="2"/>
              <w:ind w:left="4"/>
              <w:jc w:val="center"/>
              <w:rPr>
                <w:sz w:val="26"/>
              </w:rPr>
            </w:pPr>
            <w:r>
              <w:rPr>
                <w:w w:val="99"/>
                <w:sz w:val="26"/>
              </w:rPr>
              <w:t>4</w:t>
            </w:r>
          </w:p>
        </w:tc>
        <w:tc>
          <w:tcPr>
            <w:tcW w:w="810" w:type="dxa"/>
          </w:tcPr>
          <w:p>
            <w:pPr>
              <w:pStyle w:val="TableParagraph"/>
              <w:spacing w:before="2"/>
              <w:ind w:left="8"/>
              <w:jc w:val="center"/>
              <w:rPr>
                <w:sz w:val="26"/>
              </w:rPr>
            </w:pPr>
            <w:r>
              <w:rPr>
                <w:w w:val="99"/>
                <w:sz w:val="26"/>
              </w:rPr>
              <w:t>5</w:t>
            </w:r>
          </w:p>
        </w:tc>
      </w:tr>
      <w:tr>
        <w:trPr>
          <w:trHeight w:val="448" w:hRule="atLeast"/>
        </w:trPr>
        <w:tc>
          <w:tcPr>
            <w:tcW w:w="632" w:type="dxa"/>
          </w:tcPr>
          <w:p>
            <w:pPr>
              <w:pStyle w:val="TableParagraph"/>
              <w:spacing w:before="2"/>
              <w:ind w:left="135" w:right="129"/>
              <w:jc w:val="center"/>
              <w:rPr>
                <w:sz w:val="26"/>
              </w:rPr>
            </w:pPr>
            <w:r>
              <w:rPr>
                <w:sz w:val="26"/>
              </w:rPr>
              <w:t>38</w:t>
            </w:r>
          </w:p>
        </w:tc>
        <w:tc>
          <w:tcPr>
            <w:tcW w:w="5941" w:type="dxa"/>
          </w:tcPr>
          <w:p>
            <w:pPr>
              <w:pStyle w:val="TableParagraph"/>
              <w:spacing w:before="2"/>
              <w:ind w:left="172"/>
              <w:rPr>
                <w:sz w:val="26"/>
              </w:rPr>
            </w:pPr>
            <w:r>
              <w:rPr>
                <w:sz w:val="26"/>
              </w:rPr>
              <w:t>Bố trí thiết bị xếp dỡ phù hợp</w:t>
            </w:r>
          </w:p>
        </w:tc>
        <w:tc>
          <w:tcPr>
            <w:tcW w:w="900" w:type="dxa"/>
          </w:tcPr>
          <w:p>
            <w:pPr>
              <w:pStyle w:val="TableParagraph"/>
              <w:spacing w:before="2"/>
              <w:ind w:left="6"/>
              <w:jc w:val="center"/>
              <w:rPr>
                <w:sz w:val="26"/>
              </w:rPr>
            </w:pPr>
            <w:r>
              <w:rPr>
                <w:w w:val="99"/>
                <w:sz w:val="26"/>
              </w:rPr>
              <w:t>1</w:t>
            </w:r>
          </w:p>
        </w:tc>
        <w:tc>
          <w:tcPr>
            <w:tcW w:w="811" w:type="dxa"/>
          </w:tcPr>
          <w:p>
            <w:pPr>
              <w:pStyle w:val="TableParagraph"/>
              <w:spacing w:before="2"/>
              <w:ind w:left="4"/>
              <w:jc w:val="center"/>
              <w:rPr>
                <w:sz w:val="26"/>
              </w:rPr>
            </w:pPr>
            <w:r>
              <w:rPr>
                <w:w w:val="99"/>
                <w:sz w:val="26"/>
              </w:rPr>
              <w:t>2</w:t>
            </w:r>
          </w:p>
        </w:tc>
        <w:tc>
          <w:tcPr>
            <w:tcW w:w="720" w:type="dxa"/>
          </w:tcPr>
          <w:p>
            <w:pPr>
              <w:pStyle w:val="TableParagraph"/>
              <w:spacing w:before="2"/>
              <w:ind w:left="5"/>
              <w:jc w:val="center"/>
              <w:rPr>
                <w:sz w:val="26"/>
              </w:rPr>
            </w:pPr>
            <w:r>
              <w:rPr>
                <w:w w:val="99"/>
                <w:sz w:val="26"/>
              </w:rPr>
              <w:t>3</w:t>
            </w:r>
          </w:p>
        </w:tc>
        <w:tc>
          <w:tcPr>
            <w:tcW w:w="808" w:type="dxa"/>
          </w:tcPr>
          <w:p>
            <w:pPr>
              <w:pStyle w:val="TableParagraph"/>
              <w:spacing w:before="2"/>
              <w:ind w:left="4"/>
              <w:jc w:val="center"/>
              <w:rPr>
                <w:sz w:val="26"/>
              </w:rPr>
            </w:pPr>
            <w:r>
              <w:rPr>
                <w:w w:val="99"/>
                <w:sz w:val="26"/>
              </w:rPr>
              <w:t>4</w:t>
            </w:r>
          </w:p>
        </w:tc>
        <w:tc>
          <w:tcPr>
            <w:tcW w:w="810" w:type="dxa"/>
          </w:tcPr>
          <w:p>
            <w:pPr>
              <w:pStyle w:val="TableParagraph"/>
              <w:spacing w:before="2"/>
              <w:ind w:left="8"/>
              <w:jc w:val="center"/>
              <w:rPr>
                <w:sz w:val="26"/>
              </w:rPr>
            </w:pPr>
            <w:r>
              <w:rPr>
                <w:w w:val="99"/>
                <w:sz w:val="26"/>
              </w:rPr>
              <w:t>5</w:t>
            </w:r>
          </w:p>
        </w:tc>
      </w:tr>
      <w:tr>
        <w:trPr>
          <w:trHeight w:val="894" w:hRule="atLeast"/>
        </w:trPr>
        <w:tc>
          <w:tcPr>
            <w:tcW w:w="632" w:type="dxa"/>
          </w:tcPr>
          <w:p>
            <w:pPr>
              <w:pStyle w:val="TableParagraph"/>
              <w:spacing w:before="225"/>
              <w:ind w:left="135" w:right="129"/>
              <w:jc w:val="center"/>
              <w:rPr>
                <w:sz w:val="26"/>
              </w:rPr>
            </w:pPr>
            <w:r>
              <w:rPr>
                <w:sz w:val="26"/>
              </w:rPr>
              <w:t>39</w:t>
            </w:r>
          </w:p>
        </w:tc>
        <w:tc>
          <w:tcPr>
            <w:tcW w:w="5941" w:type="dxa"/>
          </w:tcPr>
          <w:p>
            <w:pPr>
              <w:pStyle w:val="TableParagraph"/>
              <w:spacing w:before="2"/>
              <w:ind w:left="107"/>
              <w:rPr>
                <w:sz w:val="26"/>
              </w:rPr>
            </w:pPr>
            <w:r>
              <w:rPr>
                <w:sz w:val="26"/>
              </w:rPr>
              <w:t>Hoạt động khai thác của cảng định hướng vào phục vụ</w:t>
            </w:r>
          </w:p>
          <w:p>
            <w:pPr>
              <w:pStyle w:val="TableParagraph"/>
              <w:spacing w:before="149"/>
              <w:ind w:left="107"/>
              <w:rPr>
                <w:sz w:val="26"/>
              </w:rPr>
            </w:pPr>
            <w:r>
              <w:rPr>
                <w:sz w:val="26"/>
              </w:rPr>
              <w:t>khách hàng</w:t>
            </w:r>
          </w:p>
        </w:tc>
        <w:tc>
          <w:tcPr>
            <w:tcW w:w="900" w:type="dxa"/>
          </w:tcPr>
          <w:p>
            <w:pPr>
              <w:pStyle w:val="TableParagraph"/>
              <w:spacing w:before="2"/>
              <w:ind w:left="6"/>
              <w:jc w:val="center"/>
              <w:rPr>
                <w:sz w:val="26"/>
              </w:rPr>
            </w:pPr>
            <w:r>
              <w:rPr>
                <w:w w:val="99"/>
                <w:sz w:val="26"/>
              </w:rPr>
              <w:t>1</w:t>
            </w:r>
          </w:p>
        </w:tc>
        <w:tc>
          <w:tcPr>
            <w:tcW w:w="811" w:type="dxa"/>
          </w:tcPr>
          <w:p>
            <w:pPr>
              <w:pStyle w:val="TableParagraph"/>
              <w:spacing w:before="2"/>
              <w:ind w:left="4"/>
              <w:jc w:val="center"/>
              <w:rPr>
                <w:sz w:val="26"/>
              </w:rPr>
            </w:pPr>
            <w:r>
              <w:rPr>
                <w:w w:val="99"/>
                <w:sz w:val="26"/>
              </w:rPr>
              <w:t>2</w:t>
            </w:r>
          </w:p>
        </w:tc>
        <w:tc>
          <w:tcPr>
            <w:tcW w:w="720" w:type="dxa"/>
          </w:tcPr>
          <w:p>
            <w:pPr>
              <w:pStyle w:val="TableParagraph"/>
              <w:spacing w:before="2"/>
              <w:ind w:left="5"/>
              <w:jc w:val="center"/>
              <w:rPr>
                <w:sz w:val="26"/>
              </w:rPr>
            </w:pPr>
            <w:r>
              <w:rPr>
                <w:w w:val="99"/>
                <w:sz w:val="26"/>
              </w:rPr>
              <w:t>3</w:t>
            </w:r>
          </w:p>
        </w:tc>
        <w:tc>
          <w:tcPr>
            <w:tcW w:w="808" w:type="dxa"/>
          </w:tcPr>
          <w:p>
            <w:pPr>
              <w:pStyle w:val="TableParagraph"/>
              <w:spacing w:before="2"/>
              <w:ind w:left="4"/>
              <w:jc w:val="center"/>
              <w:rPr>
                <w:sz w:val="26"/>
              </w:rPr>
            </w:pPr>
            <w:r>
              <w:rPr>
                <w:w w:val="99"/>
                <w:sz w:val="26"/>
              </w:rPr>
              <w:t>4</w:t>
            </w:r>
          </w:p>
        </w:tc>
        <w:tc>
          <w:tcPr>
            <w:tcW w:w="810" w:type="dxa"/>
          </w:tcPr>
          <w:p>
            <w:pPr>
              <w:pStyle w:val="TableParagraph"/>
              <w:spacing w:before="2"/>
              <w:ind w:left="8"/>
              <w:jc w:val="center"/>
              <w:rPr>
                <w:sz w:val="26"/>
              </w:rPr>
            </w:pPr>
            <w:r>
              <w:rPr>
                <w:w w:val="99"/>
                <w:sz w:val="26"/>
              </w:rPr>
              <w:t>5</w:t>
            </w:r>
          </w:p>
        </w:tc>
      </w:tr>
      <w:tr>
        <w:trPr>
          <w:trHeight w:val="448" w:hRule="atLeast"/>
        </w:trPr>
        <w:tc>
          <w:tcPr>
            <w:tcW w:w="632" w:type="dxa"/>
          </w:tcPr>
          <w:p>
            <w:pPr>
              <w:pStyle w:val="TableParagraph"/>
              <w:spacing w:before="4"/>
              <w:ind w:left="135" w:right="129"/>
              <w:jc w:val="center"/>
              <w:rPr>
                <w:sz w:val="26"/>
              </w:rPr>
            </w:pPr>
            <w:r>
              <w:rPr>
                <w:sz w:val="26"/>
              </w:rPr>
              <w:t>40</w:t>
            </w:r>
          </w:p>
        </w:tc>
        <w:tc>
          <w:tcPr>
            <w:tcW w:w="5941" w:type="dxa"/>
          </w:tcPr>
          <w:p>
            <w:pPr>
              <w:pStyle w:val="TableParagraph"/>
              <w:spacing w:before="4"/>
              <w:ind w:left="107"/>
              <w:rPr>
                <w:sz w:val="26"/>
              </w:rPr>
            </w:pPr>
            <w:r>
              <w:rPr>
                <w:sz w:val="26"/>
              </w:rPr>
              <w:t>Dịch vụ thủ tục hải quan thuận lợi</w:t>
            </w:r>
          </w:p>
        </w:tc>
        <w:tc>
          <w:tcPr>
            <w:tcW w:w="900" w:type="dxa"/>
          </w:tcPr>
          <w:p>
            <w:pPr>
              <w:pStyle w:val="TableParagraph"/>
              <w:spacing w:before="4"/>
              <w:ind w:left="6"/>
              <w:jc w:val="center"/>
              <w:rPr>
                <w:sz w:val="26"/>
              </w:rPr>
            </w:pPr>
            <w:r>
              <w:rPr>
                <w:w w:val="99"/>
                <w:sz w:val="26"/>
              </w:rPr>
              <w:t>1</w:t>
            </w:r>
          </w:p>
        </w:tc>
        <w:tc>
          <w:tcPr>
            <w:tcW w:w="811" w:type="dxa"/>
          </w:tcPr>
          <w:p>
            <w:pPr>
              <w:pStyle w:val="TableParagraph"/>
              <w:spacing w:before="4"/>
              <w:ind w:left="4"/>
              <w:jc w:val="center"/>
              <w:rPr>
                <w:sz w:val="26"/>
              </w:rPr>
            </w:pPr>
            <w:r>
              <w:rPr>
                <w:w w:val="99"/>
                <w:sz w:val="26"/>
              </w:rPr>
              <w:t>2</w:t>
            </w:r>
          </w:p>
        </w:tc>
        <w:tc>
          <w:tcPr>
            <w:tcW w:w="720" w:type="dxa"/>
          </w:tcPr>
          <w:p>
            <w:pPr>
              <w:pStyle w:val="TableParagraph"/>
              <w:spacing w:before="4"/>
              <w:ind w:left="5"/>
              <w:jc w:val="center"/>
              <w:rPr>
                <w:sz w:val="26"/>
              </w:rPr>
            </w:pPr>
            <w:r>
              <w:rPr>
                <w:w w:val="99"/>
                <w:sz w:val="26"/>
              </w:rPr>
              <w:t>3</w:t>
            </w:r>
          </w:p>
        </w:tc>
        <w:tc>
          <w:tcPr>
            <w:tcW w:w="808" w:type="dxa"/>
          </w:tcPr>
          <w:p>
            <w:pPr>
              <w:pStyle w:val="TableParagraph"/>
              <w:spacing w:before="4"/>
              <w:ind w:left="4"/>
              <w:jc w:val="center"/>
              <w:rPr>
                <w:sz w:val="26"/>
              </w:rPr>
            </w:pPr>
            <w:r>
              <w:rPr>
                <w:w w:val="99"/>
                <w:sz w:val="26"/>
              </w:rPr>
              <w:t>4</w:t>
            </w:r>
          </w:p>
        </w:tc>
        <w:tc>
          <w:tcPr>
            <w:tcW w:w="810" w:type="dxa"/>
          </w:tcPr>
          <w:p>
            <w:pPr>
              <w:pStyle w:val="TableParagraph"/>
              <w:spacing w:before="4"/>
              <w:ind w:left="8"/>
              <w:jc w:val="center"/>
              <w:rPr>
                <w:sz w:val="26"/>
              </w:rPr>
            </w:pPr>
            <w:r>
              <w:rPr>
                <w:w w:val="99"/>
                <w:sz w:val="26"/>
              </w:rPr>
              <w:t>5</w:t>
            </w:r>
          </w:p>
        </w:tc>
      </w:tr>
      <w:tr>
        <w:trPr>
          <w:trHeight w:val="448" w:hRule="atLeast"/>
        </w:trPr>
        <w:tc>
          <w:tcPr>
            <w:tcW w:w="632" w:type="dxa"/>
          </w:tcPr>
          <w:p>
            <w:pPr>
              <w:pStyle w:val="TableParagraph"/>
              <w:spacing w:before="5"/>
              <w:ind w:left="135" w:right="129"/>
              <w:jc w:val="center"/>
              <w:rPr>
                <w:sz w:val="26"/>
              </w:rPr>
            </w:pPr>
            <w:r>
              <w:rPr>
                <w:sz w:val="26"/>
              </w:rPr>
              <w:t>41</w:t>
            </w:r>
          </w:p>
        </w:tc>
        <w:tc>
          <w:tcPr>
            <w:tcW w:w="5941" w:type="dxa"/>
          </w:tcPr>
          <w:p>
            <w:pPr>
              <w:pStyle w:val="TableParagraph"/>
              <w:spacing w:before="5"/>
              <w:ind w:left="107"/>
              <w:rPr>
                <w:sz w:val="26"/>
              </w:rPr>
            </w:pPr>
            <w:r>
              <w:rPr>
                <w:color w:val="0D0D0D"/>
                <w:sz w:val="26"/>
              </w:rPr>
              <w:t>Dịch vụ lai dắt tàu vào cảng nhanh chóng</w:t>
            </w:r>
          </w:p>
        </w:tc>
        <w:tc>
          <w:tcPr>
            <w:tcW w:w="900" w:type="dxa"/>
          </w:tcPr>
          <w:p>
            <w:pPr>
              <w:pStyle w:val="TableParagraph"/>
              <w:spacing w:before="5"/>
              <w:ind w:left="6"/>
              <w:jc w:val="center"/>
              <w:rPr>
                <w:sz w:val="26"/>
              </w:rPr>
            </w:pPr>
            <w:r>
              <w:rPr>
                <w:w w:val="99"/>
                <w:sz w:val="26"/>
              </w:rPr>
              <w:t>1</w:t>
            </w:r>
          </w:p>
        </w:tc>
        <w:tc>
          <w:tcPr>
            <w:tcW w:w="811" w:type="dxa"/>
          </w:tcPr>
          <w:p>
            <w:pPr>
              <w:pStyle w:val="TableParagraph"/>
              <w:spacing w:before="5"/>
              <w:ind w:left="4"/>
              <w:jc w:val="center"/>
              <w:rPr>
                <w:sz w:val="26"/>
              </w:rPr>
            </w:pPr>
            <w:r>
              <w:rPr>
                <w:w w:val="99"/>
                <w:sz w:val="26"/>
              </w:rPr>
              <w:t>2</w:t>
            </w:r>
          </w:p>
        </w:tc>
        <w:tc>
          <w:tcPr>
            <w:tcW w:w="720" w:type="dxa"/>
          </w:tcPr>
          <w:p>
            <w:pPr>
              <w:pStyle w:val="TableParagraph"/>
              <w:spacing w:before="5"/>
              <w:ind w:left="5"/>
              <w:jc w:val="center"/>
              <w:rPr>
                <w:sz w:val="26"/>
              </w:rPr>
            </w:pPr>
            <w:r>
              <w:rPr>
                <w:w w:val="99"/>
                <w:sz w:val="26"/>
              </w:rPr>
              <w:t>3</w:t>
            </w:r>
          </w:p>
        </w:tc>
        <w:tc>
          <w:tcPr>
            <w:tcW w:w="808" w:type="dxa"/>
          </w:tcPr>
          <w:p>
            <w:pPr>
              <w:pStyle w:val="TableParagraph"/>
              <w:spacing w:before="5"/>
              <w:ind w:left="4"/>
              <w:jc w:val="center"/>
              <w:rPr>
                <w:sz w:val="26"/>
              </w:rPr>
            </w:pPr>
            <w:r>
              <w:rPr>
                <w:w w:val="99"/>
                <w:sz w:val="26"/>
              </w:rPr>
              <w:t>4</w:t>
            </w:r>
          </w:p>
        </w:tc>
        <w:tc>
          <w:tcPr>
            <w:tcW w:w="810" w:type="dxa"/>
          </w:tcPr>
          <w:p>
            <w:pPr>
              <w:pStyle w:val="TableParagraph"/>
              <w:spacing w:before="5"/>
              <w:ind w:left="8"/>
              <w:jc w:val="center"/>
              <w:rPr>
                <w:sz w:val="26"/>
              </w:rPr>
            </w:pPr>
            <w:r>
              <w:rPr>
                <w:w w:val="99"/>
                <w:sz w:val="26"/>
              </w:rPr>
              <w:t>5</w:t>
            </w:r>
          </w:p>
        </w:tc>
      </w:tr>
      <w:tr>
        <w:trPr>
          <w:trHeight w:val="450" w:hRule="atLeast"/>
        </w:trPr>
        <w:tc>
          <w:tcPr>
            <w:tcW w:w="632" w:type="dxa"/>
          </w:tcPr>
          <w:p>
            <w:pPr>
              <w:pStyle w:val="TableParagraph"/>
              <w:spacing w:before="4"/>
              <w:ind w:left="135" w:right="129"/>
              <w:jc w:val="center"/>
              <w:rPr>
                <w:sz w:val="26"/>
              </w:rPr>
            </w:pPr>
            <w:r>
              <w:rPr>
                <w:sz w:val="26"/>
              </w:rPr>
              <w:t>42</w:t>
            </w:r>
          </w:p>
        </w:tc>
        <w:tc>
          <w:tcPr>
            <w:tcW w:w="5941" w:type="dxa"/>
          </w:tcPr>
          <w:p>
            <w:pPr>
              <w:pStyle w:val="TableParagraph"/>
              <w:spacing w:before="4"/>
              <w:ind w:left="107"/>
              <w:rPr>
                <w:sz w:val="26"/>
              </w:rPr>
            </w:pPr>
            <w:r>
              <w:rPr>
                <w:sz w:val="26"/>
              </w:rPr>
              <w:t>Năng lực hệ thống trao đổi dữ liệu điện tử</w:t>
            </w:r>
          </w:p>
        </w:tc>
        <w:tc>
          <w:tcPr>
            <w:tcW w:w="900" w:type="dxa"/>
          </w:tcPr>
          <w:p>
            <w:pPr>
              <w:pStyle w:val="TableParagraph"/>
              <w:spacing w:before="4"/>
              <w:ind w:left="6"/>
              <w:jc w:val="center"/>
              <w:rPr>
                <w:sz w:val="26"/>
              </w:rPr>
            </w:pPr>
            <w:r>
              <w:rPr>
                <w:w w:val="99"/>
                <w:sz w:val="26"/>
              </w:rPr>
              <w:t>1</w:t>
            </w:r>
          </w:p>
        </w:tc>
        <w:tc>
          <w:tcPr>
            <w:tcW w:w="811" w:type="dxa"/>
          </w:tcPr>
          <w:p>
            <w:pPr>
              <w:pStyle w:val="TableParagraph"/>
              <w:spacing w:before="4"/>
              <w:ind w:left="4"/>
              <w:jc w:val="center"/>
              <w:rPr>
                <w:sz w:val="26"/>
              </w:rPr>
            </w:pPr>
            <w:r>
              <w:rPr>
                <w:w w:val="99"/>
                <w:sz w:val="26"/>
              </w:rPr>
              <w:t>2</w:t>
            </w:r>
          </w:p>
        </w:tc>
        <w:tc>
          <w:tcPr>
            <w:tcW w:w="720" w:type="dxa"/>
          </w:tcPr>
          <w:p>
            <w:pPr>
              <w:pStyle w:val="TableParagraph"/>
              <w:spacing w:before="4"/>
              <w:ind w:left="5"/>
              <w:jc w:val="center"/>
              <w:rPr>
                <w:sz w:val="26"/>
              </w:rPr>
            </w:pPr>
            <w:r>
              <w:rPr>
                <w:w w:val="99"/>
                <w:sz w:val="26"/>
              </w:rPr>
              <w:t>3</w:t>
            </w:r>
          </w:p>
        </w:tc>
        <w:tc>
          <w:tcPr>
            <w:tcW w:w="808" w:type="dxa"/>
          </w:tcPr>
          <w:p>
            <w:pPr>
              <w:pStyle w:val="TableParagraph"/>
              <w:spacing w:before="4"/>
              <w:ind w:left="4"/>
              <w:jc w:val="center"/>
              <w:rPr>
                <w:sz w:val="26"/>
              </w:rPr>
            </w:pPr>
            <w:r>
              <w:rPr>
                <w:w w:val="99"/>
                <w:sz w:val="26"/>
              </w:rPr>
              <w:t>4</w:t>
            </w:r>
          </w:p>
        </w:tc>
        <w:tc>
          <w:tcPr>
            <w:tcW w:w="810" w:type="dxa"/>
          </w:tcPr>
          <w:p>
            <w:pPr>
              <w:pStyle w:val="TableParagraph"/>
              <w:spacing w:before="4"/>
              <w:ind w:left="8"/>
              <w:jc w:val="center"/>
              <w:rPr>
                <w:sz w:val="26"/>
              </w:rPr>
            </w:pPr>
            <w:r>
              <w:rPr>
                <w:w w:val="99"/>
                <w:sz w:val="26"/>
              </w:rPr>
              <w:t>5</w:t>
            </w:r>
          </w:p>
        </w:tc>
      </w:tr>
    </w:tbl>
    <w:p>
      <w:pPr>
        <w:pStyle w:val="BodyText"/>
        <w:rPr>
          <w:sz w:val="20"/>
        </w:rPr>
      </w:pPr>
    </w:p>
    <w:p>
      <w:pPr>
        <w:pStyle w:val="BodyText"/>
        <w:spacing w:before="7"/>
      </w:pPr>
    </w:p>
    <w:p>
      <w:pPr>
        <w:pStyle w:val="Heading2"/>
        <w:spacing w:line="360" w:lineRule="auto"/>
        <w:jc w:val="both"/>
        <w:rPr>
          <w:sz w:val="32"/>
        </w:rPr>
      </w:pPr>
      <w:r>
        <w:rPr/>
        <w:t>Câu 2: Theo Anh (Chị) lợi thế cạnh tranh của cảng container sẽ được biểu hiện bằng gì những thông tin dưới đây</w:t>
      </w:r>
      <w:r>
        <w:rPr>
          <w:sz w:val="32"/>
        </w:rPr>
        <w:t>?</w:t>
      </w:r>
    </w:p>
    <w:p>
      <w:pPr>
        <w:spacing w:after="0" w:line="360" w:lineRule="auto"/>
        <w:jc w:val="both"/>
        <w:rPr>
          <w:sz w:val="32"/>
        </w:rPr>
        <w:sectPr>
          <w:pgSz w:w="11910" w:h="16850"/>
          <w:pgMar w:header="751" w:footer="0" w:top="960" w:bottom="280" w:left="820" w:right="240"/>
        </w:sectPr>
      </w:pPr>
    </w:p>
    <w:p>
      <w:pPr>
        <w:pStyle w:val="BodyText"/>
        <w:spacing w:before="9"/>
        <w:rPr>
          <w:b/>
          <w:sz w:val="23"/>
        </w:rPr>
      </w:pPr>
    </w:p>
    <w:tbl>
      <w:tblPr>
        <w:tblW w:w="0" w:type="auto"/>
        <w:jc w:val="left"/>
        <w:tblInd w:w="1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632"/>
        <w:gridCol w:w="5941"/>
        <w:gridCol w:w="900"/>
        <w:gridCol w:w="811"/>
        <w:gridCol w:w="720"/>
        <w:gridCol w:w="808"/>
        <w:gridCol w:w="810"/>
      </w:tblGrid>
      <w:tr>
        <w:trPr>
          <w:trHeight w:val="2071" w:hRule="atLeast"/>
        </w:trPr>
        <w:tc>
          <w:tcPr>
            <w:tcW w:w="632" w:type="dxa"/>
          </w:tcPr>
          <w:p>
            <w:pPr>
              <w:pStyle w:val="TableParagraph"/>
              <w:rPr>
                <w:b/>
                <w:sz w:val="28"/>
              </w:rPr>
            </w:pPr>
          </w:p>
          <w:p>
            <w:pPr>
              <w:pStyle w:val="TableParagraph"/>
              <w:rPr>
                <w:b/>
                <w:sz w:val="28"/>
              </w:rPr>
            </w:pPr>
          </w:p>
          <w:p>
            <w:pPr>
              <w:pStyle w:val="TableParagraph"/>
              <w:spacing w:before="169"/>
              <w:ind w:left="135" w:right="129"/>
              <w:jc w:val="center"/>
              <w:rPr>
                <w:b/>
                <w:sz w:val="26"/>
              </w:rPr>
            </w:pPr>
            <w:r>
              <w:rPr>
                <w:b/>
                <w:sz w:val="26"/>
              </w:rPr>
              <w:t>Stt</w:t>
            </w:r>
          </w:p>
        </w:tc>
        <w:tc>
          <w:tcPr>
            <w:tcW w:w="5941" w:type="dxa"/>
          </w:tcPr>
          <w:p>
            <w:pPr>
              <w:pStyle w:val="TableParagraph"/>
              <w:rPr>
                <w:b/>
                <w:sz w:val="28"/>
              </w:rPr>
            </w:pPr>
          </w:p>
          <w:p>
            <w:pPr>
              <w:pStyle w:val="TableParagraph"/>
              <w:rPr>
                <w:b/>
                <w:sz w:val="28"/>
              </w:rPr>
            </w:pPr>
          </w:p>
          <w:p>
            <w:pPr>
              <w:pStyle w:val="TableParagraph"/>
              <w:spacing w:before="169"/>
              <w:ind w:left="1943"/>
              <w:rPr>
                <w:b/>
                <w:sz w:val="26"/>
              </w:rPr>
            </w:pPr>
            <w:r>
              <w:rPr>
                <w:b/>
                <w:sz w:val="26"/>
              </w:rPr>
              <w:t>CÁC PHÁT BIỂU</w:t>
            </w:r>
          </w:p>
        </w:tc>
        <w:tc>
          <w:tcPr>
            <w:tcW w:w="900" w:type="dxa"/>
          </w:tcPr>
          <w:p>
            <w:pPr>
              <w:pStyle w:val="TableParagraph"/>
              <w:spacing w:line="360" w:lineRule="auto"/>
              <w:ind w:left="128" w:right="115" w:firstLine="40"/>
              <w:jc w:val="both"/>
              <w:rPr>
                <w:b/>
                <w:sz w:val="24"/>
              </w:rPr>
            </w:pPr>
            <w:r>
              <w:rPr>
                <w:b/>
                <w:sz w:val="24"/>
              </w:rPr>
              <w:t>Hoàn toàn không đồng</w:t>
            </w:r>
          </w:p>
          <w:p>
            <w:pPr>
              <w:pStyle w:val="TableParagraph"/>
              <w:ind w:left="68"/>
              <w:jc w:val="center"/>
              <w:rPr>
                <w:b/>
                <w:sz w:val="24"/>
              </w:rPr>
            </w:pPr>
            <w:r>
              <w:rPr>
                <w:b/>
                <w:sz w:val="24"/>
              </w:rPr>
              <w:t>ý</w:t>
            </w:r>
          </w:p>
        </w:tc>
        <w:tc>
          <w:tcPr>
            <w:tcW w:w="811" w:type="dxa"/>
          </w:tcPr>
          <w:p>
            <w:pPr>
              <w:pStyle w:val="TableParagraph"/>
              <w:rPr>
                <w:b/>
                <w:sz w:val="26"/>
              </w:rPr>
            </w:pPr>
          </w:p>
          <w:p>
            <w:pPr>
              <w:pStyle w:val="TableParagraph"/>
              <w:spacing w:before="11"/>
              <w:rPr>
                <w:b/>
                <w:sz w:val="27"/>
              </w:rPr>
            </w:pPr>
          </w:p>
          <w:p>
            <w:pPr>
              <w:pStyle w:val="TableParagraph"/>
              <w:spacing w:line="360" w:lineRule="auto"/>
              <w:ind w:left="-4" w:right="106"/>
              <w:jc w:val="center"/>
              <w:rPr>
                <w:b/>
                <w:sz w:val="24"/>
              </w:rPr>
            </w:pPr>
            <w:r>
              <w:rPr>
                <w:b/>
                <w:sz w:val="24"/>
              </w:rPr>
              <w:t>Không đồng</w:t>
            </w:r>
          </w:p>
          <w:p>
            <w:pPr>
              <w:pStyle w:val="TableParagraph"/>
              <w:ind w:right="51"/>
              <w:jc w:val="center"/>
              <w:rPr>
                <w:b/>
                <w:sz w:val="24"/>
              </w:rPr>
            </w:pPr>
            <w:r>
              <w:rPr>
                <w:b/>
                <w:sz w:val="24"/>
              </w:rPr>
              <w:t>ý</w:t>
            </w:r>
          </w:p>
        </w:tc>
        <w:tc>
          <w:tcPr>
            <w:tcW w:w="720" w:type="dxa"/>
          </w:tcPr>
          <w:p>
            <w:pPr>
              <w:pStyle w:val="TableParagraph"/>
              <w:rPr>
                <w:b/>
                <w:sz w:val="26"/>
              </w:rPr>
            </w:pPr>
          </w:p>
          <w:p>
            <w:pPr>
              <w:pStyle w:val="TableParagraph"/>
              <w:spacing w:before="11"/>
              <w:rPr>
                <w:b/>
                <w:sz w:val="27"/>
              </w:rPr>
            </w:pPr>
          </w:p>
          <w:p>
            <w:pPr>
              <w:pStyle w:val="TableParagraph"/>
              <w:spacing w:line="360" w:lineRule="auto"/>
              <w:ind w:left="199" w:right="6" w:hanging="169"/>
              <w:rPr>
                <w:b/>
                <w:sz w:val="24"/>
              </w:rPr>
            </w:pPr>
            <w:r>
              <w:rPr>
                <w:b/>
                <w:sz w:val="24"/>
              </w:rPr>
              <w:t>Trung hòa</w:t>
            </w:r>
          </w:p>
        </w:tc>
        <w:tc>
          <w:tcPr>
            <w:tcW w:w="808" w:type="dxa"/>
          </w:tcPr>
          <w:p>
            <w:pPr>
              <w:pStyle w:val="TableParagraph"/>
              <w:rPr>
                <w:b/>
                <w:sz w:val="26"/>
              </w:rPr>
            </w:pPr>
          </w:p>
          <w:p>
            <w:pPr>
              <w:pStyle w:val="TableParagraph"/>
              <w:spacing w:before="11"/>
              <w:rPr>
                <w:b/>
                <w:sz w:val="27"/>
              </w:rPr>
            </w:pPr>
          </w:p>
          <w:p>
            <w:pPr>
              <w:pStyle w:val="TableParagraph"/>
              <w:spacing w:line="360" w:lineRule="auto"/>
              <w:ind w:left="372" w:right="104" w:hanging="245"/>
              <w:rPr>
                <w:b/>
                <w:sz w:val="24"/>
              </w:rPr>
            </w:pPr>
            <w:r>
              <w:rPr>
                <w:b/>
                <w:sz w:val="24"/>
              </w:rPr>
              <w:t>Đồng ý</w:t>
            </w:r>
          </w:p>
        </w:tc>
        <w:tc>
          <w:tcPr>
            <w:tcW w:w="810" w:type="dxa"/>
          </w:tcPr>
          <w:p>
            <w:pPr>
              <w:pStyle w:val="TableParagraph"/>
              <w:spacing w:line="360" w:lineRule="auto" w:before="207"/>
              <w:ind w:left="70" w:right="166"/>
              <w:jc w:val="center"/>
              <w:rPr>
                <w:b/>
                <w:sz w:val="24"/>
              </w:rPr>
            </w:pPr>
            <w:r>
              <w:rPr>
                <w:b/>
                <w:sz w:val="24"/>
              </w:rPr>
              <w:t>Hoàn toàn đồng ý</w:t>
            </w:r>
          </w:p>
        </w:tc>
      </w:tr>
      <w:tr>
        <w:trPr>
          <w:trHeight w:val="448" w:hRule="atLeast"/>
        </w:trPr>
        <w:tc>
          <w:tcPr>
            <w:tcW w:w="10622" w:type="dxa"/>
            <w:gridSpan w:val="7"/>
          </w:tcPr>
          <w:p>
            <w:pPr>
              <w:pStyle w:val="TableParagraph"/>
              <w:spacing w:before="2"/>
              <w:ind w:left="-1"/>
              <w:rPr>
                <w:b/>
                <w:sz w:val="26"/>
              </w:rPr>
            </w:pPr>
            <w:r>
              <w:rPr>
                <w:b/>
                <w:sz w:val="26"/>
              </w:rPr>
              <w:t>Lợi ích của khách hàng khi sử dụng dịch vụ cảng container</w:t>
            </w:r>
          </w:p>
        </w:tc>
      </w:tr>
      <w:tr>
        <w:trPr>
          <w:trHeight w:val="897" w:hRule="atLeast"/>
        </w:trPr>
        <w:tc>
          <w:tcPr>
            <w:tcW w:w="632" w:type="dxa"/>
          </w:tcPr>
          <w:p>
            <w:pPr>
              <w:pStyle w:val="TableParagraph"/>
              <w:spacing w:before="225"/>
              <w:ind w:left="6"/>
              <w:jc w:val="center"/>
              <w:rPr>
                <w:sz w:val="26"/>
              </w:rPr>
            </w:pPr>
            <w:r>
              <w:rPr>
                <w:w w:val="99"/>
                <w:sz w:val="26"/>
              </w:rPr>
              <w:t>1</w:t>
            </w:r>
          </w:p>
        </w:tc>
        <w:tc>
          <w:tcPr>
            <w:tcW w:w="5941" w:type="dxa"/>
          </w:tcPr>
          <w:p>
            <w:pPr>
              <w:pStyle w:val="TableParagraph"/>
              <w:spacing w:before="2"/>
              <w:ind w:left="107"/>
              <w:rPr>
                <w:sz w:val="26"/>
              </w:rPr>
            </w:pPr>
            <w:r>
              <w:rPr>
                <w:sz w:val="26"/>
              </w:rPr>
              <w:t>Lợi ích khách hàng nhận được khi sử dụng dịch vụ</w:t>
            </w:r>
          </w:p>
          <w:p>
            <w:pPr>
              <w:pStyle w:val="TableParagraph"/>
              <w:spacing w:before="149"/>
              <w:ind w:left="107"/>
              <w:rPr>
                <w:sz w:val="26"/>
              </w:rPr>
            </w:pPr>
            <w:r>
              <w:rPr>
                <w:sz w:val="26"/>
              </w:rPr>
              <w:t>cảng xứng đáng với thời gian bỏ ra</w:t>
            </w:r>
          </w:p>
        </w:tc>
        <w:tc>
          <w:tcPr>
            <w:tcW w:w="900" w:type="dxa"/>
          </w:tcPr>
          <w:p>
            <w:pPr>
              <w:pStyle w:val="TableParagraph"/>
              <w:spacing w:before="2"/>
              <w:ind w:left="6"/>
              <w:jc w:val="center"/>
              <w:rPr>
                <w:sz w:val="26"/>
              </w:rPr>
            </w:pPr>
            <w:r>
              <w:rPr>
                <w:w w:val="99"/>
                <w:sz w:val="26"/>
              </w:rPr>
              <w:t>1</w:t>
            </w:r>
          </w:p>
        </w:tc>
        <w:tc>
          <w:tcPr>
            <w:tcW w:w="811" w:type="dxa"/>
          </w:tcPr>
          <w:p>
            <w:pPr>
              <w:pStyle w:val="TableParagraph"/>
              <w:spacing w:before="2"/>
              <w:ind w:left="4"/>
              <w:jc w:val="center"/>
              <w:rPr>
                <w:sz w:val="26"/>
              </w:rPr>
            </w:pPr>
            <w:r>
              <w:rPr>
                <w:w w:val="99"/>
                <w:sz w:val="26"/>
              </w:rPr>
              <w:t>2</w:t>
            </w:r>
          </w:p>
        </w:tc>
        <w:tc>
          <w:tcPr>
            <w:tcW w:w="720" w:type="dxa"/>
          </w:tcPr>
          <w:p>
            <w:pPr>
              <w:pStyle w:val="TableParagraph"/>
              <w:spacing w:before="2"/>
              <w:ind w:left="5"/>
              <w:jc w:val="center"/>
              <w:rPr>
                <w:sz w:val="26"/>
              </w:rPr>
            </w:pPr>
            <w:r>
              <w:rPr>
                <w:w w:val="99"/>
                <w:sz w:val="26"/>
              </w:rPr>
              <w:t>3</w:t>
            </w:r>
          </w:p>
        </w:tc>
        <w:tc>
          <w:tcPr>
            <w:tcW w:w="808" w:type="dxa"/>
          </w:tcPr>
          <w:p>
            <w:pPr>
              <w:pStyle w:val="TableParagraph"/>
              <w:spacing w:before="2"/>
              <w:ind w:left="4"/>
              <w:jc w:val="center"/>
              <w:rPr>
                <w:sz w:val="26"/>
              </w:rPr>
            </w:pPr>
            <w:r>
              <w:rPr>
                <w:w w:val="99"/>
                <w:sz w:val="26"/>
              </w:rPr>
              <w:t>4</w:t>
            </w:r>
          </w:p>
        </w:tc>
        <w:tc>
          <w:tcPr>
            <w:tcW w:w="810" w:type="dxa"/>
          </w:tcPr>
          <w:p>
            <w:pPr>
              <w:pStyle w:val="TableParagraph"/>
              <w:spacing w:before="2"/>
              <w:ind w:left="8"/>
              <w:jc w:val="center"/>
              <w:rPr>
                <w:sz w:val="26"/>
              </w:rPr>
            </w:pPr>
            <w:r>
              <w:rPr>
                <w:w w:val="99"/>
                <w:sz w:val="26"/>
              </w:rPr>
              <w:t>5</w:t>
            </w:r>
          </w:p>
        </w:tc>
      </w:tr>
      <w:tr>
        <w:trPr>
          <w:trHeight w:val="897" w:hRule="atLeast"/>
        </w:trPr>
        <w:tc>
          <w:tcPr>
            <w:tcW w:w="632" w:type="dxa"/>
          </w:tcPr>
          <w:p>
            <w:pPr>
              <w:pStyle w:val="TableParagraph"/>
              <w:spacing w:before="225"/>
              <w:ind w:left="6"/>
              <w:jc w:val="center"/>
              <w:rPr>
                <w:sz w:val="26"/>
              </w:rPr>
            </w:pPr>
            <w:r>
              <w:rPr>
                <w:w w:val="99"/>
                <w:sz w:val="26"/>
              </w:rPr>
              <w:t>2</w:t>
            </w:r>
          </w:p>
        </w:tc>
        <w:tc>
          <w:tcPr>
            <w:tcW w:w="5941" w:type="dxa"/>
          </w:tcPr>
          <w:p>
            <w:pPr>
              <w:pStyle w:val="TableParagraph"/>
              <w:spacing w:before="2"/>
              <w:ind w:left="107"/>
              <w:rPr>
                <w:sz w:val="26"/>
              </w:rPr>
            </w:pPr>
            <w:r>
              <w:rPr>
                <w:sz w:val="26"/>
              </w:rPr>
              <w:t>Lợi ích khách hàng nhận được khi sử dụng dịch vụ</w:t>
            </w:r>
          </w:p>
          <w:p>
            <w:pPr>
              <w:pStyle w:val="TableParagraph"/>
              <w:spacing w:before="150"/>
              <w:ind w:left="107"/>
              <w:rPr>
                <w:sz w:val="26"/>
              </w:rPr>
            </w:pPr>
            <w:r>
              <w:rPr>
                <w:sz w:val="26"/>
              </w:rPr>
              <w:t>cảng xứng đáng với chi phí bỏ ra</w:t>
            </w:r>
          </w:p>
        </w:tc>
        <w:tc>
          <w:tcPr>
            <w:tcW w:w="900" w:type="dxa"/>
          </w:tcPr>
          <w:p>
            <w:pPr>
              <w:pStyle w:val="TableParagraph"/>
              <w:spacing w:before="2"/>
              <w:ind w:left="6"/>
              <w:jc w:val="center"/>
              <w:rPr>
                <w:sz w:val="26"/>
              </w:rPr>
            </w:pPr>
            <w:r>
              <w:rPr>
                <w:w w:val="99"/>
                <w:sz w:val="26"/>
              </w:rPr>
              <w:t>1</w:t>
            </w:r>
          </w:p>
        </w:tc>
        <w:tc>
          <w:tcPr>
            <w:tcW w:w="811" w:type="dxa"/>
          </w:tcPr>
          <w:p>
            <w:pPr>
              <w:pStyle w:val="TableParagraph"/>
              <w:spacing w:before="2"/>
              <w:ind w:left="4"/>
              <w:jc w:val="center"/>
              <w:rPr>
                <w:sz w:val="26"/>
              </w:rPr>
            </w:pPr>
            <w:r>
              <w:rPr>
                <w:w w:val="99"/>
                <w:sz w:val="26"/>
              </w:rPr>
              <w:t>2</w:t>
            </w:r>
          </w:p>
        </w:tc>
        <w:tc>
          <w:tcPr>
            <w:tcW w:w="720" w:type="dxa"/>
          </w:tcPr>
          <w:p>
            <w:pPr>
              <w:pStyle w:val="TableParagraph"/>
              <w:spacing w:before="2"/>
              <w:ind w:left="5"/>
              <w:jc w:val="center"/>
              <w:rPr>
                <w:sz w:val="26"/>
              </w:rPr>
            </w:pPr>
            <w:r>
              <w:rPr>
                <w:w w:val="99"/>
                <w:sz w:val="26"/>
              </w:rPr>
              <w:t>3</w:t>
            </w:r>
          </w:p>
        </w:tc>
        <w:tc>
          <w:tcPr>
            <w:tcW w:w="808" w:type="dxa"/>
          </w:tcPr>
          <w:p>
            <w:pPr>
              <w:pStyle w:val="TableParagraph"/>
              <w:spacing w:before="2"/>
              <w:ind w:left="4"/>
              <w:jc w:val="center"/>
              <w:rPr>
                <w:sz w:val="26"/>
              </w:rPr>
            </w:pPr>
            <w:r>
              <w:rPr>
                <w:w w:val="99"/>
                <w:sz w:val="26"/>
              </w:rPr>
              <w:t>4</w:t>
            </w:r>
          </w:p>
        </w:tc>
        <w:tc>
          <w:tcPr>
            <w:tcW w:w="810" w:type="dxa"/>
          </w:tcPr>
          <w:p>
            <w:pPr>
              <w:pStyle w:val="TableParagraph"/>
              <w:spacing w:before="2"/>
              <w:ind w:left="8"/>
              <w:jc w:val="center"/>
              <w:rPr>
                <w:sz w:val="26"/>
              </w:rPr>
            </w:pPr>
            <w:r>
              <w:rPr>
                <w:w w:val="99"/>
                <w:sz w:val="26"/>
              </w:rPr>
              <w:t>5</w:t>
            </w:r>
          </w:p>
        </w:tc>
      </w:tr>
      <w:tr>
        <w:trPr>
          <w:trHeight w:val="894" w:hRule="atLeast"/>
        </w:trPr>
        <w:tc>
          <w:tcPr>
            <w:tcW w:w="632" w:type="dxa"/>
          </w:tcPr>
          <w:p>
            <w:pPr>
              <w:pStyle w:val="TableParagraph"/>
              <w:spacing w:before="225"/>
              <w:ind w:left="6"/>
              <w:jc w:val="center"/>
              <w:rPr>
                <w:sz w:val="26"/>
              </w:rPr>
            </w:pPr>
            <w:r>
              <w:rPr>
                <w:w w:val="99"/>
                <w:sz w:val="26"/>
              </w:rPr>
              <w:t>3</w:t>
            </w:r>
          </w:p>
        </w:tc>
        <w:tc>
          <w:tcPr>
            <w:tcW w:w="5941" w:type="dxa"/>
          </w:tcPr>
          <w:p>
            <w:pPr>
              <w:pStyle w:val="TableParagraph"/>
              <w:spacing w:before="2"/>
              <w:ind w:left="107"/>
              <w:rPr>
                <w:sz w:val="26"/>
              </w:rPr>
            </w:pPr>
            <w:r>
              <w:rPr>
                <w:sz w:val="26"/>
              </w:rPr>
              <w:t>Khách hàng có thể sử dụng nhiều dịch vụ hơn so với</w:t>
            </w:r>
          </w:p>
          <w:p>
            <w:pPr>
              <w:pStyle w:val="TableParagraph"/>
              <w:spacing w:before="149"/>
              <w:ind w:left="107"/>
              <w:rPr>
                <w:sz w:val="26"/>
              </w:rPr>
            </w:pPr>
            <w:r>
              <w:rPr>
                <w:sz w:val="26"/>
              </w:rPr>
              <w:t>nhu cầu</w:t>
            </w:r>
          </w:p>
        </w:tc>
        <w:tc>
          <w:tcPr>
            <w:tcW w:w="900" w:type="dxa"/>
          </w:tcPr>
          <w:p>
            <w:pPr>
              <w:pStyle w:val="TableParagraph"/>
              <w:spacing w:before="2"/>
              <w:ind w:left="6"/>
              <w:jc w:val="center"/>
              <w:rPr>
                <w:sz w:val="26"/>
              </w:rPr>
            </w:pPr>
            <w:r>
              <w:rPr>
                <w:w w:val="99"/>
                <w:sz w:val="26"/>
              </w:rPr>
              <w:t>1</w:t>
            </w:r>
          </w:p>
        </w:tc>
        <w:tc>
          <w:tcPr>
            <w:tcW w:w="811" w:type="dxa"/>
          </w:tcPr>
          <w:p>
            <w:pPr>
              <w:pStyle w:val="TableParagraph"/>
              <w:spacing w:before="2"/>
              <w:ind w:left="4"/>
              <w:jc w:val="center"/>
              <w:rPr>
                <w:sz w:val="26"/>
              </w:rPr>
            </w:pPr>
            <w:r>
              <w:rPr>
                <w:w w:val="99"/>
                <w:sz w:val="26"/>
              </w:rPr>
              <w:t>2</w:t>
            </w:r>
          </w:p>
        </w:tc>
        <w:tc>
          <w:tcPr>
            <w:tcW w:w="720" w:type="dxa"/>
          </w:tcPr>
          <w:p>
            <w:pPr>
              <w:pStyle w:val="TableParagraph"/>
              <w:spacing w:before="2"/>
              <w:ind w:left="5"/>
              <w:jc w:val="center"/>
              <w:rPr>
                <w:sz w:val="26"/>
              </w:rPr>
            </w:pPr>
            <w:r>
              <w:rPr>
                <w:w w:val="99"/>
                <w:sz w:val="26"/>
              </w:rPr>
              <w:t>3</w:t>
            </w:r>
          </w:p>
        </w:tc>
        <w:tc>
          <w:tcPr>
            <w:tcW w:w="808" w:type="dxa"/>
          </w:tcPr>
          <w:p>
            <w:pPr>
              <w:pStyle w:val="TableParagraph"/>
              <w:spacing w:before="2"/>
              <w:ind w:left="4"/>
              <w:jc w:val="center"/>
              <w:rPr>
                <w:sz w:val="26"/>
              </w:rPr>
            </w:pPr>
            <w:r>
              <w:rPr>
                <w:w w:val="99"/>
                <w:sz w:val="26"/>
              </w:rPr>
              <w:t>4</w:t>
            </w:r>
          </w:p>
        </w:tc>
        <w:tc>
          <w:tcPr>
            <w:tcW w:w="810" w:type="dxa"/>
          </w:tcPr>
          <w:p>
            <w:pPr>
              <w:pStyle w:val="TableParagraph"/>
              <w:spacing w:before="2"/>
              <w:ind w:left="8"/>
              <w:jc w:val="center"/>
              <w:rPr>
                <w:sz w:val="26"/>
              </w:rPr>
            </w:pPr>
            <w:r>
              <w:rPr>
                <w:w w:val="99"/>
                <w:sz w:val="26"/>
              </w:rPr>
              <w:t>5</w:t>
            </w:r>
          </w:p>
        </w:tc>
      </w:tr>
      <w:tr>
        <w:trPr>
          <w:trHeight w:val="450" w:hRule="atLeast"/>
        </w:trPr>
        <w:tc>
          <w:tcPr>
            <w:tcW w:w="10622" w:type="dxa"/>
            <w:gridSpan w:val="7"/>
          </w:tcPr>
          <w:p>
            <w:pPr>
              <w:pStyle w:val="TableParagraph"/>
              <w:spacing w:before="4"/>
              <w:ind w:left="107"/>
              <w:rPr>
                <w:b/>
                <w:sz w:val="26"/>
              </w:rPr>
            </w:pPr>
            <w:r>
              <w:rPr>
                <w:b/>
                <w:sz w:val="26"/>
              </w:rPr>
              <w:t>Sự hài lòng khách hàng cảng container</w:t>
            </w:r>
          </w:p>
        </w:tc>
      </w:tr>
      <w:tr>
        <w:trPr>
          <w:trHeight w:val="448" w:hRule="atLeast"/>
        </w:trPr>
        <w:tc>
          <w:tcPr>
            <w:tcW w:w="632" w:type="dxa"/>
          </w:tcPr>
          <w:p>
            <w:pPr>
              <w:pStyle w:val="TableParagraph"/>
              <w:spacing w:before="2"/>
              <w:ind w:left="6"/>
              <w:jc w:val="center"/>
              <w:rPr>
                <w:sz w:val="26"/>
              </w:rPr>
            </w:pPr>
            <w:r>
              <w:rPr>
                <w:w w:val="99"/>
                <w:sz w:val="26"/>
              </w:rPr>
              <w:t>6</w:t>
            </w:r>
          </w:p>
        </w:tc>
        <w:tc>
          <w:tcPr>
            <w:tcW w:w="5941" w:type="dxa"/>
          </w:tcPr>
          <w:p>
            <w:pPr>
              <w:pStyle w:val="TableParagraph"/>
              <w:spacing w:before="2"/>
              <w:ind w:left="107"/>
              <w:rPr>
                <w:sz w:val="26"/>
              </w:rPr>
            </w:pPr>
            <w:r>
              <w:rPr>
                <w:sz w:val="26"/>
              </w:rPr>
              <w:t>Người gửi hàng rất hài lòng vào dịch vụ cảng</w:t>
            </w:r>
          </w:p>
        </w:tc>
        <w:tc>
          <w:tcPr>
            <w:tcW w:w="900" w:type="dxa"/>
          </w:tcPr>
          <w:p>
            <w:pPr>
              <w:pStyle w:val="TableParagraph"/>
              <w:spacing w:before="2"/>
              <w:ind w:left="6"/>
              <w:jc w:val="center"/>
              <w:rPr>
                <w:sz w:val="26"/>
              </w:rPr>
            </w:pPr>
            <w:r>
              <w:rPr>
                <w:w w:val="99"/>
                <w:sz w:val="26"/>
              </w:rPr>
              <w:t>1</w:t>
            </w:r>
          </w:p>
        </w:tc>
        <w:tc>
          <w:tcPr>
            <w:tcW w:w="811" w:type="dxa"/>
          </w:tcPr>
          <w:p>
            <w:pPr>
              <w:pStyle w:val="TableParagraph"/>
              <w:spacing w:before="2"/>
              <w:ind w:left="4"/>
              <w:jc w:val="center"/>
              <w:rPr>
                <w:sz w:val="26"/>
              </w:rPr>
            </w:pPr>
            <w:r>
              <w:rPr>
                <w:w w:val="99"/>
                <w:sz w:val="26"/>
              </w:rPr>
              <w:t>2</w:t>
            </w:r>
          </w:p>
        </w:tc>
        <w:tc>
          <w:tcPr>
            <w:tcW w:w="720" w:type="dxa"/>
          </w:tcPr>
          <w:p>
            <w:pPr>
              <w:pStyle w:val="TableParagraph"/>
              <w:spacing w:before="2"/>
              <w:ind w:left="5"/>
              <w:jc w:val="center"/>
              <w:rPr>
                <w:sz w:val="26"/>
              </w:rPr>
            </w:pPr>
            <w:r>
              <w:rPr>
                <w:w w:val="99"/>
                <w:sz w:val="26"/>
              </w:rPr>
              <w:t>3</w:t>
            </w:r>
          </w:p>
        </w:tc>
        <w:tc>
          <w:tcPr>
            <w:tcW w:w="808" w:type="dxa"/>
          </w:tcPr>
          <w:p>
            <w:pPr>
              <w:pStyle w:val="TableParagraph"/>
              <w:spacing w:before="2"/>
              <w:ind w:left="4"/>
              <w:jc w:val="center"/>
              <w:rPr>
                <w:sz w:val="26"/>
              </w:rPr>
            </w:pPr>
            <w:r>
              <w:rPr>
                <w:w w:val="99"/>
                <w:sz w:val="26"/>
              </w:rPr>
              <w:t>4</w:t>
            </w:r>
          </w:p>
        </w:tc>
        <w:tc>
          <w:tcPr>
            <w:tcW w:w="810" w:type="dxa"/>
          </w:tcPr>
          <w:p>
            <w:pPr>
              <w:pStyle w:val="TableParagraph"/>
              <w:spacing w:before="2"/>
              <w:ind w:left="8"/>
              <w:jc w:val="center"/>
              <w:rPr>
                <w:sz w:val="26"/>
              </w:rPr>
            </w:pPr>
            <w:r>
              <w:rPr>
                <w:w w:val="99"/>
                <w:sz w:val="26"/>
              </w:rPr>
              <w:t>5</w:t>
            </w:r>
          </w:p>
        </w:tc>
      </w:tr>
      <w:tr>
        <w:trPr>
          <w:trHeight w:val="448" w:hRule="atLeast"/>
        </w:trPr>
        <w:tc>
          <w:tcPr>
            <w:tcW w:w="632" w:type="dxa"/>
          </w:tcPr>
          <w:p>
            <w:pPr>
              <w:pStyle w:val="TableParagraph"/>
              <w:spacing w:before="2"/>
              <w:ind w:left="6"/>
              <w:jc w:val="center"/>
              <w:rPr>
                <w:sz w:val="26"/>
              </w:rPr>
            </w:pPr>
            <w:r>
              <w:rPr>
                <w:w w:val="99"/>
                <w:sz w:val="26"/>
              </w:rPr>
              <w:t>7</w:t>
            </w:r>
          </w:p>
        </w:tc>
        <w:tc>
          <w:tcPr>
            <w:tcW w:w="5941" w:type="dxa"/>
          </w:tcPr>
          <w:p>
            <w:pPr>
              <w:pStyle w:val="TableParagraph"/>
              <w:spacing w:before="2"/>
              <w:ind w:left="107"/>
              <w:rPr>
                <w:sz w:val="26"/>
              </w:rPr>
            </w:pPr>
            <w:r>
              <w:rPr>
                <w:sz w:val="26"/>
              </w:rPr>
              <w:t>Chủ tàu rất hài lòng về dịch vụ cảng</w:t>
            </w:r>
          </w:p>
        </w:tc>
        <w:tc>
          <w:tcPr>
            <w:tcW w:w="900" w:type="dxa"/>
          </w:tcPr>
          <w:p>
            <w:pPr>
              <w:pStyle w:val="TableParagraph"/>
              <w:spacing w:before="2"/>
              <w:ind w:left="6"/>
              <w:jc w:val="center"/>
              <w:rPr>
                <w:sz w:val="26"/>
              </w:rPr>
            </w:pPr>
            <w:r>
              <w:rPr>
                <w:w w:val="99"/>
                <w:sz w:val="26"/>
              </w:rPr>
              <w:t>1</w:t>
            </w:r>
          </w:p>
        </w:tc>
        <w:tc>
          <w:tcPr>
            <w:tcW w:w="811" w:type="dxa"/>
          </w:tcPr>
          <w:p>
            <w:pPr>
              <w:pStyle w:val="TableParagraph"/>
              <w:spacing w:before="2"/>
              <w:ind w:left="4"/>
              <w:jc w:val="center"/>
              <w:rPr>
                <w:sz w:val="26"/>
              </w:rPr>
            </w:pPr>
            <w:r>
              <w:rPr>
                <w:w w:val="99"/>
                <w:sz w:val="26"/>
              </w:rPr>
              <w:t>2</w:t>
            </w:r>
          </w:p>
        </w:tc>
        <w:tc>
          <w:tcPr>
            <w:tcW w:w="720" w:type="dxa"/>
          </w:tcPr>
          <w:p>
            <w:pPr>
              <w:pStyle w:val="TableParagraph"/>
              <w:spacing w:before="2"/>
              <w:ind w:left="5"/>
              <w:jc w:val="center"/>
              <w:rPr>
                <w:sz w:val="26"/>
              </w:rPr>
            </w:pPr>
            <w:r>
              <w:rPr>
                <w:w w:val="99"/>
                <w:sz w:val="26"/>
              </w:rPr>
              <w:t>3</w:t>
            </w:r>
          </w:p>
        </w:tc>
        <w:tc>
          <w:tcPr>
            <w:tcW w:w="808" w:type="dxa"/>
          </w:tcPr>
          <w:p>
            <w:pPr>
              <w:pStyle w:val="TableParagraph"/>
              <w:spacing w:before="2"/>
              <w:ind w:left="4"/>
              <w:jc w:val="center"/>
              <w:rPr>
                <w:sz w:val="26"/>
              </w:rPr>
            </w:pPr>
            <w:r>
              <w:rPr>
                <w:w w:val="99"/>
                <w:sz w:val="26"/>
              </w:rPr>
              <w:t>4</w:t>
            </w:r>
          </w:p>
        </w:tc>
        <w:tc>
          <w:tcPr>
            <w:tcW w:w="810" w:type="dxa"/>
          </w:tcPr>
          <w:p>
            <w:pPr>
              <w:pStyle w:val="TableParagraph"/>
              <w:spacing w:before="2"/>
              <w:ind w:left="8"/>
              <w:jc w:val="center"/>
              <w:rPr>
                <w:sz w:val="26"/>
              </w:rPr>
            </w:pPr>
            <w:r>
              <w:rPr>
                <w:w w:val="99"/>
                <w:sz w:val="26"/>
              </w:rPr>
              <w:t>5</w:t>
            </w:r>
          </w:p>
        </w:tc>
      </w:tr>
      <w:tr>
        <w:trPr>
          <w:trHeight w:val="897" w:hRule="atLeast"/>
        </w:trPr>
        <w:tc>
          <w:tcPr>
            <w:tcW w:w="632" w:type="dxa"/>
          </w:tcPr>
          <w:p>
            <w:pPr>
              <w:pStyle w:val="TableParagraph"/>
              <w:spacing w:before="225"/>
              <w:ind w:left="6"/>
              <w:jc w:val="center"/>
              <w:rPr>
                <w:sz w:val="26"/>
              </w:rPr>
            </w:pPr>
            <w:r>
              <w:rPr>
                <w:w w:val="99"/>
                <w:sz w:val="26"/>
              </w:rPr>
              <w:t>8</w:t>
            </w:r>
          </w:p>
        </w:tc>
        <w:tc>
          <w:tcPr>
            <w:tcW w:w="5941" w:type="dxa"/>
          </w:tcPr>
          <w:p>
            <w:pPr>
              <w:pStyle w:val="TableParagraph"/>
              <w:spacing w:before="2"/>
              <w:ind w:left="107"/>
              <w:rPr>
                <w:sz w:val="26"/>
              </w:rPr>
            </w:pPr>
            <w:r>
              <w:rPr>
                <w:sz w:val="26"/>
              </w:rPr>
              <w:t>Đại lý và các công ty giao nhận rất hài lòng về dịch vụ</w:t>
            </w:r>
          </w:p>
          <w:p>
            <w:pPr>
              <w:pStyle w:val="TableParagraph"/>
              <w:spacing w:before="149"/>
              <w:ind w:left="107"/>
              <w:rPr>
                <w:sz w:val="26"/>
              </w:rPr>
            </w:pPr>
            <w:r>
              <w:rPr>
                <w:sz w:val="26"/>
              </w:rPr>
              <w:t>cảng</w:t>
            </w:r>
          </w:p>
        </w:tc>
        <w:tc>
          <w:tcPr>
            <w:tcW w:w="900" w:type="dxa"/>
          </w:tcPr>
          <w:p>
            <w:pPr>
              <w:pStyle w:val="TableParagraph"/>
              <w:spacing w:before="2"/>
              <w:ind w:left="6"/>
              <w:jc w:val="center"/>
              <w:rPr>
                <w:sz w:val="26"/>
              </w:rPr>
            </w:pPr>
            <w:r>
              <w:rPr>
                <w:w w:val="99"/>
                <w:sz w:val="26"/>
              </w:rPr>
              <w:t>1</w:t>
            </w:r>
          </w:p>
        </w:tc>
        <w:tc>
          <w:tcPr>
            <w:tcW w:w="811" w:type="dxa"/>
          </w:tcPr>
          <w:p>
            <w:pPr>
              <w:pStyle w:val="TableParagraph"/>
              <w:spacing w:before="2"/>
              <w:ind w:left="4"/>
              <w:jc w:val="center"/>
              <w:rPr>
                <w:sz w:val="26"/>
              </w:rPr>
            </w:pPr>
            <w:r>
              <w:rPr>
                <w:w w:val="99"/>
                <w:sz w:val="26"/>
              </w:rPr>
              <w:t>2</w:t>
            </w:r>
          </w:p>
        </w:tc>
        <w:tc>
          <w:tcPr>
            <w:tcW w:w="720" w:type="dxa"/>
          </w:tcPr>
          <w:p>
            <w:pPr>
              <w:pStyle w:val="TableParagraph"/>
              <w:spacing w:before="2"/>
              <w:ind w:left="5"/>
              <w:jc w:val="center"/>
              <w:rPr>
                <w:sz w:val="26"/>
              </w:rPr>
            </w:pPr>
            <w:r>
              <w:rPr>
                <w:w w:val="99"/>
                <w:sz w:val="26"/>
              </w:rPr>
              <w:t>3</w:t>
            </w:r>
          </w:p>
        </w:tc>
        <w:tc>
          <w:tcPr>
            <w:tcW w:w="808" w:type="dxa"/>
          </w:tcPr>
          <w:p>
            <w:pPr>
              <w:pStyle w:val="TableParagraph"/>
              <w:spacing w:before="2"/>
              <w:ind w:left="4"/>
              <w:jc w:val="center"/>
              <w:rPr>
                <w:sz w:val="26"/>
              </w:rPr>
            </w:pPr>
            <w:r>
              <w:rPr>
                <w:w w:val="99"/>
                <w:sz w:val="26"/>
              </w:rPr>
              <w:t>4</w:t>
            </w:r>
          </w:p>
        </w:tc>
        <w:tc>
          <w:tcPr>
            <w:tcW w:w="810" w:type="dxa"/>
          </w:tcPr>
          <w:p>
            <w:pPr>
              <w:pStyle w:val="TableParagraph"/>
              <w:spacing w:before="2"/>
              <w:ind w:left="8"/>
              <w:jc w:val="center"/>
              <w:rPr>
                <w:sz w:val="26"/>
              </w:rPr>
            </w:pPr>
            <w:r>
              <w:rPr>
                <w:w w:val="99"/>
                <w:sz w:val="26"/>
              </w:rPr>
              <w:t>5</w:t>
            </w:r>
          </w:p>
        </w:tc>
      </w:tr>
    </w:tbl>
    <w:p>
      <w:pPr>
        <w:pStyle w:val="BodyText"/>
        <w:spacing w:before="4"/>
        <w:rPr>
          <w:b/>
          <w:sz w:val="28"/>
        </w:rPr>
      </w:pPr>
    </w:p>
    <w:p>
      <w:pPr>
        <w:pStyle w:val="Heading3"/>
        <w:spacing w:line="360" w:lineRule="auto" w:before="86"/>
        <w:ind w:right="969"/>
        <w:jc w:val="left"/>
      </w:pPr>
      <w:r>
        <w:rPr/>
        <w:t>Câu 3: Anh (Chị) hãy cho biết vài tên cảng, khu bến bãi container mà doanh nghiệp Anh (Chị) đã từng sử dụng dịch vụ.</w:t>
      </w:r>
    </w:p>
    <w:p>
      <w:pPr>
        <w:spacing w:before="0"/>
        <w:ind w:left="882" w:right="0" w:firstLine="0"/>
        <w:jc w:val="left"/>
        <w:rPr>
          <w:sz w:val="24"/>
        </w:rPr>
      </w:pPr>
      <w:r>
        <w:rPr>
          <w:sz w:val="24"/>
        </w:rPr>
        <w:t>………………………………………………………………………………………………</w:t>
      </w:r>
    </w:p>
    <w:p>
      <w:pPr>
        <w:spacing w:before="139"/>
        <w:ind w:left="882" w:right="0" w:firstLine="0"/>
        <w:jc w:val="left"/>
        <w:rPr>
          <w:sz w:val="24"/>
        </w:rPr>
      </w:pPr>
      <w:r>
        <w:rPr>
          <w:sz w:val="24"/>
        </w:rPr>
        <w:t>………………………………………………………………………………………………</w:t>
      </w:r>
    </w:p>
    <w:p>
      <w:pPr>
        <w:spacing w:before="137"/>
        <w:ind w:left="882" w:right="0" w:firstLine="0"/>
        <w:jc w:val="left"/>
        <w:rPr>
          <w:sz w:val="24"/>
        </w:rPr>
      </w:pPr>
      <w:r>
        <w:rPr>
          <w:sz w:val="24"/>
        </w:rPr>
        <w:t>……………………………………………………………………………………………….</w:t>
      </w:r>
    </w:p>
    <w:p>
      <w:pPr>
        <w:pStyle w:val="Heading3"/>
        <w:spacing w:before="139"/>
        <w:jc w:val="left"/>
      </w:pPr>
      <w:r>
        <w:rPr/>
        <w:t>Câu 4: Hãy cho biết loại hình doanh nghiệp của Anh (Chị):</w:t>
      </w:r>
    </w:p>
    <w:p>
      <w:pPr>
        <w:pStyle w:val="BodyText"/>
        <w:spacing w:before="10"/>
        <w:rPr>
          <w:b/>
          <w:sz w:val="15"/>
        </w:rPr>
      </w:pPr>
    </w:p>
    <w:tbl>
      <w:tblPr>
        <w:tblW w:w="0" w:type="auto"/>
        <w:jc w:val="left"/>
        <w:tblInd w:w="77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2323"/>
        <w:gridCol w:w="2321"/>
        <w:gridCol w:w="2323"/>
        <w:gridCol w:w="2321"/>
      </w:tblGrid>
      <w:tr>
        <w:trPr>
          <w:trHeight w:val="451" w:hRule="atLeast"/>
        </w:trPr>
        <w:tc>
          <w:tcPr>
            <w:tcW w:w="2323" w:type="dxa"/>
          </w:tcPr>
          <w:p>
            <w:pPr>
              <w:pStyle w:val="TableParagraph"/>
              <w:spacing w:before="4"/>
              <w:ind w:left="9"/>
              <w:jc w:val="center"/>
              <w:rPr>
                <w:b/>
                <w:sz w:val="26"/>
              </w:rPr>
            </w:pPr>
            <w:r>
              <w:rPr>
                <w:b/>
                <w:w w:val="99"/>
                <w:sz w:val="26"/>
              </w:rPr>
              <w:t>1</w:t>
            </w:r>
          </w:p>
        </w:tc>
        <w:tc>
          <w:tcPr>
            <w:tcW w:w="2321" w:type="dxa"/>
          </w:tcPr>
          <w:p>
            <w:pPr>
              <w:pStyle w:val="TableParagraph"/>
              <w:spacing w:before="4"/>
              <w:ind w:left="8"/>
              <w:jc w:val="center"/>
              <w:rPr>
                <w:b/>
                <w:sz w:val="26"/>
              </w:rPr>
            </w:pPr>
            <w:r>
              <w:rPr>
                <w:b/>
                <w:w w:val="99"/>
                <w:sz w:val="26"/>
              </w:rPr>
              <w:t>2</w:t>
            </w:r>
          </w:p>
        </w:tc>
        <w:tc>
          <w:tcPr>
            <w:tcW w:w="2323" w:type="dxa"/>
          </w:tcPr>
          <w:p>
            <w:pPr>
              <w:pStyle w:val="TableParagraph"/>
              <w:spacing w:before="4"/>
              <w:ind w:left="11"/>
              <w:jc w:val="center"/>
              <w:rPr>
                <w:b/>
                <w:sz w:val="26"/>
              </w:rPr>
            </w:pPr>
            <w:r>
              <w:rPr>
                <w:b/>
                <w:w w:val="99"/>
                <w:sz w:val="26"/>
              </w:rPr>
              <w:t>3</w:t>
            </w:r>
          </w:p>
        </w:tc>
        <w:tc>
          <w:tcPr>
            <w:tcW w:w="2321" w:type="dxa"/>
          </w:tcPr>
          <w:p>
            <w:pPr>
              <w:pStyle w:val="TableParagraph"/>
              <w:spacing w:before="4"/>
              <w:ind w:left="10"/>
              <w:jc w:val="center"/>
              <w:rPr>
                <w:b/>
                <w:sz w:val="26"/>
              </w:rPr>
            </w:pPr>
            <w:r>
              <w:rPr>
                <w:b/>
                <w:w w:val="99"/>
                <w:sz w:val="26"/>
              </w:rPr>
              <w:t>4</w:t>
            </w:r>
          </w:p>
        </w:tc>
      </w:tr>
      <w:tr>
        <w:trPr>
          <w:trHeight w:val="448" w:hRule="atLeast"/>
        </w:trPr>
        <w:tc>
          <w:tcPr>
            <w:tcW w:w="2323" w:type="dxa"/>
          </w:tcPr>
          <w:p>
            <w:pPr>
              <w:pStyle w:val="TableParagraph"/>
              <w:spacing w:before="2"/>
              <w:ind w:left="272" w:right="265"/>
              <w:jc w:val="center"/>
              <w:rPr>
                <w:b/>
                <w:sz w:val="26"/>
              </w:rPr>
            </w:pPr>
            <w:r>
              <w:rPr>
                <w:b/>
                <w:sz w:val="26"/>
              </w:rPr>
              <w:t>Hãng tàu</w:t>
            </w:r>
          </w:p>
        </w:tc>
        <w:tc>
          <w:tcPr>
            <w:tcW w:w="2321" w:type="dxa"/>
          </w:tcPr>
          <w:p>
            <w:pPr>
              <w:pStyle w:val="TableParagraph"/>
              <w:spacing w:before="2"/>
              <w:ind w:left="123" w:right="117"/>
              <w:jc w:val="center"/>
              <w:rPr>
                <w:b/>
                <w:sz w:val="26"/>
              </w:rPr>
            </w:pPr>
            <w:r>
              <w:rPr>
                <w:b/>
                <w:sz w:val="26"/>
              </w:rPr>
              <w:t>Công ty giao nhận</w:t>
            </w:r>
          </w:p>
        </w:tc>
        <w:tc>
          <w:tcPr>
            <w:tcW w:w="2323" w:type="dxa"/>
          </w:tcPr>
          <w:p>
            <w:pPr>
              <w:pStyle w:val="TableParagraph"/>
              <w:spacing w:before="2"/>
              <w:ind w:left="272" w:right="266"/>
              <w:jc w:val="center"/>
              <w:rPr>
                <w:b/>
                <w:sz w:val="26"/>
              </w:rPr>
            </w:pPr>
            <w:r>
              <w:rPr>
                <w:b/>
                <w:sz w:val="26"/>
              </w:rPr>
              <w:t>Chủ hàng XNK</w:t>
            </w:r>
          </w:p>
        </w:tc>
        <w:tc>
          <w:tcPr>
            <w:tcW w:w="2321" w:type="dxa"/>
          </w:tcPr>
          <w:p>
            <w:pPr>
              <w:pStyle w:val="TableParagraph"/>
              <w:spacing w:before="2"/>
              <w:ind w:left="122" w:right="117"/>
              <w:jc w:val="center"/>
              <w:rPr>
                <w:b/>
                <w:sz w:val="26"/>
              </w:rPr>
            </w:pPr>
            <w:r>
              <w:rPr>
                <w:b/>
                <w:sz w:val="26"/>
              </w:rPr>
              <w:t>Khác</w:t>
            </w:r>
          </w:p>
        </w:tc>
      </w:tr>
    </w:tbl>
    <w:p>
      <w:pPr>
        <w:pStyle w:val="BodyText"/>
        <w:spacing w:before="9"/>
        <w:rPr>
          <w:b/>
          <w:sz w:val="35"/>
        </w:rPr>
      </w:pPr>
    </w:p>
    <w:p>
      <w:pPr>
        <w:spacing w:before="0"/>
        <w:ind w:left="882" w:right="0" w:firstLine="0"/>
        <w:jc w:val="left"/>
        <w:rPr>
          <w:sz w:val="24"/>
        </w:rPr>
      </w:pPr>
      <w:r>
        <w:rPr>
          <w:sz w:val="24"/>
        </w:rPr>
        <w:t>Câu trả lời:………………………………</w:t>
      </w:r>
    </w:p>
    <w:p>
      <w:pPr>
        <w:spacing w:before="139"/>
        <w:ind w:left="882" w:right="0" w:firstLine="0"/>
        <w:jc w:val="left"/>
        <w:rPr>
          <w:b/>
          <w:i/>
          <w:sz w:val="24"/>
        </w:rPr>
      </w:pPr>
      <w:r>
        <w:rPr>
          <w:b/>
          <w:i/>
          <w:sz w:val="24"/>
        </w:rPr>
        <w:t>Xin chân thành cảm ơn sự hợp tác của Anh (Chị)</w:t>
      </w:r>
    </w:p>
    <w:p>
      <w:pPr>
        <w:spacing w:after="0"/>
        <w:jc w:val="left"/>
        <w:rPr>
          <w:sz w:val="24"/>
        </w:rPr>
        <w:sectPr>
          <w:pgSz w:w="11910" w:h="16850"/>
          <w:pgMar w:header="751" w:footer="0" w:top="960" w:bottom="280" w:left="820" w:right="240"/>
        </w:sectPr>
      </w:pPr>
    </w:p>
    <w:p>
      <w:pPr>
        <w:pStyle w:val="BodyText"/>
        <w:spacing w:before="1"/>
        <w:rPr>
          <w:b/>
          <w:i/>
          <w:sz w:val="16"/>
        </w:rPr>
      </w:pPr>
    </w:p>
    <w:p>
      <w:pPr>
        <w:pStyle w:val="Heading4"/>
      </w:pPr>
      <w:r>
        <w:rPr/>
        <w:t>PHỤ LỤC 5</w:t>
      </w:r>
    </w:p>
    <w:p>
      <w:pPr>
        <w:spacing w:before="160"/>
        <w:ind w:left="941" w:right="952" w:firstLine="0"/>
        <w:jc w:val="center"/>
        <w:rPr>
          <w:b/>
          <w:sz w:val="28"/>
        </w:rPr>
      </w:pPr>
      <w:r>
        <w:rPr>
          <w:b/>
          <w:sz w:val="28"/>
        </w:rPr>
        <w:t>PHÂN TÍCH ĐỊNH LƯỢNG MÔ HÌNH NGHIÊN CỨU</w:t>
      </w:r>
    </w:p>
    <w:p>
      <w:pPr>
        <w:pStyle w:val="ListParagraph"/>
        <w:numPr>
          <w:ilvl w:val="0"/>
          <w:numId w:val="44"/>
        </w:numPr>
        <w:tabs>
          <w:tab w:pos="1096" w:val="left" w:leader="none"/>
        </w:tabs>
        <w:spacing w:line="360" w:lineRule="auto" w:before="162" w:after="0"/>
        <w:ind w:left="882" w:right="3601" w:firstLine="0"/>
        <w:jc w:val="left"/>
        <w:rPr>
          <w:b/>
          <w:i/>
          <w:sz w:val="24"/>
        </w:rPr>
      </w:pPr>
      <w:r>
        <w:rPr>
          <w:b/>
          <w:i/>
          <w:sz w:val="24"/>
          <w:u w:val="thick"/>
        </w:rPr>
        <w:t>Kiểm định độ tin cậy của các thang đo trong định lượng sơ bộ</w:t>
      </w:r>
      <w:r>
        <w:rPr>
          <w:b/>
          <w:i/>
          <w:sz w:val="24"/>
        </w:rPr>
        <w:t> </w:t>
      </w:r>
      <w:r>
        <w:rPr>
          <w:b/>
          <w:i/>
          <w:sz w:val="24"/>
        </w:rPr>
        <w:t>I.1: Độ tin cậy bằng Cronbach’s</w:t>
      </w:r>
      <w:r>
        <w:rPr>
          <w:b/>
          <w:i/>
          <w:spacing w:val="-3"/>
          <w:sz w:val="24"/>
        </w:rPr>
        <w:t> </w:t>
      </w:r>
      <w:r>
        <w:rPr>
          <w:b/>
          <w:i/>
          <w:sz w:val="24"/>
        </w:rPr>
        <w:t>Alpha</w:t>
      </w:r>
    </w:p>
    <w:p>
      <w:pPr>
        <w:spacing w:before="1"/>
        <w:ind w:left="1887" w:right="0" w:firstLine="0"/>
        <w:jc w:val="left"/>
        <w:rPr>
          <w:b/>
          <w:sz w:val="18"/>
        </w:rPr>
      </w:pPr>
      <w:r>
        <w:rPr>
          <w:b/>
          <w:sz w:val="18"/>
        </w:rPr>
        <w:t>Case Processing Summary</w:t>
      </w:r>
    </w:p>
    <w:p>
      <w:pPr>
        <w:pStyle w:val="BodyText"/>
        <w:spacing w:before="10" w:after="1"/>
        <w:rPr>
          <w:b/>
          <w:sz w:val="8"/>
        </w:rPr>
      </w:pPr>
    </w:p>
    <w:tbl>
      <w:tblPr>
        <w:tblW w:w="0" w:type="auto"/>
        <w:jc w:val="left"/>
        <w:tblInd w:w="907" w:type="dxa"/>
        <w:tblBorders>
          <w:top w:val="single" w:sz="18" w:space="0" w:color="000000"/>
          <w:left w:val="single" w:sz="18" w:space="0" w:color="000000"/>
          <w:bottom w:val="single" w:sz="18" w:space="0" w:color="000000"/>
          <w:right w:val="single" w:sz="18" w:space="0" w:color="000000"/>
          <w:insideH w:val="single" w:sz="18" w:space="0" w:color="000000"/>
          <w:insideV w:val="single" w:sz="18" w:space="0" w:color="000000"/>
        </w:tblBorders>
        <w:tblLayout w:type="fixed"/>
        <w:tblCellMar>
          <w:top w:w="0" w:type="dxa"/>
          <w:left w:w="0" w:type="dxa"/>
          <w:bottom w:w="0" w:type="dxa"/>
          <w:right w:w="0" w:type="dxa"/>
        </w:tblCellMar>
        <w:tblLook w:val="01E0"/>
      </w:tblPr>
      <w:tblGrid>
        <w:gridCol w:w="705"/>
        <w:gridCol w:w="1298"/>
        <w:gridCol w:w="1025"/>
        <w:gridCol w:w="1024"/>
      </w:tblGrid>
      <w:tr>
        <w:trPr>
          <w:trHeight w:val="408" w:hRule="atLeast"/>
        </w:trPr>
        <w:tc>
          <w:tcPr>
            <w:tcW w:w="2003" w:type="dxa"/>
            <w:gridSpan w:val="2"/>
          </w:tcPr>
          <w:p>
            <w:pPr>
              <w:pStyle w:val="TableParagraph"/>
              <w:rPr>
                <w:sz w:val="18"/>
              </w:rPr>
            </w:pPr>
          </w:p>
        </w:tc>
        <w:tc>
          <w:tcPr>
            <w:tcW w:w="1025" w:type="dxa"/>
            <w:tcBorders>
              <w:right w:val="single" w:sz="8" w:space="0" w:color="000000"/>
            </w:tcBorders>
          </w:tcPr>
          <w:p>
            <w:pPr>
              <w:pStyle w:val="TableParagraph"/>
              <w:spacing w:before="102"/>
              <w:ind w:left="36"/>
              <w:jc w:val="center"/>
              <w:rPr>
                <w:sz w:val="18"/>
              </w:rPr>
            </w:pPr>
            <w:r>
              <w:rPr>
                <w:w w:val="99"/>
                <w:sz w:val="18"/>
              </w:rPr>
              <w:t>N</w:t>
            </w:r>
          </w:p>
        </w:tc>
        <w:tc>
          <w:tcPr>
            <w:tcW w:w="1024" w:type="dxa"/>
            <w:tcBorders>
              <w:left w:val="single" w:sz="8" w:space="0" w:color="000000"/>
            </w:tcBorders>
          </w:tcPr>
          <w:p>
            <w:pPr>
              <w:pStyle w:val="TableParagraph"/>
              <w:spacing w:before="102"/>
              <w:ind w:left="43"/>
              <w:jc w:val="center"/>
              <w:rPr>
                <w:sz w:val="18"/>
              </w:rPr>
            </w:pPr>
            <w:r>
              <w:rPr>
                <w:w w:val="99"/>
                <w:sz w:val="18"/>
              </w:rPr>
              <w:t>%</w:t>
            </w:r>
          </w:p>
        </w:tc>
      </w:tr>
      <w:tr>
        <w:trPr>
          <w:trHeight w:val="278" w:hRule="atLeast"/>
        </w:trPr>
        <w:tc>
          <w:tcPr>
            <w:tcW w:w="705" w:type="dxa"/>
            <w:tcBorders>
              <w:bottom w:val="nil"/>
              <w:right w:val="nil"/>
            </w:tcBorders>
          </w:tcPr>
          <w:p>
            <w:pPr>
              <w:pStyle w:val="TableParagraph"/>
              <w:spacing w:line="206" w:lineRule="exact"/>
              <w:ind w:left="75"/>
              <w:rPr>
                <w:sz w:val="18"/>
              </w:rPr>
            </w:pPr>
            <w:r>
              <w:rPr>
                <w:sz w:val="18"/>
              </w:rPr>
              <w:t>Cases</w:t>
            </w:r>
          </w:p>
        </w:tc>
        <w:tc>
          <w:tcPr>
            <w:tcW w:w="1298" w:type="dxa"/>
            <w:tcBorders>
              <w:left w:val="nil"/>
              <w:bottom w:val="nil"/>
            </w:tcBorders>
          </w:tcPr>
          <w:p>
            <w:pPr>
              <w:pStyle w:val="TableParagraph"/>
              <w:spacing w:line="206" w:lineRule="exact"/>
              <w:ind w:left="228"/>
              <w:rPr>
                <w:sz w:val="18"/>
              </w:rPr>
            </w:pPr>
            <w:r>
              <w:rPr>
                <w:sz w:val="18"/>
              </w:rPr>
              <w:t>Valid</w:t>
            </w:r>
          </w:p>
        </w:tc>
        <w:tc>
          <w:tcPr>
            <w:tcW w:w="1025" w:type="dxa"/>
            <w:tcBorders>
              <w:bottom w:val="nil"/>
              <w:right w:val="single" w:sz="8" w:space="0" w:color="000000"/>
            </w:tcBorders>
          </w:tcPr>
          <w:p>
            <w:pPr>
              <w:pStyle w:val="TableParagraph"/>
              <w:spacing w:line="206" w:lineRule="exact"/>
              <w:ind w:right="34"/>
              <w:jc w:val="right"/>
              <w:rPr>
                <w:sz w:val="18"/>
              </w:rPr>
            </w:pPr>
            <w:r>
              <w:rPr>
                <w:sz w:val="18"/>
              </w:rPr>
              <w:t>195</w:t>
            </w:r>
          </w:p>
        </w:tc>
        <w:tc>
          <w:tcPr>
            <w:tcW w:w="1024" w:type="dxa"/>
            <w:tcBorders>
              <w:left w:val="single" w:sz="8" w:space="0" w:color="000000"/>
              <w:bottom w:val="nil"/>
            </w:tcBorders>
          </w:tcPr>
          <w:p>
            <w:pPr>
              <w:pStyle w:val="TableParagraph"/>
              <w:spacing w:line="206" w:lineRule="exact"/>
              <w:ind w:right="32"/>
              <w:jc w:val="right"/>
              <w:rPr>
                <w:sz w:val="18"/>
              </w:rPr>
            </w:pPr>
            <w:r>
              <w:rPr>
                <w:sz w:val="18"/>
              </w:rPr>
              <w:t>100.0</w:t>
            </w:r>
          </w:p>
        </w:tc>
      </w:tr>
      <w:tr>
        <w:trPr>
          <w:trHeight w:val="353" w:hRule="atLeast"/>
        </w:trPr>
        <w:tc>
          <w:tcPr>
            <w:tcW w:w="705" w:type="dxa"/>
            <w:tcBorders>
              <w:top w:val="nil"/>
              <w:bottom w:val="nil"/>
              <w:right w:val="nil"/>
            </w:tcBorders>
          </w:tcPr>
          <w:p>
            <w:pPr>
              <w:pStyle w:val="TableParagraph"/>
              <w:rPr>
                <w:sz w:val="18"/>
              </w:rPr>
            </w:pPr>
          </w:p>
        </w:tc>
        <w:tc>
          <w:tcPr>
            <w:tcW w:w="1298" w:type="dxa"/>
            <w:tcBorders>
              <w:top w:val="nil"/>
              <w:left w:val="nil"/>
              <w:bottom w:val="nil"/>
            </w:tcBorders>
          </w:tcPr>
          <w:p>
            <w:pPr>
              <w:pStyle w:val="TableParagraph"/>
              <w:spacing w:before="71"/>
              <w:ind w:left="228"/>
              <w:rPr>
                <w:sz w:val="18"/>
              </w:rPr>
            </w:pPr>
            <w:r>
              <w:rPr>
                <w:sz w:val="18"/>
              </w:rPr>
              <w:t>Excluded</w:t>
            </w:r>
            <w:r>
              <w:rPr>
                <w:sz w:val="18"/>
                <w:vertAlign w:val="superscript"/>
              </w:rPr>
              <w:t>a</w:t>
            </w:r>
          </w:p>
        </w:tc>
        <w:tc>
          <w:tcPr>
            <w:tcW w:w="1025" w:type="dxa"/>
            <w:tcBorders>
              <w:top w:val="nil"/>
              <w:bottom w:val="nil"/>
              <w:right w:val="single" w:sz="8" w:space="0" w:color="000000"/>
            </w:tcBorders>
          </w:tcPr>
          <w:p>
            <w:pPr>
              <w:pStyle w:val="TableParagraph"/>
              <w:spacing w:before="71"/>
              <w:ind w:right="38"/>
              <w:jc w:val="right"/>
              <w:rPr>
                <w:sz w:val="18"/>
              </w:rPr>
            </w:pPr>
            <w:r>
              <w:rPr>
                <w:sz w:val="18"/>
              </w:rPr>
              <w:t>0</w:t>
            </w:r>
          </w:p>
        </w:tc>
        <w:tc>
          <w:tcPr>
            <w:tcW w:w="1024" w:type="dxa"/>
            <w:tcBorders>
              <w:top w:val="nil"/>
              <w:left w:val="single" w:sz="8" w:space="0" w:color="000000"/>
              <w:bottom w:val="nil"/>
            </w:tcBorders>
          </w:tcPr>
          <w:p>
            <w:pPr>
              <w:pStyle w:val="TableParagraph"/>
              <w:spacing w:before="71"/>
              <w:ind w:right="32"/>
              <w:jc w:val="right"/>
              <w:rPr>
                <w:sz w:val="18"/>
              </w:rPr>
            </w:pPr>
            <w:r>
              <w:rPr>
                <w:sz w:val="18"/>
              </w:rPr>
              <w:t>.0</w:t>
            </w:r>
          </w:p>
        </w:tc>
      </w:tr>
      <w:tr>
        <w:trPr>
          <w:trHeight w:val="374" w:hRule="atLeast"/>
        </w:trPr>
        <w:tc>
          <w:tcPr>
            <w:tcW w:w="705" w:type="dxa"/>
            <w:tcBorders>
              <w:top w:val="nil"/>
              <w:right w:val="nil"/>
            </w:tcBorders>
          </w:tcPr>
          <w:p>
            <w:pPr>
              <w:pStyle w:val="TableParagraph"/>
              <w:rPr>
                <w:sz w:val="18"/>
              </w:rPr>
            </w:pPr>
          </w:p>
        </w:tc>
        <w:tc>
          <w:tcPr>
            <w:tcW w:w="1298" w:type="dxa"/>
            <w:tcBorders>
              <w:top w:val="nil"/>
              <w:left w:val="nil"/>
            </w:tcBorders>
          </w:tcPr>
          <w:p>
            <w:pPr>
              <w:pStyle w:val="TableParagraph"/>
              <w:spacing w:before="68"/>
              <w:ind w:left="228"/>
              <w:rPr>
                <w:sz w:val="18"/>
              </w:rPr>
            </w:pPr>
            <w:r>
              <w:rPr>
                <w:sz w:val="18"/>
              </w:rPr>
              <w:t>Total</w:t>
            </w:r>
          </w:p>
        </w:tc>
        <w:tc>
          <w:tcPr>
            <w:tcW w:w="1025" w:type="dxa"/>
            <w:tcBorders>
              <w:top w:val="nil"/>
              <w:right w:val="single" w:sz="8" w:space="0" w:color="000000"/>
            </w:tcBorders>
          </w:tcPr>
          <w:p>
            <w:pPr>
              <w:pStyle w:val="TableParagraph"/>
              <w:spacing w:before="68"/>
              <w:ind w:right="34"/>
              <w:jc w:val="right"/>
              <w:rPr>
                <w:sz w:val="18"/>
              </w:rPr>
            </w:pPr>
            <w:r>
              <w:rPr>
                <w:sz w:val="18"/>
              </w:rPr>
              <w:t>195</w:t>
            </w:r>
          </w:p>
        </w:tc>
        <w:tc>
          <w:tcPr>
            <w:tcW w:w="1024" w:type="dxa"/>
            <w:tcBorders>
              <w:top w:val="nil"/>
              <w:left w:val="single" w:sz="8" w:space="0" w:color="000000"/>
            </w:tcBorders>
          </w:tcPr>
          <w:p>
            <w:pPr>
              <w:pStyle w:val="TableParagraph"/>
              <w:spacing w:before="68"/>
              <w:ind w:right="32"/>
              <w:jc w:val="right"/>
              <w:rPr>
                <w:sz w:val="18"/>
              </w:rPr>
            </w:pPr>
            <w:r>
              <w:rPr>
                <w:sz w:val="18"/>
              </w:rPr>
              <w:t>100.0</w:t>
            </w:r>
          </w:p>
        </w:tc>
      </w:tr>
    </w:tbl>
    <w:p>
      <w:pPr>
        <w:spacing w:line="360" w:lineRule="auto" w:before="2"/>
        <w:ind w:left="942" w:right="6433" w:firstLine="0"/>
        <w:jc w:val="left"/>
        <w:rPr>
          <w:sz w:val="18"/>
        </w:rPr>
      </w:pPr>
      <w:r>
        <w:rPr>
          <w:sz w:val="18"/>
        </w:rPr>
        <w:t>a. Listwise deletion based on all variables in the procedure.</w:t>
      </w:r>
    </w:p>
    <w:p>
      <w:pPr>
        <w:pStyle w:val="BodyText"/>
        <w:rPr>
          <w:sz w:val="28"/>
        </w:rPr>
      </w:pPr>
    </w:p>
    <w:p>
      <w:pPr>
        <w:spacing w:before="92"/>
        <w:ind w:left="1460" w:right="0" w:firstLine="0"/>
        <w:jc w:val="left"/>
        <w:rPr>
          <w:b/>
          <w:sz w:val="18"/>
        </w:rPr>
      </w:pPr>
      <w:r>
        <w:rPr>
          <w:b/>
          <w:sz w:val="18"/>
        </w:rPr>
        <w:t>Reliability Statistics</w:t>
      </w:r>
    </w:p>
    <w:p>
      <w:pPr>
        <w:pStyle w:val="BodyText"/>
        <w:spacing w:before="2"/>
        <w:rPr>
          <w:b/>
          <w:sz w:val="9"/>
        </w:rPr>
      </w:pPr>
    </w:p>
    <w:tbl>
      <w:tblPr>
        <w:tblW w:w="0" w:type="auto"/>
        <w:jc w:val="left"/>
        <w:tblInd w:w="907" w:type="dxa"/>
        <w:tblBorders>
          <w:top w:val="single" w:sz="18" w:space="0" w:color="000000"/>
          <w:left w:val="single" w:sz="18" w:space="0" w:color="000000"/>
          <w:bottom w:val="single" w:sz="18" w:space="0" w:color="000000"/>
          <w:right w:val="single" w:sz="18" w:space="0" w:color="000000"/>
          <w:insideH w:val="single" w:sz="18" w:space="0" w:color="000000"/>
          <w:insideV w:val="single" w:sz="18" w:space="0" w:color="000000"/>
        </w:tblBorders>
        <w:tblLayout w:type="fixed"/>
        <w:tblCellMar>
          <w:top w:w="0" w:type="dxa"/>
          <w:left w:w="0" w:type="dxa"/>
          <w:bottom w:w="0" w:type="dxa"/>
          <w:right w:w="0" w:type="dxa"/>
        </w:tblCellMar>
        <w:tblLook w:val="01E0"/>
      </w:tblPr>
      <w:tblGrid>
        <w:gridCol w:w="1512"/>
        <w:gridCol w:w="1181"/>
      </w:tblGrid>
      <w:tr>
        <w:trPr>
          <w:trHeight w:val="305" w:hRule="atLeast"/>
        </w:trPr>
        <w:tc>
          <w:tcPr>
            <w:tcW w:w="1512" w:type="dxa"/>
            <w:tcBorders>
              <w:right w:val="single" w:sz="8" w:space="0" w:color="000000"/>
            </w:tcBorders>
          </w:tcPr>
          <w:p>
            <w:pPr>
              <w:pStyle w:val="TableParagraph"/>
              <w:spacing w:line="204" w:lineRule="exact"/>
              <w:ind w:right="72"/>
              <w:jc w:val="right"/>
              <w:rPr>
                <w:sz w:val="18"/>
              </w:rPr>
            </w:pPr>
            <w:r>
              <w:rPr>
                <w:sz w:val="18"/>
              </w:rPr>
              <w:t>Cronbach's Alpha</w:t>
            </w:r>
          </w:p>
        </w:tc>
        <w:tc>
          <w:tcPr>
            <w:tcW w:w="1181" w:type="dxa"/>
            <w:tcBorders>
              <w:left w:val="single" w:sz="8" w:space="0" w:color="000000"/>
            </w:tcBorders>
          </w:tcPr>
          <w:p>
            <w:pPr>
              <w:pStyle w:val="TableParagraph"/>
              <w:spacing w:line="204" w:lineRule="exact"/>
              <w:ind w:left="208"/>
              <w:rPr>
                <w:sz w:val="18"/>
              </w:rPr>
            </w:pPr>
            <w:r>
              <w:rPr>
                <w:sz w:val="18"/>
              </w:rPr>
              <w:t>N of Items</w:t>
            </w:r>
          </w:p>
        </w:tc>
      </w:tr>
      <w:tr>
        <w:trPr>
          <w:trHeight w:val="305" w:hRule="atLeast"/>
        </w:trPr>
        <w:tc>
          <w:tcPr>
            <w:tcW w:w="1512" w:type="dxa"/>
            <w:tcBorders>
              <w:right w:val="single" w:sz="8" w:space="0" w:color="000000"/>
            </w:tcBorders>
          </w:tcPr>
          <w:p>
            <w:pPr>
              <w:pStyle w:val="TableParagraph"/>
              <w:spacing w:line="204" w:lineRule="exact"/>
              <w:ind w:right="37"/>
              <w:jc w:val="right"/>
              <w:rPr>
                <w:sz w:val="18"/>
              </w:rPr>
            </w:pPr>
            <w:r>
              <w:rPr>
                <w:sz w:val="18"/>
              </w:rPr>
              <w:t>.866</w:t>
            </w:r>
          </w:p>
        </w:tc>
        <w:tc>
          <w:tcPr>
            <w:tcW w:w="1181" w:type="dxa"/>
            <w:tcBorders>
              <w:left w:val="single" w:sz="8" w:space="0" w:color="000000"/>
            </w:tcBorders>
          </w:tcPr>
          <w:p>
            <w:pPr>
              <w:pStyle w:val="TableParagraph"/>
              <w:spacing w:line="204" w:lineRule="exact"/>
              <w:ind w:right="35"/>
              <w:jc w:val="right"/>
              <w:rPr>
                <w:sz w:val="18"/>
              </w:rPr>
            </w:pPr>
            <w:r>
              <w:rPr>
                <w:sz w:val="18"/>
              </w:rPr>
              <w:t>50</w:t>
            </w:r>
          </w:p>
        </w:tc>
      </w:tr>
    </w:tbl>
    <w:p>
      <w:pPr>
        <w:pStyle w:val="BodyText"/>
        <w:rPr>
          <w:b/>
          <w:sz w:val="20"/>
        </w:rPr>
      </w:pPr>
    </w:p>
    <w:p>
      <w:pPr>
        <w:pStyle w:val="BodyText"/>
        <w:spacing w:before="1"/>
        <w:rPr>
          <w:b/>
          <w:sz w:val="16"/>
        </w:rPr>
      </w:pPr>
    </w:p>
    <w:p>
      <w:pPr>
        <w:spacing w:before="0"/>
        <w:ind w:left="1095" w:right="3015" w:firstLine="0"/>
        <w:jc w:val="center"/>
        <w:rPr>
          <w:b/>
          <w:sz w:val="18"/>
        </w:rPr>
      </w:pPr>
      <w:r>
        <w:rPr>
          <w:b/>
          <w:sz w:val="18"/>
        </w:rPr>
        <w:t>Item-Total Statistics</w:t>
      </w:r>
    </w:p>
    <w:p>
      <w:pPr>
        <w:pStyle w:val="BodyText"/>
        <w:spacing w:before="10" w:after="1"/>
        <w:rPr>
          <w:b/>
          <w:sz w:val="8"/>
        </w:rPr>
      </w:pPr>
    </w:p>
    <w:tbl>
      <w:tblPr>
        <w:tblW w:w="0" w:type="auto"/>
        <w:jc w:val="left"/>
        <w:tblInd w:w="907" w:type="dxa"/>
        <w:tblBorders>
          <w:top w:val="single" w:sz="18" w:space="0" w:color="000000"/>
          <w:left w:val="single" w:sz="18" w:space="0" w:color="000000"/>
          <w:bottom w:val="single" w:sz="18" w:space="0" w:color="000000"/>
          <w:right w:val="single" w:sz="18" w:space="0" w:color="000000"/>
          <w:insideH w:val="single" w:sz="18" w:space="0" w:color="000000"/>
          <w:insideV w:val="single" w:sz="18" w:space="0" w:color="000000"/>
        </w:tblBorders>
        <w:tblLayout w:type="fixed"/>
        <w:tblCellMar>
          <w:top w:w="0" w:type="dxa"/>
          <w:left w:w="0" w:type="dxa"/>
          <w:bottom w:w="0" w:type="dxa"/>
          <w:right w:w="0" w:type="dxa"/>
        </w:tblCellMar>
        <w:tblLook w:val="01E0"/>
      </w:tblPr>
      <w:tblGrid>
        <w:gridCol w:w="1284"/>
        <w:gridCol w:w="1469"/>
        <w:gridCol w:w="1468"/>
        <w:gridCol w:w="1468"/>
        <w:gridCol w:w="1468"/>
      </w:tblGrid>
      <w:tr>
        <w:trPr>
          <w:trHeight w:val="615" w:hRule="atLeast"/>
        </w:trPr>
        <w:tc>
          <w:tcPr>
            <w:tcW w:w="1284" w:type="dxa"/>
          </w:tcPr>
          <w:p>
            <w:pPr>
              <w:pStyle w:val="TableParagraph"/>
              <w:rPr>
                <w:sz w:val="18"/>
              </w:rPr>
            </w:pPr>
          </w:p>
        </w:tc>
        <w:tc>
          <w:tcPr>
            <w:tcW w:w="1469" w:type="dxa"/>
            <w:tcBorders>
              <w:right w:val="single" w:sz="8" w:space="0" w:color="000000"/>
            </w:tcBorders>
          </w:tcPr>
          <w:p>
            <w:pPr>
              <w:pStyle w:val="TableParagraph"/>
              <w:spacing w:line="206" w:lineRule="exact"/>
              <w:ind w:left="234"/>
              <w:rPr>
                <w:sz w:val="18"/>
              </w:rPr>
            </w:pPr>
            <w:r>
              <w:rPr>
                <w:sz w:val="18"/>
              </w:rPr>
              <w:t>Scale Mean</w:t>
            </w:r>
            <w:r>
              <w:rPr>
                <w:spacing w:val="-4"/>
                <w:sz w:val="18"/>
              </w:rPr>
              <w:t> </w:t>
            </w:r>
            <w:r>
              <w:rPr>
                <w:sz w:val="18"/>
              </w:rPr>
              <w:t>if</w:t>
            </w:r>
          </w:p>
          <w:p>
            <w:pPr>
              <w:pStyle w:val="TableParagraph"/>
              <w:spacing w:before="102"/>
              <w:ind w:left="267"/>
              <w:rPr>
                <w:sz w:val="18"/>
              </w:rPr>
            </w:pPr>
            <w:r>
              <w:rPr>
                <w:sz w:val="18"/>
              </w:rPr>
              <w:t>Item</w:t>
            </w:r>
            <w:r>
              <w:rPr>
                <w:spacing w:val="-2"/>
                <w:sz w:val="18"/>
              </w:rPr>
              <w:t> </w:t>
            </w:r>
            <w:r>
              <w:rPr>
                <w:sz w:val="18"/>
              </w:rPr>
              <w:t>Deleted</w:t>
            </w:r>
          </w:p>
        </w:tc>
        <w:tc>
          <w:tcPr>
            <w:tcW w:w="1468" w:type="dxa"/>
            <w:tcBorders>
              <w:left w:val="single" w:sz="8" w:space="0" w:color="000000"/>
              <w:right w:val="single" w:sz="8" w:space="0" w:color="000000"/>
            </w:tcBorders>
          </w:tcPr>
          <w:p>
            <w:pPr>
              <w:pStyle w:val="TableParagraph"/>
              <w:spacing w:line="206" w:lineRule="exact"/>
              <w:ind w:left="101" w:right="61"/>
              <w:jc w:val="center"/>
              <w:rPr>
                <w:sz w:val="18"/>
              </w:rPr>
            </w:pPr>
            <w:r>
              <w:rPr>
                <w:sz w:val="18"/>
              </w:rPr>
              <w:t>Scale Variance if</w:t>
            </w:r>
          </w:p>
          <w:p>
            <w:pPr>
              <w:pStyle w:val="TableParagraph"/>
              <w:spacing w:before="102"/>
              <w:ind w:left="101" w:right="63"/>
              <w:jc w:val="center"/>
              <w:rPr>
                <w:sz w:val="18"/>
              </w:rPr>
            </w:pPr>
            <w:r>
              <w:rPr>
                <w:sz w:val="18"/>
              </w:rPr>
              <w:t>Item Deleted</w:t>
            </w:r>
          </w:p>
        </w:tc>
        <w:tc>
          <w:tcPr>
            <w:tcW w:w="1468" w:type="dxa"/>
            <w:tcBorders>
              <w:left w:val="single" w:sz="8" w:space="0" w:color="000000"/>
              <w:right w:val="single" w:sz="8" w:space="0" w:color="000000"/>
            </w:tcBorders>
          </w:tcPr>
          <w:p>
            <w:pPr>
              <w:pStyle w:val="TableParagraph"/>
              <w:spacing w:line="206" w:lineRule="exact"/>
              <w:ind w:left="171"/>
              <w:rPr>
                <w:sz w:val="18"/>
              </w:rPr>
            </w:pPr>
            <w:r>
              <w:rPr>
                <w:sz w:val="18"/>
              </w:rPr>
              <w:t>Corrected Item-</w:t>
            </w:r>
          </w:p>
          <w:p>
            <w:pPr>
              <w:pStyle w:val="TableParagraph"/>
              <w:spacing w:before="102"/>
              <w:ind w:left="120"/>
              <w:rPr>
                <w:sz w:val="18"/>
              </w:rPr>
            </w:pPr>
            <w:r>
              <w:rPr>
                <w:sz w:val="18"/>
              </w:rPr>
              <w:t>Total Correlation</w:t>
            </w:r>
          </w:p>
        </w:tc>
        <w:tc>
          <w:tcPr>
            <w:tcW w:w="1468" w:type="dxa"/>
            <w:tcBorders>
              <w:left w:val="single" w:sz="8" w:space="0" w:color="000000"/>
            </w:tcBorders>
          </w:tcPr>
          <w:p>
            <w:pPr>
              <w:pStyle w:val="TableParagraph"/>
              <w:spacing w:line="206" w:lineRule="exact"/>
              <w:ind w:right="48"/>
              <w:jc w:val="right"/>
              <w:rPr>
                <w:sz w:val="18"/>
              </w:rPr>
            </w:pPr>
            <w:r>
              <w:rPr>
                <w:sz w:val="18"/>
              </w:rPr>
              <w:t>Cronbach's Alpha</w:t>
            </w:r>
          </w:p>
          <w:p>
            <w:pPr>
              <w:pStyle w:val="TableParagraph"/>
              <w:spacing w:before="102"/>
              <w:ind w:right="146"/>
              <w:jc w:val="right"/>
              <w:rPr>
                <w:sz w:val="18"/>
              </w:rPr>
            </w:pPr>
            <w:r>
              <w:rPr>
                <w:sz w:val="18"/>
              </w:rPr>
              <w:t>if Item Deleted</w:t>
            </w:r>
          </w:p>
        </w:tc>
      </w:tr>
      <w:tr>
        <w:trPr>
          <w:trHeight w:val="262" w:hRule="atLeast"/>
        </w:trPr>
        <w:tc>
          <w:tcPr>
            <w:tcW w:w="1284" w:type="dxa"/>
            <w:tcBorders>
              <w:bottom w:val="nil"/>
            </w:tcBorders>
          </w:tcPr>
          <w:p>
            <w:pPr>
              <w:pStyle w:val="TableParagraph"/>
              <w:spacing w:line="206" w:lineRule="exact"/>
              <w:ind w:left="75"/>
              <w:rPr>
                <w:sz w:val="18"/>
              </w:rPr>
            </w:pPr>
            <w:r>
              <w:rPr>
                <w:sz w:val="18"/>
              </w:rPr>
              <w:t>HT1</w:t>
            </w:r>
          </w:p>
        </w:tc>
        <w:tc>
          <w:tcPr>
            <w:tcW w:w="1469" w:type="dxa"/>
            <w:tcBorders>
              <w:bottom w:val="nil"/>
              <w:right w:val="single" w:sz="8" w:space="0" w:color="000000"/>
            </w:tcBorders>
          </w:tcPr>
          <w:p>
            <w:pPr>
              <w:pStyle w:val="TableParagraph"/>
              <w:spacing w:line="206" w:lineRule="exact"/>
              <w:ind w:right="40"/>
              <w:jc w:val="right"/>
              <w:rPr>
                <w:sz w:val="18"/>
              </w:rPr>
            </w:pPr>
            <w:r>
              <w:rPr>
                <w:sz w:val="18"/>
              </w:rPr>
              <w:t>170.27</w:t>
            </w:r>
          </w:p>
        </w:tc>
        <w:tc>
          <w:tcPr>
            <w:tcW w:w="1468" w:type="dxa"/>
            <w:tcBorders>
              <w:left w:val="single" w:sz="8" w:space="0" w:color="000000"/>
              <w:bottom w:val="nil"/>
              <w:right w:val="single" w:sz="8" w:space="0" w:color="000000"/>
            </w:tcBorders>
          </w:tcPr>
          <w:p>
            <w:pPr>
              <w:pStyle w:val="TableParagraph"/>
              <w:spacing w:line="206" w:lineRule="exact"/>
              <w:ind w:right="34"/>
              <w:jc w:val="right"/>
              <w:rPr>
                <w:sz w:val="18"/>
              </w:rPr>
            </w:pPr>
            <w:r>
              <w:rPr>
                <w:sz w:val="18"/>
              </w:rPr>
              <w:t>482.797</w:t>
            </w:r>
          </w:p>
        </w:tc>
        <w:tc>
          <w:tcPr>
            <w:tcW w:w="1468" w:type="dxa"/>
            <w:tcBorders>
              <w:left w:val="single" w:sz="8" w:space="0" w:color="000000"/>
              <w:bottom w:val="nil"/>
              <w:right w:val="single" w:sz="8" w:space="0" w:color="000000"/>
            </w:tcBorders>
          </w:tcPr>
          <w:p>
            <w:pPr>
              <w:pStyle w:val="TableParagraph"/>
              <w:spacing w:line="206" w:lineRule="exact"/>
              <w:ind w:right="35"/>
              <w:jc w:val="right"/>
              <w:rPr>
                <w:sz w:val="18"/>
              </w:rPr>
            </w:pPr>
            <w:r>
              <w:rPr>
                <w:sz w:val="18"/>
              </w:rPr>
              <w:t>.322</w:t>
            </w:r>
          </w:p>
        </w:tc>
        <w:tc>
          <w:tcPr>
            <w:tcW w:w="1468" w:type="dxa"/>
            <w:tcBorders>
              <w:left w:val="single" w:sz="8" w:space="0" w:color="000000"/>
              <w:bottom w:val="nil"/>
            </w:tcBorders>
          </w:tcPr>
          <w:p>
            <w:pPr>
              <w:pStyle w:val="TableParagraph"/>
              <w:spacing w:line="206" w:lineRule="exact"/>
              <w:ind w:right="32"/>
              <w:jc w:val="right"/>
              <w:rPr>
                <w:sz w:val="18"/>
              </w:rPr>
            </w:pPr>
            <w:r>
              <w:rPr>
                <w:sz w:val="18"/>
              </w:rPr>
              <w:t>.863</w:t>
            </w:r>
          </w:p>
        </w:tc>
      </w:tr>
      <w:tr>
        <w:trPr>
          <w:trHeight w:val="311" w:hRule="atLeast"/>
        </w:trPr>
        <w:tc>
          <w:tcPr>
            <w:tcW w:w="1284" w:type="dxa"/>
            <w:tcBorders>
              <w:top w:val="nil"/>
              <w:bottom w:val="nil"/>
            </w:tcBorders>
          </w:tcPr>
          <w:p>
            <w:pPr>
              <w:pStyle w:val="TableParagraph"/>
              <w:spacing w:before="48"/>
              <w:ind w:left="75"/>
              <w:rPr>
                <w:sz w:val="18"/>
              </w:rPr>
            </w:pPr>
            <w:r>
              <w:rPr>
                <w:sz w:val="18"/>
              </w:rPr>
              <w:t>HT2</w:t>
            </w:r>
          </w:p>
        </w:tc>
        <w:tc>
          <w:tcPr>
            <w:tcW w:w="1469" w:type="dxa"/>
            <w:tcBorders>
              <w:top w:val="nil"/>
              <w:bottom w:val="nil"/>
              <w:right w:val="single" w:sz="8" w:space="0" w:color="000000"/>
            </w:tcBorders>
          </w:tcPr>
          <w:p>
            <w:pPr>
              <w:pStyle w:val="TableParagraph"/>
              <w:spacing w:before="48"/>
              <w:ind w:right="40"/>
              <w:jc w:val="right"/>
              <w:rPr>
                <w:sz w:val="18"/>
              </w:rPr>
            </w:pPr>
            <w:r>
              <w:rPr>
                <w:sz w:val="18"/>
              </w:rPr>
              <w:t>170.40</w:t>
            </w:r>
          </w:p>
        </w:tc>
        <w:tc>
          <w:tcPr>
            <w:tcW w:w="1468" w:type="dxa"/>
            <w:tcBorders>
              <w:top w:val="nil"/>
              <w:left w:val="single" w:sz="8" w:space="0" w:color="000000"/>
              <w:bottom w:val="nil"/>
              <w:right w:val="single" w:sz="8" w:space="0" w:color="000000"/>
            </w:tcBorders>
          </w:tcPr>
          <w:p>
            <w:pPr>
              <w:pStyle w:val="TableParagraph"/>
              <w:spacing w:before="48"/>
              <w:ind w:right="34"/>
              <w:jc w:val="right"/>
              <w:rPr>
                <w:sz w:val="18"/>
              </w:rPr>
            </w:pPr>
            <w:r>
              <w:rPr>
                <w:sz w:val="18"/>
              </w:rPr>
              <w:t>487.819</w:t>
            </w:r>
          </w:p>
        </w:tc>
        <w:tc>
          <w:tcPr>
            <w:tcW w:w="1468" w:type="dxa"/>
            <w:tcBorders>
              <w:top w:val="nil"/>
              <w:left w:val="single" w:sz="8" w:space="0" w:color="000000"/>
              <w:bottom w:val="nil"/>
              <w:right w:val="single" w:sz="8" w:space="0" w:color="000000"/>
            </w:tcBorders>
          </w:tcPr>
          <w:p>
            <w:pPr>
              <w:pStyle w:val="TableParagraph"/>
              <w:spacing w:before="48"/>
              <w:ind w:right="35"/>
              <w:jc w:val="right"/>
              <w:rPr>
                <w:sz w:val="18"/>
              </w:rPr>
            </w:pPr>
            <w:r>
              <w:rPr>
                <w:sz w:val="18"/>
              </w:rPr>
              <w:t>.197</w:t>
            </w:r>
          </w:p>
        </w:tc>
        <w:tc>
          <w:tcPr>
            <w:tcW w:w="1468" w:type="dxa"/>
            <w:tcBorders>
              <w:top w:val="nil"/>
              <w:left w:val="single" w:sz="8" w:space="0" w:color="000000"/>
              <w:bottom w:val="nil"/>
            </w:tcBorders>
          </w:tcPr>
          <w:p>
            <w:pPr>
              <w:pStyle w:val="TableParagraph"/>
              <w:spacing w:before="48"/>
              <w:ind w:right="31"/>
              <w:jc w:val="right"/>
              <w:rPr>
                <w:sz w:val="18"/>
              </w:rPr>
            </w:pPr>
            <w:r>
              <w:rPr>
                <w:sz w:val="18"/>
              </w:rPr>
              <w:t>.865</w:t>
            </w:r>
          </w:p>
        </w:tc>
      </w:tr>
      <w:tr>
        <w:trPr>
          <w:trHeight w:val="309" w:hRule="atLeast"/>
        </w:trPr>
        <w:tc>
          <w:tcPr>
            <w:tcW w:w="1284" w:type="dxa"/>
            <w:tcBorders>
              <w:top w:val="nil"/>
              <w:bottom w:val="nil"/>
            </w:tcBorders>
          </w:tcPr>
          <w:p>
            <w:pPr>
              <w:pStyle w:val="TableParagraph"/>
              <w:spacing w:before="47"/>
              <w:ind w:left="75"/>
              <w:rPr>
                <w:sz w:val="18"/>
              </w:rPr>
            </w:pPr>
            <w:r>
              <w:rPr>
                <w:sz w:val="18"/>
              </w:rPr>
              <w:t>HT3</w:t>
            </w:r>
          </w:p>
        </w:tc>
        <w:tc>
          <w:tcPr>
            <w:tcW w:w="1469" w:type="dxa"/>
            <w:tcBorders>
              <w:top w:val="nil"/>
              <w:bottom w:val="nil"/>
              <w:right w:val="single" w:sz="8" w:space="0" w:color="000000"/>
            </w:tcBorders>
          </w:tcPr>
          <w:p>
            <w:pPr>
              <w:pStyle w:val="TableParagraph"/>
              <w:spacing w:before="47"/>
              <w:ind w:right="40"/>
              <w:jc w:val="right"/>
              <w:rPr>
                <w:sz w:val="18"/>
              </w:rPr>
            </w:pPr>
            <w:r>
              <w:rPr>
                <w:sz w:val="18"/>
              </w:rPr>
              <w:t>171.60</w:t>
            </w:r>
          </w:p>
        </w:tc>
        <w:tc>
          <w:tcPr>
            <w:tcW w:w="1468" w:type="dxa"/>
            <w:tcBorders>
              <w:top w:val="nil"/>
              <w:left w:val="single" w:sz="8" w:space="0" w:color="000000"/>
              <w:bottom w:val="nil"/>
              <w:right w:val="single" w:sz="8" w:space="0" w:color="000000"/>
            </w:tcBorders>
          </w:tcPr>
          <w:p>
            <w:pPr>
              <w:pStyle w:val="TableParagraph"/>
              <w:spacing w:before="47"/>
              <w:ind w:right="36"/>
              <w:jc w:val="right"/>
              <w:rPr>
                <w:sz w:val="18"/>
              </w:rPr>
            </w:pPr>
            <w:r>
              <w:rPr>
                <w:sz w:val="18"/>
              </w:rPr>
              <w:t>491.344</w:t>
            </w:r>
          </w:p>
        </w:tc>
        <w:tc>
          <w:tcPr>
            <w:tcW w:w="1468" w:type="dxa"/>
            <w:tcBorders>
              <w:top w:val="nil"/>
              <w:left w:val="single" w:sz="8" w:space="0" w:color="000000"/>
              <w:bottom w:val="nil"/>
              <w:right w:val="single" w:sz="8" w:space="0" w:color="000000"/>
            </w:tcBorders>
          </w:tcPr>
          <w:p>
            <w:pPr>
              <w:pStyle w:val="TableParagraph"/>
              <w:spacing w:before="47"/>
              <w:ind w:right="35"/>
              <w:jc w:val="right"/>
              <w:rPr>
                <w:sz w:val="18"/>
              </w:rPr>
            </w:pPr>
            <w:r>
              <w:rPr>
                <w:sz w:val="18"/>
              </w:rPr>
              <w:t>.150</w:t>
            </w:r>
          </w:p>
        </w:tc>
        <w:tc>
          <w:tcPr>
            <w:tcW w:w="1468" w:type="dxa"/>
            <w:tcBorders>
              <w:top w:val="nil"/>
              <w:left w:val="single" w:sz="8" w:space="0" w:color="000000"/>
              <w:bottom w:val="nil"/>
            </w:tcBorders>
          </w:tcPr>
          <w:p>
            <w:pPr>
              <w:pStyle w:val="TableParagraph"/>
              <w:spacing w:before="47"/>
              <w:ind w:right="31"/>
              <w:jc w:val="right"/>
              <w:rPr>
                <w:sz w:val="18"/>
              </w:rPr>
            </w:pPr>
            <w:r>
              <w:rPr>
                <w:sz w:val="18"/>
              </w:rPr>
              <w:t>.866</w:t>
            </w:r>
          </w:p>
        </w:tc>
      </w:tr>
      <w:tr>
        <w:trPr>
          <w:trHeight w:val="310" w:hRule="atLeast"/>
        </w:trPr>
        <w:tc>
          <w:tcPr>
            <w:tcW w:w="1284" w:type="dxa"/>
            <w:tcBorders>
              <w:top w:val="nil"/>
              <w:bottom w:val="nil"/>
            </w:tcBorders>
          </w:tcPr>
          <w:p>
            <w:pPr>
              <w:pStyle w:val="TableParagraph"/>
              <w:spacing w:before="47"/>
              <w:ind w:left="75"/>
              <w:rPr>
                <w:sz w:val="18"/>
              </w:rPr>
            </w:pPr>
            <w:r>
              <w:rPr>
                <w:sz w:val="18"/>
              </w:rPr>
              <w:t>HT4</w:t>
            </w:r>
          </w:p>
        </w:tc>
        <w:tc>
          <w:tcPr>
            <w:tcW w:w="1469" w:type="dxa"/>
            <w:tcBorders>
              <w:top w:val="nil"/>
              <w:bottom w:val="nil"/>
              <w:right w:val="single" w:sz="8" w:space="0" w:color="000000"/>
            </w:tcBorders>
          </w:tcPr>
          <w:p>
            <w:pPr>
              <w:pStyle w:val="TableParagraph"/>
              <w:spacing w:before="47"/>
              <w:ind w:right="40"/>
              <w:jc w:val="right"/>
              <w:rPr>
                <w:sz w:val="18"/>
              </w:rPr>
            </w:pPr>
            <w:r>
              <w:rPr>
                <w:sz w:val="18"/>
              </w:rPr>
              <w:t>171.12</w:t>
            </w:r>
          </w:p>
        </w:tc>
        <w:tc>
          <w:tcPr>
            <w:tcW w:w="1468" w:type="dxa"/>
            <w:tcBorders>
              <w:top w:val="nil"/>
              <w:left w:val="single" w:sz="8" w:space="0" w:color="000000"/>
              <w:bottom w:val="nil"/>
              <w:right w:val="single" w:sz="8" w:space="0" w:color="000000"/>
            </w:tcBorders>
          </w:tcPr>
          <w:p>
            <w:pPr>
              <w:pStyle w:val="TableParagraph"/>
              <w:spacing w:before="47"/>
              <w:ind w:right="36"/>
              <w:jc w:val="right"/>
              <w:rPr>
                <w:sz w:val="18"/>
              </w:rPr>
            </w:pPr>
            <w:r>
              <w:rPr>
                <w:sz w:val="18"/>
              </w:rPr>
              <w:t>486.857</w:t>
            </w:r>
          </w:p>
        </w:tc>
        <w:tc>
          <w:tcPr>
            <w:tcW w:w="1468" w:type="dxa"/>
            <w:tcBorders>
              <w:top w:val="nil"/>
              <w:left w:val="single" w:sz="8" w:space="0" w:color="000000"/>
              <w:bottom w:val="nil"/>
              <w:right w:val="single" w:sz="8" w:space="0" w:color="000000"/>
            </w:tcBorders>
          </w:tcPr>
          <w:p>
            <w:pPr>
              <w:pStyle w:val="TableParagraph"/>
              <w:spacing w:before="47"/>
              <w:ind w:right="34"/>
              <w:jc w:val="right"/>
              <w:rPr>
                <w:sz w:val="18"/>
              </w:rPr>
            </w:pPr>
            <w:r>
              <w:rPr>
                <w:sz w:val="18"/>
              </w:rPr>
              <w:t>.247</w:t>
            </w:r>
          </w:p>
        </w:tc>
        <w:tc>
          <w:tcPr>
            <w:tcW w:w="1468" w:type="dxa"/>
            <w:tcBorders>
              <w:top w:val="nil"/>
              <w:left w:val="single" w:sz="8" w:space="0" w:color="000000"/>
              <w:bottom w:val="nil"/>
            </w:tcBorders>
          </w:tcPr>
          <w:p>
            <w:pPr>
              <w:pStyle w:val="TableParagraph"/>
              <w:spacing w:before="47"/>
              <w:ind w:right="31"/>
              <w:jc w:val="right"/>
              <w:rPr>
                <w:sz w:val="18"/>
              </w:rPr>
            </w:pPr>
            <w:r>
              <w:rPr>
                <w:sz w:val="18"/>
              </w:rPr>
              <w:t>.864</w:t>
            </w:r>
          </w:p>
        </w:tc>
      </w:tr>
      <w:tr>
        <w:trPr>
          <w:trHeight w:val="310" w:hRule="atLeast"/>
        </w:trPr>
        <w:tc>
          <w:tcPr>
            <w:tcW w:w="1284" w:type="dxa"/>
            <w:tcBorders>
              <w:top w:val="nil"/>
              <w:bottom w:val="nil"/>
            </w:tcBorders>
          </w:tcPr>
          <w:p>
            <w:pPr>
              <w:pStyle w:val="TableParagraph"/>
              <w:spacing w:before="48"/>
              <w:ind w:left="75"/>
              <w:rPr>
                <w:sz w:val="18"/>
              </w:rPr>
            </w:pPr>
            <w:r>
              <w:rPr>
                <w:sz w:val="18"/>
              </w:rPr>
              <w:t>HT5</w:t>
            </w:r>
          </w:p>
        </w:tc>
        <w:tc>
          <w:tcPr>
            <w:tcW w:w="1469" w:type="dxa"/>
            <w:tcBorders>
              <w:top w:val="nil"/>
              <w:bottom w:val="nil"/>
              <w:right w:val="single" w:sz="8" w:space="0" w:color="000000"/>
            </w:tcBorders>
          </w:tcPr>
          <w:p>
            <w:pPr>
              <w:pStyle w:val="TableParagraph"/>
              <w:spacing w:before="48"/>
              <w:ind w:right="40"/>
              <w:jc w:val="right"/>
              <w:rPr>
                <w:sz w:val="18"/>
              </w:rPr>
            </w:pPr>
            <w:r>
              <w:rPr>
                <w:sz w:val="18"/>
              </w:rPr>
              <w:t>171.13</w:t>
            </w:r>
          </w:p>
        </w:tc>
        <w:tc>
          <w:tcPr>
            <w:tcW w:w="1468" w:type="dxa"/>
            <w:tcBorders>
              <w:top w:val="nil"/>
              <w:left w:val="single" w:sz="8" w:space="0" w:color="000000"/>
              <w:bottom w:val="nil"/>
              <w:right w:val="single" w:sz="8" w:space="0" w:color="000000"/>
            </w:tcBorders>
          </w:tcPr>
          <w:p>
            <w:pPr>
              <w:pStyle w:val="TableParagraph"/>
              <w:spacing w:before="48"/>
              <w:ind w:right="36"/>
              <w:jc w:val="right"/>
              <w:rPr>
                <w:sz w:val="18"/>
              </w:rPr>
            </w:pPr>
            <w:r>
              <w:rPr>
                <w:sz w:val="18"/>
              </w:rPr>
              <w:t>484.370</w:t>
            </w:r>
          </w:p>
        </w:tc>
        <w:tc>
          <w:tcPr>
            <w:tcW w:w="1468" w:type="dxa"/>
            <w:tcBorders>
              <w:top w:val="nil"/>
              <w:left w:val="single" w:sz="8" w:space="0" w:color="000000"/>
              <w:bottom w:val="nil"/>
              <w:right w:val="single" w:sz="8" w:space="0" w:color="000000"/>
            </w:tcBorders>
          </w:tcPr>
          <w:p>
            <w:pPr>
              <w:pStyle w:val="TableParagraph"/>
              <w:spacing w:before="48"/>
              <w:ind w:right="35"/>
              <w:jc w:val="right"/>
              <w:rPr>
                <w:sz w:val="18"/>
              </w:rPr>
            </w:pPr>
            <w:r>
              <w:rPr>
                <w:sz w:val="18"/>
              </w:rPr>
              <w:t>.301</w:t>
            </w:r>
          </w:p>
        </w:tc>
        <w:tc>
          <w:tcPr>
            <w:tcW w:w="1468" w:type="dxa"/>
            <w:tcBorders>
              <w:top w:val="nil"/>
              <w:left w:val="single" w:sz="8" w:space="0" w:color="000000"/>
              <w:bottom w:val="nil"/>
            </w:tcBorders>
          </w:tcPr>
          <w:p>
            <w:pPr>
              <w:pStyle w:val="TableParagraph"/>
              <w:spacing w:before="48"/>
              <w:ind w:right="32"/>
              <w:jc w:val="right"/>
              <w:rPr>
                <w:sz w:val="18"/>
              </w:rPr>
            </w:pPr>
            <w:r>
              <w:rPr>
                <w:sz w:val="18"/>
              </w:rPr>
              <w:t>.863</w:t>
            </w:r>
          </w:p>
        </w:tc>
      </w:tr>
      <w:tr>
        <w:trPr>
          <w:trHeight w:val="309" w:hRule="atLeast"/>
        </w:trPr>
        <w:tc>
          <w:tcPr>
            <w:tcW w:w="1284" w:type="dxa"/>
            <w:tcBorders>
              <w:top w:val="nil"/>
              <w:bottom w:val="nil"/>
            </w:tcBorders>
          </w:tcPr>
          <w:p>
            <w:pPr>
              <w:pStyle w:val="TableParagraph"/>
              <w:spacing w:before="47"/>
              <w:ind w:left="75"/>
              <w:rPr>
                <w:sz w:val="18"/>
              </w:rPr>
            </w:pPr>
            <w:r>
              <w:rPr>
                <w:sz w:val="18"/>
              </w:rPr>
              <w:t>HT6</w:t>
            </w:r>
          </w:p>
        </w:tc>
        <w:tc>
          <w:tcPr>
            <w:tcW w:w="1469" w:type="dxa"/>
            <w:tcBorders>
              <w:top w:val="nil"/>
              <w:bottom w:val="nil"/>
              <w:right w:val="single" w:sz="8" w:space="0" w:color="000000"/>
            </w:tcBorders>
          </w:tcPr>
          <w:p>
            <w:pPr>
              <w:pStyle w:val="TableParagraph"/>
              <w:spacing w:before="47"/>
              <w:ind w:right="40"/>
              <w:jc w:val="right"/>
              <w:rPr>
                <w:sz w:val="18"/>
              </w:rPr>
            </w:pPr>
            <w:r>
              <w:rPr>
                <w:sz w:val="18"/>
              </w:rPr>
              <w:t>171.20</w:t>
            </w:r>
          </w:p>
        </w:tc>
        <w:tc>
          <w:tcPr>
            <w:tcW w:w="1468" w:type="dxa"/>
            <w:tcBorders>
              <w:top w:val="nil"/>
              <w:left w:val="single" w:sz="8" w:space="0" w:color="000000"/>
              <w:bottom w:val="nil"/>
              <w:right w:val="single" w:sz="8" w:space="0" w:color="000000"/>
            </w:tcBorders>
          </w:tcPr>
          <w:p>
            <w:pPr>
              <w:pStyle w:val="TableParagraph"/>
              <w:spacing w:before="47"/>
              <w:ind w:right="34"/>
              <w:jc w:val="right"/>
              <w:rPr>
                <w:sz w:val="18"/>
              </w:rPr>
            </w:pPr>
            <w:r>
              <w:rPr>
                <w:sz w:val="18"/>
              </w:rPr>
              <w:t>484.171</w:t>
            </w:r>
          </w:p>
        </w:tc>
        <w:tc>
          <w:tcPr>
            <w:tcW w:w="1468" w:type="dxa"/>
            <w:tcBorders>
              <w:top w:val="nil"/>
              <w:left w:val="single" w:sz="8" w:space="0" w:color="000000"/>
              <w:bottom w:val="nil"/>
              <w:right w:val="single" w:sz="8" w:space="0" w:color="000000"/>
            </w:tcBorders>
          </w:tcPr>
          <w:p>
            <w:pPr>
              <w:pStyle w:val="TableParagraph"/>
              <w:spacing w:before="47"/>
              <w:ind w:right="34"/>
              <w:jc w:val="right"/>
              <w:rPr>
                <w:sz w:val="18"/>
              </w:rPr>
            </w:pPr>
            <w:r>
              <w:rPr>
                <w:sz w:val="18"/>
              </w:rPr>
              <w:t>.323</w:t>
            </w:r>
          </w:p>
        </w:tc>
        <w:tc>
          <w:tcPr>
            <w:tcW w:w="1468" w:type="dxa"/>
            <w:tcBorders>
              <w:top w:val="nil"/>
              <w:left w:val="single" w:sz="8" w:space="0" w:color="000000"/>
              <w:bottom w:val="nil"/>
            </w:tcBorders>
          </w:tcPr>
          <w:p>
            <w:pPr>
              <w:pStyle w:val="TableParagraph"/>
              <w:spacing w:before="47"/>
              <w:ind w:right="31"/>
              <w:jc w:val="right"/>
              <w:rPr>
                <w:sz w:val="18"/>
              </w:rPr>
            </w:pPr>
            <w:r>
              <w:rPr>
                <w:sz w:val="18"/>
              </w:rPr>
              <w:t>.863</w:t>
            </w:r>
          </w:p>
        </w:tc>
      </w:tr>
      <w:tr>
        <w:trPr>
          <w:trHeight w:val="310" w:hRule="atLeast"/>
        </w:trPr>
        <w:tc>
          <w:tcPr>
            <w:tcW w:w="1284" w:type="dxa"/>
            <w:tcBorders>
              <w:top w:val="nil"/>
              <w:bottom w:val="nil"/>
            </w:tcBorders>
          </w:tcPr>
          <w:p>
            <w:pPr>
              <w:pStyle w:val="TableParagraph"/>
              <w:spacing w:before="47"/>
              <w:ind w:left="75"/>
              <w:rPr>
                <w:sz w:val="18"/>
              </w:rPr>
            </w:pPr>
            <w:r>
              <w:rPr>
                <w:sz w:val="18"/>
              </w:rPr>
              <w:t>HT7</w:t>
            </w:r>
          </w:p>
        </w:tc>
        <w:tc>
          <w:tcPr>
            <w:tcW w:w="1469" w:type="dxa"/>
            <w:tcBorders>
              <w:top w:val="nil"/>
              <w:bottom w:val="nil"/>
              <w:right w:val="single" w:sz="8" w:space="0" w:color="000000"/>
            </w:tcBorders>
          </w:tcPr>
          <w:p>
            <w:pPr>
              <w:pStyle w:val="TableParagraph"/>
              <w:spacing w:before="47"/>
              <w:ind w:right="40"/>
              <w:jc w:val="right"/>
              <w:rPr>
                <w:sz w:val="18"/>
              </w:rPr>
            </w:pPr>
            <w:r>
              <w:rPr>
                <w:sz w:val="18"/>
              </w:rPr>
              <w:t>170.25</w:t>
            </w:r>
          </w:p>
        </w:tc>
        <w:tc>
          <w:tcPr>
            <w:tcW w:w="1468" w:type="dxa"/>
            <w:tcBorders>
              <w:top w:val="nil"/>
              <w:left w:val="single" w:sz="8" w:space="0" w:color="000000"/>
              <w:bottom w:val="nil"/>
              <w:right w:val="single" w:sz="8" w:space="0" w:color="000000"/>
            </w:tcBorders>
          </w:tcPr>
          <w:p>
            <w:pPr>
              <w:pStyle w:val="TableParagraph"/>
              <w:spacing w:before="47"/>
              <w:ind w:right="36"/>
              <w:jc w:val="right"/>
              <w:rPr>
                <w:sz w:val="18"/>
              </w:rPr>
            </w:pPr>
            <w:r>
              <w:rPr>
                <w:sz w:val="18"/>
              </w:rPr>
              <w:t>488.918</w:t>
            </w:r>
          </w:p>
        </w:tc>
        <w:tc>
          <w:tcPr>
            <w:tcW w:w="1468" w:type="dxa"/>
            <w:tcBorders>
              <w:top w:val="nil"/>
              <w:left w:val="single" w:sz="8" w:space="0" w:color="000000"/>
              <w:bottom w:val="nil"/>
              <w:right w:val="single" w:sz="8" w:space="0" w:color="000000"/>
            </w:tcBorders>
          </w:tcPr>
          <w:p>
            <w:pPr>
              <w:pStyle w:val="TableParagraph"/>
              <w:spacing w:before="47"/>
              <w:ind w:right="35"/>
              <w:jc w:val="right"/>
              <w:rPr>
                <w:sz w:val="18"/>
              </w:rPr>
            </w:pPr>
            <w:r>
              <w:rPr>
                <w:sz w:val="18"/>
              </w:rPr>
              <w:t>.179</w:t>
            </w:r>
          </w:p>
        </w:tc>
        <w:tc>
          <w:tcPr>
            <w:tcW w:w="1468" w:type="dxa"/>
            <w:tcBorders>
              <w:top w:val="nil"/>
              <w:left w:val="single" w:sz="8" w:space="0" w:color="000000"/>
              <w:bottom w:val="nil"/>
            </w:tcBorders>
          </w:tcPr>
          <w:p>
            <w:pPr>
              <w:pStyle w:val="TableParagraph"/>
              <w:spacing w:before="47"/>
              <w:ind w:right="31"/>
              <w:jc w:val="right"/>
              <w:rPr>
                <w:sz w:val="18"/>
              </w:rPr>
            </w:pPr>
            <w:r>
              <w:rPr>
                <w:sz w:val="18"/>
              </w:rPr>
              <w:t>.866</w:t>
            </w:r>
          </w:p>
        </w:tc>
      </w:tr>
      <w:tr>
        <w:trPr>
          <w:trHeight w:val="310" w:hRule="atLeast"/>
        </w:trPr>
        <w:tc>
          <w:tcPr>
            <w:tcW w:w="1284" w:type="dxa"/>
            <w:tcBorders>
              <w:top w:val="nil"/>
              <w:bottom w:val="nil"/>
            </w:tcBorders>
          </w:tcPr>
          <w:p>
            <w:pPr>
              <w:pStyle w:val="TableParagraph"/>
              <w:spacing w:before="48"/>
              <w:ind w:left="75"/>
              <w:rPr>
                <w:sz w:val="18"/>
              </w:rPr>
            </w:pPr>
            <w:r>
              <w:rPr>
                <w:sz w:val="18"/>
              </w:rPr>
              <w:t>VT1</w:t>
            </w:r>
          </w:p>
        </w:tc>
        <w:tc>
          <w:tcPr>
            <w:tcW w:w="1469" w:type="dxa"/>
            <w:tcBorders>
              <w:top w:val="nil"/>
              <w:bottom w:val="nil"/>
              <w:right w:val="single" w:sz="8" w:space="0" w:color="000000"/>
            </w:tcBorders>
          </w:tcPr>
          <w:p>
            <w:pPr>
              <w:pStyle w:val="TableParagraph"/>
              <w:spacing w:before="48"/>
              <w:ind w:right="40"/>
              <w:jc w:val="right"/>
              <w:rPr>
                <w:sz w:val="18"/>
              </w:rPr>
            </w:pPr>
            <w:r>
              <w:rPr>
                <w:sz w:val="18"/>
              </w:rPr>
              <w:t>170.95</w:t>
            </w:r>
          </w:p>
        </w:tc>
        <w:tc>
          <w:tcPr>
            <w:tcW w:w="1468" w:type="dxa"/>
            <w:tcBorders>
              <w:top w:val="nil"/>
              <w:left w:val="single" w:sz="8" w:space="0" w:color="000000"/>
              <w:bottom w:val="nil"/>
              <w:right w:val="single" w:sz="8" w:space="0" w:color="000000"/>
            </w:tcBorders>
          </w:tcPr>
          <w:p>
            <w:pPr>
              <w:pStyle w:val="TableParagraph"/>
              <w:spacing w:before="48"/>
              <w:ind w:right="36"/>
              <w:jc w:val="right"/>
              <w:rPr>
                <w:sz w:val="18"/>
              </w:rPr>
            </w:pPr>
            <w:r>
              <w:rPr>
                <w:sz w:val="18"/>
              </w:rPr>
              <w:t>486.972</w:t>
            </w:r>
          </w:p>
        </w:tc>
        <w:tc>
          <w:tcPr>
            <w:tcW w:w="1468" w:type="dxa"/>
            <w:tcBorders>
              <w:top w:val="nil"/>
              <w:left w:val="single" w:sz="8" w:space="0" w:color="000000"/>
              <w:bottom w:val="nil"/>
              <w:right w:val="single" w:sz="8" w:space="0" w:color="000000"/>
            </w:tcBorders>
          </w:tcPr>
          <w:p>
            <w:pPr>
              <w:pStyle w:val="TableParagraph"/>
              <w:spacing w:before="48"/>
              <w:ind w:right="35"/>
              <w:jc w:val="right"/>
              <w:rPr>
                <w:sz w:val="18"/>
              </w:rPr>
            </w:pPr>
            <w:r>
              <w:rPr>
                <w:sz w:val="18"/>
              </w:rPr>
              <w:t>.147</w:t>
            </w:r>
          </w:p>
        </w:tc>
        <w:tc>
          <w:tcPr>
            <w:tcW w:w="1468" w:type="dxa"/>
            <w:tcBorders>
              <w:top w:val="nil"/>
              <w:left w:val="single" w:sz="8" w:space="0" w:color="000000"/>
              <w:bottom w:val="nil"/>
            </w:tcBorders>
          </w:tcPr>
          <w:p>
            <w:pPr>
              <w:pStyle w:val="TableParagraph"/>
              <w:spacing w:before="48"/>
              <w:ind w:right="32"/>
              <w:jc w:val="right"/>
              <w:rPr>
                <w:sz w:val="18"/>
              </w:rPr>
            </w:pPr>
            <w:r>
              <w:rPr>
                <w:sz w:val="18"/>
              </w:rPr>
              <w:t>.867</w:t>
            </w:r>
          </w:p>
        </w:tc>
      </w:tr>
      <w:tr>
        <w:trPr>
          <w:trHeight w:val="309" w:hRule="atLeast"/>
        </w:trPr>
        <w:tc>
          <w:tcPr>
            <w:tcW w:w="1284" w:type="dxa"/>
            <w:tcBorders>
              <w:top w:val="nil"/>
              <w:bottom w:val="nil"/>
            </w:tcBorders>
          </w:tcPr>
          <w:p>
            <w:pPr>
              <w:pStyle w:val="TableParagraph"/>
              <w:spacing w:before="47"/>
              <w:ind w:left="75"/>
              <w:rPr>
                <w:sz w:val="18"/>
              </w:rPr>
            </w:pPr>
            <w:r>
              <w:rPr>
                <w:sz w:val="18"/>
              </w:rPr>
              <w:t>VT2</w:t>
            </w:r>
          </w:p>
        </w:tc>
        <w:tc>
          <w:tcPr>
            <w:tcW w:w="1469" w:type="dxa"/>
            <w:tcBorders>
              <w:top w:val="nil"/>
              <w:bottom w:val="nil"/>
              <w:right w:val="single" w:sz="8" w:space="0" w:color="000000"/>
            </w:tcBorders>
          </w:tcPr>
          <w:p>
            <w:pPr>
              <w:pStyle w:val="TableParagraph"/>
              <w:spacing w:before="47"/>
              <w:ind w:right="40"/>
              <w:jc w:val="right"/>
              <w:rPr>
                <w:sz w:val="18"/>
              </w:rPr>
            </w:pPr>
            <w:r>
              <w:rPr>
                <w:sz w:val="18"/>
              </w:rPr>
              <w:t>170.34</w:t>
            </w:r>
          </w:p>
        </w:tc>
        <w:tc>
          <w:tcPr>
            <w:tcW w:w="1468" w:type="dxa"/>
            <w:tcBorders>
              <w:top w:val="nil"/>
              <w:left w:val="single" w:sz="8" w:space="0" w:color="000000"/>
              <w:bottom w:val="nil"/>
              <w:right w:val="single" w:sz="8" w:space="0" w:color="000000"/>
            </w:tcBorders>
          </w:tcPr>
          <w:p>
            <w:pPr>
              <w:pStyle w:val="TableParagraph"/>
              <w:spacing w:before="47"/>
              <w:ind w:right="34"/>
              <w:jc w:val="right"/>
              <w:rPr>
                <w:sz w:val="18"/>
              </w:rPr>
            </w:pPr>
            <w:r>
              <w:rPr>
                <w:sz w:val="18"/>
              </w:rPr>
              <w:t>480.503</w:t>
            </w:r>
          </w:p>
        </w:tc>
        <w:tc>
          <w:tcPr>
            <w:tcW w:w="1468" w:type="dxa"/>
            <w:tcBorders>
              <w:top w:val="nil"/>
              <w:left w:val="single" w:sz="8" w:space="0" w:color="000000"/>
              <w:bottom w:val="nil"/>
              <w:right w:val="single" w:sz="8" w:space="0" w:color="000000"/>
            </w:tcBorders>
          </w:tcPr>
          <w:p>
            <w:pPr>
              <w:pStyle w:val="TableParagraph"/>
              <w:spacing w:before="47"/>
              <w:ind w:right="36"/>
              <w:jc w:val="right"/>
              <w:rPr>
                <w:sz w:val="18"/>
              </w:rPr>
            </w:pPr>
            <w:r>
              <w:rPr>
                <w:sz w:val="18"/>
              </w:rPr>
              <w:t>.347</w:t>
            </w:r>
          </w:p>
        </w:tc>
        <w:tc>
          <w:tcPr>
            <w:tcW w:w="1468" w:type="dxa"/>
            <w:tcBorders>
              <w:top w:val="nil"/>
              <w:left w:val="single" w:sz="8" w:space="0" w:color="000000"/>
              <w:bottom w:val="nil"/>
            </w:tcBorders>
          </w:tcPr>
          <w:p>
            <w:pPr>
              <w:pStyle w:val="TableParagraph"/>
              <w:spacing w:before="47"/>
              <w:ind w:right="32"/>
              <w:jc w:val="right"/>
              <w:rPr>
                <w:sz w:val="18"/>
              </w:rPr>
            </w:pPr>
            <w:r>
              <w:rPr>
                <w:sz w:val="18"/>
              </w:rPr>
              <w:t>.863</w:t>
            </w:r>
          </w:p>
        </w:tc>
      </w:tr>
      <w:tr>
        <w:trPr>
          <w:trHeight w:val="310" w:hRule="atLeast"/>
        </w:trPr>
        <w:tc>
          <w:tcPr>
            <w:tcW w:w="1284" w:type="dxa"/>
            <w:tcBorders>
              <w:top w:val="nil"/>
              <w:bottom w:val="nil"/>
            </w:tcBorders>
          </w:tcPr>
          <w:p>
            <w:pPr>
              <w:pStyle w:val="TableParagraph"/>
              <w:spacing w:before="47"/>
              <w:ind w:left="75"/>
              <w:rPr>
                <w:sz w:val="18"/>
              </w:rPr>
            </w:pPr>
            <w:r>
              <w:rPr>
                <w:sz w:val="18"/>
              </w:rPr>
              <w:t>VT3</w:t>
            </w:r>
          </w:p>
        </w:tc>
        <w:tc>
          <w:tcPr>
            <w:tcW w:w="1469" w:type="dxa"/>
            <w:tcBorders>
              <w:top w:val="nil"/>
              <w:bottom w:val="nil"/>
              <w:right w:val="single" w:sz="8" w:space="0" w:color="000000"/>
            </w:tcBorders>
          </w:tcPr>
          <w:p>
            <w:pPr>
              <w:pStyle w:val="TableParagraph"/>
              <w:spacing w:before="47"/>
              <w:ind w:right="40"/>
              <w:jc w:val="right"/>
              <w:rPr>
                <w:sz w:val="18"/>
              </w:rPr>
            </w:pPr>
            <w:r>
              <w:rPr>
                <w:sz w:val="18"/>
              </w:rPr>
              <w:t>170.40</w:t>
            </w:r>
          </w:p>
        </w:tc>
        <w:tc>
          <w:tcPr>
            <w:tcW w:w="1468" w:type="dxa"/>
            <w:tcBorders>
              <w:top w:val="nil"/>
              <w:left w:val="single" w:sz="8" w:space="0" w:color="000000"/>
              <w:bottom w:val="nil"/>
              <w:right w:val="single" w:sz="8" w:space="0" w:color="000000"/>
            </w:tcBorders>
          </w:tcPr>
          <w:p>
            <w:pPr>
              <w:pStyle w:val="TableParagraph"/>
              <w:spacing w:before="47"/>
              <w:ind w:right="34"/>
              <w:jc w:val="right"/>
              <w:rPr>
                <w:sz w:val="18"/>
              </w:rPr>
            </w:pPr>
            <w:r>
              <w:rPr>
                <w:sz w:val="18"/>
              </w:rPr>
              <w:t>480.664</w:t>
            </w:r>
          </w:p>
        </w:tc>
        <w:tc>
          <w:tcPr>
            <w:tcW w:w="1468" w:type="dxa"/>
            <w:tcBorders>
              <w:top w:val="nil"/>
              <w:left w:val="single" w:sz="8" w:space="0" w:color="000000"/>
              <w:bottom w:val="nil"/>
              <w:right w:val="single" w:sz="8" w:space="0" w:color="000000"/>
            </w:tcBorders>
          </w:tcPr>
          <w:p>
            <w:pPr>
              <w:pStyle w:val="TableParagraph"/>
              <w:spacing w:before="47"/>
              <w:ind w:right="35"/>
              <w:jc w:val="right"/>
              <w:rPr>
                <w:sz w:val="18"/>
              </w:rPr>
            </w:pPr>
            <w:r>
              <w:rPr>
                <w:sz w:val="18"/>
              </w:rPr>
              <w:t>.345</w:t>
            </w:r>
          </w:p>
        </w:tc>
        <w:tc>
          <w:tcPr>
            <w:tcW w:w="1468" w:type="dxa"/>
            <w:tcBorders>
              <w:top w:val="nil"/>
              <w:left w:val="single" w:sz="8" w:space="0" w:color="000000"/>
              <w:bottom w:val="nil"/>
            </w:tcBorders>
          </w:tcPr>
          <w:p>
            <w:pPr>
              <w:pStyle w:val="TableParagraph"/>
              <w:spacing w:before="47"/>
              <w:ind w:right="31"/>
              <w:jc w:val="right"/>
              <w:rPr>
                <w:sz w:val="18"/>
              </w:rPr>
            </w:pPr>
            <w:r>
              <w:rPr>
                <w:sz w:val="18"/>
              </w:rPr>
              <w:t>.863</w:t>
            </w:r>
          </w:p>
        </w:tc>
      </w:tr>
      <w:tr>
        <w:trPr>
          <w:trHeight w:val="310" w:hRule="atLeast"/>
        </w:trPr>
        <w:tc>
          <w:tcPr>
            <w:tcW w:w="1284" w:type="dxa"/>
            <w:tcBorders>
              <w:top w:val="nil"/>
              <w:bottom w:val="nil"/>
            </w:tcBorders>
          </w:tcPr>
          <w:p>
            <w:pPr>
              <w:pStyle w:val="TableParagraph"/>
              <w:spacing w:before="48"/>
              <w:ind w:left="75"/>
              <w:rPr>
                <w:sz w:val="18"/>
              </w:rPr>
            </w:pPr>
            <w:r>
              <w:rPr>
                <w:sz w:val="18"/>
              </w:rPr>
              <w:t>VT4</w:t>
            </w:r>
          </w:p>
        </w:tc>
        <w:tc>
          <w:tcPr>
            <w:tcW w:w="1469" w:type="dxa"/>
            <w:tcBorders>
              <w:top w:val="nil"/>
              <w:bottom w:val="nil"/>
              <w:right w:val="single" w:sz="8" w:space="0" w:color="000000"/>
            </w:tcBorders>
          </w:tcPr>
          <w:p>
            <w:pPr>
              <w:pStyle w:val="TableParagraph"/>
              <w:spacing w:before="48"/>
              <w:ind w:right="40"/>
              <w:jc w:val="right"/>
              <w:rPr>
                <w:sz w:val="18"/>
              </w:rPr>
            </w:pPr>
            <w:r>
              <w:rPr>
                <w:sz w:val="18"/>
              </w:rPr>
              <w:t>171.19</w:t>
            </w:r>
          </w:p>
        </w:tc>
        <w:tc>
          <w:tcPr>
            <w:tcW w:w="1468" w:type="dxa"/>
            <w:tcBorders>
              <w:top w:val="nil"/>
              <w:left w:val="single" w:sz="8" w:space="0" w:color="000000"/>
              <w:bottom w:val="nil"/>
              <w:right w:val="single" w:sz="8" w:space="0" w:color="000000"/>
            </w:tcBorders>
          </w:tcPr>
          <w:p>
            <w:pPr>
              <w:pStyle w:val="TableParagraph"/>
              <w:spacing w:before="48"/>
              <w:ind w:right="36"/>
              <w:jc w:val="right"/>
              <w:rPr>
                <w:sz w:val="18"/>
              </w:rPr>
            </w:pPr>
            <w:r>
              <w:rPr>
                <w:sz w:val="18"/>
              </w:rPr>
              <w:t>488.178</w:t>
            </w:r>
          </w:p>
        </w:tc>
        <w:tc>
          <w:tcPr>
            <w:tcW w:w="1468" w:type="dxa"/>
            <w:tcBorders>
              <w:top w:val="nil"/>
              <w:left w:val="single" w:sz="8" w:space="0" w:color="000000"/>
              <w:bottom w:val="nil"/>
              <w:right w:val="single" w:sz="8" w:space="0" w:color="000000"/>
            </w:tcBorders>
          </w:tcPr>
          <w:p>
            <w:pPr>
              <w:pStyle w:val="TableParagraph"/>
              <w:spacing w:before="48"/>
              <w:ind w:right="35"/>
              <w:jc w:val="right"/>
              <w:rPr>
                <w:sz w:val="18"/>
              </w:rPr>
            </w:pPr>
            <w:r>
              <w:rPr>
                <w:sz w:val="18"/>
              </w:rPr>
              <w:t>.145</w:t>
            </w:r>
          </w:p>
        </w:tc>
        <w:tc>
          <w:tcPr>
            <w:tcW w:w="1468" w:type="dxa"/>
            <w:tcBorders>
              <w:top w:val="nil"/>
              <w:left w:val="single" w:sz="8" w:space="0" w:color="000000"/>
              <w:bottom w:val="nil"/>
            </w:tcBorders>
          </w:tcPr>
          <w:p>
            <w:pPr>
              <w:pStyle w:val="TableParagraph"/>
              <w:spacing w:before="48"/>
              <w:ind w:right="31"/>
              <w:jc w:val="right"/>
              <w:rPr>
                <w:sz w:val="18"/>
              </w:rPr>
            </w:pPr>
            <w:r>
              <w:rPr>
                <w:sz w:val="18"/>
              </w:rPr>
              <w:t>.867</w:t>
            </w:r>
          </w:p>
        </w:tc>
      </w:tr>
      <w:tr>
        <w:trPr>
          <w:trHeight w:val="310" w:hRule="atLeast"/>
        </w:trPr>
        <w:tc>
          <w:tcPr>
            <w:tcW w:w="1284" w:type="dxa"/>
            <w:tcBorders>
              <w:top w:val="nil"/>
              <w:bottom w:val="nil"/>
            </w:tcBorders>
          </w:tcPr>
          <w:p>
            <w:pPr>
              <w:pStyle w:val="TableParagraph"/>
              <w:spacing w:before="47"/>
              <w:ind w:left="75"/>
              <w:rPr>
                <w:sz w:val="18"/>
              </w:rPr>
            </w:pPr>
            <w:r>
              <w:rPr>
                <w:sz w:val="18"/>
              </w:rPr>
              <w:t>VT5</w:t>
            </w:r>
          </w:p>
        </w:tc>
        <w:tc>
          <w:tcPr>
            <w:tcW w:w="1469" w:type="dxa"/>
            <w:tcBorders>
              <w:top w:val="nil"/>
              <w:bottom w:val="nil"/>
              <w:right w:val="single" w:sz="8" w:space="0" w:color="000000"/>
            </w:tcBorders>
          </w:tcPr>
          <w:p>
            <w:pPr>
              <w:pStyle w:val="TableParagraph"/>
              <w:spacing w:before="47"/>
              <w:ind w:right="39"/>
              <w:jc w:val="right"/>
              <w:rPr>
                <w:sz w:val="18"/>
              </w:rPr>
            </w:pPr>
            <w:r>
              <w:rPr>
                <w:sz w:val="18"/>
              </w:rPr>
              <w:t>170.53</w:t>
            </w:r>
          </w:p>
        </w:tc>
        <w:tc>
          <w:tcPr>
            <w:tcW w:w="1468" w:type="dxa"/>
            <w:tcBorders>
              <w:top w:val="nil"/>
              <w:left w:val="single" w:sz="8" w:space="0" w:color="000000"/>
              <w:bottom w:val="nil"/>
              <w:right w:val="single" w:sz="8" w:space="0" w:color="000000"/>
            </w:tcBorders>
          </w:tcPr>
          <w:p>
            <w:pPr>
              <w:pStyle w:val="TableParagraph"/>
              <w:spacing w:before="47"/>
              <w:ind w:right="36"/>
              <w:jc w:val="right"/>
              <w:rPr>
                <w:sz w:val="18"/>
              </w:rPr>
            </w:pPr>
            <w:r>
              <w:rPr>
                <w:sz w:val="18"/>
              </w:rPr>
              <w:t>480.642</w:t>
            </w:r>
          </w:p>
        </w:tc>
        <w:tc>
          <w:tcPr>
            <w:tcW w:w="1468" w:type="dxa"/>
            <w:tcBorders>
              <w:top w:val="nil"/>
              <w:left w:val="single" w:sz="8" w:space="0" w:color="000000"/>
              <w:bottom w:val="nil"/>
              <w:right w:val="single" w:sz="8" w:space="0" w:color="000000"/>
            </w:tcBorders>
          </w:tcPr>
          <w:p>
            <w:pPr>
              <w:pStyle w:val="TableParagraph"/>
              <w:spacing w:before="47"/>
              <w:ind w:right="34"/>
              <w:jc w:val="right"/>
              <w:rPr>
                <w:sz w:val="18"/>
              </w:rPr>
            </w:pPr>
            <w:r>
              <w:rPr>
                <w:sz w:val="18"/>
              </w:rPr>
              <w:t>.324</w:t>
            </w:r>
          </w:p>
        </w:tc>
        <w:tc>
          <w:tcPr>
            <w:tcW w:w="1468" w:type="dxa"/>
            <w:tcBorders>
              <w:top w:val="nil"/>
              <w:left w:val="single" w:sz="8" w:space="0" w:color="000000"/>
              <w:bottom w:val="nil"/>
            </w:tcBorders>
          </w:tcPr>
          <w:p>
            <w:pPr>
              <w:pStyle w:val="TableParagraph"/>
              <w:spacing w:before="47"/>
              <w:ind w:right="31"/>
              <w:jc w:val="right"/>
              <w:rPr>
                <w:sz w:val="18"/>
              </w:rPr>
            </w:pPr>
            <w:r>
              <w:rPr>
                <w:sz w:val="18"/>
              </w:rPr>
              <w:t>.863</w:t>
            </w:r>
          </w:p>
        </w:tc>
      </w:tr>
      <w:tr>
        <w:trPr>
          <w:trHeight w:val="311" w:hRule="atLeast"/>
        </w:trPr>
        <w:tc>
          <w:tcPr>
            <w:tcW w:w="1284" w:type="dxa"/>
            <w:tcBorders>
              <w:top w:val="nil"/>
              <w:bottom w:val="nil"/>
            </w:tcBorders>
          </w:tcPr>
          <w:p>
            <w:pPr>
              <w:pStyle w:val="TableParagraph"/>
              <w:spacing w:before="48"/>
              <w:ind w:left="75"/>
              <w:rPr>
                <w:sz w:val="18"/>
              </w:rPr>
            </w:pPr>
            <w:r>
              <w:rPr>
                <w:sz w:val="18"/>
              </w:rPr>
              <w:t>VT6</w:t>
            </w:r>
          </w:p>
        </w:tc>
        <w:tc>
          <w:tcPr>
            <w:tcW w:w="1469" w:type="dxa"/>
            <w:tcBorders>
              <w:top w:val="nil"/>
              <w:bottom w:val="nil"/>
              <w:right w:val="single" w:sz="8" w:space="0" w:color="000000"/>
            </w:tcBorders>
          </w:tcPr>
          <w:p>
            <w:pPr>
              <w:pStyle w:val="TableParagraph"/>
              <w:spacing w:before="48"/>
              <w:ind w:right="40"/>
              <w:jc w:val="right"/>
              <w:rPr>
                <w:sz w:val="18"/>
              </w:rPr>
            </w:pPr>
            <w:r>
              <w:rPr>
                <w:sz w:val="18"/>
              </w:rPr>
              <w:t>170.41</w:t>
            </w:r>
          </w:p>
        </w:tc>
        <w:tc>
          <w:tcPr>
            <w:tcW w:w="1468" w:type="dxa"/>
            <w:tcBorders>
              <w:top w:val="nil"/>
              <w:left w:val="single" w:sz="8" w:space="0" w:color="000000"/>
              <w:bottom w:val="nil"/>
              <w:right w:val="single" w:sz="8" w:space="0" w:color="000000"/>
            </w:tcBorders>
          </w:tcPr>
          <w:p>
            <w:pPr>
              <w:pStyle w:val="TableParagraph"/>
              <w:spacing w:before="48"/>
              <w:ind w:right="34"/>
              <w:jc w:val="right"/>
              <w:rPr>
                <w:sz w:val="18"/>
              </w:rPr>
            </w:pPr>
            <w:r>
              <w:rPr>
                <w:sz w:val="18"/>
              </w:rPr>
              <w:t>481.192</w:t>
            </w:r>
          </w:p>
        </w:tc>
        <w:tc>
          <w:tcPr>
            <w:tcW w:w="1468" w:type="dxa"/>
            <w:tcBorders>
              <w:top w:val="nil"/>
              <w:left w:val="single" w:sz="8" w:space="0" w:color="000000"/>
              <w:bottom w:val="nil"/>
              <w:right w:val="single" w:sz="8" w:space="0" w:color="000000"/>
            </w:tcBorders>
          </w:tcPr>
          <w:p>
            <w:pPr>
              <w:pStyle w:val="TableParagraph"/>
              <w:spacing w:before="48"/>
              <w:ind w:right="34"/>
              <w:jc w:val="right"/>
              <w:rPr>
                <w:sz w:val="18"/>
              </w:rPr>
            </w:pPr>
            <w:r>
              <w:rPr>
                <w:sz w:val="18"/>
              </w:rPr>
              <w:t>.330</w:t>
            </w:r>
          </w:p>
        </w:tc>
        <w:tc>
          <w:tcPr>
            <w:tcW w:w="1468" w:type="dxa"/>
            <w:tcBorders>
              <w:top w:val="nil"/>
              <w:left w:val="single" w:sz="8" w:space="0" w:color="000000"/>
              <w:bottom w:val="nil"/>
            </w:tcBorders>
          </w:tcPr>
          <w:p>
            <w:pPr>
              <w:pStyle w:val="TableParagraph"/>
              <w:spacing w:before="48"/>
              <w:ind w:right="31"/>
              <w:jc w:val="right"/>
              <w:rPr>
                <w:sz w:val="18"/>
              </w:rPr>
            </w:pPr>
            <w:r>
              <w:rPr>
                <w:sz w:val="18"/>
              </w:rPr>
              <w:t>.863</w:t>
            </w:r>
          </w:p>
        </w:tc>
      </w:tr>
      <w:tr>
        <w:trPr>
          <w:trHeight w:val="309" w:hRule="atLeast"/>
        </w:trPr>
        <w:tc>
          <w:tcPr>
            <w:tcW w:w="1284" w:type="dxa"/>
            <w:tcBorders>
              <w:top w:val="nil"/>
              <w:bottom w:val="nil"/>
            </w:tcBorders>
          </w:tcPr>
          <w:p>
            <w:pPr>
              <w:pStyle w:val="TableParagraph"/>
              <w:spacing w:before="47"/>
              <w:ind w:left="75"/>
              <w:rPr>
                <w:sz w:val="18"/>
              </w:rPr>
            </w:pPr>
            <w:r>
              <w:rPr>
                <w:sz w:val="18"/>
              </w:rPr>
              <w:t>VT7</w:t>
            </w:r>
          </w:p>
        </w:tc>
        <w:tc>
          <w:tcPr>
            <w:tcW w:w="1469" w:type="dxa"/>
            <w:tcBorders>
              <w:top w:val="nil"/>
              <w:bottom w:val="nil"/>
              <w:right w:val="single" w:sz="8" w:space="0" w:color="000000"/>
            </w:tcBorders>
          </w:tcPr>
          <w:p>
            <w:pPr>
              <w:pStyle w:val="TableParagraph"/>
              <w:spacing w:before="47"/>
              <w:ind w:right="40"/>
              <w:jc w:val="right"/>
              <w:rPr>
                <w:sz w:val="18"/>
              </w:rPr>
            </w:pPr>
            <w:r>
              <w:rPr>
                <w:sz w:val="18"/>
              </w:rPr>
              <w:t>170.35</w:t>
            </w:r>
          </w:p>
        </w:tc>
        <w:tc>
          <w:tcPr>
            <w:tcW w:w="1468" w:type="dxa"/>
            <w:tcBorders>
              <w:top w:val="nil"/>
              <w:left w:val="single" w:sz="8" w:space="0" w:color="000000"/>
              <w:bottom w:val="nil"/>
              <w:right w:val="single" w:sz="8" w:space="0" w:color="000000"/>
            </w:tcBorders>
          </w:tcPr>
          <w:p>
            <w:pPr>
              <w:pStyle w:val="TableParagraph"/>
              <w:spacing w:before="47"/>
              <w:ind w:right="36"/>
              <w:jc w:val="right"/>
              <w:rPr>
                <w:sz w:val="18"/>
              </w:rPr>
            </w:pPr>
            <w:r>
              <w:rPr>
                <w:sz w:val="18"/>
              </w:rPr>
              <w:t>476.754</w:t>
            </w:r>
          </w:p>
        </w:tc>
        <w:tc>
          <w:tcPr>
            <w:tcW w:w="1468" w:type="dxa"/>
            <w:tcBorders>
              <w:top w:val="nil"/>
              <w:left w:val="single" w:sz="8" w:space="0" w:color="000000"/>
              <w:bottom w:val="nil"/>
              <w:right w:val="single" w:sz="8" w:space="0" w:color="000000"/>
            </w:tcBorders>
          </w:tcPr>
          <w:p>
            <w:pPr>
              <w:pStyle w:val="TableParagraph"/>
              <w:spacing w:before="47"/>
              <w:ind w:right="35"/>
              <w:jc w:val="right"/>
              <w:rPr>
                <w:sz w:val="18"/>
              </w:rPr>
            </w:pPr>
            <w:r>
              <w:rPr>
                <w:sz w:val="18"/>
              </w:rPr>
              <w:t>.438</w:t>
            </w:r>
          </w:p>
        </w:tc>
        <w:tc>
          <w:tcPr>
            <w:tcW w:w="1468" w:type="dxa"/>
            <w:tcBorders>
              <w:top w:val="nil"/>
              <w:left w:val="single" w:sz="8" w:space="0" w:color="000000"/>
              <w:bottom w:val="nil"/>
            </w:tcBorders>
          </w:tcPr>
          <w:p>
            <w:pPr>
              <w:pStyle w:val="TableParagraph"/>
              <w:spacing w:before="47"/>
              <w:ind w:right="31"/>
              <w:jc w:val="right"/>
              <w:rPr>
                <w:sz w:val="18"/>
              </w:rPr>
            </w:pPr>
            <w:r>
              <w:rPr>
                <w:sz w:val="18"/>
              </w:rPr>
              <w:t>.861</w:t>
            </w:r>
          </w:p>
        </w:tc>
      </w:tr>
      <w:tr>
        <w:trPr>
          <w:trHeight w:val="310" w:hRule="atLeast"/>
        </w:trPr>
        <w:tc>
          <w:tcPr>
            <w:tcW w:w="1284" w:type="dxa"/>
            <w:tcBorders>
              <w:top w:val="nil"/>
              <w:bottom w:val="nil"/>
            </w:tcBorders>
          </w:tcPr>
          <w:p>
            <w:pPr>
              <w:pStyle w:val="TableParagraph"/>
              <w:spacing w:before="47"/>
              <w:ind w:left="75"/>
              <w:rPr>
                <w:sz w:val="18"/>
              </w:rPr>
            </w:pPr>
            <w:r>
              <w:rPr>
                <w:sz w:val="18"/>
              </w:rPr>
              <w:t>VT8</w:t>
            </w:r>
          </w:p>
        </w:tc>
        <w:tc>
          <w:tcPr>
            <w:tcW w:w="1469" w:type="dxa"/>
            <w:tcBorders>
              <w:top w:val="nil"/>
              <w:bottom w:val="nil"/>
              <w:right w:val="single" w:sz="8" w:space="0" w:color="000000"/>
            </w:tcBorders>
          </w:tcPr>
          <w:p>
            <w:pPr>
              <w:pStyle w:val="TableParagraph"/>
              <w:spacing w:before="47"/>
              <w:ind w:right="40"/>
              <w:jc w:val="right"/>
              <w:rPr>
                <w:sz w:val="18"/>
              </w:rPr>
            </w:pPr>
            <w:r>
              <w:rPr>
                <w:sz w:val="18"/>
              </w:rPr>
              <w:t>171.29</w:t>
            </w:r>
          </w:p>
        </w:tc>
        <w:tc>
          <w:tcPr>
            <w:tcW w:w="1468" w:type="dxa"/>
            <w:tcBorders>
              <w:top w:val="nil"/>
              <w:left w:val="single" w:sz="8" w:space="0" w:color="000000"/>
              <w:bottom w:val="nil"/>
              <w:right w:val="single" w:sz="8" w:space="0" w:color="000000"/>
            </w:tcBorders>
          </w:tcPr>
          <w:p>
            <w:pPr>
              <w:pStyle w:val="TableParagraph"/>
              <w:spacing w:before="47"/>
              <w:ind w:right="36"/>
              <w:jc w:val="right"/>
              <w:rPr>
                <w:sz w:val="18"/>
              </w:rPr>
            </w:pPr>
            <w:r>
              <w:rPr>
                <w:sz w:val="18"/>
              </w:rPr>
              <w:t>484.868</w:t>
            </w:r>
          </w:p>
        </w:tc>
        <w:tc>
          <w:tcPr>
            <w:tcW w:w="1468" w:type="dxa"/>
            <w:tcBorders>
              <w:top w:val="nil"/>
              <w:left w:val="single" w:sz="8" w:space="0" w:color="000000"/>
              <w:bottom w:val="nil"/>
              <w:right w:val="single" w:sz="8" w:space="0" w:color="000000"/>
            </w:tcBorders>
          </w:tcPr>
          <w:p>
            <w:pPr>
              <w:pStyle w:val="TableParagraph"/>
              <w:spacing w:before="47"/>
              <w:ind w:right="35"/>
              <w:jc w:val="right"/>
              <w:rPr>
                <w:sz w:val="18"/>
              </w:rPr>
            </w:pPr>
            <w:r>
              <w:rPr>
                <w:sz w:val="18"/>
              </w:rPr>
              <w:t>.181</w:t>
            </w:r>
          </w:p>
        </w:tc>
        <w:tc>
          <w:tcPr>
            <w:tcW w:w="1468" w:type="dxa"/>
            <w:tcBorders>
              <w:top w:val="nil"/>
              <w:left w:val="single" w:sz="8" w:space="0" w:color="000000"/>
              <w:bottom w:val="nil"/>
            </w:tcBorders>
          </w:tcPr>
          <w:p>
            <w:pPr>
              <w:pStyle w:val="TableParagraph"/>
              <w:spacing w:before="47"/>
              <w:ind w:right="31"/>
              <w:jc w:val="right"/>
              <w:rPr>
                <w:sz w:val="18"/>
              </w:rPr>
            </w:pPr>
            <w:r>
              <w:rPr>
                <w:sz w:val="18"/>
              </w:rPr>
              <w:t>.866</w:t>
            </w:r>
          </w:p>
        </w:tc>
      </w:tr>
      <w:tr>
        <w:trPr>
          <w:trHeight w:val="310" w:hRule="atLeast"/>
        </w:trPr>
        <w:tc>
          <w:tcPr>
            <w:tcW w:w="1284" w:type="dxa"/>
            <w:tcBorders>
              <w:top w:val="nil"/>
              <w:bottom w:val="nil"/>
            </w:tcBorders>
          </w:tcPr>
          <w:p>
            <w:pPr>
              <w:pStyle w:val="TableParagraph"/>
              <w:spacing w:before="48"/>
              <w:ind w:left="75"/>
              <w:rPr>
                <w:sz w:val="18"/>
              </w:rPr>
            </w:pPr>
            <w:r>
              <w:rPr>
                <w:sz w:val="18"/>
              </w:rPr>
              <w:t>VT9</w:t>
            </w:r>
          </w:p>
        </w:tc>
        <w:tc>
          <w:tcPr>
            <w:tcW w:w="1469" w:type="dxa"/>
            <w:tcBorders>
              <w:top w:val="nil"/>
              <w:bottom w:val="nil"/>
              <w:right w:val="single" w:sz="8" w:space="0" w:color="000000"/>
            </w:tcBorders>
          </w:tcPr>
          <w:p>
            <w:pPr>
              <w:pStyle w:val="TableParagraph"/>
              <w:spacing w:before="48"/>
              <w:ind w:right="40"/>
              <w:jc w:val="right"/>
              <w:rPr>
                <w:sz w:val="18"/>
              </w:rPr>
            </w:pPr>
            <w:r>
              <w:rPr>
                <w:sz w:val="18"/>
              </w:rPr>
              <w:t>170.35</w:t>
            </w:r>
          </w:p>
        </w:tc>
        <w:tc>
          <w:tcPr>
            <w:tcW w:w="1468" w:type="dxa"/>
            <w:tcBorders>
              <w:top w:val="nil"/>
              <w:left w:val="single" w:sz="8" w:space="0" w:color="000000"/>
              <w:bottom w:val="nil"/>
              <w:right w:val="single" w:sz="8" w:space="0" w:color="000000"/>
            </w:tcBorders>
          </w:tcPr>
          <w:p>
            <w:pPr>
              <w:pStyle w:val="TableParagraph"/>
              <w:spacing w:before="48"/>
              <w:ind w:right="36"/>
              <w:jc w:val="right"/>
              <w:rPr>
                <w:sz w:val="18"/>
              </w:rPr>
            </w:pPr>
            <w:r>
              <w:rPr>
                <w:sz w:val="18"/>
              </w:rPr>
              <w:t>478.187</w:t>
            </w:r>
          </w:p>
        </w:tc>
        <w:tc>
          <w:tcPr>
            <w:tcW w:w="1468" w:type="dxa"/>
            <w:tcBorders>
              <w:top w:val="nil"/>
              <w:left w:val="single" w:sz="8" w:space="0" w:color="000000"/>
              <w:bottom w:val="nil"/>
              <w:right w:val="single" w:sz="8" w:space="0" w:color="000000"/>
            </w:tcBorders>
          </w:tcPr>
          <w:p>
            <w:pPr>
              <w:pStyle w:val="TableParagraph"/>
              <w:spacing w:before="48"/>
              <w:ind w:right="35"/>
              <w:jc w:val="right"/>
              <w:rPr>
                <w:sz w:val="18"/>
              </w:rPr>
            </w:pPr>
            <w:r>
              <w:rPr>
                <w:sz w:val="18"/>
              </w:rPr>
              <w:t>.344</w:t>
            </w:r>
          </w:p>
        </w:tc>
        <w:tc>
          <w:tcPr>
            <w:tcW w:w="1468" w:type="dxa"/>
            <w:tcBorders>
              <w:top w:val="nil"/>
              <w:left w:val="single" w:sz="8" w:space="0" w:color="000000"/>
              <w:bottom w:val="nil"/>
            </w:tcBorders>
          </w:tcPr>
          <w:p>
            <w:pPr>
              <w:pStyle w:val="TableParagraph"/>
              <w:spacing w:before="48"/>
              <w:ind w:right="31"/>
              <w:jc w:val="right"/>
              <w:rPr>
                <w:sz w:val="18"/>
              </w:rPr>
            </w:pPr>
            <w:r>
              <w:rPr>
                <w:sz w:val="18"/>
              </w:rPr>
              <w:t>.863</w:t>
            </w:r>
          </w:p>
        </w:tc>
      </w:tr>
      <w:tr>
        <w:trPr>
          <w:trHeight w:val="309" w:hRule="atLeast"/>
        </w:trPr>
        <w:tc>
          <w:tcPr>
            <w:tcW w:w="1284" w:type="dxa"/>
            <w:tcBorders>
              <w:top w:val="nil"/>
              <w:bottom w:val="nil"/>
            </w:tcBorders>
          </w:tcPr>
          <w:p>
            <w:pPr>
              <w:pStyle w:val="TableParagraph"/>
              <w:spacing w:before="47"/>
              <w:ind w:left="75"/>
              <w:rPr>
                <w:sz w:val="18"/>
              </w:rPr>
            </w:pPr>
            <w:r>
              <w:rPr>
                <w:sz w:val="18"/>
              </w:rPr>
              <w:t>ND1</w:t>
            </w:r>
          </w:p>
        </w:tc>
        <w:tc>
          <w:tcPr>
            <w:tcW w:w="1469" w:type="dxa"/>
            <w:tcBorders>
              <w:top w:val="nil"/>
              <w:bottom w:val="nil"/>
              <w:right w:val="single" w:sz="8" w:space="0" w:color="000000"/>
            </w:tcBorders>
          </w:tcPr>
          <w:p>
            <w:pPr>
              <w:pStyle w:val="TableParagraph"/>
              <w:spacing w:before="47"/>
              <w:ind w:right="40"/>
              <w:jc w:val="right"/>
              <w:rPr>
                <w:sz w:val="18"/>
              </w:rPr>
            </w:pPr>
            <w:r>
              <w:rPr>
                <w:sz w:val="18"/>
              </w:rPr>
              <w:t>170.33</w:t>
            </w:r>
          </w:p>
        </w:tc>
        <w:tc>
          <w:tcPr>
            <w:tcW w:w="1468" w:type="dxa"/>
            <w:tcBorders>
              <w:top w:val="nil"/>
              <w:left w:val="single" w:sz="8" w:space="0" w:color="000000"/>
              <w:bottom w:val="nil"/>
              <w:right w:val="single" w:sz="8" w:space="0" w:color="000000"/>
            </w:tcBorders>
          </w:tcPr>
          <w:p>
            <w:pPr>
              <w:pStyle w:val="TableParagraph"/>
              <w:spacing w:before="47"/>
              <w:ind w:right="36"/>
              <w:jc w:val="right"/>
              <w:rPr>
                <w:sz w:val="18"/>
              </w:rPr>
            </w:pPr>
            <w:r>
              <w:rPr>
                <w:sz w:val="18"/>
              </w:rPr>
              <w:t>476.729</w:t>
            </w:r>
          </w:p>
        </w:tc>
        <w:tc>
          <w:tcPr>
            <w:tcW w:w="1468" w:type="dxa"/>
            <w:tcBorders>
              <w:top w:val="nil"/>
              <w:left w:val="single" w:sz="8" w:space="0" w:color="000000"/>
              <w:bottom w:val="nil"/>
              <w:right w:val="single" w:sz="8" w:space="0" w:color="000000"/>
            </w:tcBorders>
          </w:tcPr>
          <w:p>
            <w:pPr>
              <w:pStyle w:val="TableParagraph"/>
              <w:spacing w:before="47"/>
              <w:ind w:right="35"/>
              <w:jc w:val="right"/>
              <w:rPr>
                <w:sz w:val="18"/>
              </w:rPr>
            </w:pPr>
            <w:r>
              <w:rPr>
                <w:sz w:val="18"/>
              </w:rPr>
              <w:t>.485</w:t>
            </w:r>
          </w:p>
        </w:tc>
        <w:tc>
          <w:tcPr>
            <w:tcW w:w="1468" w:type="dxa"/>
            <w:tcBorders>
              <w:top w:val="nil"/>
              <w:left w:val="single" w:sz="8" w:space="0" w:color="000000"/>
              <w:bottom w:val="nil"/>
            </w:tcBorders>
          </w:tcPr>
          <w:p>
            <w:pPr>
              <w:pStyle w:val="TableParagraph"/>
              <w:spacing w:before="47"/>
              <w:ind w:right="31"/>
              <w:jc w:val="right"/>
              <w:rPr>
                <w:sz w:val="18"/>
              </w:rPr>
            </w:pPr>
            <w:r>
              <w:rPr>
                <w:sz w:val="18"/>
              </w:rPr>
              <w:t>.861</w:t>
            </w:r>
          </w:p>
        </w:tc>
      </w:tr>
      <w:tr>
        <w:trPr>
          <w:trHeight w:val="310" w:hRule="atLeast"/>
        </w:trPr>
        <w:tc>
          <w:tcPr>
            <w:tcW w:w="1284" w:type="dxa"/>
            <w:tcBorders>
              <w:top w:val="nil"/>
              <w:bottom w:val="nil"/>
            </w:tcBorders>
          </w:tcPr>
          <w:p>
            <w:pPr>
              <w:pStyle w:val="TableParagraph"/>
              <w:spacing w:before="47"/>
              <w:ind w:left="75"/>
              <w:rPr>
                <w:sz w:val="18"/>
              </w:rPr>
            </w:pPr>
            <w:r>
              <w:rPr>
                <w:sz w:val="18"/>
              </w:rPr>
              <w:t>ND2</w:t>
            </w:r>
          </w:p>
        </w:tc>
        <w:tc>
          <w:tcPr>
            <w:tcW w:w="1469" w:type="dxa"/>
            <w:tcBorders>
              <w:top w:val="nil"/>
              <w:bottom w:val="nil"/>
              <w:right w:val="single" w:sz="8" w:space="0" w:color="000000"/>
            </w:tcBorders>
          </w:tcPr>
          <w:p>
            <w:pPr>
              <w:pStyle w:val="TableParagraph"/>
              <w:spacing w:before="47"/>
              <w:ind w:right="40"/>
              <w:jc w:val="right"/>
              <w:rPr>
                <w:sz w:val="18"/>
              </w:rPr>
            </w:pPr>
            <w:r>
              <w:rPr>
                <w:sz w:val="18"/>
              </w:rPr>
              <w:t>170.40</w:t>
            </w:r>
          </w:p>
        </w:tc>
        <w:tc>
          <w:tcPr>
            <w:tcW w:w="1468" w:type="dxa"/>
            <w:tcBorders>
              <w:top w:val="nil"/>
              <w:left w:val="single" w:sz="8" w:space="0" w:color="000000"/>
              <w:bottom w:val="nil"/>
              <w:right w:val="single" w:sz="8" w:space="0" w:color="000000"/>
            </w:tcBorders>
          </w:tcPr>
          <w:p>
            <w:pPr>
              <w:pStyle w:val="TableParagraph"/>
              <w:spacing w:before="47"/>
              <w:ind w:right="36"/>
              <w:jc w:val="right"/>
              <w:rPr>
                <w:sz w:val="18"/>
              </w:rPr>
            </w:pPr>
            <w:r>
              <w:rPr>
                <w:sz w:val="18"/>
              </w:rPr>
              <w:t>477.819</w:t>
            </w:r>
          </w:p>
        </w:tc>
        <w:tc>
          <w:tcPr>
            <w:tcW w:w="1468" w:type="dxa"/>
            <w:tcBorders>
              <w:top w:val="nil"/>
              <w:left w:val="single" w:sz="8" w:space="0" w:color="000000"/>
              <w:bottom w:val="nil"/>
              <w:right w:val="single" w:sz="8" w:space="0" w:color="000000"/>
            </w:tcBorders>
          </w:tcPr>
          <w:p>
            <w:pPr>
              <w:pStyle w:val="TableParagraph"/>
              <w:spacing w:before="47"/>
              <w:ind w:right="36"/>
              <w:jc w:val="right"/>
              <w:rPr>
                <w:sz w:val="18"/>
              </w:rPr>
            </w:pPr>
            <w:r>
              <w:rPr>
                <w:sz w:val="18"/>
              </w:rPr>
              <w:t>.469</w:t>
            </w:r>
          </w:p>
        </w:tc>
        <w:tc>
          <w:tcPr>
            <w:tcW w:w="1468" w:type="dxa"/>
            <w:tcBorders>
              <w:top w:val="nil"/>
              <w:left w:val="single" w:sz="8" w:space="0" w:color="000000"/>
              <w:bottom w:val="nil"/>
            </w:tcBorders>
          </w:tcPr>
          <w:p>
            <w:pPr>
              <w:pStyle w:val="TableParagraph"/>
              <w:spacing w:before="47"/>
              <w:ind w:right="31"/>
              <w:jc w:val="right"/>
              <w:rPr>
                <w:sz w:val="18"/>
              </w:rPr>
            </w:pPr>
            <w:r>
              <w:rPr>
                <w:sz w:val="18"/>
              </w:rPr>
              <w:t>.861</w:t>
            </w:r>
          </w:p>
        </w:tc>
      </w:tr>
      <w:tr>
        <w:trPr>
          <w:trHeight w:val="310" w:hRule="atLeast"/>
        </w:trPr>
        <w:tc>
          <w:tcPr>
            <w:tcW w:w="1284" w:type="dxa"/>
            <w:tcBorders>
              <w:top w:val="nil"/>
              <w:bottom w:val="nil"/>
            </w:tcBorders>
          </w:tcPr>
          <w:p>
            <w:pPr>
              <w:pStyle w:val="TableParagraph"/>
              <w:spacing w:before="48"/>
              <w:ind w:left="75"/>
              <w:rPr>
                <w:sz w:val="18"/>
              </w:rPr>
            </w:pPr>
            <w:r>
              <w:rPr>
                <w:sz w:val="18"/>
              </w:rPr>
              <w:t>ND3</w:t>
            </w:r>
          </w:p>
        </w:tc>
        <w:tc>
          <w:tcPr>
            <w:tcW w:w="1469" w:type="dxa"/>
            <w:tcBorders>
              <w:top w:val="nil"/>
              <w:bottom w:val="nil"/>
              <w:right w:val="single" w:sz="8" w:space="0" w:color="000000"/>
            </w:tcBorders>
          </w:tcPr>
          <w:p>
            <w:pPr>
              <w:pStyle w:val="TableParagraph"/>
              <w:spacing w:before="48"/>
              <w:ind w:right="40"/>
              <w:jc w:val="right"/>
              <w:rPr>
                <w:sz w:val="18"/>
              </w:rPr>
            </w:pPr>
            <w:r>
              <w:rPr>
                <w:sz w:val="18"/>
              </w:rPr>
              <w:t>170.07</w:t>
            </w:r>
          </w:p>
        </w:tc>
        <w:tc>
          <w:tcPr>
            <w:tcW w:w="1468" w:type="dxa"/>
            <w:tcBorders>
              <w:top w:val="nil"/>
              <w:left w:val="single" w:sz="8" w:space="0" w:color="000000"/>
              <w:bottom w:val="nil"/>
              <w:right w:val="single" w:sz="8" w:space="0" w:color="000000"/>
            </w:tcBorders>
          </w:tcPr>
          <w:p>
            <w:pPr>
              <w:pStyle w:val="TableParagraph"/>
              <w:spacing w:before="48"/>
              <w:ind w:right="34"/>
              <w:jc w:val="right"/>
              <w:rPr>
                <w:sz w:val="18"/>
              </w:rPr>
            </w:pPr>
            <w:r>
              <w:rPr>
                <w:sz w:val="18"/>
              </w:rPr>
              <w:t>475.279</w:t>
            </w:r>
          </w:p>
        </w:tc>
        <w:tc>
          <w:tcPr>
            <w:tcW w:w="1468" w:type="dxa"/>
            <w:tcBorders>
              <w:top w:val="nil"/>
              <w:left w:val="single" w:sz="8" w:space="0" w:color="000000"/>
              <w:bottom w:val="nil"/>
              <w:right w:val="single" w:sz="8" w:space="0" w:color="000000"/>
            </w:tcBorders>
          </w:tcPr>
          <w:p>
            <w:pPr>
              <w:pStyle w:val="TableParagraph"/>
              <w:spacing w:before="48"/>
              <w:ind w:right="35"/>
              <w:jc w:val="right"/>
              <w:rPr>
                <w:sz w:val="18"/>
              </w:rPr>
            </w:pPr>
            <w:r>
              <w:rPr>
                <w:sz w:val="18"/>
              </w:rPr>
              <w:t>.560</w:t>
            </w:r>
          </w:p>
        </w:tc>
        <w:tc>
          <w:tcPr>
            <w:tcW w:w="1468" w:type="dxa"/>
            <w:tcBorders>
              <w:top w:val="nil"/>
              <w:left w:val="single" w:sz="8" w:space="0" w:color="000000"/>
              <w:bottom w:val="nil"/>
            </w:tcBorders>
          </w:tcPr>
          <w:p>
            <w:pPr>
              <w:pStyle w:val="TableParagraph"/>
              <w:spacing w:before="48"/>
              <w:ind w:right="31"/>
              <w:jc w:val="right"/>
              <w:rPr>
                <w:sz w:val="18"/>
              </w:rPr>
            </w:pPr>
            <w:r>
              <w:rPr>
                <w:sz w:val="18"/>
              </w:rPr>
              <w:t>.860</w:t>
            </w:r>
          </w:p>
        </w:tc>
      </w:tr>
      <w:tr>
        <w:trPr>
          <w:trHeight w:val="309" w:hRule="atLeast"/>
        </w:trPr>
        <w:tc>
          <w:tcPr>
            <w:tcW w:w="1284" w:type="dxa"/>
            <w:tcBorders>
              <w:top w:val="nil"/>
              <w:bottom w:val="nil"/>
            </w:tcBorders>
          </w:tcPr>
          <w:p>
            <w:pPr>
              <w:pStyle w:val="TableParagraph"/>
              <w:spacing w:before="47"/>
              <w:ind w:left="75"/>
              <w:rPr>
                <w:sz w:val="18"/>
              </w:rPr>
            </w:pPr>
            <w:r>
              <w:rPr>
                <w:sz w:val="18"/>
              </w:rPr>
              <w:t>ND4</w:t>
            </w:r>
          </w:p>
        </w:tc>
        <w:tc>
          <w:tcPr>
            <w:tcW w:w="1469" w:type="dxa"/>
            <w:tcBorders>
              <w:top w:val="nil"/>
              <w:bottom w:val="nil"/>
              <w:right w:val="single" w:sz="8" w:space="0" w:color="000000"/>
            </w:tcBorders>
          </w:tcPr>
          <w:p>
            <w:pPr>
              <w:pStyle w:val="TableParagraph"/>
              <w:spacing w:before="47"/>
              <w:ind w:right="40"/>
              <w:jc w:val="right"/>
              <w:rPr>
                <w:sz w:val="18"/>
              </w:rPr>
            </w:pPr>
            <w:r>
              <w:rPr>
                <w:sz w:val="18"/>
              </w:rPr>
              <w:t>170.05</w:t>
            </w:r>
          </w:p>
        </w:tc>
        <w:tc>
          <w:tcPr>
            <w:tcW w:w="1468" w:type="dxa"/>
            <w:tcBorders>
              <w:top w:val="nil"/>
              <w:left w:val="single" w:sz="8" w:space="0" w:color="000000"/>
              <w:bottom w:val="nil"/>
              <w:right w:val="single" w:sz="8" w:space="0" w:color="000000"/>
            </w:tcBorders>
          </w:tcPr>
          <w:p>
            <w:pPr>
              <w:pStyle w:val="TableParagraph"/>
              <w:spacing w:before="47"/>
              <w:ind w:right="34"/>
              <w:jc w:val="right"/>
              <w:rPr>
                <w:sz w:val="18"/>
              </w:rPr>
            </w:pPr>
            <w:r>
              <w:rPr>
                <w:sz w:val="18"/>
              </w:rPr>
              <w:t>479.173</w:t>
            </w:r>
          </w:p>
        </w:tc>
        <w:tc>
          <w:tcPr>
            <w:tcW w:w="1468" w:type="dxa"/>
            <w:tcBorders>
              <w:top w:val="nil"/>
              <w:left w:val="single" w:sz="8" w:space="0" w:color="000000"/>
              <w:bottom w:val="nil"/>
              <w:right w:val="single" w:sz="8" w:space="0" w:color="000000"/>
            </w:tcBorders>
          </w:tcPr>
          <w:p>
            <w:pPr>
              <w:pStyle w:val="TableParagraph"/>
              <w:spacing w:before="47"/>
              <w:ind w:right="35"/>
              <w:jc w:val="right"/>
              <w:rPr>
                <w:sz w:val="18"/>
              </w:rPr>
            </w:pPr>
            <w:r>
              <w:rPr>
                <w:sz w:val="18"/>
              </w:rPr>
              <w:t>.483</w:t>
            </w:r>
          </w:p>
        </w:tc>
        <w:tc>
          <w:tcPr>
            <w:tcW w:w="1468" w:type="dxa"/>
            <w:tcBorders>
              <w:top w:val="nil"/>
              <w:left w:val="single" w:sz="8" w:space="0" w:color="000000"/>
              <w:bottom w:val="nil"/>
            </w:tcBorders>
          </w:tcPr>
          <w:p>
            <w:pPr>
              <w:pStyle w:val="TableParagraph"/>
              <w:spacing w:before="47"/>
              <w:ind w:right="31"/>
              <w:jc w:val="right"/>
              <w:rPr>
                <w:sz w:val="18"/>
              </w:rPr>
            </w:pPr>
            <w:r>
              <w:rPr>
                <w:sz w:val="18"/>
              </w:rPr>
              <w:t>.861</w:t>
            </w:r>
          </w:p>
        </w:tc>
      </w:tr>
      <w:tr>
        <w:trPr>
          <w:trHeight w:val="310" w:hRule="atLeast"/>
        </w:trPr>
        <w:tc>
          <w:tcPr>
            <w:tcW w:w="1284" w:type="dxa"/>
            <w:tcBorders>
              <w:top w:val="nil"/>
              <w:bottom w:val="nil"/>
            </w:tcBorders>
          </w:tcPr>
          <w:p>
            <w:pPr>
              <w:pStyle w:val="TableParagraph"/>
              <w:spacing w:before="47"/>
              <w:ind w:left="75"/>
              <w:rPr>
                <w:sz w:val="18"/>
              </w:rPr>
            </w:pPr>
            <w:r>
              <w:rPr>
                <w:sz w:val="18"/>
              </w:rPr>
              <w:t>ND5</w:t>
            </w:r>
          </w:p>
        </w:tc>
        <w:tc>
          <w:tcPr>
            <w:tcW w:w="1469" w:type="dxa"/>
            <w:tcBorders>
              <w:top w:val="nil"/>
              <w:bottom w:val="nil"/>
              <w:right w:val="single" w:sz="8" w:space="0" w:color="000000"/>
            </w:tcBorders>
          </w:tcPr>
          <w:p>
            <w:pPr>
              <w:pStyle w:val="TableParagraph"/>
              <w:spacing w:before="47"/>
              <w:ind w:right="39"/>
              <w:jc w:val="right"/>
              <w:rPr>
                <w:sz w:val="18"/>
              </w:rPr>
            </w:pPr>
            <w:r>
              <w:rPr>
                <w:sz w:val="18"/>
              </w:rPr>
              <w:t>170.21</w:t>
            </w:r>
          </w:p>
        </w:tc>
        <w:tc>
          <w:tcPr>
            <w:tcW w:w="1468" w:type="dxa"/>
            <w:tcBorders>
              <w:top w:val="nil"/>
              <w:left w:val="single" w:sz="8" w:space="0" w:color="000000"/>
              <w:bottom w:val="nil"/>
              <w:right w:val="single" w:sz="8" w:space="0" w:color="000000"/>
            </w:tcBorders>
          </w:tcPr>
          <w:p>
            <w:pPr>
              <w:pStyle w:val="TableParagraph"/>
              <w:spacing w:before="47"/>
              <w:ind w:right="36"/>
              <w:jc w:val="right"/>
              <w:rPr>
                <w:sz w:val="18"/>
              </w:rPr>
            </w:pPr>
            <w:r>
              <w:rPr>
                <w:sz w:val="18"/>
              </w:rPr>
              <w:t>478.074</w:t>
            </w:r>
          </w:p>
        </w:tc>
        <w:tc>
          <w:tcPr>
            <w:tcW w:w="1468" w:type="dxa"/>
            <w:tcBorders>
              <w:top w:val="nil"/>
              <w:left w:val="single" w:sz="8" w:space="0" w:color="000000"/>
              <w:bottom w:val="nil"/>
              <w:right w:val="single" w:sz="8" w:space="0" w:color="000000"/>
            </w:tcBorders>
          </w:tcPr>
          <w:p>
            <w:pPr>
              <w:pStyle w:val="TableParagraph"/>
              <w:spacing w:before="47"/>
              <w:ind w:right="36"/>
              <w:jc w:val="right"/>
              <w:rPr>
                <w:sz w:val="18"/>
              </w:rPr>
            </w:pPr>
            <w:r>
              <w:rPr>
                <w:sz w:val="18"/>
              </w:rPr>
              <w:t>.476</w:t>
            </w:r>
          </w:p>
        </w:tc>
        <w:tc>
          <w:tcPr>
            <w:tcW w:w="1468" w:type="dxa"/>
            <w:tcBorders>
              <w:top w:val="nil"/>
              <w:left w:val="single" w:sz="8" w:space="0" w:color="000000"/>
              <w:bottom w:val="nil"/>
            </w:tcBorders>
          </w:tcPr>
          <w:p>
            <w:pPr>
              <w:pStyle w:val="TableParagraph"/>
              <w:spacing w:before="47"/>
              <w:ind w:right="31"/>
              <w:jc w:val="right"/>
              <w:rPr>
                <w:sz w:val="18"/>
              </w:rPr>
            </w:pPr>
            <w:r>
              <w:rPr>
                <w:sz w:val="18"/>
              </w:rPr>
              <w:t>.861</w:t>
            </w:r>
          </w:p>
        </w:tc>
      </w:tr>
      <w:tr>
        <w:trPr>
          <w:trHeight w:val="310" w:hRule="atLeast"/>
        </w:trPr>
        <w:tc>
          <w:tcPr>
            <w:tcW w:w="1284" w:type="dxa"/>
            <w:tcBorders>
              <w:top w:val="nil"/>
              <w:bottom w:val="nil"/>
            </w:tcBorders>
          </w:tcPr>
          <w:p>
            <w:pPr>
              <w:pStyle w:val="TableParagraph"/>
              <w:spacing w:before="48"/>
              <w:ind w:left="75"/>
              <w:rPr>
                <w:sz w:val="18"/>
              </w:rPr>
            </w:pPr>
            <w:r>
              <w:rPr>
                <w:sz w:val="18"/>
              </w:rPr>
              <w:t>TC1</w:t>
            </w:r>
          </w:p>
        </w:tc>
        <w:tc>
          <w:tcPr>
            <w:tcW w:w="1469" w:type="dxa"/>
            <w:tcBorders>
              <w:top w:val="nil"/>
              <w:bottom w:val="nil"/>
              <w:right w:val="single" w:sz="8" w:space="0" w:color="000000"/>
            </w:tcBorders>
          </w:tcPr>
          <w:p>
            <w:pPr>
              <w:pStyle w:val="TableParagraph"/>
              <w:spacing w:before="48"/>
              <w:ind w:right="39"/>
              <w:jc w:val="right"/>
              <w:rPr>
                <w:sz w:val="18"/>
              </w:rPr>
            </w:pPr>
            <w:r>
              <w:rPr>
                <w:sz w:val="18"/>
              </w:rPr>
              <w:t>170.49</w:t>
            </w:r>
          </w:p>
        </w:tc>
        <w:tc>
          <w:tcPr>
            <w:tcW w:w="1468" w:type="dxa"/>
            <w:tcBorders>
              <w:top w:val="nil"/>
              <w:left w:val="single" w:sz="8" w:space="0" w:color="000000"/>
              <w:bottom w:val="nil"/>
              <w:right w:val="single" w:sz="8" w:space="0" w:color="000000"/>
            </w:tcBorders>
          </w:tcPr>
          <w:p>
            <w:pPr>
              <w:pStyle w:val="TableParagraph"/>
              <w:spacing w:before="48"/>
              <w:ind w:right="36"/>
              <w:jc w:val="right"/>
              <w:rPr>
                <w:sz w:val="18"/>
              </w:rPr>
            </w:pPr>
            <w:r>
              <w:rPr>
                <w:sz w:val="18"/>
              </w:rPr>
              <w:t>475.323</w:t>
            </w:r>
          </w:p>
        </w:tc>
        <w:tc>
          <w:tcPr>
            <w:tcW w:w="1468" w:type="dxa"/>
            <w:tcBorders>
              <w:top w:val="nil"/>
              <w:left w:val="single" w:sz="8" w:space="0" w:color="000000"/>
              <w:bottom w:val="nil"/>
              <w:right w:val="single" w:sz="8" w:space="0" w:color="000000"/>
            </w:tcBorders>
          </w:tcPr>
          <w:p>
            <w:pPr>
              <w:pStyle w:val="TableParagraph"/>
              <w:spacing w:before="48"/>
              <w:ind w:right="35"/>
              <w:jc w:val="right"/>
              <w:rPr>
                <w:sz w:val="18"/>
              </w:rPr>
            </w:pPr>
            <w:r>
              <w:rPr>
                <w:sz w:val="18"/>
              </w:rPr>
              <w:t>.404</w:t>
            </w:r>
          </w:p>
        </w:tc>
        <w:tc>
          <w:tcPr>
            <w:tcW w:w="1468" w:type="dxa"/>
            <w:tcBorders>
              <w:top w:val="nil"/>
              <w:left w:val="single" w:sz="8" w:space="0" w:color="000000"/>
              <w:bottom w:val="nil"/>
            </w:tcBorders>
          </w:tcPr>
          <w:p>
            <w:pPr>
              <w:pStyle w:val="TableParagraph"/>
              <w:spacing w:before="48"/>
              <w:ind w:right="31"/>
              <w:jc w:val="right"/>
              <w:rPr>
                <w:sz w:val="18"/>
              </w:rPr>
            </w:pPr>
            <w:r>
              <w:rPr>
                <w:sz w:val="18"/>
              </w:rPr>
              <w:t>.862</w:t>
            </w:r>
          </w:p>
        </w:tc>
      </w:tr>
      <w:tr>
        <w:trPr>
          <w:trHeight w:val="359" w:hRule="atLeast"/>
        </w:trPr>
        <w:tc>
          <w:tcPr>
            <w:tcW w:w="1284" w:type="dxa"/>
            <w:tcBorders>
              <w:top w:val="nil"/>
              <w:bottom w:val="nil"/>
            </w:tcBorders>
          </w:tcPr>
          <w:p>
            <w:pPr>
              <w:pStyle w:val="TableParagraph"/>
              <w:spacing w:before="47"/>
              <w:ind w:left="75"/>
              <w:rPr>
                <w:sz w:val="18"/>
              </w:rPr>
            </w:pPr>
            <w:r>
              <w:rPr>
                <w:sz w:val="18"/>
              </w:rPr>
              <w:t>TC2</w:t>
            </w:r>
          </w:p>
        </w:tc>
        <w:tc>
          <w:tcPr>
            <w:tcW w:w="1469" w:type="dxa"/>
            <w:tcBorders>
              <w:top w:val="nil"/>
              <w:bottom w:val="nil"/>
              <w:right w:val="single" w:sz="8" w:space="0" w:color="000000"/>
            </w:tcBorders>
          </w:tcPr>
          <w:p>
            <w:pPr>
              <w:pStyle w:val="TableParagraph"/>
              <w:spacing w:before="47"/>
              <w:ind w:right="40"/>
              <w:jc w:val="right"/>
              <w:rPr>
                <w:sz w:val="18"/>
              </w:rPr>
            </w:pPr>
            <w:r>
              <w:rPr>
                <w:sz w:val="18"/>
              </w:rPr>
              <w:t>170.72</w:t>
            </w:r>
          </w:p>
        </w:tc>
        <w:tc>
          <w:tcPr>
            <w:tcW w:w="1468" w:type="dxa"/>
            <w:tcBorders>
              <w:top w:val="nil"/>
              <w:left w:val="single" w:sz="8" w:space="0" w:color="000000"/>
              <w:bottom w:val="nil"/>
              <w:right w:val="single" w:sz="8" w:space="0" w:color="000000"/>
            </w:tcBorders>
          </w:tcPr>
          <w:p>
            <w:pPr>
              <w:pStyle w:val="TableParagraph"/>
              <w:spacing w:before="47"/>
              <w:ind w:right="36"/>
              <w:jc w:val="right"/>
              <w:rPr>
                <w:sz w:val="18"/>
              </w:rPr>
            </w:pPr>
            <w:r>
              <w:rPr>
                <w:sz w:val="18"/>
              </w:rPr>
              <w:t>485.253</w:t>
            </w:r>
          </w:p>
        </w:tc>
        <w:tc>
          <w:tcPr>
            <w:tcW w:w="1468" w:type="dxa"/>
            <w:tcBorders>
              <w:top w:val="nil"/>
              <w:left w:val="single" w:sz="8" w:space="0" w:color="000000"/>
              <w:bottom w:val="nil"/>
              <w:right w:val="single" w:sz="8" w:space="0" w:color="000000"/>
            </w:tcBorders>
          </w:tcPr>
          <w:p>
            <w:pPr>
              <w:pStyle w:val="TableParagraph"/>
              <w:spacing w:before="47"/>
              <w:ind w:right="35"/>
              <w:jc w:val="right"/>
              <w:rPr>
                <w:sz w:val="18"/>
              </w:rPr>
            </w:pPr>
            <w:r>
              <w:rPr>
                <w:sz w:val="18"/>
              </w:rPr>
              <w:t>.232</w:t>
            </w:r>
          </w:p>
        </w:tc>
        <w:tc>
          <w:tcPr>
            <w:tcW w:w="1468" w:type="dxa"/>
            <w:tcBorders>
              <w:top w:val="nil"/>
              <w:left w:val="single" w:sz="8" w:space="0" w:color="000000"/>
              <w:bottom w:val="nil"/>
            </w:tcBorders>
          </w:tcPr>
          <w:p>
            <w:pPr>
              <w:pStyle w:val="TableParagraph"/>
              <w:spacing w:before="47"/>
              <w:ind w:right="32"/>
              <w:jc w:val="right"/>
              <w:rPr>
                <w:sz w:val="18"/>
              </w:rPr>
            </w:pPr>
            <w:r>
              <w:rPr>
                <w:sz w:val="18"/>
              </w:rPr>
              <w:t>.865</w:t>
            </w:r>
          </w:p>
        </w:tc>
      </w:tr>
    </w:tbl>
    <w:p>
      <w:pPr>
        <w:spacing w:after="0"/>
        <w:jc w:val="right"/>
        <w:rPr>
          <w:sz w:val="18"/>
        </w:rPr>
        <w:sectPr>
          <w:pgSz w:w="11910" w:h="16850"/>
          <w:pgMar w:header="751" w:footer="0" w:top="960" w:bottom="280" w:left="820" w:right="240"/>
        </w:sectPr>
      </w:pPr>
    </w:p>
    <w:p>
      <w:pPr>
        <w:pStyle w:val="BodyText"/>
        <w:spacing w:before="9"/>
        <w:rPr>
          <w:b/>
          <w:sz w:val="23"/>
        </w:rPr>
      </w:pPr>
    </w:p>
    <w:tbl>
      <w:tblPr>
        <w:tblW w:w="0" w:type="auto"/>
        <w:jc w:val="left"/>
        <w:tblInd w:w="907" w:type="dxa"/>
        <w:tblBorders>
          <w:top w:val="single" w:sz="18" w:space="0" w:color="000000"/>
          <w:left w:val="single" w:sz="18" w:space="0" w:color="000000"/>
          <w:bottom w:val="single" w:sz="18" w:space="0" w:color="000000"/>
          <w:right w:val="single" w:sz="18" w:space="0" w:color="000000"/>
          <w:insideH w:val="single" w:sz="18" w:space="0" w:color="000000"/>
          <w:insideV w:val="single" w:sz="18" w:space="0" w:color="000000"/>
        </w:tblBorders>
        <w:tblLayout w:type="fixed"/>
        <w:tblCellMar>
          <w:top w:w="0" w:type="dxa"/>
          <w:left w:w="0" w:type="dxa"/>
          <w:bottom w:w="0" w:type="dxa"/>
          <w:right w:w="0" w:type="dxa"/>
        </w:tblCellMar>
        <w:tblLook w:val="01E0"/>
      </w:tblPr>
      <w:tblGrid>
        <w:gridCol w:w="1284"/>
        <w:gridCol w:w="1469"/>
        <w:gridCol w:w="1468"/>
        <w:gridCol w:w="1468"/>
        <w:gridCol w:w="1468"/>
      </w:tblGrid>
      <w:tr>
        <w:trPr>
          <w:trHeight w:val="263" w:hRule="atLeast"/>
        </w:trPr>
        <w:tc>
          <w:tcPr>
            <w:tcW w:w="1284" w:type="dxa"/>
            <w:tcBorders>
              <w:top w:val="nil"/>
              <w:bottom w:val="nil"/>
            </w:tcBorders>
          </w:tcPr>
          <w:p>
            <w:pPr>
              <w:pStyle w:val="TableParagraph"/>
              <w:ind w:left="75"/>
              <w:rPr>
                <w:sz w:val="18"/>
              </w:rPr>
            </w:pPr>
            <w:r>
              <w:rPr>
                <w:sz w:val="18"/>
              </w:rPr>
              <w:t>TC3</w:t>
            </w:r>
          </w:p>
        </w:tc>
        <w:tc>
          <w:tcPr>
            <w:tcW w:w="1469" w:type="dxa"/>
            <w:tcBorders>
              <w:top w:val="nil"/>
              <w:bottom w:val="nil"/>
              <w:right w:val="single" w:sz="8" w:space="0" w:color="000000"/>
            </w:tcBorders>
          </w:tcPr>
          <w:p>
            <w:pPr>
              <w:pStyle w:val="TableParagraph"/>
              <w:ind w:right="40"/>
              <w:jc w:val="right"/>
              <w:rPr>
                <w:sz w:val="18"/>
              </w:rPr>
            </w:pPr>
            <w:r>
              <w:rPr>
                <w:sz w:val="18"/>
              </w:rPr>
              <w:t>170.67</w:t>
            </w:r>
          </w:p>
        </w:tc>
        <w:tc>
          <w:tcPr>
            <w:tcW w:w="1468" w:type="dxa"/>
            <w:tcBorders>
              <w:top w:val="nil"/>
              <w:left w:val="single" w:sz="8" w:space="0" w:color="000000"/>
              <w:bottom w:val="nil"/>
              <w:right w:val="single" w:sz="8" w:space="0" w:color="000000"/>
            </w:tcBorders>
          </w:tcPr>
          <w:p>
            <w:pPr>
              <w:pStyle w:val="TableParagraph"/>
              <w:ind w:right="36"/>
              <w:jc w:val="right"/>
              <w:rPr>
                <w:sz w:val="18"/>
              </w:rPr>
            </w:pPr>
            <w:r>
              <w:rPr>
                <w:sz w:val="18"/>
              </w:rPr>
              <w:t>477.708</w:t>
            </w:r>
          </w:p>
        </w:tc>
        <w:tc>
          <w:tcPr>
            <w:tcW w:w="1468" w:type="dxa"/>
            <w:tcBorders>
              <w:top w:val="nil"/>
              <w:left w:val="single" w:sz="8" w:space="0" w:color="000000"/>
              <w:bottom w:val="nil"/>
              <w:right w:val="single" w:sz="8" w:space="0" w:color="000000"/>
            </w:tcBorders>
          </w:tcPr>
          <w:p>
            <w:pPr>
              <w:pStyle w:val="TableParagraph"/>
              <w:ind w:right="35"/>
              <w:jc w:val="right"/>
              <w:rPr>
                <w:sz w:val="18"/>
              </w:rPr>
            </w:pPr>
            <w:r>
              <w:rPr>
                <w:sz w:val="18"/>
              </w:rPr>
              <w:t>.383</w:t>
            </w:r>
          </w:p>
        </w:tc>
        <w:tc>
          <w:tcPr>
            <w:tcW w:w="1468" w:type="dxa"/>
            <w:tcBorders>
              <w:top w:val="nil"/>
              <w:left w:val="single" w:sz="8" w:space="0" w:color="000000"/>
              <w:bottom w:val="nil"/>
            </w:tcBorders>
          </w:tcPr>
          <w:p>
            <w:pPr>
              <w:pStyle w:val="TableParagraph"/>
              <w:ind w:right="31"/>
              <w:jc w:val="right"/>
              <w:rPr>
                <w:sz w:val="18"/>
              </w:rPr>
            </w:pPr>
            <w:r>
              <w:rPr>
                <w:sz w:val="18"/>
              </w:rPr>
              <w:t>.862</w:t>
            </w:r>
          </w:p>
        </w:tc>
      </w:tr>
      <w:tr>
        <w:trPr>
          <w:trHeight w:val="310" w:hRule="atLeast"/>
        </w:trPr>
        <w:tc>
          <w:tcPr>
            <w:tcW w:w="1284" w:type="dxa"/>
            <w:tcBorders>
              <w:top w:val="nil"/>
              <w:bottom w:val="nil"/>
            </w:tcBorders>
          </w:tcPr>
          <w:p>
            <w:pPr>
              <w:pStyle w:val="TableParagraph"/>
              <w:spacing w:before="48"/>
              <w:ind w:left="75"/>
              <w:rPr>
                <w:sz w:val="18"/>
              </w:rPr>
            </w:pPr>
            <w:r>
              <w:rPr>
                <w:sz w:val="18"/>
              </w:rPr>
              <w:t>TC4</w:t>
            </w:r>
          </w:p>
        </w:tc>
        <w:tc>
          <w:tcPr>
            <w:tcW w:w="1469" w:type="dxa"/>
            <w:tcBorders>
              <w:top w:val="nil"/>
              <w:bottom w:val="nil"/>
              <w:right w:val="single" w:sz="8" w:space="0" w:color="000000"/>
            </w:tcBorders>
          </w:tcPr>
          <w:p>
            <w:pPr>
              <w:pStyle w:val="TableParagraph"/>
              <w:spacing w:before="48"/>
              <w:ind w:right="40"/>
              <w:jc w:val="right"/>
              <w:rPr>
                <w:sz w:val="18"/>
              </w:rPr>
            </w:pPr>
            <w:r>
              <w:rPr>
                <w:sz w:val="18"/>
              </w:rPr>
              <w:t>170.54</w:t>
            </w:r>
          </w:p>
        </w:tc>
        <w:tc>
          <w:tcPr>
            <w:tcW w:w="1468" w:type="dxa"/>
            <w:tcBorders>
              <w:top w:val="nil"/>
              <w:left w:val="single" w:sz="8" w:space="0" w:color="000000"/>
              <w:bottom w:val="nil"/>
              <w:right w:val="single" w:sz="8" w:space="0" w:color="000000"/>
            </w:tcBorders>
          </w:tcPr>
          <w:p>
            <w:pPr>
              <w:pStyle w:val="TableParagraph"/>
              <w:spacing w:before="48"/>
              <w:ind w:right="34"/>
              <w:jc w:val="right"/>
              <w:rPr>
                <w:sz w:val="18"/>
              </w:rPr>
            </w:pPr>
            <w:r>
              <w:rPr>
                <w:sz w:val="18"/>
              </w:rPr>
              <w:t>475.548</w:t>
            </w:r>
          </w:p>
        </w:tc>
        <w:tc>
          <w:tcPr>
            <w:tcW w:w="1468" w:type="dxa"/>
            <w:tcBorders>
              <w:top w:val="nil"/>
              <w:left w:val="single" w:sz="8" w:space="0" w:color="000000"/>
              <w:bottom w:val="nil"/>
              <w:right w:val="single" w:sz="8" w:space="0" w:color="000000"/>
            </w:tcBorders>
          </w:tcPr>
          <w:p>
            <w:pPr>
              <w:pStyle w:val="TableParagraph"/>
              <w:spacing w:before="48"/>
              <w:ind w:right="35"/>
              <w:jc w:val="right"/>
              <w:rPr>
                <w:sz w:val="18"/>
              </w:rPr>
            </w:pPr>
            <w:r>
              <w:rPr>
                <w:sz w:val="18"/>
              </w:rPr>
              <w:t>.406</w:t>
            </w:r>
          </w:p>
        </w:tc>
        <w:tc>
          <w:tcPr>
            <w:tcW w:w="1468" w:type="dxa"/>
            <w:tcBorders>
              <w:top w:val="nil"/>
              <w:left w:val="single" w:sz="8" w:space="0" w:color="000000"/>
              <w:bottom w:val="nil"/>
            </w:tcBorders>
          </w:tcPr>
          <w:p>
            <w:pPr>
              <w:pStyle w:val="TableParagraph"/>
              <w:spacing w:before="48"/>
              <w:ind w:right="31"/>
              <w:jc w:val="right"/>
              <w:rPr>
                <w:sz w:val="18"/>
              </w:rPr>
            </w:pPr>
            <w:r>
              <w:rPr>
                <w:sz w:val="18"/>
              </w:rPr>
              <w:t>.862</w:t>
            </w:r>
          </w:p>
        </w:tc>
      </w:tr>
      <w:tr>
        <w:trPr>
          <w:trHeight w:val="309" w:hRule="atLeast"/>
        </w:trPr>
        <w:tc>
          <w:tcPr>
            <w:tcW w:w="1284" w:type="dxa"/>
            <w:tcBorders>
              <w:top w:val="nil"/>
              <w:bottom w:val="nil"/>
            </w:tcBorders>
          </w:tcPr>
          <w:p>
            <w:pPr>
              <w:pStyle w:val="TableParagraph"/>
              <w:spacing w:before="47"/>
              <w:ind w:left="75"/>
              <w:rPr>
                <w:sz w:val="18"/>
              </w:rPr>
            </w:pPr>
            <w:r>
              <w:rPr>
                <w:sz w:val="18"/>
              </w:rPr>
              <w:t>TC5</w:t>
            </w:r>
          </w:p>
        </w:tc>
        <w:tc>
          <w:tcPr>
            <w:tcW w:w="1469" w:type="dxa"/>
            <w:tcBorders>
              <w:top w:val="nil"/>
              <w:bottom w:val="nil"/>
              <w:right w:val="single" w:sz="8" w:space="0" w:color="000000"/>
            </w:tcBorders>
          </w:tcPr>
          <w:p>
            <w:pPr>
              <w:pStyle w:val="TableParagraph"/>
              <w:spacing w:before="47"/>
              <w:ind w:right="39"/>
              <w:jc w:val="right"/>
              <w:rPr>
                <w:sz w:val="18"/>
              </w:rPr>
            </w:pPr>
            <w:r>
              <w:rPr>
                <w:sz w:val="18"/>
              </w:rPr>
              <w:t>170.96</w:t>
            </w:r>
          </w:p>
        </w:tc>
        <w:tc>
          <w:tcPr>
            <w:tcW w:w="1468" w:type="dxa"/>
            <w:tcBorders>
              <w:top w:val="nil"/>
              <w:left w:val="single" w:sz="8" w:space="0" w:color="000000"/>
              <w:bottom w:val="nil"/>
              <w:right w:val="single" w:sz="8" w:space="0" w:color="000000"/>
            </w:tcBorders>
          </w:tcPr>
          <w:p>
            <w:pPr>
              <w:pStyle w:val="TableParagraph"/>
              <w:spacing w:before="47"/>
              <w:ind w:right="36"/>
              <w:jc w:val="right"/>
              <w:rPr>
                <w:sz w:val="18"/>
              </w:rPr>
            </w:pPr>
            <w:r>
              <w:rPr>
                <w:sz w:val="18"/>
              </w:rPr>
              <w:t>489.390</w:t>
            </w:r>
          </w:p>
        </w:tc>
        <w:tc>
          <w:tcPr>
            <w:tcW w:w="1468" w:type="dxa"/>
            <w:tcBorders>
              <w:top w:val="nil"/>
              <w:left w:val="single" w:sz="8" w:space="0" w:color="000000"/>
              <w:bottom w:val="nil"/>
              <w:right w:val="single" w:sz="8" w:space="0" w:color="000000"/>
            </w:tcBorders>
          </w:tcPr>
          <w:p>
            <w:pPr>
              <w:pStyle w:val="TableParagraph"/>
              <w:spacing w:before="47"/>
              <w:ind w:right="35"/>
              <w:jc w:val="right"/>
              <w:rPr>
                <w:sz w:val="18"/>
              </w:rPr>
            </w:pPr>
            <w:r>
              <w:rPr>
                <w:sz w:val="18"/>
              </w:rPr>
              <w:t>.132</w:t>
            </w:r>
          </w:p>
        </w:tc>
        <w:tc>
          <w:tcPr>
            <w:tcW w:w="1468" w:type="dxa"/>
            <w:tcBorders>
              <w:top w:val="nil"/>
              <w:left w:val="single" w:sz="8" w:space="0" w:color="000000"/>
              <w:bottom w:val="nil"/>
            </w:tcBorders>
          </w:tcPr>
          <w:p>
            <w:pPr>
              <w:pStyle w:val="TableParagraph"/>
              <w:spacing w:before="47"/>
              <w:ind w:right="31"/>
              <w:jc w:val="right"/>
              <w:rPr>
                <w:sz w:val="18"/>
              </w:rPr>
            </w:pPr>
            <w:r>
              <w:rPr>
                <w:sz w:val="18"/>
              </w:rPr>
              <w:t>.867</w:t>
            </w:r>
          </w:p>
        </w:tc>
      </w:tr>
      <w:tr>
        <w:trPr>
          <w:trHeight w:val="310" w:hRule="atLeast"/>
        </w:trPr>
        <w:tc>
          <w:tcPr>
            <w:tcW w:w="1284" w:type="dxa"/>
            <w:tcBorders>
              <w:top w:val="nil"/>
              <w:bottom w:val="nil"/>
            </w:tcBorders>
          </w:tcPr>
          <w:p>
            <w:pPr>
              <w:pStyle w:val="TableParagraph"/>
              <w:spacing w:before="47"/>
              <w:ind w:left="75"/>
              <w:rPr>
                <w:sz w:val="18"/>
              </w:rPr>
            </w:pPr>
            <w:r>
              <w:rPr>
                <w:sz w:val="18"/>
              </w:rPr>
              <w:t>CP1</w:t>
            </w:r>
          </w:p>
        </w:tc>
        <w:tc>
          <w:tcPr>
            <w:tcW w:w="1469" w:type="dxa"/>
            <w:tcBorders>
              <w:top w:val="nil"/>
              <w:bottom w:val="nil"/>
              <w:right w:val="single" w:sz="8" w:space="0" w:color="000000"/>
            </w:tcBorders>
          </w:tcPr>
          <w:p>
            <w:pPr>
              <w:pStyle w:val="TableParagraph"/>
              <w:spacing w:before="47"/>
              <w:ind w:right="39"/>
              <w:jc w:val="right"/>
              <w:rPr>
                <w:sz w:val="18"/>
              </w:rPr>
            </w:pPr>
            <w:r>
              <w:rPr>
                <w:sz w:val="18"/>
              </w:rPr>
              <w:t>170.41</w:t>
            </w:r>
          </w:p>
        </w:tc>
        <w:tc>
          <w:tcPr>
            <w:tcW w:w="1468" w:type="dxa"/>
            <w:tcBorders>
              <w:top w:val="nil"/>
              <w:left w:val="single" w:sz="8" w:space="0" w:color="000000"/>
              <w:bottom w:val="nil"/>
              <w:right w:val="single" w:sz="8" w:space="0" w:color="000000"/>
            </w:tcBorders>
          </w:tcPr>
          <w:p>
            <w:pPr>
              <w:pStyle w:val="TableParagraph"/>
              <w:spacing w:before="47"/>
              <w:ind w:right="36"/>
              <w:jc w:val="right"/>
              <w:rPr>
                <w:sz w:val="18"/>
              </w:rPr>
            </w:pPr>
            <w:r>
              <w:rPr>
                <w:sz w:val="18"/>
              </w:rPr>
              <w:t>480.130</w:t>
            </w:r>
          </w:p>
        </w:tc>
        <w:tc>
          <w:tcPr>
            <w:tcW w:w="1468" w:type="dxa"/>
            <w:tcBorders>
              <w:top w:val="nil"/>
              <w:left w:val="single" w:sz="8" w:space="0" w:color="000000"/>
              <w:bottom w:val="nil"/>
              <w:right w:val="single" w:sz="8" w:space="0" w:color="000000"/>
            </w:tcBorders>
          </w:tcPr>
          <w:p>
            <w:pPr>
              <w:pStyle w:val="TableParagraph"/>
              <w:spacing w:before="47"/>
              <w:ind w:right="35"/>
              <w:jc w:val="right"/>
              <w:rPr>
                <w:sz w:val="18"/>
              </w:rPr>
            </w:pPr>
            <w:r>
              <w:rPr>
                <w:sz w:val="18"/>
              </w:rPr>
              <w:t>.383</w:t>
            </w:r>
          </w:p>
        </w:tc>
        <w:tc>
          <w:tcPr>
            <w:tcW w:w="1468" w:type="dxa"/>
            <w:tcBorders>
              <w:top w:val="nil"/>
              <w:left w:val="single" w:sz="8" w:space="0" w:color="000000"/>
              <w:bottom w:val="nil"/>
            </w:tcBorders>
          </w:tcPr>
          <w:p>
            <w:pPr>
              <w:pStyle w:val="TableParagraph"/>
              <w:spacing w:before="47"/>
              <w:ind w:right="32"/>
              <w:jc w:val="right"/>
              <w:rPr>
                <w:sz w:val="18"/>
              </w:rPr>
            </w:pPr>
            <w:r>
              <w:rPr>
                <w:sz w:val="18"/>
              </w:rPr>
              <w:t>.862</w:t>
            </w:r>
          </w:p>
        </w:tc>
      </w:tr>
      <w:tr>
        <w:trPr>
          <w:trHeight w:val="310" w:hRule="atLeast"/>
        </w:trPr>
        <w:tc>
          <w:tcPr>
            <w:tcW w:w="1284" w:type="dxa"/>
            <w:tcBorders>
              <w:top w:val="nil"/>
              <w:bottom w:val="nil"/>
            </w:tcBorders>
          </w:tcPr>
          <w:p>
            <w:pPr>
              <w:pStyle w:val="TableParagraph"/>
              <w:spacing w:before="48"/>
              <w:ind w:left="75"/>
              <w:rPr>
                <w:sz w:val="18"/>
              </w:rPr>
            </w:pPr>
            <w:r>
              <w:rPr>
                <w:sz w:val="18"/>
              </w:rPr>
              <w:t>CP2</w:t>
            </w:r>
          </w:p>
        </w:tc>
        <w:tc>
          <w:tcPr>
            <w:tcW w:w="1469" w:type="dxa"/>
            <w:tcBorders>
              <w:top w:val="nil"/>
              <w:bottom w:val="nil"/>
              <w:right w:val="single" w:sz="8" w:space="0" w:color="000000"/>
            </w:tcBorders>
          </w:tcPr>
          <w:p>
            <w:pPr>
              <w:pStyle w:val="TableParagraph"/>
              <w:spacing w:before="48"/>
              <w:ind w:right="40"/>
              <w:jc w:val="right"/>
              <w:rPr>
                <w:sz w:val="18"/>
              </w:rPr>
            </w:pPr>
            <w:r>
              <w:rPr>
                <w:sz w:val="18"/>
              </w:rPr>
              <w:t>170.44</w:t>
            </w:r>
          </w:p>
        </w:tc>
        <w:tc>
          <w:tcPr>
            <w:tcW w:w="1468" w:type="dxa"/>
            <w:tcBorders>
              <w:top w:val="nil"/>
              <w:left w:val="single" w:sz="8" w:space="0" w:color="000000"/>
              <w:bottom w:val="nil"/>
              <w:right w:val="single" w:sz="8" w:space="0" w:color="000000"/>
            </w:tcBorders>
          </w:tcPr>
          <w:p>
            <w:pPr>
              <w:pStyle w:val="TableParagraph"/>
              <w:spacing w:before="48"/>
              <w:ind w:right="36"/>
              <w:jc w:val="right"/>
              <w:rPr>
                <w:sz w:val="18"/>
              </w:rPr>
            </w:pPr>
            <w:r>
              <w:rPr>
                <w:sz w:val="18"/>
              </w:rPr>
              <w:t>479.670</w:t>
            </w:r>
          </w:p>
        </w:tc>
        <w:tc>
          <w:tcPr>
            <w:tcW w:w="1468" w:type="dxa"/>
            <w:tcBorders>
              <w:top w:val="nil"/>
              <w:left w:val="single" w:sz="8" w:space="0" w:color="000000"/>
              <w:bottom w:val="nil"/>
              <w:right w:val="single" w:sz="8" w:space="0" w:color="000000"/>
            </w:tcBorders>
          </w:tcPr>
          <w:p>
            <w:pPr>
              <w:pStyle w:val="TableParagraph"/>
              <w:spacing w:before="48"/>
              <w:ind w:right="36"/>
              <w:jc w:val="right"/>
              <w:rPr>
                <w:sz w:val="18"/>
              </w:rPr>
            </w:pPr>
            <w:r>
              <w:rPr>
                <w:sz w:val="18"/>
              </w:rPr>
              <w:t>.388</w:t>
            </w:r>
          </w:p>
        </w:tc>
        <w:tc>
          <w:tcPr>
            <w:tcW w:w="1468" w:type="dxa"/>
            <w:tcBorders>
              <w:top w:val="nil"/>
              <w:left w:val="single" w:sz="8" w:space="0" w:color="000000"/>
              <w:bottom w:val="nil"/>
            </w:tcBorders>
          </w:tcPr>
          <w:p>
            <w:pPr>
              <w:pStyle w:val="TableParagraph"/>
              <w:spacing w:before="48"/>
              <w:ind w:right="32"/>
              <w:jc w:val="right"/>
              <w:rPr>
                <w:sz w:val="18"/>
              </w:rPr>
            </w:pPr>
            <w:r>
              <w:rPr>
                <w:sz w:val="18"/>
              </w:rPr>
              <w:t>.862</w:t>
            </w:r>
          </w:p>
        </w:tc>
      </w:tr>
      <w:tr>
        <w:trPr>
          <w:trHeight w:val="309" w:hRule="atLeast"/>
        </w:trPr>
        <w:tc>
          <w:tcPr>
            <w:tcW w:w="1284" w:type="dxa"/>
            <w:tcBorders>
              <w:top w:val="nil"/>
              <w:bottom w:val="nil"/>
            </w:tcBorders>
          </w:tcPr>
          <w:p>
            <w:pPr>
              <w:pStyle w:val="TableParagraph"/>
              <w:spacing w:before="47"/>
              <w:ind w:left="75"/>
              <w:rPr>
                <w:sz w:val="18"/>
              </w:rPr>
            </w:pPr>
            <w:r>
              <w:rPr>
                <w:sz w:val="18"/>
              </w:rPr>
              <w:t>CP3</w:t>
            </w:r>
          </w:p>
        </w:tc>
        <w:tc>
          <w:tcPr>
            <w:tcW w:w="1469" w:type="dxa"/>
            <w:tcBorders>
              <w:top w:val="nil"/>
              <w:bottom w:val="nil"/>
              <w:right w:val="single" w:sz="8" w:space="0" w:color="000000"/>
            </w:tcBorders>
          </w:tcPr>
          <w:p>
            <w:pPr>
              <w:pStyle w:val="TableParagraph"/>
              <w:spacing w:before="47"/>
              <w:ind w:right="40"/>
              <w:jc w:val="right"/>
              <w:rPr>
                <w:sz w:val="18"/>
              </w:rPr>
            </w:pPr>
            <w:r>
              <w:rPr>
                <w:sz w:val="18"/>
              </w:rPr>
              <w:t>170.42</w:t>
            </w:r>
          </w:p>
        </w:tc>
        <w:tc>
          <w:tcPr>
            <w:tcW w:w="1468" w:type="dxa"/>
            <w:tcBorders>
              <w:top w:val="nil"/>
              <w:left w:val="single" w:sz="8" w:space="0" w:color="000000"/>
              <w:bottom w:val="nil"/>
              <w:right w:val="single" w:sz="8" w:space="0" w:color="000000"/>
            </w:tcBorders>
          </w:tcPr>
          <w:p>
            <w:pPr>
              <w:pStyle w:val="TableParagraph"/>
              <w:spacing w:before="47"/>
              <w:ind w:right="36"/>
              <w:jc w:val="right"/>
              <w:rPr>
                <w:sz w:val="18"/>
              </w:rPr>
            </w:pPr>
            <w:r>
              <w:rPr>
                <w:sz w:val="18"/>
              </w:rPr>
              <w:t>478.410</w:t>
            </w:r>
          </w:p>
        </w:tc>
        <w:tc>
          <w:tcPr>
            <w:tcW w:w="1468" w:type="dxa"/>
            <w:tcBorders>
              <w:top w:val="nil"/>
              <w:left w:val="single" w:sz="8" w:space="0" w:color="000000"/>
              <w:bottom w:val="nil"/>
              <w:right w:val="single" w:sz="8" w:space="0" w:color="000000"/>
            </w:tcBorders>
          </w:tcPr>
          <w:p>
            <w:pPr>
              <w:pStyle w:val="TableParagraph"/>
              <w:spacing w:before="47"/>
              <w:ind w:right="35"/>
              <w:jc w:val="right"/>
              <w:rPr>
                <w:sz w:val="18"/>
              </w:rPr>
            </w:pPr>
            <w:r>
              <w:rPr>
                <w:sz w:val="18"/>
              </w:rPr>
              <w:t>.409</w:t>
            </w:r>
          </w:p>
        </w:tc>
        <w:tc>
          <w:tcPr>
            <w:tcW w:w="1468" w:type="dxa"/>
            <w:tcBorders>
              <w:top w:val="nil"/>
              <w:left w:val="single" w:sz="8" w:space="0" w:color="000000"/>
              <w:bottom w:val="nil"/>
            </w:tcBorders>
          </w:tcPr>
          <w:p>
            <w:pPr>
              <w:pStyle w:val="TableParagraph"/>
              <w:spacing w:before="47"/>
              <w:ind w:right="31"/>
              <w:jc w:val="right"/>
              <w:rPr>
                <w:sz w:val="18"/>
              </w:rPr>
            </w:pPr>
            <w:r>
              <w:rPr>
                <w:sz w:val="18"/>
              </w:rPr>
              <w:t>.862</w:t>
            </w:r>
          </w:p>
        </w:tc>
      </w:tr>
      <w:tr>
        <w:trPr>
          <w:trHeight w:val="310" w:hRule="atLeast"/>
        </w:trPr>
        <w:tc>
          <w:tcPr>
            <w:tcW w:w="1284" w:type="dxa"/>
            <w:tcBorders>
              <w:top w:val="nil"/>
              <w:bottom w:val="nil"/>
            </w:tcBorders>
          </w:tcPr>
          <w:p>
            <w:pPr>
              <w:pStyle w:val="TableParagraph"/>
              <w:spacing w:before="47"/>
              <w:ind w:left="75"/>
              <w:rPr>
                <w:sz w:val="18"/>
              </w:rPr>
            </w:pPr>
            <w:r>
              <w:rPr>
                <w:sz w:val="18"/>
              </w:rPr>
              <w:t>CP4</w:t>
            </w:r>
          </w:p>
        </w:tc>
        <w:tc>
          <w:tcPr>
            <w:tcW w:w="1469" w:type="dxa"/>
            <w:tcBorders>
              <w:top w:val="nil"/>
              <w:bottom w:val="nil"/>
              <w:right w:val="single" w:sz="8" w:space="0" w:color="000000"/>
            </w:tcBorders>
          </w:tcPr>
          <w:p>
            <w:pPr>
              <w:pStyle w:val="TableParagraph"/>
              <w:spacing w:before="47"/>
              <w:ind w:right="40"/>
              <w:jc w:val="right"/>
              <w:rPr>
                <w:sz w:val="18"/>
              </w:rPr>
            </w:pPr>
            <w:r>
              <w:rPr>
                <w:sz w:val="18"/>
              </w:rPr>
              <w:t>170.41</w:t>
            </w:r>
          </w:p>
        </w:tc>
        <w:tc>
          <w:tcPr>
            <w:tcW w:w="1468" w:type="dxa"/>
            <w:tcBorders>
              <w:top w:val="nil"/>
              <w:left w:val="single" w:sz="8" w:space="0" w:color="000000"/>
              <w:bottom w:val="nil"/>
              <w:right w:val="single" w:sz="8" w:space="0" w:color="000000"/>
            </w:tcBorders>
          </w:tcPr>
          <w:p>
            <w:pPr>
              <w:pStyle w:val="TableParagraph"/>
              <w:spacing w:before="47"/>
              <w:ind w:right="36"/>
              <w:jc w:val="right"/>
              <w:rPr>
                <w:sz w:val="18"/>
              </w:rPr>
            </w:pPr>
            <w:r>
              <w:rPr>
                <w:sz w:val="18"/>
              </w:rPr>
              <w:t>479.357</w:t>
            </w:r>
          </w:p>
        </w:tc>
        <w:tc>
          <w:tcPr>
            <w:tcW w:w="1468" w:type="dxa"/>
            <w:tcBorders>
              <w:top w:val="nil"/>
              <w:left w:val="single" w:sz="8" w:space="0" w:color="000000"/>
              <w:bottom w:val="nil"/>
              <w:right w:val="single" w:sz="8" w:space="0" w:color="000000"/>
            </w:tcBorders>
          </w:tcPr>
          <w:p>
            <w:pPr>
              <w:pStyle w:val="TableParagraph"/>
              <w:spacing w:before="47"/>
              <w:ind w:right="36"/>
              <w:jc w:val="right"/>
              <w:rPr>
                <w:sz w:val="18"/>
              </w:rPr>
            </w:pPr>
            <w:r>
              <w:rPr>
                <w:sz w:val="18"/>
              </w:rPr>
              <w:t>.438</w:t>
            </w:r>
          </w:p>
        </w:tc>
        <w:tc>
          <w:tcPr>
            <w:tcW w:w="1468" w:type="dxa"/>
            <w:tcBorders>
              <w:top w:val="nil"/>
              <w:left w:val="single" w:sz="8" w:space="0" w:color="000000"/>
              <w:bottom w:val="nil"/>
            </w:tcBorders>
          </w:tcPr>
          <w:p>
            <w:pPr>
              <w:pStyle w:val="TableParagraph"/>
              <w:spacing w:before="47"/>
              <w:ind w:right="31"/>
              <w:jc w:val="right"/>
              <w:rPr>
                <w:sz w:val="18"/>
              </w:rPr>
            </w:pPr>
            <w:r>
              <w:rPr>
                <w:sz w:val="18"/>
              </w:rPr>
              <w:t>.861</w:t>
            </w:r>
          </w:p>
        </w:tc>
      </w:tr>
      <w:tr>
        <w:trPr>
          <w:trHeight w:val="310" w:hRule="atLeast"/>
        </w:trPr>
        <w:tc>
          <w:tcPr>
            <w:tcW w:w="1284" w:type="dxa"/>
            <w:tcBorders>
              <w:top w:val="nil"/>
              <w:bottom w:val="nil"/>
            </w:tcBorders>
          </w:tcPr>
          <w:p>
            <w:pPr>
              <w:pStyle w:val="TableParagraph"/>
              <w:spacing w:before="48"/>
              <w:ind w:left="75"/>
              <w:rPr>
                <w:sz w:val="18"/>
              </w:rPr>
            </w:pPr>
            <w:r>
              <w:rPr>
                <w:sz w:val="18"/>
              </w:rPr>
              <w:t>CP5</w:t>
            </w:r>
          </w:p>
        </w:tc>
        <w:tc>
          <w:tcPr>
            <w:tcW w:w="1469" w:type="dxa"/>
            <w:tcBorders>
              <w:top w:val="nil"/>
              <w:bottom w:val="nil"/>
              <w:right w:val="single" w:sz="8" w:space="0" w:color="000000"/>
            </w:tcBorders>
          </w:tcPr>
          <w:p>
            <w:pPr>
              <w:pStyle w:val="TableParagraph"/>
              <w:spacing w:before="48"/>
              <w:ind w:right="40"/>
              <w:jc w:val="right"/>
              <w:rPr>
                <w:sz w:val="18"/>
              </w:rPr>
            </w:pPr>
            <w:r>
              <w:rPr>
                <w:sz w:val="18"/>
              </w:rPr>
              <w:t>170.43</w:t>
            </w:r>
          </w:p>
        </w:tc>
        <w:tc>
          <w:tcPr>
            <w:tcW w:w="1468" w:type="dxa"/>
            <w:tcBorders>
              <w:top w:val="nil"/>
              <w:left w:val="single" w:sz="8" w:space="0" w:color="000000"/>
              <w:bottom w:val="nil"/>
              <w:right w:val="single" w:sz="8" w:space="0" w:color="000000"/>
            </w:tcBorders>
          </w:tcPr>
          <w:p>
            <w:pPr>
              <w:pStyle w:val="TableParagraph"/>
              <w:spacing w:before="48"/>
              <w:ind w:right="36"/>
              <w:jc w:val="right"/>
              <w:rPr>
                <w:sz w:val="18"/>
              </w:rPr>
            </w:pPr>
            <w:r>
              <w:rPr>
                <w:sz w:val="18"/>
              </w:rPr>
              <w:t>480.762</w:t>
            </w:r>
          </w:p>
        </w:tc>
        <w:tc>
          <w:tcPr>
            <w:tcW w:w="1468" w:type="dxa"/>
            <w:tcBorders>
              <w:top w:val="nil"/>
              <w:left w:val="single" w:sz="8" w:space="0" w:color="000000"/>
              <w:bottom w:val="nil"/>
              <w:right w:val="single" w:sz="8" w:space="0" w:color="000000"/>
            </w:tcBorders>
          </w:tcPr>
          <w:p>
            <w:pPr>
              <w:pStyle w:val="TableParagraph"/>
              <w:spacing w:before="48"/>
              <w:ind w:right="35"/>
              <w:jc w:val="right"/>
              <w:rPr>
                <w:sz w:val="18"/>
              </w:rPr>
            </w:pPr>
            <w:r>
              <w:rPr>
                <w:sz w:val="18"/>
              </w:rPr>
              <w:t>.429</w:t>
            </w:r>
          </w:p>
        </w:tc>
        <w:tc>
          <w:tcPr>
            <w:tcW w:w="1468" w:type="dxa"/>
            <w:tcBorders>
              <w:top w:val="nil"/>
              <w:left w:val="single" w:sz="8" w:space="0" w:color="000000"/>
              <w:bottom w:val="nil"/>
            </w:tcBorders>
          </w:tcPr>
          <w:p>
            <w:pPr>
              <w:pStyle w:val="TableParagraph"/>
              <w:spacing w:before="48"/>
              <w:ind w:right="31"/>
              <w:jc w:val="right"/>
              <w:rPr>
                <w:sz w:val="18"/>
              </w:rPr>
            </w:pPr>
            <w:r>
              <w:rPr>
                <w:sz w:val="18"/>
              </w:rPr>
              <w:t>.862</w:t>
            </w:r>
          </w:p>
        </w:tc>
      </w:tr>
      <w:tr>
        <w:trPr>
          <w:trHeight w:val="309" w:hRule="atLeast"/>
        </w:trPr>
        <w:tc>
          <w:tcPr>
            <w:tcW w:w="1284" w:type="dxa"/>
            <w:tcBorders>
              <w:top w:val="nil"/>
              <w:bottom w:val="nil"/>
            </w:tcBorders>
          </w:tcPr>
          <w:p>
            <w:pPr>
              <w:pStyle w:val="TableParagraph"/>
              <w:spacing w:before="47"/>
              <w:ind w:left="75"/>
              <w:rPr>
                <w:sz w:val="18"/>
              </w:rPr>
            </w:pPr>
            <w:r>
              <w:rPr>
                <w:sz w:val="18"/>
              </w:rPr>
              <w:t>CP6</w:t>
            </w:r>
          </w:p>
        </w:tc>
        <w:tc>
          <w:tcPr>
            <w:tcW w:w="1469" w:type="dxa"/>
            <w:tcBorders>
              <w:top w:val="nil"/>
              <w:bottom w:val="nil"/>
              <w:right w:val="single" w:sz="8" w:space="0" w:color="000000"/>
            </w:tcBorders>
          </w:tcPr>
          <w:p>
            <w:pPr>
              <w:pStyle w:val="TableParagraph"/>
              <w:spacing w:before="47"/>
              <w:ind w:right="39"/>
              <w:jc w:val="right"/>
              <w:rPr>
                <w:sz w:val="18"/>
              </w:rPr>
            </w:pPr>
            <w:r>
              <w:rPr>
                <w:sz w:val="18"/>
              </w:rPr>
              <w:t>170.33</w:t>
            </w:r>
          </w:p>
        </w:tc>
        <w:tc>
          <w:tcPr>
            <w:tcW w:w="1468" w:type="dxa"/>
            <w:tcBorders>
              <w:top w:val="nil"/>
              <w:left w:val="single" w:sz="8" w:space="0" w:color="000000"/>
              <w:bottom w:val="nil"/>
              <w:right w:val="single" w:sz="8" w:space="0" w:color="000000"/>
            </w:tcBorders>
          </w:tcPr>
          <w:p>
            <w:pPr>
              <w:pStyle w:val="TableParagraph"/>
              <w:spacing w:before="47"/>
              <w:ind w:right="34"/>
              <w:jc w:val="right"/>
              <w:rPr>
                <w:sz w:val="18"/>
              </w:rPr>
            </w:pPr>
            <w:r>
              <w:rPr>
                <w:sz w:val="18"/>
              </w:rPr>
              <w:t>482.737</w:t>
            </w:r>
          </w:p>
        </w:tc>
        <w:tc>
          <w:tcPr>
            <w:tcW w:w="1468" w:type="dxa"/>
            <w:tcBorders>
              <w:top w:val="nil"/>
              <w:left w:val="single" w:sz="8" w:space="0" w:color="000000"/>
              <w:bottom w:val="nil"/>
              <w:right w:val="single" w:sz="8" w:space="0" w:color="000000"/>
            </w:tcBorders>
          </w:tcPr>
          <w:p>
            <w:pPr>
              <w:pStyle w:val="TableParagraph"/>
              <w:spacing w:before="47"/>
              <w:ind w:right="36"/>
              <w:jc w:val="right"/>
              <w:rPr>
                <w:sz w:val="18"/>
              </w:rPr>
            </w:pPr>
            <w:r>
              <w:rPr>
                <w:sz w:val="18"/>
              </w:rPr>
              <w:t>.402</w:t>
            </w:r>
          </w:p>
        </w:tc>
        <w:tc>
          <w:tcPr>
            <w:tcW w:w="1468" w:type="dxa"/>
            <w:tcBorders>
              <w:top w:val="nil"/>
              <w:left w:val="single" w:sz="8" w:space="0" w:color="000000"/>
              <w:bottom w:val="nil"/>
            </w:tcBorders>
          </w:tcPr>
          <w:p>
            <w:pPr>
              <w:pStyle w:val="TableParagraph"/>
              <w:spacing w:before="47"/>
              <w:ind w:right="31"/>
              <w:jc w:val="right"/>
              <w:rPr>
                <w:sz w:val="18"/>
              </w:rPr>
            </w:pPr>
            <w:r>
              <w:rPr>
                <w:sz w:val="18"/>
              </w:rPr>
              <w:t>.862</w:t>
            </w:r>
          </w:p>
        </w:tc>
      </w:tr>
      <w:tr>
        <w:trPr>
          <w:trHeight w:val="310" w:hRule="atLeast"/>
        </w:trPr>
        <w:tc>
          <w:tcPr>
            <w:tcW w:w="1284" w:type="dxa"/>
            <w:tcBorders>
              <w:top w:val="nil"/>
              <w:bottom w:val="nil"/>
            </w:tcBorders>
          </w:tcPr>
          <w:p>
            <w:pPr>
              <w:pStyle w:val="TableParagraph"/>
              <w:spacing w:before="47"/>
              <w:ind w:left="75"/>
              <w:rPr>
                <w:sz w:val="18"/>
              </w:rPr>
            </w:pPr>
            <w:r>
              <w:rPr>
                <w:sz w:val="18"/>
              </w:rPr>
              <w:t>CLDV1</w:t>
            </w:r>
          </w:p>
        </w:tc>
        <w:tc>
          <w:tcPr>
            <w:tcW w:w="1469" w:type="dxa"/>
            <w:tcBorders>
              <w:top w:val="nil"/>
              <w:bottom w:val="nil"/>
              <w:right w:val="single" w:sz="8" w:space="0" w:color="000000"/>
            </w:tcBorders>
          </w:tcPr>
          <w:p>
            <w:pPr>
              <w:pStyle w:val="TableParagraph"/>
              <w:spacing w:before="47"/>
              <w:ind w:right="40"/>
              <w:jc w:val="right"/>
              <w:rPr>
                <w:sz w:val="18"/>
              </w:rPr>
            </w:pPr>
            <w:r>
              <w:rPr>
                <w:sz w:val="18"/>
              </w:rPr>
              <w:t>170.34</w:t>
            </w:r>
          </w:p>
        </w:tc>
        <w:tc>
          <w:tcPr>
            <w:tcW w:w="1468" w:type="dxa"/>
            <w:tcBorders>
              <w:top w:val="nil"/>
              <w:left w:val="single" w:sz="8" w:space="0" w:color="000000"/>
              <w:bottom w:val="nil"/>
              <w:right w:val="single" w:sz="8" w:space="0" w:color="000000"/>
            </w:tcBorders>
          </w:tcPr>
          <w:p>
            <w:pPr>
              <w:pStyle w:val="TableParagraph"/>
              <w:spacing w:before="47"/>
              <w:ind w:right="36"/>
              <w:jc w:val="right"/>
              <w:rPr>
                <w:sz w:val="18"/>
              </w:rPr>
            </w:pPr>
            <w:r>
              <w:rPr>
                <w:sz w:val="18"/>
              </w:rPr>
              <w:t>472.101</w:t>
            </w:r>
          </w:p>
        </w:tc>
        <w:tc>
          <w:tcPr>
            <w:tcW w:w="1468" w:type="dxa"/>
            <w:tcBorders>
              <w:top w:val="nil"/>
              <w:left w:val="single" w:sz="8" w:space="0" w:color="000000"/>
              <w:bottom w:val="nil"/>
              <w:right w:val="single" w:sz="8" w:space="0" w:color="000000"/>
            </w:tcBorders>
          </w:tcPr>
          <w:p>
            <w:pPr>
              <w:pStyle w:val="TableParagraph"/>
              <w:spacing w:before="47"/>
              <w:ind w:right="35"/>
              <w:jc w:val="right"/>
              <w:rPr>
                <w:sz w:val="18"/>
              </w:rPr>
            </w:pPr>
            <w:r>
              <w:rPr>
                <w:sz w:val="18"/>
              </w:rPr>
              <w:t>.531</w:t>
            </w:r>
          </w:p>
        </w:tc>
        <w:tc>
          <w:tcPr>
            <w:tcW w:w="1468" w:type="dxa"/>
            <w:tcBorders>
              <w:top w:val="nil"/>
              <w:left w:val="single" w:sz="8" w:space="0" w:color="000000"/>
              <w:bottom w:val="nil"/>
            </w:tcBorders>
          </w:tcPr>
          <w:p>
            <w:pPr>
              <w:pStyle w:val="TableParagraph"/>
              <w:spacing w:before="47"/>
              <w:ind w:right="32"/>
              <w:jc w:val="right"/>
              <w:rPr>
                <w:sz w:val="18"/>
              </w:rPr>
            </w:pPr>
            <w:r>
              <w:rPr>
                <w:sz w:val="18"/>
              </w:rPr>
              <w:t>.860</w:t>
            </w:r>
          </w:p>
        </w:tc>
      </w:tr>
      <w:tr>
        <w:trPr>
          <w:trHeight w:val="310" w:hRule="atLeast"/>
        </w:trPr>
        <w:tc>
          <w:tcPr>
            <w:tcW w:w="1284" w:type="dxa"/>
            <w:tcBorders>
              <w:top w:val="nil"/>
              <w:bottom w:val="nil"/>
            </w:tcBorders>
          </w:tcPr>
          <w:p>
            <w:pPr>
              <w:pStyle w:val="TableParagraph"/>
              <w:spacing w:before="48"/>
              <w:ind w:left="75"/>
              <w:rPr>
                <w:sz w:val="18"/>
              </w:rPr>
            </w:pPr>
            <w:r>
              <w:rPr>
                <w:sz w:val="18"/>
              </w:rPr>
              <w:t>CLDV2</w:t>
            </w:r>
          </w:p>
        </w:tc>
        <w:tc>
          <w:tcPr>
            <w:tcW w:w="1469" w:type="dxa"/>
            <w:tcBorders>
              <w:top w:val="nil"/>
              <w:bottom w:val="nil"/>
              <w:right w:val="single" w:sz="8" w:space="0" w:color="000000"/>
            </w:tcBorders>
          </w:tcPr>
          <w:p>
            <w:pPr>
              <w:pStyle w:val="TableParagraph"/>
              <w:spacing w:before="48"/>
              <w:ind w:right="40"/>
              <w:jc w:val="right"/>
              <w:rPr>
                <w:sz w:val="18"/>
              </w:rPr>
            </w:pPr>
            <w:r>
              <w:rPr>
                <w:sz w:val="18"/>
              </w:rPr>
              <w:t>171.87</w:t>
            </w:r>
          </w:p>
        </w:tc>
        <w:tc>
          <w:tcPr>
            <w:tcW w:w="1468" w:type="dxa"/>
            <w:tcBorders>
              <w:top w:val="nil"/>
              <w:left w:val="single" w:sz="8" w:space="0" w:color="000000"/>
              <w:bottom w:val="nil"/>
              <w:right w:val="single" w:sz="8" w:space="0" w:color="000000"/>
            </w:tcBorders>
          </w:tcPr>
          <w:p>
            <w:pPr>
              <w:pStyle w:val="TableParagraph"/>
              <w:spacing w:before="48"/>
              <w:ind w:right="36"/>
              <w:jc w:val="right"/>
              <w:rPr>
                <w:sz w:val="18"/>
              </w:rPr>
            </w:pPr>
            <w:r>
              <w:rPr>
                <w:sz w:val="18"/>
              </w:rPr>
              <w:t>500.786</w:t>
            </w:r>
          </w:p>
        </w:tc>
        <w:tc>
          <w:tcPr>
            <w:tcW w:w="1468" w:type="dxa"/>
            <w:tcBorders>
              <w:top w:val="nil"/>
              <w:left w:val="single" w:sz="8" w:space="0" w:color="000000"/>
              <w:bottom w:val="nil"/>
              <w:right w:val="single" w:sz="8" w:space="0" w:color="000000"/>
            </w:tcBorders>
          </w:tcPr>
          <w:p>
            <w:pPr>
              <w:pStyle w:val="TableParagraph"/>
              <w:spacing w:before="48"/>
              <w:ind w:right="36"/>
              <w:jc w:val="right"/>
              <w:rPr>
                <w:sz w:val="18"/>
              </w:rPr>
            </w:pPr>
            <w:r>
              <w:rPr>
                <w:sz w:val="18"/>
              </w:rPr>
              <w:t>-.041</w:t>
            </w:r>
          </w:p>
        </w:tc>
        <w:tc>
          <w:tcPr>
            <w:tcW w:w="1468" w:type="dxa"/>
            <w:tcBorders>
              <w:top w:val="nil"/>
              <w:left w:val="single" w:sz="8" w:space="0" w:color="000000"/>
              <w:bottom w:val="nil"/>
            </w:tcBorders>
          </w:tcPr>
          <w:p>
            <w:pPr>
              <w:pStyle w:val="TableParagraph"/>
              <w:spacing w:before="48"/>
              <w:ind w:right="31"/>
              <w:jc w:val="right"/>
              <w:rPr>
                <w:sz w:val="18"/>
              </w:rPr>
            </w:pPr>
            <w:r>
              <w:rPr>
                <w:sz w:val="18"/>
              </w:rPr>
              <w:t>.871</w:t>
            </w:r>
          </w:p>
        </w:tc>
      </w:tr>
      <w:tr>
        <w:trPr>
          <w:trHeight w:val="310" w:hRule="atLeast"/>
        </w:trPr>
        <w:tc>
          <w:tcPr>
            <w:tcW w:w="1284" w:type="dxa"/>
            <w:tcBorders>
              <w:top w:val="nil"/>
              <w:bottom w:val="nil"/>
            </w:tcBorders>
          </w:tcPr>
          <w:p>
            <w:pPr>
              <w:pStyle w:val="TableParagraph"/>
              <w:spacing w:before="47"/>
              <w:ind w:left="75"/>
              <w:rPr>
                <w:sz w:val="18"/>
              </w:rPr>
            </w:pPr>
            <w:r>
              <w:rPr>
                <w:sz w:val="18"/>
              </w:rPr>
              <w:t>CLDV3</w:t>
            </w:r>
          </w:p>
        </w:tc>
        <w:tc>
          <w:tcPr>
            <w:tcW w:w="1469" w:type="dxa"/>
            <w:tcBorders>
              <w:top w:val="nil"/>
              <w:bottom w:val="nil"/>
              <w:right w:val="single" w:sz="8" w:space="0" w:color="000000"/>
            </w:tcBorders>
          </w:tcPr>
          <w:p>
            <w:pPr>
              <w:pStyle w:val="TableParagraph"/>
              <w:spacing w:before="47"/>
              <w:ind w:right="39"/>
              <w:jc w:val="right"/>
              <w:rPr>
                <w:sz w:val="18"/>
              </w:rPr>
            </w:pPr>
            <w:r>
              <w:rPr>
                <w:sz w:val="18"/>
              </w:rPr>
              <w:t>170.29</w:t>
            </w:r>
          </w:p>
        </w:tc>
        <w:tc>
          <w:tcPr>
            <w:tcW w:w="1468" w:type="dxa"/>
            <w:tcBorders>
              <w:top w:val="nil"/>
              <w:left w:val="single" w:sz="8" w:space="0" w:color="000000"/>
              <w:bottom w:val="nil"/>
              <w:right w:val="single" w:sz="8" w:space="0" w:color="000000"/>
            </w:tcBorders>
          </w:tcPr>
          <w:p>
            <w:pPr>
              <w:pStyle w:val="TableParagraph"/>
              <w:spacing w:before="47"/>
              <w:ind w:right="36"/>
              <w:jc w:val="right"/>
              <w:rPr>
                <w:sz w:val="18"/>
              </w:rPr>
            </w:pPr>
            <w:r>
              <w:rPr>
                <w:sz w:val="18"/>
              </w:rPr>
              <w:t>471.443</w:t>
            </w:r>
          </w:p>
        </w:tc>
        <w:tc>
          <w:tcPr>
            <w:tcW w:w="1468" w:type="dxa"/>
            <w:tcBorders>
              <w:top w:val="nil"/>
              <w:left w:val="single" w:sz="8" w:space="0" w:color="000000"/>
              <w:bottom w:val="nil"/>
              <w:right w:val="single" w:sz="8" w:space="0" w:color="000000"/>
            </w:tcBorders>
          </w:tcPr>
          <w:p>
            <w:pPr>
              <w:pStyle w:val="TableParagraph"/>
              <w:spacing w:before="47"/>
              <w:ind w:right="34"/>
              <w:jc w:val="right"/>
              <w:rPr>
                <w:sz w:val="18"/>
              </w:rPr>
            </w:pPr>
            <w:r>
              <w:rPr>
                <w:sz w:val="18"/>
              </w:rPr>
              <w:t>.529</w:t>
            </w:r>
          </w:p>
        </w:tc>
        <w:tc>
          <w:tcPr>
            <w:tcW w:w="1468" w:type="dxa"/>
            <w:tcBorders>
              <w:top w:val="nil"/>
              <w:left w:val="single" w:sz="8" w:space="0" w:color="000000"/>
              <w:bottom w:val="nil"/>
            </w:tcBorders>
          </w:tcPr>
          <w:p>
            <w:pPr>
              <w:pStyle w:val="TableParagraph"/>
              <w:spacing w:before="47"/>
              <w:ind w:right="31"/>
              <w:jc w:val="right"/>
              <w:rPr>
                <w:sz w:val="18"/>
              </w:rPr>
            </w:pPr>
            <w:r>
              <w:rPr>
                <w:sz w:val="18"/>
              </w:rPr>
              <w:t>.860</w:t>
            </w:r>
          </w:p>
        </w:tc>
      </w:tr>
      <w:tr>
        <w:trPr>
          <w:trHeight w:val="311" w:hRule="atLeast"/>
        </w:trPr>
        <w:tc>
          <w:tcPr>
            <w:tcW w:w="1284" w:type="dxa"/>
            <w:tcBorders>
              <w:top w:val="nil"/>
              <w:bottom w:val="nil"/>
            </w:tcBorders>
          </w:tcPr>
          <w:p>
            <w:pPr>
              <w:pStyle w:val="TableParagraph"/>
              <w:spacing w:before="48"/>
              <w:ind w:left="75"/>
              <w:rPr>
                <w:sz w:val="18"/>
              </w:rPr>
            </w:pPr>
            <w:r>
              <w:rPr>
                <w:sz w:val="18"/>
              </w:rPr>
              <w:t>CLDV4</w:t>
            </w:r>
          </w:p>
        </w:tc>
        <w:tc>
          <w:tcPr>
            <w:tcW w:w="1469" w:type="dxa"/>
            <w:tcBorders>
              <w:top w:val="nil"/>
              <w:bottom w:val="nil"/>
              <w:right w:val="single" w:sz="8" w:space="0" w:color="000000"/>
            </w:tcBorders>
          </w:tcPr>
          <w:p>
            <w:pPr>
              <w:pStyle w:val="TableParagraph"/>
              <w:spacing w:before="48"/>
              <w:ind w:right="39"/>
              <w:jc w:val="right"/>
              <w:rPr>
                <w:sz w:val="18"/>
              </w:rPr>
            </w:pPr>
            <w:r>
              <w:rPr>
                <w:sz w:val="18"/>
              </w:rPr>
              <w:t>170.33</w:t>
            </w:r>
          </w:p>
        </w:tc>
        <w:tc>
          <w:tcPr>
            <w:tcW w:w="1468" w:type="dxa"/>
            <w:tcBorders>
              <w:top w:val="nil"/>
              <w:left w:val="single" w:sz="8" w:space="0" w:color="000000"/>
              <w:bottom w:val="nil"/>
              <w:right w:val="single" w:sz="8" w:space="0" w:color="000000"/>
            </w:tcBorders>
          </w:tcPr>
          <w:p>
            <w:pPr>
              <w:pStyle w:val="TableParagraph"/>
              <w:spacing w:before="48"/>
              <w:ind w:right="36"/>
              <w:jc w:val="right"/>
              <w:rPr>
                <w:sz w:val="18"/>
              </w:rPr>
            </w:pPr>
            <w:r>
              <w:rPr>
                <w:sz w:val="18"/>
              </w:rPr>
              <w:t>470.945</w:t>
            </w:r>
          </w:p>
        </w:tc>
        <w:tc>
          <w:tcPr>
            <w:tcW w:w="1468" w:type="dxa"/>
            <w:tcBorders>
              <w:top w:val="nil"/>
              <w:left w:val="single" w:sz="8" w:space="0" w:color="000000"/>
              <w:bottom w:val="nil"/>
              <w:right w:val="single" w:sz="8" w:space="0" w:color="000000"/>
            </w:tcBorders>
          </w:tcPr>
          <w:p>
            <w:pPr>
              <w:pStyle w:val="TableParagraph"/>
              <w:spacing w:before="48"/>
              <w:ind w:right="35"/>
              <w:jc w:val="right"/>
              <w:rPr>
                <w:sz w:val="18"/>
              </w:rPr>
            </w:pPr>
            <w:r>
              <w:rPr>
                <w:sz w:val="18"/>
              </w:rPr>
              <w:t>.529</w:t>
            </w:r>
          </w:p>
        </w:tc>
        <w:tc>
          <w:tcPr>
            <w:tcW w:w="1468" w:type="dxa"/>
            <w:tcBorders>
              <w:top w:val="nil"/>
              <w:left w:val="single" w:sz="8" w:space="0" w:color="000000"/>
              <w:bottom w:val="nil"/>
            </w:tcBorders>
          </w:tcPr>
          <w:p>
            <w:pPr>
              <w:pStyle w:val="TableParagraph"/>
              <w:spacing w:before="48"/>
              <w:ind w:right="31"/>
              <w:jc w:val="right"/>
              <w:rPr>
                <w:sz w:val="18"/>
              </w:rPr>
            </w:pPr>
            <w:r>
              <w:rPr>
                <w:sz w:val="18"/>
              </w:rPr>
              <w:t>.860</w:t>
            </w:r>
          </w:p>
        </w:tc>
      </w:tr>
      <w:tr>
        <w:trPr>
          <w:trHeight w:val="309" w:hRule="atLeast"/>
        </w:trPr>
        <w:tc>
          <w:tcPr>
            <w:tcW w:w="1284" w:type="dxa"/>
            <w:tcBorders>
              <w:top w:val="nil"/>
              <w:bottom w:val="nil"/>
            </w:tcBorders>
          </w:tcPr>
          <w:p>
            <w:pPr>
              <w:pStyle w:val="TableParagraph"/>
              <w:spacing w:before="47"/>
              <w:ind w:left="75"/>
              <w:rPr>
                <w:sz w:val="18"/>
              </w:rPr>
            </w:pPr>
            <w:r>
              <w:rPr>
                <w:sz w:val="18"/>
              </w:rPr>
              <w:t>CLDV5</w:t>
            </w:r>
          </w:p>
        </w:tc>
        <w:tc>
          <w:tcPr>
            <w:tcW w:w="1469" w:type="dxa"/>
            <w:tcBorders>
              <w:top w:val="nil"/>
              <w:bottom w:val="nil"/>
              <w:right w:val="single" w:sz="8" w:space="0" w:color="000000"/>
            </w:tcBorders>
          </w:tcPr>
          <w:p>
            <w:pPr>
              <w:pStyle w:val="TableParagraph"/>
              <w:spacing w:before="47"/>
              <w:ind w:right="40"/>
              <w:jc w:val="right"/>
              <w:rPr>
                <w:sz w:val="18"/>
              </w:rPr>
            </w:pPr>
            <w:r>
              <w:rPr>
                <w:sz w:val="18"/>
              </w:rPr>
              <w:t>171.99</w:t>
            </w:r>
          </w:p>
        </w:tc>
        <w:tc>
          <w:tcPr>
            <w:tcW w:w="1468" w:type="dxa"/>
            <w:tcBorders>
              <w:top w:val="nil"/>
              <w:left w:val="single" w:sz="8" w:space="0" w:color="000000"/>
              <w:bottom w:val="nil"/>
              <w:right w:val="single" w:sz="8" w:space="0" w:color="000000"/>
            </w:tcBorders>
          </w:tcPr>
          <w:p>
            <w:pPr>
              <w:pStyle w:val="TableParagraph"/>
              <w:spacing w:before="47"/>
              <w:ind w:right="36"/>
              <w:jc w:val="right"/>
              <w:rPr>
                <w:sz w:val="18"/>
              </w:rPr>
            </w:pPr>
            <w:r>
              <w:rPr>
                <w:sz w:val="18"/>
              </w:rPr>
              <w:t>501.933</w:t>
            </w:r>
          </w:p>
        </w:tc>
        <w:tc>
          <w:tcPr>
            <w:tcW w:w="1468" w:type="dxa"/>
            <w:tcBorders>
              <w:top w:val="nil"/>
              <w:left w:val="single" w:sz="8" w:space="0" w:color="000000"/>
              <w:bottom w:val="nil"/>
              <w:right w:val="single" w:sz="8" w:space="0" w:color="000000"/>
            </w:tcBorders>
          </w:tcPr>
          <w:p>
            <w:pPr>
              <w:pStyle w:val="TableParagraph"/>
              <w:spacing w:before="47"/>
              <w:ind w:right="35"/>
              <w:jc w:val="right"/>
              <w:rPr>
                <w:sz w:val="18"/>
              </w:rPr>
            </w:pPr>
            <w:r>
              <w:rPr>
                <w:sz w:val="18"/>
              </w:rPr>
              <w:t>-.057</w:t>
            </w:r>
          </w:p>
        </w:tc>
        <w:tc>
          <w:tcPr>
            <w:tcW w:w="1468" w:type="dxa"/>
            <w:tcBorders>
              <w:top w:val="nil"/>
              <w:left w:val="single" w:sz="8" w:space="0" w:color="000000"/>
              <w:bottom w:val="nil"/>
            </w:tcBorders>
          </w:tcPr>
          <w:p>
            <w:pPr>
              <w:pStyle w:val="TableParagraph"/>
              <w:spacing w:before="47"/>
              <w:ind w:right="31"/>
              <w:jc w:val="right"/>
              <w:rPr>
                <w:sz w:val="18"/>
              </w:rPr>
            </w:pPr>
            <w:r>
              <w:rPr>
                <w:sz w:val="18"/>
              </w:rPr>
              <w:t>.871</w:t>
            </w:r>
          </w:p>
        </w:tc>
      </w:tr>
      <w:tr>
        <w:trPr>
          <w:trHeight w:val="310" w:hRule="atLeast"/>
        </w:trPr>
        <w:tc>
          <w:tcPr>
            <w:tcW w:w="1284" w:type="dxa"/>
            <w:tcBorders>
              <w:top w:val="nil"/>
              <w:bottom w:val="nil"/>
            </w:tcBorders>
          </w:tcPr>
          <w:p>
            <w:pPr>
              <w:pStyle w:val="TableParagraph"/>
              <w:spacing w:before="47"/>
              <w:ind w:left="75"/>
              <w:rPr>
                <w:sz w:val="18"/>
              </w:rPr>
            </w:pPr>
            <w:r>
              <w:rPr>
                <w:sz w:val="18"/>
              </w:rPr>
              <w:t>CLDV6</w:t>
            </w:r>
          </w:p>
        </w:tc>
        <w:tc>
          <w:tcPr>
            <w:tcW w:w="1469" w:type="dxa"/>
            <w:tcBorders>
              <w:top w:val="nil"/>
              <w:bottom w:val="nil"/>
              <w:right w:val="single" w:sz="8" w:space="0" w:color="000000"/>
            </w:tcBorders>
          </w:tcPr>
          <w:p>
            <w:pPr>
              <w:pStyle w:val="TableParagraph"/>
              <w:spacing w:before="47"/>
              <w:ind w:right="40"/>
              <w:jc w:val="right"/>
              <w:rPr>
                <w:sz w:val="18"/>
              </w:rPr>
            </w:pPr>
            <w:r>
              <w:rPr>
                <w:sz w:val="18"/>
              </w:rPr>
              <w:t>170.50</w:t>
            </w:r>
          </w:p>
        </w:tc>
        <w:tc>
          <w:tcPr>
            <w:tcW w:w="1468" w:type="dxa"/>
            <w:tcBorders>
              <w:top w:val="nil"/>
              <w:left w:val="single" w:sz="8" w:space="0" w:color="000000"/>
              <w:bottom w:val="nil"/>
              <w:right w:val="single" w:sz="8" w:space="0" w:color="000000"/>
            </w:tcBorders>
          </w:tcPr>
          <w:p>
            <w:pPr>
              <w:pStyle w:val="TableParagraph"/>
              <w:spacing w:before="47"/>
              <w:ind w:right="36"/>
              <w:jc w:val="right"/>
              <w:rPr>
                <w:sz w:val="18"/>
              </w:rPr>
            </w:pPr>
            <w:r>
              <w:rPr>
                <w:sz w:val="18"/>
              </w:rPr>
              <w:t>473.024</w:t>
            </w:r>
          </w:p>
        </w:tc>
        <w:tc>
          <w:tcPr>
            <w:tcW w:w="1468" w:type="dxa"/>
            <w:tcBorders>
              <w:top w:val="nil"/>
              <w:left w:val="single" w:sz="8" w:space="0" w:color="000000"/>
              <w:bottom w:val="nil"/>
              <w:right w:val="single" w:sz="8" w:space="0" w:color="000000"/>
            </w:tcBorders>
          </w:tcPr>
          <w:p>
            <w:pPr>
              <w:pStyle w:val="TableParagraph"/>
              <w:spacing w:before="47"/>
              <w:ind w:right="34"/>
              <w:jc w:val="right"/>
              <w:rPr>
                <w:sz w:val="18"/>
              </w:rPr>
            </w:pPr>
            <w:r>
              <w:rPr>
                <w:sz w:val="18"/>
              </w:rPr>
              <w:t>.494</w:t>
            </w:r>
          </w:p>
        </w:tc>
        <w:tc>
          <w:tcPr>
            <w:tcW w:w="1468" w:type="dxa"/>
            <w:tcBorders>
              <w:top w:val="nil"/>
              <w:left w:val="single" w:sz="8" w:space="0" w:color="000000"/>
              <w:bottom w:val="nil"/>
            </w:tcBorders>
          </w:tcPr>
          <w:p>
            <w:pPr>
              <w:pStyle w:val="TableParagraph"/>
              <w:spacing w:before="47"/>
              <w:ind w:right="31"/>
              <w:jc w:val="right"/>
              <w:rPr>
                <w:sz w:val="18"/>
              </w:rPr>
            </w:pPr>
            <w:r>
              <w:rPr>
                <w:sz w:val="18"/>
              </w:rPr>
              <w:t>.860</w:t>
            </w:r>
          </w:p>
        </w:tc>
      </w:tr>
      <w:tr>
        <w:trPr>
          <w:trHeight w:val="310" w:hRule="atLeast"/>
        </w:trPr>
        <w:tc>
          <w:tcPr>
            <w:tcW w:w="1284" w:type="dxa"/>
            <w:tcBorders>
              <w:top w:val="nil"/>
              <w:bottom w:val="nil"/>
            </w:tcBorders>
          </w:tcPr>
          <w:p>
            <w:pPr>
              <w:pStyle w:val="TableParagraph"/>
              <w:spacing w:before="48"/>
              <w:ind w:left="75"/>
              <w:rPr>
                <w:sz w:val="18"/>
              </w:rPr>
            </w:pPr>
            <w:r>
              <w:rPr>
                <w:sz w:val="18"/>
              </w:rPr>
              <w:t>CLDV7</w:t>
            </w:r>
          </w:p>
        </w:tc>
        <w:tc>
          <w:tcPr>
            <w:tcW w:w="1469" w:type="dxa"/>
            <w:tcBorders>
              <w:top w:val="nil"/>
              <w:bottom w:val="nil"/>
              <w:right w:val="single" w:sz="8" w:space="0" w:color="000000"/>
            </w:tcBorders>
          </w:tcPr>
          <w:p>
            <w:pPr>
              <w:pStyle w:val="TableParagraph"/>
              <w:spacing w:before="48"/>
              <w:ind w:right="40"/>
              <w:jc w:val="right"/>
              <w:rPr>
                <w:sz w:val="18"/>
              </w:rPr>
            </w:pPr>
            <w:r>
              <w:rPr>
                <w:sz w:val="18"/>
              </w:rPr>
              <w:t>170.38</w:t>
            </w:r>
          </w:p>
        </w:tc>
        <w:tc>
          <w:tcPr>
            <w:tcW w:w="1468" w:type="dxa"/>
            <w:tcBorders>
              <w:top w:val="nil"/>
              <w:left w:val="single" w:sz="8" w:space="0" w:color="000000"/>
              <w:bottom w:val="nil"/>
              <w:right w:val="single" w:sz="8" w:space="0" w:color="000000"/>
            </w:tcBorders>
          </w:tcPr>
          <w:p>
            <w:pPr>
              <w:pStyle w:val="TableParagraph"/>
              <w:spacing w:before="48"/>
              <w:ind w:right="36"/>
              <w:jc w:val="right"/>
              <w:rPr>
                <w:sz w:val="18"/>
              </w:rPr>
            </w:pPr>
            <w:r>
              <w:rPr>
                <w:sz w:val="18"/>
              </w:rPr>
              <w:t>473.671</w:t>
            </w:r>
          </w:p>
        </w:tc>
        <w:tc>
          <w:tcPr>
            <w:tcW w:w="1468" w:type="dxa"/>
            <w:tcBorders>
              <w:top w:val="nil"/>
              <w:left w:val="single" w:sz="8" w:space="0" w:color="000000"/>
              <w:bottom w:val="nil"/>
              <w:right w:val="single" w:sz="8" w:space="0" w:color="000000"/>
            </w:tcBorders>
          </w:tcPr>
          <w:p>
            <w:pPr>
              <w:pStyle w:val="TableParagraph"/>
              <w:spacing w:before="48"/>
              <w:ind w:right="35"/>
              <w:jc w:val="right"/>
              <w:rPr>
                <w:sz w:val="18"/>
              </w:rPr>
            </w:pPr>
            <w:r>
              <w:rPr>
                <w:sz w:val="18"/>
              </w:rPr>
              <w:t>.542</w:t>
            </w:r>
          </w:p>
        </w:tc>
        <w:tc>
          <w:tcPr>
            <w:tcW w:w="1468" w:type="dxa"/>
            <w:tcBorders>
              <w:top w:val="nil"/>
              <w:left w:val="single" w:sz="8" w:space="0" w:color="000000"/>
              <w:bottom w:val="nil"/>
            </w:tcBorders>
          </w:tcPr>
          <w:p>
            <w:pPr>
              <w:pStyle w:val="TableParagraph"/>
              <w:spacing w:before="48"/>
              <w:ind w:right="31"/>
              <w:jc w:val="right"/>
              <w:rPr>
                <w:sz w:val="18"/>
              </w:rPr>
            </w:pPr>
            <w:r>
              <w:rPr>
                <w:sz w:val="18"/>
              </w:rPr>
              <w:t>.860</w:t>
            </w:r>
          </w:p>
        </w:tc>
      </w:tr>
      <w:tr>
        <w:trPr>
          <w:trHeight w:val="309" w:hRule="atLeast"/>
        </w:trPr>
        <w:tc>
          <w:tcPr>
            <w:tcW w:w="1284" w:type="dxa"/>
            <w:tcBorders>
              <w:top w:val="nil"/>
              <w:bottom w:val="nil"/>
            </w:tcBorders>
          </w:tcPr>
          <w:p>
            <w:pPr>
              <w:pStyle w:val="TableParagraph"/>
              <w:spacing w:before="47"/>
              <w:ind w:left="75"/>
              <w:rPr>
                <w:sz w:val="18"/>
              </w:rPr>
            </w:pPr>
            <w:r>
              <w:rPr>
                <w:sz w:val="18"/>
              </w:rPr>
              <w:t>CLDV8</w:t>
            </w:r>
          </w:p>
        </w:tc>
        <w:tc>
          <w:tcPr>
            <w:tcW w:w="1469" w:type="dxa"/>
            <w:tcBorders>
              <w:top w:val="nil"/>
              <w:bottom w:val="nil"/>
              <w:right w:val="single" w:sz="8" w:space="0" w:color="000000"/>
            </w:tcBorders>
          </w:tcPr>
          <w:p>
            <w:pPr>
              <w:pStyle w:val="TableParagraph"/>
              <w:spacing w:before="47"/>
              <w:ind w:right="40"/>
              <w:jc w:val="right"/>
              <w:rPr>
                <w:sz w:val="18"/>
              </w:rPr>
            </w:pPr>
            <w:r>
              <w:rPr>
                <w:sz w:val="18"/>
              </w:rPr>
              <w:t>170.36</w:t>
            </w:r>
          </w:p>
        </w:tc>
        <w:tc>
          <w:tcPr>
            <w:tcW w:w="1468" w:type="dxa"/>
            <w:tcBorders>
              <w:top w:val="nil"/>
              <w:left w:val="single" w:sz="8" w:space="0" w:color="000000"/>
              <w:bottom w:val="nil"/>
              <w:right w:val="single" w:sz="8" w:space="0" w:color="000000"/>
            </w:tcBorders>
          </w:tcPr>
          <w:p>
            <w:pPr>
              <w:pStyle w:val="TableParagraph"/>
              <w:spacing w:before="47"/>
              <w:ind w:right="36"/>
              <w:jc w:val="right"/>
              <w:rPr>
                <w:sz w:val="18"/>
              </w:rPr>
            </w:pPr>
            <w:r>
              <w:rPr>
                <w:sz w:val="18"/>
              </w:rPr>
              <w:t>472.161</w:t>
            </w:r>
          </w:p>
        </w:tc>
        <w:tc>
          <w:tcPr>
            <w:tcW w:w="1468" w:type="dxa"/>
            <w:tcBorders>
              <w:top w:val="nil"/>
              <w:left w:val="single" w:sz="8" w:space="0" w:color="000000"/>
              <w:bottom w:val="nil"/>
              <w:right w:val="single" w:sz="8" w:space="0" w:color="000000"/>
            </w:tcBorders>
          </w:tcPr>
          <w:p>
            <w:pPr>
              <w:pStyle w:val="TableParagraph"/>
              <w:spacing w:before="47"/>
              <w:ind w:right="34"/>
              <w:jc w:val="right"/>
              <w:rPr>
                <w:sz w:val="18"/>
              </w:rPr>
            </w:pPr>
            <w:r>
              <w:rPr>
                <w:sz w:val="18"/>
              </w:rPr>
              <w:t>.541</w:t>
            </w:r>
          </w:p>
        </w:tc>
        <w:tc>
          <w:tcPr>
            <w:tcW w:w="1468" w:type="dxa"/>
            <w:tcBorders>
              <w:top w:val="nil"/>
              <w:left w:val="single" w:sz="8" w:space="0" w:color="000000"/>
              <w:bottom w:val="nil"/>
            </w:tcBorders>
          </w:tcPr>
          <w:p>
            <w:pPr>
              <w:pStyle w:val="TableParagraph"/>
              <w:spacing w:before="47"/>
              <w:ind w:right="31"/>
              <w:jc w:val="right"/>
              <w:rPr>
                <w:sz w:val="18"/>
              </w:rPr>
            </w:pPr>
            <w:r>
              <w:rPr>
                <w:sz w:val="18"/>
              </w:rPr>
              <w:t>.860</w:t>
            </w:r>
          </w:p>
        </w:tc>
      </w:tr>
      <w:tr>
        <w:trPr>
          <w:trHeight w:val="310" w:hRule="atLeast"/>
        </w:trPr>
        <w:tc>
          <w:tcPr>
            <w:tcW w:w="1284" w:type="dxa"/>
            <w:tcBorders>
              <w:top w:val="nil"/>
              <w:bottom w:val="nil"/>
            </w:tcBorders>
          </w:tcPr>
          <w:p>
            <w:pPr>
              <w:pStyle w:val="TableParagraph"/>
              <w:spacing w:before="47"/>
              <w:ind w:left="75"/>
              <w:rPr>
                <w:sz w:val="18"/>
              </w:rPr>
            </w:pPr>
            <w:r>
              <w:rPr>
                <w:sz w:val="18"/>
              </w:rPr>
              <w:t>CLDV9</w:t>
            </w:r>
          </w:p>
        </w:tc>
        <w:tc>
          <w:tcPr>
            <w:tcW w:w="1469" w:type="dxa"/>
            <w:tcBorders>
              <w:top w:val="nil"/>
              <w:bottom w:val="nil"/>
              <w:right w:val="single" w:sz="8" w:space="0" w:color="000000"/>
            </w:tcBorders>
          </w:tcPr>
          <w:p>
            <w:pPr>
              <w:pStyle w:val="TableParagraph"/>
              <w:spacing w:before="47"/>
              <w:ind w:right="39"/>
              <w:jc w:val="right"/>
              <w:rPr>
                <w:sz w:val="18"/>
              </w:rPr>
            </w:pPr>
            <w:r>
              <w:rPr>
                <w:sz w:val="18"/>
              </w:rPr>
              <w:t>171.27</w:t>
            </w:r>
          </w:p>
        </w:tc>
        <w:tc>
          <w:tcPr>
            <w:tcW w:w="1468" w:type="dxa"/>
            <w:tcBorders>
              <w:top w:val="nil"/>
              <w:left w:val="single" w:sz="8" w:space="0" w:color="000000"/>
              <w:bottom w:val="nil"/>
              <w:right w:val="single" w:sz="8" w:space="0" w:color="000000"/>
            </w:tcBorders>
          </w:tcPr>
          <w:p>
            <w:pPr>
              <w:pStyle w:val="TableParagraph"/>
              <w:spacing w:before="47"/>
              <w:ind w:right="36"/>
              <w:jc w:val="right"/>
              <w:rPr>
                <w:sz w:val="18"/>
              </w:rPr>
            </w:pPr>
            <w:r>
              <w:rPr>
                <w:sz w:val="18"/>
              </w:rPr>
              <w:t>490.869</w:t>
            </w:r>
          </w:p>
        </w:tc>
        <w:tc>
          <w:tcPr>
            <w:tcW w:w="1468" w:type="dxa"/>
            <w:tcBorders>
              <w:top w:val="nil"/>
              <w:left w:val="single" w:sz="8" w:space="0" w:color="000000"/>
              <w:bottom w:val="nil"/>
              <w:right w:val="single" w:sz="8" w:space="0" w:color="000000"/>
            </w:tcBorders>
          </w:tcPr>
          <w:p>
            <w:pPr>
              <w:pStyle w:val="TableParagraph"/>
              <w:spacing w:before="47"/>
              <w:ind w:right="36"/>
              <w:jc w:val="right"/>
              <w:rPr>
                <w:sz w:val="18"/>
              </w:rPr>
            </w:pPr>
            <w:r>
              <w:rPr>
                <w:sz w:val="18"/>
              </w:rPr>
              <w:t>.111</w:t>
            </w:r>
          </w:p>
        </w:tc>
        <w:tc>
          <w:tcPr>
            <w:tcW w:w="1468" w:type="dxa"/>
            <w:tcBorders>
              <w:top w:val="nil"/>
              <w:left w:val="single" w:sz="8" w:space="0" w:color="000000"/>
              <w:bottom w:val="nil"/>
            </w:tcBorders>
          </w:tcPr>
          <w:p>
            <w:pPr>
              <w:pStyle w:val="TableParagraph"/>
              <w:spacing w:before="47"/>
              <w:ind w:right="31"/>
              <w:jc w:val="right"/>
              <w:rPr>
                <w:sz w:val="18"/>
              </w:rPr>
            </w:pPr>
            <w:r>
              <w:rPr>
                <w:sz w:val="18"/>
              </w:rPr>
              <w:t>.868</w:t>
            </w:r>
          </w:p>
        </w:tc>
      </w:tr>
      <w:tr>
        <w:trPr>
          <w:trHeight w:val="310" w:hRule="atLeast"/>
        </w:trPr>
        <w:tc>
          <w:tcPr>
            <w:tcW w:w="1284" w:type="dxa"/>
            <w:tcBorders>
              <w:top w:val="nil"/>
              <w:bottom w:val="nil"/>
            </w:tcBorders>
          </w:tcPr>
          <w:p>
            <w:pPr>
              <w:pStyle w:val="TableParagraph"/>
              <w:spacing w:before="48"/>
              <w:ind w:left="75"/>
              <w:rPr>
                <w:sz w:val="18"/>
              </w:rPr>
            </w:pPr>
            <w:r>
              <w:rPr>
                <w:sz w:val="18"/>
              </w:rPr>
              <w:t>CLDV10</w:t>
            </w:r>
          </w:p>
        </w:tc>
        <w:tc>
          <w:tcPr>
            <w:tcW w:w="1469" w:type="dxa"/>
            <w:tcBorders>
              <w:top w:val="nil"/>
              <w:bottom w:val="nil"/>
              <w:right w:val="single" w:sz="8" w:space="0" w:color="000000"/>
            </w:tcBorders>
          </w:tcPr>
          <w:p>
            <w:pPr>
              <w:pStyle w:val="TableParagraph"/>
              <w:spacing w:before="48"/>
              <w:ind w:right="40"/>
              <w:jc w:val="right"/>
              <w:rPr>
                <w:sz w:val="18"/>
              </w:rPr>
            </w:pPr>
            <w:r>
              <w:rPr>
                <w:sz w:val="18"/>
              </w:rPr>
              <w:t>170.63</w:t>
            </w:r>
          </w:p>
        </w:tc>
        <w:tc>
          <w:tcPr>
            <w:tcW w:w="1468" w:type="dxa"/>
            <w:tcBorders>
              <w:top w:val="nil"/>
              <w:left w:val="single" w:sz="8" w:space="0" w:color="000000"/>
              <w:bottom w:val="nil"/>
              <w:right w:val="single" w:sz="8" w:space="0" w:color="000000"/>
            </w:tcBorders>
          </w:tcPr>
          <w:p>
            <w:pPr>
              <w:pStyle w:val="TableParagraph"/>
              <w:spacing w:before="48"/>
              <w:ind w:right="34"/>
              <w:jc w:val="right"/>
              <w:rPr>
                <w:sz w:val="18"/>
              </w:rPr>
            </w:pPr>
            <w:r>
              <w:rPr>
                <w:sz w:val="18"/>
              </w:rPr>
              <w:t>485.545</w:t>
            </w:r>
          </w:p>
        </w:tc>
        <w:tc>
          <w:tcPr>
            <w:tcW w:w="1468" w:type="dxa"/>
            <w:tcBorders>
              <w:top w:val="nil"/>
              <w:left w:val="single" w:sz="8" w:space="0" w:color="000000"/>
              <w:bottom w:val="nil"/>
              <w:right w:val="single" w:sz="8" w:space="0" w:color="000000"/>
            </w:tcBorders>
          </w:tcPr>
          <w:p>
            <w:pPr>
              <w:pStyle w:val="TableParagraph"/>
              <w:spacing w:before="48"/>
              <w:ind w:right="34"/>
              <w:jc w:val="right"/>
              <w:rPr>
                <w:sz w:val="18"/>
              </w:rPr>
            </w:pPr>
            <w:r>
              <w:rPr>
                <w:sz w:val="18"/>
              </w:rPr>
              <w:t>.271</w:t>
            </w:r>
          </w:p>
        </w:tc>
        <w:tc>
          <w:tcPr>
            <w:tcW w:w="1468" w:type="dxa"/>
            <w:tcBorders>
              <w:top w:val="nil"/>
              <w:left w:val="single" w:sz="8" w:space="0" w:color="000000"/>
              <w:bottom w:val="nil"/>
            </w:tcBorders>
          </w:tcPr>
          <w:p>
            <w:pPr>
              <w:pStyle w:val="TableParagraph"/>
              <w:spacing w:before="48"/>
              <w:ind w:right="31"/>
              <w:jc w:val="right"/>
              <w:rPr>
                <w:sz w:val="18"/>
              </w:rPr>
            </w:pPr>
            <w:r>
              <w:rPr>
                <w:sz w:val="18"/>
              </w:rPr>
              <w:t>.864</w:t>
            </w:r>
          </w:p>
        </w:tc>
      </w:tr>
      <w:tr>
        <w:trPr>
          <w:trHeight w:val="309" w:hRule="atLeast"/>
        </w:trPr>
        <w:tc>
          <w:tcPr>
            <w:tcW w:w="1284" w:type="dxa"/>
            <w:tcBorders>
              <w:top w:val="nil"/>
              <w:bottom w:val="nil"/>
            </w:tcBorders>
          </w:tcPr>
          <w:p>
            <w:pPr>
              <w:pStyle w:val="TableParagraph"/>
              <w:spacing w:before="47"/>
              <w:ind w:left="75"/>
              <w:rPr>
                <w:sz w:val="18"/>
              </w:rPr>
            </w:pPr>
            <w:r>
              <w:rPr>
                <w:sz w:val="18"/>
              </w:rPr>
              <w:t>HL1</w:t>
            </w:r>
          </w:p>
        </w:tc>
        <w:tc>
          <w:tcPr>
            <w:tcW w:w="1469" w:type="dxa"/>
            <w:tcBorders>
              <w:top w:val="nil"/>
              <w:bottom w:val="nil"/>
              <w:right w:val="single" w:sz="8" w:space="0" w:color="000000"/>
            </w:tcBorders>
          </w:tcPr>
          <w:p>
            <w:pPr>
              <w:pStyle w:val="TableParagraph"/>
              <w:spacing w:before="47"/>
              <w:ind w:right="40"/>
              <w:jc w:val="right"/>
              <w:rPr>
                <w:sz w:val="18"/>
              </w:rPr>
            </w:pPr>
            <w:r>
              <w:rPr>
                <w:sz w:val="18"/>
              </w:rPr>
              <w:t>170.49</w:t>
            </w:r>
          </w:p>
        </w:tc>
        <w:tc>
          <w:tcPr>
            <w:tcW w:w="1468" w:type="dxa"/>
            <w:tcBorders>
              <w:top w:val="nil"/>
              <w:left w:val="single" w:sz="8" w:space="0" w:color="000000"/>
              <w:bottom w:val="nil"/>
              <w:right w:val="single" w:sz="8" w:space="0" w:color="000000"/>
            </w:tcBorders>
          </w:tcPr>
          <w:p>
            <w:pPr>
              <w:pStyle w:val="TableParagraph"/>
              <w:spacing w:before="47"/>
              <w:ind w:right="34"/>
              <w:jc w:val="right"/>
              <w:rPr>
                <w:sz w:val="18"/>
              </w:rPr>
            </w:pPr>
            <w:r>
              <w:rPr>
                <w:sz w:val="18"/>
              </w:rPr>
              <w:t>474.004</w:t>
            </w:r>
          </w:p>
        </w:tc>
        <w:tc>
          <w:tcPr>
            <w:tcW w:w="1468" w:type="dxa"/>
            <w:tcBorders>
              <w:top w:val="nil"/>
              <w:left w:val="single" w:sz="8" w:space="0" w:color="000000"/>
              <w:bottom w:val="nil"/>
              <w:right w:val="single" w:sz="8" w:space="0" w:color="000000"/>
            </w:tcBorders>
          </w:tcPr>
          <w:p>
            <w:pPr>
              <w:pStyle w:val="TableParagraph"/>
              <w:spacing w:before="47"/>
              <w:ind w:right="35"/>
              <w:jc w:val="right"/>
              <w:rPr>
                <w:sz w:val="18"/>
              </w:rPr>
            </w:pPr>
            <w:r>
              <w:rPr>
                <w:sz w:val="18"/>
              </w:rPr>
              <w:t>.412</w:t>
            </w:r>
          </w:p>
        </w:tc>
        <w:tc>
          <w:tcPr>
            <w:tcW w:w="1468" w:type="dxa"/>
            <w:tcBorders>
              <w:top w:val="nil"/>
              <w:left w:val="single" w:sz="8" w:space="0" w:color="000000"/>
              <w:bottom w:val="nil"/>
            </w:tcBorders>
          </w:tcPr>
          <w:p>
            <w:pPr>
              <w:pStyle w:val="TableParagraph"/>
              <w:spacing w:before="47"/>
              <w:ind w:right="31"/>
              <w:jc w:val="right"/>
              <w:rPr>
                <w:sz w:val="18"/>
              </w:rPr>
            </w:pPr>
            <w:r>
              <w:rPr>
                <w:sz w:val="18"/>
              </w:rPr>
              <w:t>.861</w:t>
            </w:r>
          </w:p>
        </w:tc>
      </w:tr>
      <w:tr>
        <w:trPr>
          <w:trHeight w:val="310" w:hRule="atLeast"/>
        </w:trPr>
        <w:tc>
          <w:tcPr>
            <w:tcW w:w="1284" w:type="dxa"/>
            <w:tcBorders>
              <w:top w:val="nil"/>
              <w:bottom w:val="nil"/>
            </w:tcBorders>
          </w:tcPr>
          <w:p>
            <w:pPr>
              <w:pStyle w:val="TableParagraph"/>
              <w:spacing w:before="47"/>
              <w:ind w:left="75"/>
              <w:rPr>
                <w:sz w:val="18"/>
              </w:rPr>
            </w:pPr>
            <w:r>
              <w:rPr>
                <w:sz w:val="18"/>
              </w:rPr>
              <w:t>HL2</w:t>
            </w:r>
          </w:p>
        </w:tc>
        <w:tc>
          <w:tcPr>
            <w:tcW w:w="1469" w:type="dxa"/>
            <w:tcBorders>
              <w:top w:val="nil"/>
              <w:bottom w:val="nil"/>
              <w:right w:val="single" w:sz="8" w:space="0" w:color="000000"/>
            </w:tcBorders>
          </w:tcPr>
          <w:p>
            <w:pPr>
              <w:pStyle w:val="TableParagraph"/>
              <w:spacing w:before="47"/>
              <w:ind w:right="40"/>
              <w:jc w:val="right"/>
              <w:rPr>
                <w:sz w:val="18"/>
              </w:rPr>
            </w:pPr>
            <w:r>
              <w:rPr>
                <w:sz w:val="18"/>
              </w:rPr>
              <w:t>170.58</w:t>
            </w:r>
          </w:p>
        </w:tc>
        <w:tc>
          <w:tcPr>
            <w:tcW w:w="1468" w:type="dxa"/>
            <w:tcBorders>
              <w:top w:val="nil"/>
              <w:left w:val="single" w:sz="8" w:space="0" w:color="000000"/>
              <w:bottom w:val="nil"/>
              <w:right w:val="single" w:sz="8" w:space="0" w:color="000000"/>
            </w:tcBorders>
          </w:tcPr>
          <w:p>
            <w:pPr>
              <w:pStyle w:val="TableParagraph"/>
              <w:spacing w:before="47"/>
              <w:ind w:right="36"/>
              <w:jc w:val="right"/>
              <w:rPr>
                <w:sz w:val="18"/>
              </w:rPr>
            </w:pPr>
            <w:r>
              <w:rPr>
                <w:sz w:val="18"/>
              </w:rPr>
              <w:t>475.089</w:t>
            </w:r>
          </w:p>
        </w:tc>
        <w:tc>
          <w:tcPr>
            <w:tcW w:w="1468" w:type="dxa"/>
            <w:tcBorders>
              <w:top w:val="nil"/>
              <w:left w:val="single" w:sz="8" w:space="0" w:color="000000"/>
              <w:bottom w:val="nil"/>
              <w:right w:val="single" w:sz="8" w:space="0" w:color="000000"/>
            </w:tcBorders>
          </w:tcPr>
          <w:p>
            <w:pPr>
              <w:pStyle w:val="TableParagraph"/>
              <w:spacing w:before="47"/>
              <w:ind w:right="35"/>
              <w:jc w:val="right"/>
              <w:rPr>
                <w:sz w:val="18"/>
              </w:rPr>
            </w:pPr>
            <w:r>
              <w:rPr>
                <w:sz w:val="18"/>
              </w:rPr>
              <w:t>.385</w:t>
            </w:r>
          </w:p>
        </w:tc>
        <w:tc>
          <w:tcPr>
            <w:tcW w:w="1468" w:type="dxa"/>
            <w:tcBorders>
              <w:top w:val="nil"/>
              <w:left w:val="single" w:sz="8" w:space="0" w:color="000000"/>
              <w:bottom w:val="nil"/>
            </w:tcBorders>
          </w:tcPr>
          <w:p>
            <w:pPr>
              <w:pStyle w:val="TableParagraph"/>
              <w:spacing w:before="47"/>
              <w:ind w:right="32"/>
              <w:jc w:val="right"/>
              <w:rPr>
                <w:sz w:val="18"/>
              </w:rPr>
            </w:pPr>
            <w:r>
              <w:rPr>
                <w:sz w:val="18"/>
              </w:rPr>
              <w:t>.862</w:t>
            </w:r>
          </w:p>
        </w:tc>
      </w:tr>
      <w:tr>
        <w:trPr>
          <w:trHeight w:val="310" w:hRule="atLeast"/>
        </w:trPr>
        <w:tc>
          <w:tcPr>
            <w:tcW w:w="1284" w:type="dxa"/>
            <w:tcBorders>
              <w:top w:val="nil"/>
              <w:bottom w:val="nil"/>
            </w:tcBorders>
          </w:tcPr>
          <w:p>
            <w:pPr>
              <w:pStyle w:val="TableParagraph"/>
              <w:spacing w:before="48"/>
              <w:ind w:left="75"/>
              <w:rPr>
                <w:sz w:val="18"/>
              </w:rPr>
            </w:pPr>
            <w:r>
              <w:rPr>
                <w:sz w:val="18"/>
              </w:rPr>
              <w:t>HL3</w:t>
            </w:r>
          </w:p>
        </w:tc>
        <w:tc>
          <w:tcPr>
            <w:tcW w:w="1469" w:type="dxa"/>
            <w:tcBorders>
              <w:top w:val="nil"/>
              <w:bottom w:val="nil"/>
              <w:right w:val="single" w:sz="8" w:space="0" w:color="000000"/>
            </w:tcBorders>
          </w:tcPr>
          <w:p>
            <w:pPr>
              <w:pStyle w:val="TableParagraph"/>
              <w:spacing w:before="48"/>
              <w:ind w:right="40"/>
              <w:jc w:val="right"/>
              <w:rPr>
                <w:sz w:val="18"/>
              </w:rPr>
            </w:pPr>
            <w:r>
              <w:rPr>
                <w:sz w:val="18"/>
              </w:rPr>
              <w:t>170.55</w:t>
            </w:r>
          </w:p>
        </w:tc>
        <w:tc>
          <w:tcPr>
            <w:tcW w:w="1468" w:type="dxa"/>
            <w:tcBorders>
              <w:top w:val="nil"/>
              <w:left w:val="single" w:sz="8" w:space="0" w:color="000000"/>
              <w:bottom w:val="nil"/>
              <w:right w:val="single" w:sz="8" w:space="0" w:color="000000"/>
            </w:tcBorders>
          </w:tcPr>
          <w:p>
            <w:pPr>
              <w:pStyle w:val="TableParagraph"/>
              <w:spacing w:before="48"/>
              <w:ind w:right="36"/>
              <w:jc w:val="right"/>
              <w:rPr>
                <w:sz w:val="18"/>
              </w:rPr>
            </w:pPr>
            <w:r>
              <w:rPr>
                <w:sz w:val="18"/>
              </w:rPr>
              <w:t>473.228</w:t>
            </w:r>
          </w:p>
        </w:tc>
        <w:tc>
          <w:tcPr>
            <w:tcW w:w="1468" w:type="dxa"/>
            <w:tcBorders>
              <w:top w:val="nil"/>
              <w:left w:val="single" w:sz="8" w:space="0" w:color="000000"/>
              <w:bottom w:val="nil"/>
              <w:right w:val="single" w:sz="8" w:space="0" w:color="000000"/>
            </w:tcBorders>
          </w:tcPr>
          <w:p>
            <w:pPr>
              <w:pStyle w:val="TableParagraph"/>
              <w:spacing w:before="48"/>
              <w:ind w:right="35"/>
              <w:jc w:val="right"/>
              <w:rPr>
                <w:sz w:val="18"/>
              </w:rPr>
            </w:pPr>
            <w:r>
              <w:rPr>
                <w:sz w:val="18"/>
              </w:rPr>
              <w:t>.433</w:t>
            </w:r>
          </w:p>
        </w:tc>
        <w:tc>
          <w:tcPr>
            <w:tcW w:w="1468" w:type="dxa"/>
            <w:tcBorders>
              <w:top w:val="nil"/>
              <w:left w:val="single" w:sz="8" w:space="0" w:color="000000"/>
              <w:bottom w:val="nil"/>
            </w:tcBorders>
          </w:tcPr>
          <w:p>
            <w:pPr>
              <w:pStyle w:val="TableParagraph"/>
              <w:spacing w:before="48"/>
              <w:ind w:right="32"/>
              <w:jc w:val="right"/>
              <w:rPr>
                <w:sz w:val="18"/>
              </w:rPr>
            </w:pPr>
            <w:r>
              <w:rPr>
                <w:sz w:val="18"/>
              </w:rPr>
              <w:t>.861</w:t>
            </w:r>
          </w:p>
        </w:tc>
      </w:tr>
      <w:tr>
        <w:trPr>
          <w:trHeight w:val="310" w:hRule="atLeast"/>
        </w:trPr>
        <w:tc>
          <w:tcPr>
            <w:tcW w:w="1284" w:type="dxa"/>
            <w:tcBorders>
              <w:top w:val="nil"/>
              <w:bottom w:val="nil"/>
            </w:tcBorders>
          </w:tcPr>
          <w:p>
            <w:pPr>
              <w:pStyle w:val="TableParagraph"/>
              <w:spacing w:before="47"/>
              <w:ind w:left="75"/>
              <w:rPr>
                <w:sz w:val="18"/>
              </w:rPr>
            </w:pPr>
            <w:r>
              <w:rPr>
                <w:sz w:val="18"/>
              </w:rPr>
              <w:t>LI1</w:t>
            </w:r>
          </w:p>
        </w:tc>
        <w:tc>
          <w:tcPr>
            <w:tcW w:w="1469" w:type="dxa"/>
            <w:tcBorders>
              <w:top w:val="nil"/>
              <w:bottom w:val="nil"/>
              <w:right w:val="single" w:sz="8" w:space="0" w:color="000000"/>
            </w:tcBorders>
          </w:tcPr>
          <w:p>
            <w:pPr>
              <w:pStyle w:val="TableParagraph"/>
              <w:spacing w:before="47"/>
              <w:ind w:right="40"/>
              <w:jc w:val="right"/>
              <w:rPr>
                <w:sz w:val="18"/>
              </w:rPr>
            </w:pPr>
            <w:r>
              <w:rPr>
                <w:sz w:val="18"/>
              </w:rPr>
              <w:t>170.29</w:t>
            </w:r>
          </w:p>
        </w:tc>
        <w:tc>
          <w:tcPr>
            <w:tcW w:w="1468" w:type="dxa"/>
            <w:tcBorders>
              <w:top w:val="nil"/>
              <w:left w:val="single" w:sz="8" w:space="0" w:color="000000"/>
              <w:bottom w:val="nil"/>
              <w:right w:val="single" w:sz="8" w:space="0" w:color="000000"/>
            </w:tcBorders>
          </w:tcPr>
          <w:p>
            <w:pPr>
              <w:pStyle w:val="TableParagraph"/>
              <w:spacing w:before="47"/>
              <w:ind w:right="36"/>
              <w:jc w:val="right"/>
              <w:rPr>
                <w:sz w:val="18"/>
              </w:rPr>
            </w:pPr>
            <w:r>
              <w:rPr>
                <w:sz w:val="18"/>
              </w:rPr>
              <w:t>487.620</w:t>
            </w:r>
          </w:p>
        </w:tc>
        <w:tc>
          <w:tcPr>
            <w:tcW w:w="1468" w:type="dxa"/>
            <w:tcBorders>
              <w:top w:val="nil"/>
              <w:left w:val="single" w:sz="8" w:space="0" w:color="000000"/>
              <w:bottom w:val="nil"/>
              <w:right w:val="single" w:sz="8" w:space="0" w:color="000000"/>
            </w:tcBorders>
          </w:tcPr>
          <w:p>
            <w:pPr>
              <w:pStyle w:val="TableParagraph"/>
              <w:spacing w:before="47"/>
              <w:ind w:right="34"/>
              <w:jc w:val="right"/>
              <w:rPr>
                <w:sz w:val="18"/>
              </w:rPr>
            </w:pPr>
            <w:r>
              <w:rPr>
                <w:sz w:val="18"/>
              </w:rPr>
              <w:t>.244</w:t>
            </w:r>
          </w:p>
        </w:tc>
        <w:tc>
          <w:tcPr>
            <w:tcW w:w="1468" w:type="dxa"/>
            <w:tcBorders>
              <w:top w:val="nil"/>
              <w:left w:val="single" w:sz="8" w:space="0" w:color="000000"/>
              <w:bottom w:val="nil"/>
            </w:tcBorders>
          </w:tcPr>
          <w:p>
            <w:pPr>
              <w:pStyle w:val="TableParagraph"/>
              <w:spacing w:before="47"/>
              <w:ind w:right="32"/>
              <w:jc w:val="right"/>
              <w:rPr>
                <w:sz w:val="18"/>
              </w:rPr>
            </w:pPr>
            <w:r>
              <w:rPr>
                <w:sz w:val="18"/>
              </w:rPr>
              <w:t>.864</w:t>
            </w:r>
          </w:p>
        </w:tc>
      </w:tr>
      <w:tr>
        <w:trPr>
          <w:trHeight w:val="310" w:hRule="atLeast"/>
        </w:trPr>
        <w:tc>
          <w:tcPr>
            <w:tcW w:w="1284" w:type="dxa"/>
            <w:tcBorders>
              <w:top w:val="nil"/>
              <w:bottom w:val="nil"/>
            </w:tcBorders>
          </w:tcPr>
          <w:p>
            <w:pPr>
              <w:pStyle w:val="TableParagraph"/>
              <w:spacing w:before="48"/>
              <w:ind w:left="75"/>
              <w:rPr>
                <w:sz w:val="18"/>
              </w:rPr>
            </w:pPr>
            <w:r>
              <w:rPr>
                <w:sz w:val="18"/>
              </w:rPr>
              <w:t>LI2</w:t>
            </w:r>
          </w:p>
        </w:tc>
        <w:tc>
          <w:tcPr>
            <w:tcW w:w="1469" w:type="dxa"/>
            <w:tcBorders>
              <w:top w:val="nil"/>
              <w:bottom w:val="nil"/>
              <w:right w:val="single" w:sz="8" w:space="0" w:color="000000"/>
            </w:tcBorders>
          </w:tcPr>
          <w:p>
            <w:pPr>
              <w:pStyle w:val="TableParagraph"/>
              <w:spacing w:before="48"/>
              <w:ind w:right="40"/>
              <w:jc w:val="right"/>
              <w:rPr>
                <w:sz w:val="18"/>
              </w:rPr>
            </w:pPr>
            <w:r>
              <w:rPr>
                <w:sz w:val="18"/>
              </w:rPr>
              <w:t>170.47</w:t>
            </w:r>
          </w:p>
        </w:tc>
        <w:tc>
          <w:tcPr>
            <w:tcW w:w="1468" w:type="dxa"/>
            <w:tcBorders>
              <w:top w:val="nil"/>
              <w:left w:val="single" w:sz="8" w:space="0" w:color="000000"/>
              <w:bottom w:val="nil"/>
              <w:right w:val="single" w:sz="8" w:space="0" w:color="000000"/>
            </w:tcBorders>
          </w:tcPr>
          <w:p>
            <w:pPr>
              <w:pStyle w:val="TableParagraph"/>
              <w:spacing w:before="48"/>
              <w:ind w:right="34"/>
              <w:jc w:val="right"/>
              <w:rPr>
                <w:sz w:val="18"/>
              </w:rPr>
            </w:pPr>
            <w:r>
              <w:rPr>
                <w:sz w:val="18"/>
              </w:rPr>
              <w:t>495.240</w:t>
            </w:r>
          </w:p>
        </w:tc>
        <w:tc>
          <w:tcPr>
            <w:tcW w:w="1468" w:type="dxa"/>
            <w:tcBorders>
              <w:top w:val="nil"/>
              <w:left w:val="single" w:sz="8" w:space="0" w:color="000000"/>
              <w:bottom w:val="nil"/>
              <w:right w:val="single" w:sz="8" w:space="0" w:color="000000"/>
            </w:tcBorders>
          </w:tcPr>
          <w:p>
            <w:pPr>
              <w:pStyle w:val="TableParagraph"/>
              <w:spacing w:before="48"/>
              <w:ind w:right="35"/>
              <w:jc w:val="right"/>
              <w:rPr>
                <w:sz w:val="18"/>
              </w:rPr>
            </w:pPr>
            <w:r>
              <w:rPr>
                <w:sz w:val="18"/>
              </w:rPr>
              <w:t>.072</w:t>
            </w:r>
          </w:p>
        </w:tc>
        <w:tc>
          <w:tcPr>
            <w:tcW w:w="1468" w:type="dxa"/>
            <w:tcBorders>
              <w:top w:val="nil"/>
              <w:left w:val="single" w:sz="8" w:space="0" w:color="000000"/>
              <w:bottom w:val="nil"/>
            </w:tcBorders>
          </w:tcPr>
          <w:p>
            <w:pPr>
              <w:pStyle w:val="TableParagraph"/>
              <w:spacing w:before="48"/>
              <w:ind w:right="31"/>
              <w:jc w:val="right"/>
              <w:rPr>
                <w:sz w:val="18"/>
              </w:rPr>
            </w:pPr>
            <w:r>
              <w:rPr>
                <w:sz w:val="18"/>
              </w:rPr>
              <w:t>.867</w:t>
            </w:r>
          </w:p>
        </w:tc>
      </w:tr>
      <w:tr>
        <w:trPr>
          <w:trHeight w:val="356" w:hRule="atLeast"/>
        </w:trPr>
        <w:tc>
          <w:tcPr>
            <w:tcW w:w="1284" w:type="dxa"/>
            <w:tcBorders>
              <w:top w:val="nil"/>
            </w:tcBorders>
          </w:tcPr>
          <w:p>
            <w:pPr>
              <w:pStyle w:val="TableParagraph"/>
              <w:spacing w:before="47"/>
              <w:ind w:left="75"/>
              <w:rPr>
                <w:sz w:val="18"/>
              </w:rPr>
            </w:pPr>
            <w:r>
              <w:rPr>
                <w:sz w:val="18"/>
              </w:rPr>
              <w:t>LI3</w:t>
            </w:r>
          </w:p>
        </w:tc>
        <w:tc>
          <w:tcPr>
            <w:tcW w:w="1469" w:type="dxa"/>
            <w:tcBorders>
              <w:top w:val="nil"/>
              <w:right w:val="single" w:sz="8" w:space="0" w:color="000000"/>
            </w:tcBorders>
          </w:tcPr>
          <w:p>
            <w:pPr>
              <w:pStyle w:val="TableParagraph"/>
              <w:spacing w:before="47"/>
              <w:ind w:right="40"/>
              <w:jc w:val="right"/>
              <w:rPr>
                <w:sz w:val="18"/>
              </w:rPr>
            </w:pPr>
            <w:r>
              <w:rPr>
                <w:sz w:val="18"/>
              </w:rPr>
              <w:t>170.10</w:t>
            </w:r>
          </w:p>
        </w:tc>
        <w:tc>
          <w:tcPr>
            <w:tcW w:w="1468" w:type="dxa"/>
            <w:tcBorders>
              <w:top w:val="nil"/>
              <w:left w:val="single" w:sz="8" w:space="0" w:color="000000"/>
              <w:right w:val="single" w:sz="8" w:space="0" w:color="000000"/>
            </w:tcBorders>
          </w:tcPr>
          <w:p>
            <w:pPr>
              <w:pStyle w:val="TableParagraph"/>
              <w:spacing w:before="47"/>
              <w:ind w:right="36"/>
              <w:jc w:val="right"/>
              <w:rPr>
                <w:sz w:val="18"/>
              </w:rPr>
            </w:pPr>
            <w:r>
              <w:rPr>
                <w:sz w:val="18"/>
              </w:rPr>
              <w:t>490.917</w:t>
            </w:r>
          </w:p>
        </w:tc>
        <w:tc>
          <w:tcPr>
            <w:tcW w:w="1468" w:type="dxa"/>
            <w:tcBorders>
              <w:top w:val="nil"/>
              <w:left w:val="single" w:sz="8" w:space="0" w:color="000000"/>
              <w:right w:val="single" w:sz="8" w:space="0" w:color="000000"/>
            </w:tcBorders>
          </w:tcPr>
          <w:p>
            <w:pPr>
              <w:pStyle w:val="TableParagraph"/>
              <w:spacing w:before="47"/>
              <w:ind w:right="35"/>
              <w:jc w:val="right"/>
              <w:rPr>
                <w:sz w:val="18"/>
              </w:rPr>
            </w:pPr>
            <w:r>
              <w:rPr>
                <w:sz w:val="18"/>
              </w:rPr>
              <w:t>.174</w:t>
            </w:r>
          </w:p>
        </w:tc>
        <w:tc>
          <w:tcPr>
            <w:tcW w:w="1468" w:type="dxa"/>
            <w:tcBorders>
              <w:top w:val="nil"/>
              <w:left w:val="single" w:sz="8" w:space="0" w:color="000000"/>
            </w:tcBorders>
          </w:tcPr>
          <w:p>
            <w:pPr>
              <w:pStyle w:val="TableParagraph"/>
              <w:spacing w:before="47"/>
              <w:ind w:right="31"/>
              <w:jc w:val="right"/>
              <w:rPr>
                <w:sz w:val="18"/>
              </w:rPr>
            </w:pPr>
            <w:r>
              <w:rPr>
                <w:sz w:val="18"/>
              </w:rPr>
              <w:t>.865</w:t>
            </w:r>
          </w:p>
        </w:tc>
      </w:tr>
    </w:tbl>
    <w:p>
      <w:pPr>
        <w:pStyle w:val="BodyText"/>
        <w:rPr>
          <w:b/>
          <w:sz w:val="28"/>
        </w:rPr>
      </w:pPr>
    </w:p>
    <w:p>
      <w:pPr>
        <w:pStyle w:val="ListParagraph"/>
        <w:numPr>
          <w:ilvl w:val="0"/>
          <w:numId w:val="45"/>
        </w:numPr>
        <w:tabs>
          <w:tab w:pos="1037" w:val="left" w:leader="none"/>
        </w:tabs>
        <w:spacing w:line="240" w:lineRule="auto" w:before="90" w:after="0"/>
        <w:ind w:left="1036" w:right="0" w:hanging="155"/>
        <w:jc w:val="left"/>
        <w:rPr>
          <w:b/>
          <w:i/>
          <w:sz w:val="22"/>
        </w:rPr>
      </w:pPr>
      <w:r>
        <w:rPr>
          <w:b/>
          <w:i/>
          <w:sz w:val="24"/>
        </w:rPr>
        <w:t>2: Độ tin cậy bằng</w:t>
      </w:r>
      <w:r>
        <w:rPr>
          <w:b/>
          <w:i/>
          <w:spacing w:val="-3"/>
          <w:sz w:val="24"/>
        </w:rPr>
        <w:t> </w:t>
      </w:r>
      <w:r>
        <w:rPr>
          <w:b/>
          <w:i/>
          <w:sz w:val="24"/>
        </w:rPr>
        <w:t>EFA</w:t>
      </w:r>
    </w:p>
    <w:p>
      <w:pPr>
        <w:pStyle w:val="BodyText"/>
        <w:rPr>
          <w:b/>
          <w:i/>
          <w:sz w:val="20"/>
        </w:rPr>
      </w:pPr>
    </w:p>
    <w:p>
      <w:pPr>
        <w:pStyle w:val="BodyText"/>
        <w:spacing w:before="8"/>
        <w:rPr>
          <w:b/>
          <w:i/>
          <w:sz w:val="28"/>
        </w:rPr>
      </w:pPr>
    </w:p>
    <w:tbl>
      <w:tblPr>
        <w:tblW w:w="0" w:type="auto"/>
        <w:jc w:val="left"/>
        <w:tblInd w:w="90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
      <w:tblGrid>
        <w:gridCol w:w="2298"/>
        <w:gridCol w:w="2522"/>
        <w:gridCol w:w="1102"/>
      </w:tblGrid>
      <w:tr>
        <w:trPr>
          <w:trHeight w:val="301" w:hRule="atLeast"/>
        </w:trPr>
        <w:tc>
          <w:tcPr>
            <w:tcW w:w="5922" w:type="dxa"/>
            <w:gridSpan w:val="3"/>
            <w:tcBorders>
              <w:bottom w:val="single" w:sz="18" w:space="0" w:color="000000"/>
            </w:tcBorders>
          </w:tcPr>
          <w:p>
            <w:pPr>
              <w:pStyle w:val="TableParagraph"/>
              <w:spacing w:line="199" w:lineRule="exact"/>
              <w:ind w:left="1996" w:right="1961"/>
              <w:jc w:val="center"/>
              <w:rPr>
                <w:b/>
                <w:sz w:val="18"/>
              </w:rPr>
            </w:pPr>
            <w:r>
              <w:rPr>
                <w:b/>
                <w:sz w:val="18"/>
              </w:rPr>
              <w:t>KMO and Bartlett's Test</w:t>
            </w:r>
          </w:p>
        </w:tc>
      </w:tr>
      <w:tr>
        <w:trPr>
          <w:trHeight w:val="259" w:hRule="atLeast"/>
        </w:trPr>
        <w:tc>
          <w:tcPr>
            <w:tcW w:w="4820" w:type="dxa"/>
            <w:gridSpan w:val="2"/>
            <w:tcBorders>
              <w:top w:val="single" w:sz="18" w:space="0" w:color="000000"/>
              <w:left w:val="single" w:sz="18" w:space="0" w:color="000000"/>
              <w:right w:val="single" w:sz="18" w:space="0" w:color="000000"/>
            </w:tcBorders>
          </w:tcPr>
          <w:p>
            <w:pPr>
              <w:pStyle w:val="TableParagraph"/>
              <w:spacing w:line="204" w:lineRule="exact"/>
              <w:ind w:left="75"/>
              <w:rPr>
                <w:sz w:val="18"/>
              </w:rPr>
            </w:pPr>
            <w:r>
              <w:rPr>
                <w:sz w:val="18"/>
              </w:rPr>
              <w:t>Kaiser-Meyer-Olkin Measure of Sampling Adequacy.</w:t>
            </w:r>
          </w:p>
        </w:tc>
        <w:tc>
          <w:tcPr>
            <w:tcW w:w="1102" w:type="dxa"/>
            <w:tcBorders>
              <w:top w:val="single" w:sz="18" w:space="0" w:color="000000"/>
              <w:left w:val="single" w:sz="18" w:space="0" w:color="000000"/>
              <w:right w:val="single" w:sz="18" w:space="0" w:color="000000"/>
            </w:tcBorders>
          </w:tcPr>
          <w:p>
            <w:pPr>
              <w:pStyle w:val="TableParagraph"/>
              <w:spacing w:line="204" w:lineRule="exact"/>
              <w:ind w:right="37"/>
              <w:jc w:val="right"/>
              <w:rPr>
                <w:sz w:val="18"/>
              </w:rPr>
            </w:pPr>
            <w:r>
              <w:rPr>
                <w:sz w:val="18"/>
              </w:rPr>
              <w:t>.807</w:t>
            </w:r>
          </w:p>
        </w:tc>
      </w:tr>
      <w:tr>
        <w:trPr>
          <w:trHeight w:val="331" w:hRule="atLeast"/>
        </w:trPr>
        <w:tc>
          <w:tcPr>
            <w:tcW w:w="2298" w:type="dxa"/>
            <w:tcBorders>
              <w:left w:val="single" w:sz="18" w:space="0" w:color="000000"/>
            </w:tcBorders>
          </w:tcPr>
          <w:p>
            <w:pPr>
              <w:pStyle w:val="TableParagraph"/>
              <w:spacing w:before="48"/>
              <w:ind w:left="75"/>
              <w:rPr>
                <w:sz w:val="18"/>
              </w:rPr>
            </w:pPr>
            <w:r>
              <w:rPr>
                <w:sz w:val="18"/>
              </w:rPr>
              <w:t>Bartlett's Test of Sphericity</w:t>
            </w:r>
          </w:p>
        </w:tc>
        <w:tc>
          <w:tcPr>
            <w:tcW w:w="2522" w:type="dxa"/>
            <w:tcBorders>
              <w:right w:val="single" w:sz="18" w:space="0" w:color="000000"/>
            </w:tcBorders>
          </w:tcPr>
          <w:p>
            <w:pPr>
              <w:pStyle w:val="TableParagraph"/>
              <w:spacing w:before="48"/>
              <w:ind w:left="260"/>
              <w:rPr>
                <w:sz w:val="18"/>
              </w:rPr>
            </w:pPr>
            <w:r>
              <w:rPr>
                <w:sz w:val="18"/>
              </w:rPr>
              <w:t>Approx. Chi-Square</w:t>
            </w:r>
          </w:p>
        </w:tc>
        <w:tc>
          <w:tcPr>
            <w:tcW w:w="1102" w:type="dxa"/>
            <w:tcBorders>
              <w:left w:val="single" w:sz="18" w:space="0" w:color="000000"/>
              <w:right w:val="single" w:sz="18" w:space="0" w:color="000000"/>
            </w:tcBorders>
          </w:tcPr>
          <w:p>
            <w:pPr>
              <w:pStyle w:val="TableParagraph"/>
              <w:spacing w:before="48"/>
              <w:ind w:right="37"/>
              <w:jc w:val="right"/>
              <w:rPr>
                <w:sz w:val="18"/>
              </w:rPr>
            </w:pPr>
            <w:r>
              <w:rPr>
                <w:sz w:val="18"/>
              </w:rPr>
              <w:t>4576.306</w:t>
            </w:r>
          </w:p>
        </w:tc>
      </w:tr>
      <w:tr>
        <w:trPr>
          <w:trHeight w:val="350" w:hRule="atLeast"/>
        </w:trPr>
        <w:tc>
          <w:tcPr>
            <w:tcW w:w="2298" w:type="dxa"/>
            <w:tcBorders>
              <w:left w:val="single" w:sz="18" w:space="0" w:color="000000"/>
            </w:tcBorders>
          </w:tcPr>
          <w:p>
            <w:pPr>
              <w:pStyle w:val="TableParagraph"/>
              <w:rPr>
                <w:sz w:val="18"/>
              </w:rPr>
            </w:pPr>
          </w:p>
        </w:tc>
        <w:tc>
          <w:tcPr>
            <w:tcW w:w="2522" w:type="dxa"/>
            <w:tcBorders>
              <w:right w:val="single" w:sz="18" w:space="0" w:color="000000"/>
            </w:tcBorders>
          </w:tcPr>
          <w:p>
            <w:pPr>
              <w:pStyle w:val="TableParagraph"/>
              <w:spacing w:before="68"/>
              <w:ind w:left="260"/>
              <w:rPr>
                <w:sz w:val="18"/>
              </w:rPr>
            </w:pPr>
            <w:r>
              <w:rPr>
                <w:sz w:val="18"/>
              </w:rPr>
              <w:t>df</w:t>
            </w:r>
          </w:p>
        </w:tc>
        <w:tc>
          <w:tcPr>
            <w:tcW w:w="1102" w:type="dxa"/>
            <w:tcBorders>
              <w:left w:val="single" w:sz="18" w:space="0" w:color="000000"/>
              <w:right w:val="single" w:sz="18" w:space="0" w:color="000000"/>
            </w:tcBorders>
          </w:tcPr>
          <w:p>
            <w:pPr>
              <w:pStyle w:val="TableParagraph"/>
              <w:spacing w:before="68"/>
              <w:ind w:right="35"/>
              <w:jc w:val="right"/>
              <w:rPr>
                <w:sz w:val="18"/>
              </w:rPr>
            </w:pPr>
            <w:r>
              <w:rPr>
                <w:sz w:val="18"/>
              </w:rPr>
              <w:t>861</w:t>
            </w:r>
          </w:p>
        </w:tc>
      </w:tr>
      <w:tr>
        <w:trPr>
          <w:trHeight w:val="376" w:hRule="atLeast"/>
        </w:trPr>
        <w:tc>
          <w:tcPr>
            <w:tcW w:w="2298" w:type="dxa"/>
            <w:tcBorders>
              <w:left w:val="single" w:sz="18" w:space="0" w:color="000000"/>
              <w:bottom w:val="single" w:sz="18" w:space="0" w:color="000000"/>
            </w:tcBorders>
          </w:tcPr>
          <w:p>
            <w:pPr>
              <w:pStyle w:val="TableParagraph"/>
              <w:rPr>
                <w:sz w:val="18"/>
              </w:rPr>
            </w:pPr>
          </w:p>
        </w:tc>
        <w:tc>
          <w:tcPr>
            <w:tcW w:w="2522" w:type="dxa"/>
            <w:tcBorders>
              <w:bottom w:val="single" w:sz="18" w:space="0" w:color="000000"/>
              <w:right w:val="single" w:sz="18" w:space="0" w:color="000000"/>
            </w:tcBorders>
          </w:tcPr>
          <w:p>
            <w:pPr>
              <w:pStyle w:val="TableParagraph"/>
              <w:spacing w:before="68"/>
              <w:ind w:left="260"/>
              <w:rPr>
                <w:sz w:val="18"/>
              </w:rPr>
            </w:pPr>
            <w:r>
              <w:rPr>
                <w:sz w:val="18"/>
              </w:rPr>
              <w:t>Sig.</w:t>
            </w:r>
          </w:p>
        </w:tc>
        <w:tc>
          <w:tcPr>
            <w:tcW w:w="1102" w:type="dxa"/>
            <w:tcBorders>
              <w:left w:val="single" w:sz="18" w:space="0" w:color="000000"/>
              <w:bottom w:val="single" w:sz="18" w:space="0" w:color="000000"/>
              <w:right w:val="single" w:sz="18" w:space="0" w:color="000000"/>
            </w:tcBorders>
          </w:tcPr>
          <w:p>
            <w:pPr>
              <w:pStyle w:val="TableParagraph"/>
              <w:spacing w:before="68"/>
              <w:ind w:right="38"/>
              <w:jc w:val="right"/>
              <w:rPr>
                <w:sz w:val="18"/>
              </w:rPr>
            </w:pPr>
            <w:r>
              <w:rPr>
                <w:sz w:val="18"/>
              </w:rPr>
              <w:t>.000</w:t>
            </w:r>
          </w:p>
        </w:tc>
      </w:tr>
    </w:tbl>
    <w:p>
      <w:pPr>
        <w:pStyle w:val="BodyText"/>
        <w:spacing w:before="10"/>
        <w:rPr>
          <w:b/>
          <w:i/>
          <w:sz w:val="27"/>
        </w:rPr>
      </w:pPr>
    </w:p>
    <w:p>
      <w:pPr>
        <w:spacing w:before="93"/>
        <w:ind w:left="1095" w:right="923" w:firstLine="0"/>
        <w:jc w:val="center"/>
        <w:rPr>
          <w:b/>
          <w:sz w:val="18"/>
        </w:rPr>
      </w:pPr>
      <w:r>
        <w:rPr>
          <w:b/>
          <w:sz w:val="18"/>
        </w:rPr>
        <w:t>Total Variance Explained</w:t>
      </w:r>
    </w:p>
    <w:p>
      <w:pPr>
        <w:pStyle w:val="BodyText"/>
        <w:spacing w:before="1"/>
        <w:rPr>
          <w:b/>
          <w:sz w:val="9"/>
        </w:rPr>
      </w:pPr>
    </w:p>
    <w:tbl>
      <w:tblPr>
        <w:tblW w:w="0" w:type="auto"/>
        <w:jc w:val="left"/>
        <w:tblInd w:w="907" w:type="dxa"/>
        <w:tblBorders>
          <w:top w:val="single" w:sz="18" w:space="0" w:color="000000"/>
          <w:left w:val="single" w:sz="18" w:space="0" w:color="000000"/>
          <w:bottom w:val="single" w:sz="18" w:space="0" w:color="000000"/>
          <w:right w:val="single" w:sz="18" w:space="0" w:color="000000"/>
          <w:insideH w:val="single" w:sz="18" w:space="0" w:color="000000"/>
          <w:insideV w:val="single" w:sz="18" w:space="0" w:color="000000"/>
        </w:tblBorders>
        <w:tblLayout w:type="fixed"/>
        <w:tblCellMar>
          <w:top w:w="0" w:type="dxa"/>
          <w:left w:w="0" w:type="dxa"/>
          <w:bottom w:w="0" w:type="dxa"/>
          <w:right w:w="0" w:type="dxa"/>
        </w:tblCellMar>
        <w:tblLook w:val="01E0"/>
      </w:tblPr>
      <w:tblGrid>
        <w:gridCol w:w="1294"/>
        <w:gridCol w:w="1014"/>
        <w:gridCol w:w="1438"/>
        <w:gridCol w:w="1455"/>
        <w:gridCol w:w="1164"/>
        <w:gridCol w:w="1438"/>
        <w:gridCol w:w="1454"/>
      </w:tblGrid>
      <w:tr>
        <w:trPr>
          <w:trHeight w:val="295" w:hRule="atLeast"/>
        </w:trPr>
        <w:tc>
          <w:tcPr>
            <w:tcW w:w="1294" w:type="dxa"/>
            <w:vMerge w:val="restart"/>
          </w:tcPr>
          <w:p>
            <w:pPr>
              <w:pStyle w:val="TableParagraph"/>
              <w:rPr>
                <w:b/>
                <w:sz w:val="20"/>
              </w:rPr>
            </w:pPr>
          </w:p>
          <w:p>
            <w:pPr>
              <w:pStyle w:val="TableParagraph"/>
              <w:spacing w:before="117"/>
              <w:ind w:left="75"/>
              <w:rPr>
                <w:sz w:val="18"/>
              </w:rPr>
            </w:pPr>
            <w:r>
              <w:rPr>
                <w:sz w:val="18"/>
              </w:rPr>
              <w:t>Component</w:t>
            </w:r>
          </w:p>
        </w:tc>
        <w:tc>
          <w:tcPr>
            <w:tcW w:w="3907" w:type="dxa"/>
            <w:gridSpan w:val="3"/>
            <w:tcBorders>
              <w:bottom w:val="single" w:sz="8" w:space="0" w:color="000000"/>
              <w:right w:val="single" w:sz="8" w:space="0" w:color="000000"/>
            </w:tcBorders>
          </w:tcPr>
          <w:p>
            <w:pPr>
              <w:pStyle w:val="TableParagraph"/>
              <w:spacing w:line="204" w:lineRule="exact"/>
              <w:ind w:left="1271"/>
              <w:rPr>
                <w:sz w:val="18"/>
              </w:rPr>
            </w:pPr>
            <w:r>
              <w:rPr>
                <w:sz w:val="18"/>
              </w:rPr>
              <w:t>Initial Eigenvalues</w:t>
            </w:r>
          </w:p>
        </w:tc>
        <w:tc>
          <w:tcPr>
            <w:tcW w:w="4056" w:type="dxa"/>
            <w:gridSpan w:val="3"/>
            <w:tcBorders>
              <w:left w:val="single" w:sz="8" w:space="0" w:color="000000"/>
              <w:bottom w:val="single" w:sz="8" w:space="0" w:color="000000"/>
            </w:tcBorders>
          </w:tcPr>
          <w:p>
            <w:pPr>
              <w:pStyle w:val="TableParagraph"/>
              <w:spacing w:line="204" w:lineRule="exact"/>
              <w:ind w:left="657"/>
              <w:rPr>
                <w:sz w:val="18"/>
              </w:rPr>
            </w:pPr>
            <w:r>
              <w:rPr>
                <w:sz w:val="18"/>
              </w:rPr>
              <w:t>Extraction Sums of Squared Loadings</w:t>
            </w:r>
          </w:p>
        </w:tc>
      </w:tr>
      <w:tr>
        <w:trPr>
          <w:trHeight w:val="315" w:hRule="atLeast"/>
        </w:trPr>
        <w:tc>
          <w:tcPr>
            <w:tcW w:w="1294" w:type="dxa"/>
            <w:vMerge/>
            <w:tcBorders>
              <w:top w:val="nil"/>
            </w:tcBorders>
          </w:tcPr>
          <w:p>
            <w:pPr>
              <w:rPr>
                <w:sz w:val="2"/>
                <w:szCs w:val="2"/>
              </w:rPr>
            </w:pPr>
          </w:p>
        </w:tc>
        <w:tc>
          <w:tcPr>
            <w:tcW w:w="1014" w:type="dxa"/>
            <w:tcBorders>
              <w:top w:val="single" w:sz="8" w:space="0" w:color="000000"/>
              <w:right w:val="single" w:sz="8" w:space="0" w:color="000000"/>
            </w:tcBorders>
          </w:tcPr>
          <w:p>
            <w:pPr>
              <w:pStyle w:val="TableParagraph"/>
              <w:spacing w:before="6"/>
              <w:ind w:left="313"/>
              <w:rPr>
                <w:sz w:val="18"/>
              </w:rPr>
            </w:pPr>
            <w:r>
              <w:rPr>
                <w:sz w:val="18"/>
              </w:rPr>
              <w:t>Total</w:t>
            </w:r>
          </w:p>
        </w:tc>
        <w:tc>
          <w:tcPr>
            <w:tcW w:w="1438" w:type="dxa"/>
            <w:tcBorders>
              <w:top w:val="single" w:sz="8" w:space="0" w:color="000000"/>
              <w:left w:val="single" w:sz="8" w:space="0" w:color="000000"/>
              <w:right w:val="single" w:sz="8" w:space="0" w:color="000000"/>
            </w:tcBorders>
          </w:tcPr>
          <w:p>
            <w:pPr>
              <w:pStyle w:val="TableParagraph"/>
              <w:spacing w:before="6"/>
              <w:ind w:left="207"/>
              <w:rPr>
                <w:sz w:val="18"/>
              </w:rPr>
            </w:pPr>
            <w:r>
              <w:rPr>
                <w:sz w:val="18"/>
              </w:rPr>
              <w:t>% of Variance</w:t>
            </w:r>
          </w:p>
        </w:tc>
        <w:tc>
          <w:tcPr>
            <w:tcW w:w="1455" w:type="dxa"/>
            <w:tcBorders>
              <w:top w:val="single" w:sz="8" w:space="0" w:color="000000"/>
              <w:left w:val="single" w:sz="8" w:space="0" w:color="000000"/>
              <w:right w:val="single" w:sz="8" w:space="0" w:color="000000"/>
            </w:tcBorders>
          </w:tcPr>
          <w:p>
            <w:pPr>
              <w:pStyle w:val="TableParagraph"/>
              <w:spacing w:before="6"/>
              <w:ind w:left="216"/>
              <w:rPr>
                <w:sz w:val="18"/>
              </w:rPr>
            </w:pPr>
            <w:r>
              <w:rPr>
                <w:sz w:val="18"/>
              </w:rPr>
              <w:t>Cumulative %</w:t>
            </w:r>
          </w:p>
        </w:tc>
        <w:tc>
          <w:tcPr>
            <w:tcW w:w="1164" w:type="dxa"/>
            <w:tcBorders>
              <w:top w:val="single" w:sz="8" w:space="0" w:color="000000"/>
              <w:left w:val="single" w:sz="8" w:space="0" w:color="000000"/>
              <w:right w:val="single" w:sz="8" w:space="0" w:color="000000"/>
            </w:tcBorders>
          </w:tcPr>
          <w:p>
            <w:pPr>
              <w:pStyle w:val="TableParagraph"/>
              <w:spacing w:before="6"/>
              <w:ind w:left="398"/>
              <w:rPr>
                <w:sz w:val="18"/>
              </w:rPr>
            </w:pPr>
            <w:r>
              <w:rPr>
                <w:sz w:val="18"/>
              </w:rPr>
              <w:t>Total</w:t>
            </w:r>
          </w:p>
        </w:tc>
        <w:tc>
          <w:tcPr>
            <w:tcW w:w="1438" w:type="dxa"/>
            <w:tcBorders>
              <w:top w:val="single" w:sz="8" w:space="0" w:color="000000"/>
              <w:left w:val="single" w:sz="8" w:space="0" w:color="000000"/>
              <w:right w:val="single" w:sz="8" w:space="0" w:color="000000"/>
            </w:tcBorders>
          </w:tcPr>
          <w:p>
            <w:pPr>
              <w:pStyle w:val="TableParagraph"/>
              <w:spacing w:before="6"/>
              <w:ind w:left="206"/>
              <w:rPr>
                <w:sz w:val="18"/>
              </w:rPr>
            </w:pPr>
            <w:r>
              <w:rPr>
                <w:sz w:val="18"/>
              </w:rPr>
              <w:t>% of Variance</w:t>
            </w:r>
          </w:p>
        </w:tc>
        <w:tc>
          <w:tcPr>
            <w:tcW w:w="1454" w:type="dxa"/>
            <w:tcBorders>
              <w:top w:val="single" w:sz="8" w:space="0" w:color="000000"/>
              <w:left w:val="single" w:sz="8" w:space="0" w:color="000000"/>
            </w:tcBorders>
          </w:tcPr>
          <w:p>
            <w:pPr>
              <w:pStyle w:val="TableParagraph"/>
              <w:spacing w:before="6"/>
              <w:ind w:left="211"/>
              <w:rPr>
                <w:sz w:val="18"/>
              </w:rPr>
            </w:pPr>
            <w:r>
              <w:rPr>
                <w:sz w:val="18"/>
              </w:rPr>
              <w:t>Cumulative %</w:t>
            </w:r>
          </w:p>
        </w:tc>
      </w:tr>
      <w:tr>
        <w:trPr>
          <w:trHeight w:val="259" w:hRule="atLeast"/>
        </w:trPr>
        <w:tc>
          <w:tcPr>
            <w:tcW w:w="1294" w:type="dxa"/>
            <w:tcBorders>
              <w:bottom w:val="nil"/>
            </w:tcBorders>
          </w:tcPr>
          <w:p>
            <w:pPr>
              <w:pStyle w:val="TableParagraph"/>
              <w:spacing w:line="204" w:lineRule="exact"/>
              <w:ind w:left="75"/>
              <w:rPr>
                <w:sz w:val="18"/>
              </w:rPr>
            </w:pPr>
            <w:r>
              <w:rPr>
                <w:sz w:val="18"/>
              </w:rPr>
              <w:t>1</w:t>
            </w:r>
          </w:p>
        </w:tc>
        <w:tc>
          <w:tcPr>
            <w:tcW w:w="1014" w:type="dxa"/>
            <w:tcBorders>
              <w:bottom w:val="nil"/>
              <w:right w:val="single" w:sz="8" w:space="0" w:color="000000"/>
            </w:tcBorders>
          </w:tcPr>
          <w:p>
            <w:pPr>
              <w:pStyle w:val="TableParagraph"/>
              <w:spacing w:line="204" w:lineRule="exact"/>
              <w:ind w:right="37"/>
              <w:jc w:val="right"/>
              <w:rPr>
                <w:sz w:val="18"/>
              </w:rPr>
            </w:pPr>
            <w:r>
              <w:rPr>
                <w:sz w:val="18"/>
              </w:rPr>
              <w:t>7.897</w:t>
            </w:r>
          </w:p>
        </w:tc>
        <w:tc>
          <w:tcPr>
            <w:tcW w:w="1438" w:type="dxa"/>
            <w:tcBorders>
              <w:left w:val="single" w:sz="8" w:space="0" w:color="000000"/>
              <w:bottom w:val="nil"/>
              <w:right w:val="single" w:sz="8" w:space="0" w:color="000000"/>
            </w:tcBorders>
          </w:tcPr>
          <w:p>
            <w:pPr>
              <w:pStyle w:val="TableParagraph"/>
              <w:spacing w:line="204" w:lineRule="exact"/>
              <w:ind w:right="38"/>
              <w:jc w:val="right"/>
              <w:rPr>
                <w:sz w:val="18"/>
              </w:rPr>
            </w:pPr>
            <w:r>
              <w:rPr>
                <w:sz w:val="18"/>
              </w:rPr>
              <w:t>18.802</w:t>
            </w:r>
          </w:p>
        </w:tc>
        <w:tc>
          <w:tcPr>
            <w:tcW w:w="1455" w:type="dxa"/>
            <w:tcBorders>
              <w:left w:val="single" w:sz="8" w:space="0" w:color="000000"/>
              <w:bottom w:val="nil"/>
              <w:right w:val="single" w:sz="8" w:space="0" w:color="000000"/>
            </w:tcBorders>
          </w:tcPr>
          <w:p>
            <w:pPr>
              <w:pStyle w:val="TableParagraph"/>
              <w:spacing w:line="204" w:lineRule="exact"/>
              <w:ind w:right="41"/>
              <w:jc w:val="right"/>
              <w:rPr>
                <w:sz w:val="18"/>
              </w:rPr>
            </w:pPr>
            <w:r>
              <w:rPr>
                <w:sz w:val="18"/>
              </w:rPr>
              <w:t>18.802</w:t>
            </w:r>
          </w:p>
        </w:tc>
        <w:tc>
          <w:tcPr>
            <w:tcW w:w="1164" w:type="dxa"/>
            <w:tcBorders>
              <w:left w:val="single" w:sz="8" w:space="0" w:color="000000"/>
              <w:bottom w:val="nil"/>
              <w:right w:val="single" w:sz="8" w:space="0" w:color="000000"/>
            </w:tcBorders>
          </w:tcPr>
          <w:p>
            <w:pPr>
              <w:pStyle w:val="TableParagraph"/>
              <w:spacing w:line="204" w:lineRule="exact"/>
              <w:ind w:right="41"/>
              <w:jc w:val="right"/>
              <w:rPr>
                <w:sz w:val="18"/>
              </w:rPr>
            </w:pPr>
            <w:r>
              <w:rPr>
                <w:sz w:val="18"/>
              </w:rPr>
              <w:t>7.897</w:t>
            </w:r>
          </w:p>
        </w:tc>
        <w:tc>
          <w:tcPr>
            <w:tcW w:w="1438" w:type="dxa"/>
            <w:tcBorders>
              <w:left w:val="single" w:sz="8" w:space="0" w:color="000000"/>
              <w:bottom w:val="nil"/>
              <w:right w:val="single" w:sz="8" w:space="0" w:color="000000"/>
            </w:tcBorders>
          </w:tcPr>
          <w:p>
            <w:pPr>
              <w:pStyle w:val="TableParagraph"/>
              <w:spacing w:line="204" w:lineRule="exact"/>
              <w:ind w:right="39"/>
              <w:jc w:val="right"/>
              <w:rPr>
                <w:sz w:val="18"/>
              </w:rPr>
            </w:pPr>
            <w:r>
              <w:rPr>
                <w:sz w:val="18"/>
              </w:rPr>
              <w:t>18.802</w:t>
            </w:r>
          </w:p>
        </w:tc>
        <w:tc>
          <w:tcPr>
            <w:tcW w:w="1454" w:type="dxa"/>
            <w:tcBorders>
              <w:left w:val="single" w:sz="8" w:space="0" w:color="000000"/>
              <w:bottom w:val="nil"/>
            </w:tcBorders>
          </w:tcPr>
          <w:p>
            <w:pPr>
              <w:pStyle w:val="TableParagraph"/>
              <w:spacing w:line="204" w:lineRule="exact"/>
              <w:ind w:right="37"/>
              <w:jc w:val="right"/>
              <w:rPr>
                <w:sz w:val="18"/>
              </w:rPr>
            </w:pPr>
            <w:r>
              <w:rPr>
                <w:sz w:val="18"/>
              </w:rPr>
              <w:t>18.802</w:t>
            </w:r>
          </w:p>
        </w:tc>
      </w:tr>
      <w:tr>
        <w:trPr>
          <w:trHeight w:val="310" w:hRule="atLeast"/>
        </w:trPr>
        <w:tc>
          <w:tcPr>
            <w:tcW w:w="1294" w:type="dxa"/>
            <w:tcBorders>
              <w:top w:val="nil"/>
              <w:bottom w:val="nil"/>
            </w:tcBorders>
          </w:tcPr>
          <w:p>
            <w:pPr>
              <w:pStyle w:val="TableParagraph"/>
              <w:spacing w:before="48"/>
              <w:ind w:left="75"/>
              <w:rPr>
                <w:sz w:val="18"/>
              </w:rPr>
            </w:pPr>
            <w:r>
              <w:rPr>
                <w:sz w:val="18"/>
              </w:rPr>
              <w:t>2</w:t>
            </w:r>
          </w:p>
        </w:tc>
        <w:tc>
          <w:tcPr>
            <w:tcW w:w="1014" w:type="dxa"/>
            <w:tcBorders>
              <w:top w:val="nil"/>
              <w:bottom w:val="nil"/>
              <w:right w:val="single" w:sz="8" w:space="0" w:color="000000"/>
            </w:tcBorders>
          </w:tcPr>
          <w:p>
            <w:pPr>
              <w:pStyle w:val="TableParagraph"/>
              <w:spacing w:before="48"/>
              <w:ind w:right="39"/>
              <w:jc w:val="right"/>
              <w:rPr>
                <w:sz w:val="18"/>
              </w:rPr>
            </w:pPr>
            <w:r>
              <w:rPr>
                <w:sz w:val="18"/>
              </w:rPr>
              <w:t>4.704</w:t>
            </w:r>
          </w:p>
        </w:tc>
        <w:tc>
          <w:tcPr>
            <w:tcW w:w="1438" w:type="dxa"/>
            <w:tcBorders>
              <w:top w:val="nil"/>
              <w:left w:val="single" w:sz="8" w:space="0" w:color="000000"/>
              <w:bottom w:val="nil"/>
              <w:right w:val="single" w:sz="8" w:space="0" w:color="000000"/>
            </w:tcBorders>
          </w:tcPr>
          <w:p>
            <w:pPr>
              <w:pStyle w:val="TableParagraph"/>
              <w:spacing w:before="48"/>
              <w:ind w:right="38"/>
              <w:jc w:val="right"/>
              <w:rPr>
                <w:sz w:val="18"/>
              </w:rPr>
            </w:pPr>
            <w:r>
              <w:rPr>
                <w:sz w:val="18"/>
              </w:rPr>
              <w:t>11.199</w:t>
            </w:r>
          </w:p>
        </w:tc>
        <w:tc>
          <w:tcPr>
            <w:tcW w:w="1455" w:type="dxa"/>
            <w:tcBorders>
              <w:top w:val="nil"/>
              <w:left w:val="single" w:sz="8" w:space="0" w:color="000000"/>
              <w:bottom w:val="nil"/>
              <w:right w:val="single" w:sz="8" w:space="0" w:color="000000"/>
            </w:tcBorders>
          </w:tcPr>
          <w:p>
            <w:pPr>
              <w:pStyle w:val="TableParagraph"/>
              <w:spacing w:before="48"/>
              <w:ind w:right="41"/>
              <w:jc w:val="right"/>
              <w:rPr>
                <w:sz w:val="18"/>
              </w:rPr>
            </w:pPr>
            <w:r>
              <w:rPr>
                <w:sz w:val="18"/>
              </w:rPr>
              <w:t>30.001</w:t>
            </w:r>
          </w:p>
        </w:tc>
        <w:tc>
          <w:tcPr>
            <w:tcW w:w="1164" w:type="dxa"/>
            <w:tcBorders>
              <w:top w:val="nil"/>
              <w:left w:val="single" w:sz="8" w:space="0" w:color="000000"/>
              <w:bottom w:val="nil"/>
              <w:right w:val="single" w:sz="8" w:space="0" w:color="000000"/>
            </w:tcBorders>
          </w:tcPr>
          <w:p>
            <w:pPr>
              <w:pStyle w:val="TableParagraph"/>
              <w:spacing w:before="48"/>
              <w:ind w:right="41"/>
              <w:jc w:val="right"/>
              <w:rPr>
                <w:sz w:val="18"/>
              </w:rPr>
            </w:pPr>
            <w:r>
              <w:rPr>
                <w:sz w:val="18"/>
              </w:rPr>
              <w:t>4.704</w:t>
            </w:r>
          </w:p>
        </w:tc>
        <w:tc>
          <w:tcPr>
            <w:tcW w:w="1438" w:type="dxa"/>
            <w:tcBorders>
              <w:top w:val="nil"/>
              <w:left w:val="single" w:sz="8" w:space="0" w:color="000000"/>
              <w:bottom w:val="nil"/>
              <w:right w:val="single" w:sz="8" w:space="0" w:color="000000"/>
            </w:tcBorders>
          </w:tcPr>
          <w:p>
            <w:pPr>
              <w:pStyle w:val="TableParagraph"/>
              <w:spacing w:before="48"/>
              <w:ind w:right="39"/>
              <w:jc w:val="right"/>
              <w:rPr>
                <w:sz w:val="18"/>
              </w:rPr>
            </w:pPr>
            <w:r>
              <w:rPr>
                <w:sz w:val="18"/>
              </w:rPr>
              <w:t>11.199</w:t>
            </w:r>
          </w:p>
        </w:tc>
        <w:tc>
          <w:tcPr>
            <w:tcW w:w="1454" w:type="dxa"/>
            <w:tcBorders>
              <w:top w:val="nil"/>
              <w:left w:val="single" w:sz="8" w:space="0" w:color="000000"/>
              <w:bottom w:val="nil"/>
            </w:tcBorders>
          </w:tcPr>
          <w:p>
            <w:pPr>
              <w:pStyle w:val="TableParagraph"/>
              <w:spacing w:before="48"/>
              <w:ind w:right="37"/>
              <w:jc w:val="right"/>
              <w:rPr>
                <w:sz w:val="18"/>
              </w:rPr>
            </w:pPr>
            <w:r>
              <w:rPr>
                <w:sz w:val="18"/>
              </w:rPr>
              <w:t>30.001</w:t>
            </w:r>
          </w:p>
        </w:tc>
      </w:tr>
      <w:tr>
        <w:trPr>
          <w:trHeight w:val="310" w:hRule="atLeast"/>
        </w:trPr>
        <w:tc>
          <w:tcPr>
            <w:tcW w:w="1294" w:type="dxa"/>
            <w:tcBorders>
              <w:top w:val="nil"/>
              <w:bottom w:val="nil"/>
            </w:tcBorders>
          </w:tcPr>
          <w:p>
            <w:pPr>
              <w:pStyle w:val="TableParagraph"/>
              <w:spacing w:before="47"/>
              <w:ind w:left="75"/>
              <w:rPr>
                <w:sz w:val="18"/>
              </w:rPr>
            </w:pPr>
            <w:r>
              <w:rPr>
                <w:sz w:val="18"/>
              </w:rPr>
              <w:t>3</w:t>
            </w:r>
          </w:p>
        </w:tc>
        <w:tc>
          <w:tcPr>
            <w:tcW w:w="1014" w:type="dxa"/>
            <w:tcBorders>
              <w:top w:val="nil"/>
              <w:bottom w:val="nil"/>
              <w:right w:val="single" w:sz="8" w:space="0" w:color="000000"/>
            </w:tcBorders>
          </w:tcPr>
          <w:p>
            <w:pPr>
              <w:pStyle w:val="TableParagraph"/>
              <w:spacing w:before="47"/>
              <w:ind w:right="38"/>
              <w:jc w:val="right"/>
              <w:rPr>
                <w:sz w:val="18"/>
              </w:rPr>
            </w:pPr>
            <w:r>
              <w:rPr>
                <w:sz w:val="18"/>
              </w:rPr>
              <w:t>3.584</w:t>
            </w:r>
          </w:p>
        </w:tc>
        <w:tc>
          <w:tcPr>
            <w:tcW w:w="1438" w:type="dxa"/>
            <w:tcBorders>
              <w:top w:val="nil"/>
              <w:left w:val="single" w:sz="8" w:space="0" w:color="000000"/>
              <w:bottom w:val="nil"/>
              <w:right w:val="single" w:sz="8" w:space="0" w:color="000000"/>
            </w:tcBorders>
          </w:tcPr>
          <w:p>
            <w:pPr>
              <w:pStyle w:val="TableParagraph"/>
              <w:spacing w:before="47"/>
              <w:ind w:right="37"/>
              <w:jc w:val="right"/>
              <w:rPr>
                <w:sz w:val="18"/>
              </w:rPr>
            </w:pPr>
            <w:r>
              <w:rPr>
                <w:sz w:val="18"/>
              </w:rPr>
              <w:t>8.533</w:t>
            </w:r>
          </w:p>
        </w:tc>
        <w:tc>
          <w:tcPr>
            <w:tcW w:w="1455" w:type="dxa"/>
            <w:tcBorders>
              <w:top w:val="nil"/>
              <w:left w:val="single" w:sz="8" w:space="0" w:color="000000"/>
              <w:bottom w:val="nil"/>
              <w:right w:val="single" w:sz="8" w:space="0" w:color="000000"/>
            </w:tcBorders>
          </w:tcPr>
          <w:p>
            <w:pPr>
              <w:pStyle w:val="TableParagraph"/>
              <w:spacing w:before="47"/>
              <w:ind w:right="42"/>
              <w:jc w:val="right"/>
              <w:rPr>
                <w:sz w:val="18"/>
              </w:rPr>
            </w:pPr>
            <w:r>
              <w:rPr>
                <w:sz w:val="18"/>
              </w:rPr>
              <w:t>38.534</w:t>
            </w:r>
          </w:p>
        </w:tc>
        <w:tc>
          <w:tcPr>
            <w:tcW w:w="1164" w:type="dxa"/>
            <w:tcBorders>
              <w:top w:val="nil"/>
              <w:left w:val="single" w:sz="8" w:space="0" w:color="000000"/>
              <w:bottom w:val="nil"/>
              <w:right w:val="single" w:sz="8" w:space="0" w:color="000000"/>
            </w:tcBorders>
          </w:tcPr>
          <w:p>
            <w:pPr>
              <w:pStyle w:val="TableParagraph"/>
              <w:spacing w:before="47"/>
              <w:ind w:right="41"/>
              <w:jc w:val="right"/>
              <w:rPr>
                <w:sz w:val="18"/>
              </w:rPr>
            </w:pPr>
            <w:r>
              <w:rPr>
                <w:sz w:val="18"/>
              </w:rPr>
              <w:t>3.584</w:t>
            </w:r>
          </w:p>
        </w:tc>
        <w:tc>
          <w:tcPr>
            <w:tcW w:w="1438" w:type="dxa"/>
            <w:tcBorders>
              <w:top w:val="nil"/>
              <w:left w:val="single" w:sz="8" w:space="0" w:color="000000"/>
              <w:bottom w:val="nil"/>
              <w:right w:val="single" w:sz="8" w:space="0" w:color="000000"/>
            </w:tcBorders>
          </w:tcPr>
          <w:p>
            <w:pPr>
              <w:pStyle w:val="TableParagraph"/>
              <w:spacing w:before="47"/>
              <w:ind w:right="38"/>
              <w:jc w:val="right"/>
              <w:rPr>
                <w:sz w:val="18"/>
              </w:rPr>
            </w:pPr>
            <w:r>
              <w:rPr>
                <w:sz w:val="18"/>
              </w:rPr>
              <w:t>8.533</w:t>
            </w:r>
          </w:p>
        </w:tc>
        <w:tc>
          <w:tcPr>
            <w:tcW w:w="1454" w:type="dxa"/>
            <w:tcBorders>
              <w:top w:val="nil"/>
              <w:left w:val="single" w:sz="8" w:space="0" w:color="000000"/>
              <w:bottom w:val="nil"/>
            </w:tcBorders>
          </w:tcPr>
          <w:p>
            <w:pPr>
              <w:pStyle w:val="TableParagraph"/>
              <w:spacing w:before="47"/>
              <w:ind w:right="37"/>
              <w:jc w:val="right"/>
              <w:rPr>
                <w:sz w:val="18"/>
              </w:rPr>
            </w:pPr>
            <w:r>
              <w:rPr>
                <w:sz w:val="18"/>
              </w:rPr>
              <w:t>38.534</w:t>
            </w:r>
          </w:p>
        </w:tc>
      </w:tr>
      <w:tr>
        <w:trPr>
          <w:trHeight w:val="310" w:hRule="atLeast"/>
        </w:trPr>
        <w:tc>
          <w:tcPr>
            <w:tcW w:w="1294" w:type="dxa"/>
            <w:tcBorders>
              <w:top w:val="nil"/>
              <w:bottom w:val="nil"/>
            </w:tcBorders>
          </w:tcPr>
          <w:p>
            <w:pPr>
              <w:pStyle w:val="TableParagraph"/>
              <w:spacing w:before="48"/>
              <w:ind w:left="75"/>
              <w:rPr>
                <w:sz w:val="18"/>
              </w:rPr>
            </w:pPr>
            <w:r>
              <w:rPr>
                <w:sz w:val="18"/>
              </w:rPr>
              <w:t>4</w:t>
            </w:r>
          </w:p>
        </w:tc>
        <w:tc>
          <w:tcPr>
            <w:tcW w:w="1014" w:type="dxa"/>
            <w:tcBorders>
              <w:top w:val="nil"/>
              <w:bottom w:val="nil"/>
              <w:right w:val="single" w:sz="8" w:space="0" w:color="000000"/>
            </w:tcBorders>
          </w:tcPr>
          <w:p>
            <w:pPr>
              <w:pStyle w:val="TableParagraph"/>
              <w:spacing w:before="48"/>
              <w:ind w:right="39"/>
              <w:jc w:val="right"/>
              <w:rPr>
                <w:sz w:val="18"/>
              </w:rPr>
            </w:pPr>
            <w:r>
              <w:rPr>
                <w:sz w:val="18"/>
              </w:rPr>
              <w:t>2.855</w:t>
            </w:r>
          </w:p>
        </w:tc>
        <w:tc>
          <w:tcPr>
            <w:tcW w:w="1438" w:type="dxa"/>
            <w:tcBorders>
              <w:top w:val="nil"/>
              <w:left w:val="single" w:sz="8" w:space="0" w:color="000000"/>
              <w:bottom w:val="nil"/>
              <w:right w:val="single" w:sz="8" w:space="0" w:color="000000"/>
            </w:tcBorders>
          </w:tcPr>
          <w:p>
            <w:pPr>
              <w:pStyle w:val="TableParagraph"/>
              <w:spacing w:before="48"/>
              <w:ind w:right="37"/>
              <w:jc w:val="right"/>
              <w:rPr>
                <w:sz w:val="18"/>
              </w:rPr>
            </w:pPr>
            <w:r>
              <w:rPr>
                <w:sz w:val="18"/>
              </w:rPr>
              <w:t>6.798</w:t>
            </w:r>
          </w:p>
        </w:tc>
        <w:tc>
          <w:tcPr>
            <w:tcW w:w="1455" w:type="dxa"/>
            <w:tcBorders>
              <w:top w:val="nil"/>
              <w:left w:val="single" w:sz="8" w:space="0" w:color="000000"/>
              <w:bottom w:val="nil"/>
              <w:right w:val="single" w:sz="8" w:space="0" w:color="000000"/>
            </w:tcBorders>
          </w:tcPr>
          <w:p>
            <w:pPr>
              <w:pStyle w:val="TableParagraph"/>
              <w:spacing w:before="48"/>
              <w:ind w:right="42"/>
              <w:jc w:val="right"/>
              <w:rPr>
                <w:sz w:val="18"/>
              </w:rPr>
            </w:pPr>
            <w:r>
              <w:rPr>
                <w:sz w:val="18"/>
              </w:rPr>
              <w:t>45.332</w:t>
            </w:r>
          </w:p>
        </w:tc>
        <w:tc>
          <w:tcPr>
            <w:tcW w:w="1164" w:type="dxa"/>
            <w:tcBorders>
              <w:top w:val="nil"/>
              <w:left w:val="single" w:sz="8" w:space="0" w:color="000000"/>
              <w:bottom w:val="nil"/>
              <w:right w:val="single" w:sz="8" w:space="0" w:color="000000"/>
            </w:tcBorders>
          </w:tcPr>
          <w:p>
            <w:pPr>
              <w:pStyle w:val="TableParagraph"/>
              <w:spacing w:before="48"/>
              <w:ind w:right="41"/>
              <w:jc w:val="right"/>
              <w:rPr>
                <w:sz w:val="18"/>
              </w:rPr>
            </w:pPr>
            <w:r>
              <w:rPr>
                <w:sz w:val="18"/>
              </w:rPr>
              <w:t>2.855</w:t>
            </w:r>
          </w:p>
        </w:tc>
        <w:tc>
          <w:tcPr>
            <w:tcW w:w="1438" w:type="dxa"/>
            <w:tcBorders>
              <w:top w:val="nil"/>
              <w:left w:val="single" w:sz="8" w:space="0" w:color="000000"/>
              <w:bottom w:val="nil"/>
              <w:right w:val="single" w:sz="8" w:space="0" w:color="000000"/>
            </w:tcBorders>
          </w:tcPr>
          <w:p>
            <w:pPr>
              <w:pStyle w:val="TableParagraph"/>
              <w:spacing w:before="48"/>
              <w:ind w:right="39"/>
              <w:jc w:val="right"/>
              <w:rPr>
                <w:sz w:val="18"/>
              </w:rPr>
            </w:pPr>
            <w:r>
              <w:rPr>
                <w:sz w:val="18"/>
              </w:rPr>
              <w:t>6.798</w:t>
            </w:r>
          </w:p>
        </w:tc>
        <w:tc>
          <w:tcPr>
            <w:tcW w:w="1454" w:type="dxa"/>
            <w:tcBorders>
              <w:top w:val="nil"/>
              <w:left w:val="single" w:sz="8" w:space="0" w:color="000000"/>
              <w:bottom w:val="nil"/>
            </w:tcBorders>
          </w:tcPr>
          <w:p>
            <w:pPr>
              <w:pStyle w:val="TableParagraph"/>
              <w:spacing w:before="48"/>
              <w:ind w:right="37"/>
              <w:jc w:val="right"/>
              <w:rPr>
                <w:sz w:val="18"/>
              </w:rPr>
            </w:pPr>
            <w:r>
              <w:rPr>
                <w:sz w:val="18"/>
              </w:rPr>
              <w:t>45.332</w:t>
            </w:r>
          </w:p>
        </w:tc>
      </w:tr>
      <w:tr>
        <w:trPr>
          <w:trHeight w:val="309" w:hRule="atLeast"/>
        </w:trPr>
        <w:tc>
          <w:tcPr>
            <w:tcW w:w="1294" w:type="dxa"/>
            <w:tcBorders>
              <w:top w:val="nil"/>
              <w:bottom w:val="nil"/>
            </w:tcBorders>
          </w:tcPr>
          <w:p>
            <w:pPr>
              <w:pStyle w:val="TableParagraph"/>
              <w:spacing w:before="47"/>
              <w:ind w:left="75"/>
              <w:rPr>
                <w:sz w:val="18"/>
              </w:rPr>
            </w:pPr>
            <w:r>
              <w:rPr>
                <w:sz w:val="18"/>
              </w:rPr>
              <w:t>5</w:t>
            </w:r>
          </w:p>
        </w:tc>
        <w:tc>
          <w:tcPr>
            <w:tcW w:w="1014" w:type="dxa"/>
            <w:tcBorders>
              <w:top w:val="nil"/>
              <w:bottom w:val="nil"/>
              <w:right w:val="single" w:sz="8" w:space="0" w:color="000000"/>
            </w:tcBorders>
          </w:tcPr>
          <w:p>
            <w:pPr>
              <w:pStyle w:val="TableParagraph"/>
              <w:spacing w:before="47"/>
              <w:ind w:right="39"/>
              <w:jc w:val="right"/>
              <w:rPr>
                <w:sz w:val="18"/>
              </w:rPr>
            </w:pPr>
            <w:r>
              <w:rPr>
                <w:sz w:val="18"/>
              </w:rPr>
              <w:t>2.573</w:t>
            </w:r>
          </w:p>
        </w:tc>
        <w:tc>
          <w:tcPr>
            <w:tcW w:w="1438" w:type="dxa"/>
            <w:tcBorders>
              <w:top w:val="nil"/>
              <w:left w:val="single" w:sz="8" w:space="0" w:color="000000"/>
              <w:bottom w:val="nil"/>
              <w:right w:val="single" w:sz="8" w:space="0" w:color="000000"/>
            </w:tcBorders>
          </w:tcPr>
          <w:p>
            <w:pPr>
              <w:pStyle w:val="TableParagraph"/>
              <w:spacing w:before="47"/>
              <w:ind w:right="38"/>
              <w:jc w:val="right"/>
              <w:rPr>
                <w:sz w:val="18"/>
              </w:rPr>
            </w:pPr>
            <w:r>
              <w:rPr>
                <w:sz w:val="18"/>
              </w:rPr>
              <w:t>6.126</w:t>
            </w:r>
          </w:p>
        </w:tc>
        <w:tc>
          <w:tcPr>
            <w:tcW w:w="1455" w:type="dxa"/>
            <w:tcBorders>
              <w:top w:val="nil"/>
              <w:left w:val="single" w:sz="8" w:space="0" w:color="000000"/>
              <w:bottom w:val="nil"/>
              <w:right w:val="single" w:sz="8" w:space="0" w:color="000000"/>
            </w:tcBorders>
          </w:tcPr>
          <w:p>
            <w:pPr>
              <w:pStyle w:val="TableParagraph"/>
              <w:spacing w:before="47"/>
              <w:ind w:right="42"/>
              <w:jc w:val="right"/>
              <w:rPr>
                <w:sz w:val="18"/>
              </w:rPr>
            </w:pPr>
            <w:r>
              <w:rPr>
                <w:sz w:val="18"/>
              </w:rPr>
              <w:t>51.458</w:t>
            </w:r>
          </w:p>
        </w:tc>
        <w:tc>
          <w:tcPr>
            <w:tcW w:w="1164" w:type="dxa"/>
            <w:tcBorders>
              <w:top w:val="nil"/>
              <w:left w:val="single" w:sz="8" w:space="0" w:color="000000"/>
              <w:bottom w:val="nil"/>
              <w:right w:val="single" w:sz="8" w:space="0" w:color="000000"/>
            </w:tcBorders>
          </w:tcPr>
          <w:p>
            <w:pPr>
              <w:pStyle w:val="TableParagraph"/>
              <w:spacing w:before="47"/>
              <w:ind w:right="40"/>
              <w:jc w:val="right"/>
              <w:rPr>
                <w:sz w:val="18"/>
              </w:rPr>
            </w:pPr>
            <w:r>
              <w:rPr>
                <w:sz w:val="18"/>
              </w:rPr>
              <w:t>2.573</w:t>
            </w:r>
          </w:p>
        </w:tc>
        <w:tc>
          <w:tcPr>
            <w:tcW w:w="1438" w:type="dxa"/>
            <w:tcBorders>
              <w:top w:val="nil"/>
              <w:left w:val="single" w:sz="8" w:space="0" w:color="000000"/>
              <w:bottom w:val="nil"/>
              <w:right w:val="single" w:sz="8" w:space="0" w:color="000000"/>
            </w:tcBorders>
          </w:tcPr>
          <w:p>
            <w:pPr>
              <w:pStyle w:val="TableParagraph"/>
              <w:spacing w:before="47"/>
              <w:ind w:right="39"/>
              <w:jc w:val="right"/>
              <w:rPr>
                <w:sz w:val="18"/>
              </w:rPr>
            </w:pPr>
            <w:r>
              <w:rPr>
                <w:sz w:val="18"/>
              </w:rPr>
              <w:t>6.126</w:t>
            </w:r>
          </w:p>
        </w:tc>
        <w:tc>
          <w:tcPr>
            <w:tcW w:w="1454" w:type="dxa"/>
            <w:tcBorders>
              <w:top w:val="nil"/>
              <w:left w:val="single" w:sz="8" w:space="0" w:color="000000"/>
              <w:bottom w:val="nil"/>
            </w:tcBorders>
          </w:tcPr>
          <w:p>
            <w:pPr>
              <w:pStyle w:val="TableParagraph"/>
              <w:spacing w:before="47"/>
              <w:ind w:right="37"/>
              <w:jc w:val="right"/>
              <w:rPr>
                <w:sz w:val="18"/>
              </w:rPr>
            </w:pPr>
            <w:r>
              <w:rPr>
                <w:sz w:val="18"/>
              </w:rPr>
              <w:t>51.458</w:t>
            </w:r>
          </w:p>
        </w:tc>
      </w:tr>
      <w:tr>
        <w:trPr>
          <w:trHeight w:val="310" w:hRule="atLeast"/>
        </w:trPr>
        <w:tc>
          <w:tcPr>
            <w:tcW w:w="1294" w:type="dxa"/>
            <w:tcBorders>
              <w:top w:val="nil"/>
              <w:bottom w:val="nil"/>
            </w:tcBorders>
          </w:tcPr>
          <w:p>
            <w:pPr>
              <w:pStyle w:val="TableParagraph"/>
              <w:spacing w:before="47"/>
              <w:ind w:left="75"/>
              <w:rPr>
                <w:sz w:val="18"/>
              </w:rPr>
            </w:pPr>
            <w:r>
              <w:rPr>
                <w:sz w:val="18"/>
              </w:rPr>
              <w:t>6</w:t>
            </w:r>
          </w:p>
        </w:tc>
        <w:tc>
          <w:tcPr>
            <w:tcW w:w="1014" w:type="dxa"/>
            <w:tcBorders>
              <w:top w:val="nil"/>
              <w:bottom w:val="nil"/>
              <w:right w:val="single" w:sz="8" w:space="0" w:color="000000"/>
            </w:tcBorders>
          </w:tcPr>
          <w:p>
            <w:pPr>
              <w:pStyle w:val="TableParagraph"/>
              <w:spacing w:before="47"/>
              <w:ind w:right="38"/>
              <w:jc w:val="right"/>
              <w:rPr>
                <w:sz w:val="18"/>
              </w:rPr>
            </w:pPr>
            <w:r>
              <w:rPr>
                <w:sz w:val="18"/>
              </w:rPr>
              <w:t>1.845</w:t>
            </w:r>
          </w:p>
        </w:tc>
        <w:tc>
          <w:tcPr>
            <w:tcW w:w="1438" w:type="dxa"/>
            <w:tcBorders>
              <w:top w:val="nil"/>
              <w:left w:val="single" w:sz="8" w:space="0" w:color="000000"/>
              <w:bottom w:val="nil"/>
              <w:right w:val="single" w:sz="8" w:space="0" w:color="000000"/>
            </w:tcBorders>
          </w:tcPr>
          <w:p>
            <w:pPr>
              <w:pStyle w:val="TableParagraph"/>
              <w:spacing w:before="47"/>
              <w:ind w:right="38"/>
              <w:jc w:val="right"/>
              <w:rPr>
                <w:sz w:val="18"/>
              </w:rPr>
            </w:pPr>
            <w:r>
              <w:rPr>
                <w:sz w:val="18"/>
              </w:rPr>
              <w:t>4.394</w:t>
            </w:r>
          </w:p>
        </w:tc>
        <w:tc>
          <w:tcPr>
            <w:tcW w:w="1455" w:type="dxa"/>
            <w:tcBorders>
              <w:top w:val="nil"/>
              <w:left w:val="single" w:sz="8" w:space="0" w:color="000000"/>
              <w:bottom w:val="nil"/>
              <w:right w:val="single" w:sz="8" w:space="0" w:color="000000"/>
            </w:tcBorders>
          </w:tcPr>
          <w:p>
            <w:pPr>
              <w:pStyle w:val="TableParagraph"/>
              <w:spacing w:before="47"/>
              <w:ind w:right="41"/>
              <w:jc w:val="right"/>
              <w:rPr>
                <w:sz w:val="18"/>
              </w:rPr>
            </w:pPr>
            <w:r>
              <w:rPr>
                <w:sz w:val="18"/>
              </w:rPr>
              <w:t>55.851</w:t>
            </w:r>
          </w:p>
        </w:tc>
        <w:tc>
          <w:tcPr>
            <w:tcW w:w="1164" w:type="dxa"/>
            <w:tcBorders>
              <w:top w:val="nil"/>
              <w:left w:val="single" w:sz="8" w:space="0" w:color="000000"/>
              <w:bottom w:val="nil"/>
              <w:right w:val="single" w:sz="8" w:space="0" w:color="000000"/>
            </w:tcBorders>
          </w:tcPr>
          <w:p>
            <w:pPr>
              <w:pStyle w:val="TableParagraph"/>
              <w:spacing w:before="47"/>
              <w:ind w:right="40"/>
              <w:jc w:val="right"/>
              <w:rPr>
                <w:sz w:val="18"/>
              </w:rPr>
            </w:pPr>
            <w:r>
              <w:rPr>
                <w:sz w:val="18"/>
              </w:rPr>
              <w:t>1.845</w:t>
            </w:r>
          </w:p>
        </w:tc>
        <w:tc>
          <w:tcPr>
            <w:tcW w:w="1438" w:type="dxa"/>
            <w:tcBorders>
              <w:top w:val="nil"/>
              <w:left w:val="single" w:sz="8" w:space="0" w:color="000000"/>
              <w:bottom w:val="nil"/>
              <w:right w:val="single" w:sz="8" w:space="0" w:color="000000"/>
            </w:tcBorders>
          </w:tcPr>
          <w:p>
            <w:pPr>
              <w:pStyle w:val="TableParagraph"/>
              <w:spacing w:before="47"/>
              <w:ind w:right="38"/>
              <w:jc w:val="right"/>
              <w:rPr>
                <w:sz w:val="18"/>
              </w:rPr>
            </w:pPr>
            <w:r>
              <w:rPr>
                <w:sz w:val="18"/>
              </w:rPr>
              <w:t>4.394</w:t>
            </w:r>
          </w:p>
        </w:tc>
        <w:tc>
          <w:tcPr>
            <w:tcW w:w="1454" w:type="dxa"/>
            <w:tcBorders>
              <w:top w:val="nil"/>
              <w:left w:val="single" w:sz="8" w:space="0" w:color="000000"/>
              <w:bottom w:val="nil"/>
            </w:tcBorders>
          </w:tcPr>
          <w:p>
            <w:pPr>
              <w:pStyle w:val="TableParagraph"/>
              <w:spacing w:before="47"/>
              <w:ind w:right="37"/>
              <w:jc w:val="right"/>
              <w:rPr>
                <w:sz w:val="18"/>
              </w:rPr>
            </w:pPr>
            <w:r>
              <w:rPr>
                <w:sz w:val="18"/>
              </w:rPr>
              <w:t>55.851</w:t>
            </w:r>
          </w:p>
        </w:tc>
      </w:tr>
      <w:tr>
        <w:trPr>
          <w:trHeight w:val="358" w:hRule="atLeast"/>
        </w:trPr>
        <w:tc>
          <w:tcPr>
            <w:tcW w:w="1294" w:type="dxa"/>
            <w:tcBorders>
              <w:top w:val="nil"/>
              <w:bottom w:val="nil"/>
            </w:tcBorders>
          </w:tcPr>
          <w:p>
            <w:pPr>
              <w:pStyle w:val="TableParagraph"/>
              <w:spacing w:before="48"/>
              <w:ind w:left="75"/>
              <w:rPr>
                <w:sz w:val="18"/>
              </w:rPr>
            </w:pPr>
            <w:r>
              <w:rPr>
                <w:sz w:val="18"/>
              </w:rPr>
              <w:t>7</w:t>
            </w:r>
          </w:p>
        </w:tc>
        <w:tc>
          <w:tcPr>
            <w:tcW w:w="1014" w:type="dxa"/>
            <w:tcBorders>
              <w:top w:val="nil"/>
              <w:bottom w:val="nil"/>
              <w:right w:val="single" w:sz="8" w:space="0" w:color="000000"/>
            </w:tcBorders>
          </w:tcPr>
          <w:p>
            <w:pPr>
              <w:pStyle w:val="TableParagraph"/>
              <w:spacing w:before="48"/>
              <w:ind w:right="39"/>
              <w:jc w:val="right"/>
              <w:rPr>
                <w:sz w:val="18"/>
              </w:rPr>
            </w:pPr>
            <w:r>
              <w:rPr>
                <w:sz w:val="18"/>
              </w:rPr>
              <w:t>1.535</w:t>
            </w:r>
          </w:p>
        </w:tc>
        <w:tc>
          <w:tcPr>
            <w:tcW w:w="1438" w:type="dxa"/>
            <w:tcBorders>
              <w:top w:val="nil"/>
              <w:left w:val="single" w:sz="8" w:space="0" w:color="000000"/>
              <w:bottom w:val="nil"/>
              <w:right w:val="single" w:sz="8" w:space="0" w:color="000000"/>
            </w:tcBorders>
          </w:tcPr>
          <w:p>
            <w:pPr>
              <w:pStyle w:val="TableParagraph"/>
              <w:spacing w:before="48"/>
              <w:ind w:right="37"/>
              <w:jc w:val="right"/>
              <w:rPr>
                <w:sz w:val="18"/>
              </w:rPr>
            </w:pPr>
            <w:r>
              <w:rPr>
                <w:sz w:val="18"/>
              </w:rPr>
              <w:t>3.655</w:t>
            </w:r>
          </w:p>
        </w:tc>
        <w:tc>
          <w:tcPr>
            <w:tcW w:w="1455" w:type="dxa"/>
            <w:tcBorders>
              <w:top w:val="nil"/>
              <w:left w:val="single" w:sz="8" w:space="0" w:color="000000"/>
              <w:bottom w:val="nil"/>
              <w:right w:val="single" w:sz="8" w:space="0" w:color="000000"/>
            </w:tcBorders>
          </w:tcPr>
          <w:p>
            <w:pPr>
              <w:pStyle w:val="TableParagraph"/>
              <w:spacing w:before="48"/>
              <w:ind w:right="41"/>
              <w:jc w:val="right"/>
              <w:rPr>
                <w:sz w:val="18"/>
              </w:rPr>
            </w:pPr>
            <w:r>
              <w:rPr>
                <w:sz w:val="18"/>
              </w:rPr>
              <w:t>59.507</w:t>
            </w:r>
          </w:p>
        </w:tc>
        <w:tc>
          <w:tcPr>
            <w:tcW w:w="1164" w:type="dxa"/>
            <w:tcBorders>
              <w:top w:val="nil"/>
              <w:left w:val="single" w:sz="8" w:space="0" w:color="000000"/>
              <w:bottom w:val="nil"/>
              <w:right w:val="single" w:sz="8" w:space="0" w:color="000000"/>
            </w:tcBorders>
          </w:tcPr>
          <w:p>
            <w:pPr>
              <w:pStyle w:val="TableParagraph"/>
              <w:spacing w:before="48"/>
              <w:ind w:right="41"/>
              <w:jc w:val="right"/>
              <w:rPr>
                <w:sz w:val="18"/>
              </w:rPr>
            </w:pPr>
            <w:r>
              <w:rPr>
                <w:sz w:val="18"/>
              </w:rPr>
              <w:t>1.535</w:t>
            </w:r>
          </w:p>
        </w:tc>
        <w:tc>
          <w:tcPr>
            <w:tcW w:w="1438" w:type="dxa"/>
            <w:tcBorders>
              <w:top w:val="nil"/>
              <w:left w:val="single" w:sz="8" w:space="0" w:color="000000"/>
              <w:bottom w:val="nil"/>
              <w:right w:val="single" w:sz="8" w:space="0" w:color="000000"/>
            </w:tcBorders>
          </w:tcPr>
          <w:p>
            <w:pPr>
              <w:pStyle w:val="TableParagraph"/>
              <w:spacing w:before="48"/>
              <w:ind w:right="39"/>
              <w:jc w:val="right"/>
              <w:rPr>
                <w:sz w:val="18"/>
              </w:rPr>
            </w:pPr>
            <w:r>
              <w:rPr>
                <w:sz w:val="18"/>
              </w:rPr>
              <w:t>3.655</w:t>
            </w:r>
          </w:p>
        </w:tc>
        <w:tc>
          <w:tcPr>
            <w:tcW w:w="1454" w:type="dxa"/>
            <w:tcBorders>
              <w:top w:val="nil"/>
              <w:left w:val="single" w:sz="8" w:space="0" w:color="000000"/>
              <w:bottom w:val="nil"/>
            </w:tcBorders>
          </w:tcPr>
          <w:p>
            <w:pPr>
              <w:pStyle w:val="TableParagraph"/>
              <w:spacing w:before="48"/>
              <w:ind w:right="37"/>
              <w:jc w:val="right"/>
              <w:rPr>
                <w:sz w:val="18"/>
              </w:rPr>
            </w:pPr>
            <w:r>
              <w:rPr>
                <w:sz w:val="18"/>
              </w:rPr>
              <w:t>59.507</w:t>
            </w:r>
          </w:p>
        </w:tc>
      </w:tr>
    </w:tbl>
    <w:p>
      <w:pPr>
        <w:spacing w:after="0"/>
        <w:jc w:val="right"/>
        <w:rPr>
          <w:sz w:val="18"/>
        </w:rPr>
        <w:sectPr>
          <w:pgSz w:w="11910" w:h="16850"/>
          <w:pgMar w:header="751" w:footer="0" w:top="960" w:bottom="280" w:left="820" w:right="240"/>
        </w:sectPr>
      </w:pPr>
    </w:p>
    <w:p>
      <w:pPr>
        <w:pStyle w:val="BodyText"/>
        <w:spacing w:before="9"/>
        <w:rPr>
          <w:b/>
          <w:sz w:val="23"/>
        </w:rPr>
      </w:pPr>
    </w:p>
    <w:tbl>
      <w:tblPr>
        <w:tblW w:w="0" w:type="auto"/>
        <w:jc w:val="left"/>
        <w:tblInd w:w="907" w:type="dxa"/>
        <w:tblBorders>
          <w:top w:val="single" w:sz="18" w:space="0" w:color="000000"/>
          <w:left w:val="single" w:sz="18" w:space="0" w:color="000000"/>
          <w:bottom w:val="single" w:sz="18" w:space="0" w:color="000000"/>
          <w:right w:val="single" w:sz="18" w:space="0" w:color="000000"/>
          <w:insideH w:val="single" w:sz="18" w:space="0" w:color="000000"/>
          <w:insideV w:val="single" w:sz="18" w:space="0" w:color="000000"/>
        </w:tblBorders>
        <w:tblLayout w:type="fixed"/>
        <w:tblCellMar>
          <w:top w:w="0" w:type="dxa"/>
          <w:left w:w="0" w:type="dxa"/>
          <w:bottom w:w="0" w:type="dxa"/>
          <w:right w:w="0" w:type="dxa"/>
        </w:tblCellMar>
        <w:tblLook w:val="01E0"/>
      </w:tblPr>
      <w:tblGrid>
        <w:gridCol w:w="1284"/>
        <w:gridCol w:w="1023"/>
        <w:gridCol w:w="1438"/>
        <w:gridCol w:w="1455"/>
        <w:gridCol w:w="1164"/>
        <w:gridCol w:w="1438"/>
        <w:gridCol w:w="1454"/>
      </w:tblGrid>
      <w:tr>
        <w:trPr>
          <w:trHeight w:val="263" w:hRule="atLeast"/>
        </w:trPr>
        <w:tc>
          <w:tcPr>
            <w:tcW w:w="1284" w:type="dxa"/>
            <w:tcBorders>
              <w:top w:val="nil"/>
              <w:bottom w:val="nil"/>
            </w:tcBorders>
          </w:tcPr>
          <w:p>
            <w:pPr>
              <w:pStyle w:val="TableParagraph"/>
              <w:ind w:left="75"/>
              <w:rPr>
                <w:sz w:val="18"/>
              </w:rPr>
            </w:pPr>
            <w:r>
              <w:rPr>
                <w:sz w:val="18"/>
              </w:rPr>
              <w:t>8</w:t>
            </w:r>
          </w:p>
        </w:tc>
        <w:tc>
          <w:tcPr>
            <w:tcW w:w="1023" w:type="dxa"/>
            <w:tcBorders>
              <w:top w:val="nil"/>
              <w:bottom w:val="nil"/>
              <w:right w:val="single" w:sz="8" w:space="0" w:color="000000"/>
            </w:tcBorders>
          </w:tcPr>
          <w:p>
            <w:pPr>
              <w:pStyle w:val="TableParagraph"/>
              <w:ind w:right="38"/>
              <w:jc w:val="right"/>
              <w:rPr>
                <w:sz w:val="18"/>
              </w:rPr>
            </w:pPr>
            <w:r>
              <w:rPr>
                <w:sz w:val="18"/>
              </w:rPr>
              <w:t>1.259</w:t>
            </w:r>
          </w:p>
        </w:tc>
        <w:tc>
          <w:tcPr>
            <w:tcW w:w="1438" w:type="dxa"/>
            <w:tcBorders>
              <w:top w:val="nil"/>
              <w:left w:val="single" w:sz="8" w:space="0" w:color="000000"/>
              <w:bottom w:val="nil"/>
              <w:right w:val="single" w:sz="8" w:space="0" w:color="000000"/>
            </w:tcBorders>
          </w:tcPr>
          <w:p>
            <w:pPr>
              <w:pStyle w:val="TableParagraph"/>
              <w:ind w:right="37"/>
              <w:jc w:val="right"/>
              <w:rPr>
                <w:sz w:val="18"/>
              </w:rPr>
            </w:pPr>
            <w:r>
              <w:rPr>
                <w:sz w:val="18"/>
              </w:rPr>
              <w:t>2.997</w:t>
            </w:r>
          </w:p>
        </w:tc>
        <w:tc>
          <w:tcPr>
            <w:tcW w:w="1455" w:type="dxa"/>
            <w:tcBorders>
              <w:top w:val="nil"/>
              <w:left w:val="single" w:sz="8" w:space="0" w:color="000000"/>
              <w:bottom w:val="nil"/>
              <w:right w:val="single" w:sz="8" w:space="0" w:color="000000"/>
            </w:tcBorders>
          </w:tcPr>
          <w:p>
            <w:pPr>
              <w:pStyle w:val="TableParagraph"/>
              <w:ind w:right="40"/>
              <w:jc w:val="right"/>
              <w:rPr>
                <w:sz w:val="18"/>
              </w:rPr>
            </w:pPr>
            <w:r>
              <w:rPr>
                <w:sz w:val="18"/>
              </w:rPr>
              <w:t>62.503</w:t>
            </w:r>
          </w:p>
        </w:tc>
        <w:tc>
          <w:tcPr>
            <w:tcW w:w="1164" w:type="dxa"/>
            <w:tcBorders>
              <w:top w:val="nil"/>
              <w:left w:val="single" w:sz="8" w:space="0" w:color="000000"/>
              <w:bottom w:val="nil"/>
              <w:right w:val="single" w:sz="8" w:space="0" w:color="000000"/>
            </w:tcBorders>
          </w:tcPr>
          <w:p>
            <w:pPr>
              <w:pStyle w:val="TableParagraph"/>
              <w:ind w:right="40"/>
              <w:jc w:val="right"/>
              <w:rPr>
                <w:sz w:val="18"/>
              </w:rPr>
            </w:pPr>
            <w:r>
              <w:rPr>
                <w:sz w:val="18"/>
              </w:rPr>
              <w:t>1.259</w:t>
            </w:r>
          </w:p>
        </w:tc>
        <w:tc>
          <w:tcPr>
            <w:tcW w:w="1438" w:type="dxa"/>
            <w:tcBorders>
              <w:top w:val="nil"/>
              <w:left w:val="single" w:sz="8" w:space="0" w:color="000000"/>
              <w:bottom w:val="nil"/>
              <w:right w:val="single" w:sz="8" w:space="0" w:color="000000"/>
            </w:tcBorders>
          </w:tcPr>
          <w:p>
            <w:pPr>
              <w:pStyle w:val="TableParagraph"/>
              <w:ind w:right="38"/>
              <w:jc w:val="right"/>
              <w:rPr>
                <w:sz w:val="18"/>
              </w:rPr>
            </w:pPr>
            <w:r>
              <w:rPr>
                <w:sz w:val="18"/>
              </w:rPr>
              <w:t>2.997</w:t>
            </w:r>
          </w:p>
        </w:tc>
        <w:tc>
          <w:tcPr>
            <w:tcW w:w="1454" w:type="dxa"/>
            <w:tcBorders>
              <w:top w:val="nil"/>
              <w:left w:val="single" w:sz="8" w:space="0" w:color="000000"/>
              <w:bottom w:val="nil"/>
            </w:tcBorders>
          </w:tcPr>
          <w:p>
            <w:pPr>
              <w:pStyle w:val="TableParagraph"/>
              <w:ind w:right="36"/>
              <w:jc w:val="right"/>
              <w:rPr>
                <w:sz w:val="18"/>
              </w:rPr>
            </w:pPr>
            <w:r>
              <w:rPr>
                <w:sz w:val="18"/>
              </w:rPr>
              <w:t>62.503</w:t>
            </w:r>
          </w:p>
        </w:tc>
      </w:tr>
      <w:tr>
        <w:trPr>
          <w:trHeight w:val="310" w:hRule="atLeast"/>
        </w:trPr>
        <w:tc>
          <w:tcPr>
            <w:tcW w:w="1284" w:type="dxa"/>
            <w:tcBorders>
              <w:top w:val="nil"/>
              <w:bottom w:val="nil"/>
            </w:tcBorders>
          </w:tcPr>
          <w:p>
            <w:pPr>
              <w:pStyle w:val="TableParagraph"/>
              <w:spacing w:before="48"/>
              <w:ind w:left="75"/>
              <w:rPr>
                <w:sz w:val="18"/>
              </w:rPr>
            </w:pPr>
            <w:r>
              <w:rPr>
                <w:sz w:val="18"/>
              </w:rPr>
              <w:t>9</w:t>
            </w:r>
          </w:p>
        </w:tc>
        <w:tc>
          <w:tcPr>
            <w:tcW w:w="1023" w:type="dxa"/>
            <w:tcBorders>
              <w:top w:val="nil"/>
              <w:bottom w:val="nil"/>
              <w:right w:val="single" w:sz="8" w:space="0" w:color="000000"/>
            </w:tcBorders>
          </w:tcPr>
          <w:p>
            <w:pPr>
              <w:pStyle w:val="TableParagraph"/>
              <w:spacing w:before="48"/>
              <w:ind w:right="38"/>
              <w:jc w:val="right"/>
              <w:rPr>
                <w:sz w:val="18"/>
              </w:rPr>
            </w:pPr>
            <w:r>
              <w:rPr>
                <w:sz w:val="18"/>
              </w:rPr>
              <w:t>1.204</w:t>
            </w:r>
          </w:p>
        </w:tc>
        <w:tc>
          <w:tcPr>
            <w:tcW w:w="1438" w:type="dxa"/>
            <w:tcBorders>
              <w:top w:val="nil"/>
              <w:left w:val="single" w:sz="8" w:space="0" w:color="000000"/>
              <w:bottom w:val="nil"/>
              <w:right w:val="single" w:sz="8" w:space="0" w:color="000000"/>
            </w:tcBorders>
          </w:tcPr>
          <w:p>
            <w:pPr>
              <w:pStyle w:val="TableParagraph"/>
              <w:spacing w:before="48"/>
              <w:ind w:right="37"/>
              <w:jc w:val="right"/>
              <w:rPr>
                <w:sz w:val="18"/>
              </w:rPr>
            </w:pPr>
            <w:r>
              <w:rPr>
                <w:sz w:val="18"/>
              </w:rPr>
              <w:t>2.867</w:t>
            </w:r>
          </w:p>
        </w:tc>
        <w:tc>
          <w:tcPr>
            <w:tcW w:w="1455" w:type="dxa"/>
            <w:tcBorders>
              <w:top w:val="nil"/>
              <w:left w:val="single" w:sz="8" w:space="0" w:color="000000"/>
              <w:bottom w:val="nil"/>
              <w:right w:val="single" w:sz="8" w:space="0" w:color="000000"/>
            </w:tcBorders>
          </w:tcPr>
          <w:p>
            <w:pPr>
              <w:pStyle w:val="TableParagraph"/>
              <w:spacing w:before="48"/>
              <w:ind w:right="40"/>
              <w:jc w:val="right"/>
              <w:rPr>
                <w:sz w:val="18"/>
              </w:rPr>
            </w:pPr>
            <w:r>
              <w:rPr>
                <w:sz w:val="18"/>
              </w:rPr>
              <w:t>65.371</w:t>
            </w:r>
          </w:p>
        </w:tc>
        <w:tc>
          <w:tcPr>
            <w:tcW w:w="1164" w:type="dxa"/>
            <w:tcBorders>
              <w:top w:val="nil"/>
              <w:left w:val="single" w:sz="8" w:space="0" w:color="000000"/>
              <w:bottom w:val="nil"/>
              <w:right w:val="single" w:sz="8" w:space="0" w:color="000000"/>
            </w:tcBorders>
          </w:tcPr>
          <w:p>
            <w:pPr>
              <w:pStyle w:val="TableParagraph"/>
              <w:spacing w:before="48"/>
              <w:ind w:right="39"/>
              <w:jc w:val="right"/>
              <w:rPr>
                <w:sz w:val="18"/>
              </w:rPr>
            </w:pPr>
            <w:r>
              <w:rPr>
                <w:sz w:val="18"/>
              </w:rPr>
              <w:t>1.204</w:t>
            </w:r>
          </w:p>
        </w:tc>
        <w:tc>
          <w:tcPr>
            <w:tcW w:w="1438" w:type="dxa"/>
            <w:tcBorders>
              <w:top w:val="nil"/>
              <w:left w:val="single" w:sz="8" w:space="0" w:color="000000"/>
              <w:bottom w:val="nil"/>
              <w:right w:val="single" w:sz="8" w:space="0" w:color="000000"/>
            </w:tcBorders>
          </w:tcPr>
          <w:p>
            <w:pPr>
              <w:pStyle w:val="TableParagraph"/>
              <w:spacing w:before="48"/>
              <w:ind w:right="38"/>
              <w:jc w:val="right"/>
              <w:rPr>
                <w:sz w:val="18"/>
              </w:rPr>
            </w:pPr>
            <w:r>
              <w:rPr>
                <w:sz w:val="18"/>
              </w:rPr>
              <w:t>2.867</w:t>
            </w:r>
          </w:p>
        </w:tc>
        <w:tc>
          <w:tcPr>
            <w:tcW w:w="1454" w:type="dxa"/>
            <w:tcBorders>
              <w:top w:val="nil"/>
              <w:left w:val="single" w:sz="8" w:space="0" w:color="000000"/>
              <w:bottom w:val="nil"/>
            </w:tcBorders>
          </w:tcPr>
          <w:p>
            <w:pPr>
              <w:pStyle w:val="TableParagraph"/>
              <w:spacing w:before="48"/>
              <w:ind w:right="36"/>
              <w:jc w:val="right"/>
              <w:rPr>
                <w:sz w:val="18"/>
              </w:rPr>
            </w:pPr>
            <w:r>
              <w:rPr>
                <w:sz w:val="18"/>
              </w:rPr>
              <w:t>65.371</w:t>
            </w:r>
          </w:p>
        </w:tc>
      </w:tr>
      <w:tr>
        <w:trPr>
          <w:trHeight w:val="309" w:hRule="atLeast"/>
        </w:trPr>
        <w:tc>
          <w:tcPr>
            <w:tcW w:w="1284" w:type="dxa"/>
            <w:tcBorders>
              <w:top w:val="nil"/>
              <w:bottom w:val="nil"/>
            </w:tcBorders>
          </w:tcPr>
          <w:p>
            <w:pPr>
              <w:pStyle w:val="TableParagraph"/>
              <w:spacing w:before="47"/>
              <w:ind w:left="75"/>
              <w:rPr>
                <w:sz w:val="18"/>
              </w:rPr>
            </w:pPr>
            <w:r>
              <w:rPr>
                <w:sz w:val="18"/>
              </w:rPr>
              <w:t>10</w:t>
            </w:r>
          </w:p>
        </w:tc>
        <w:tc>
          <w:tcPr>
            <w:tcW w:w="1023" w:type="dxa"/>
            <w:tcBorders>
              <w:top w:val="nil"/>
              <w:bottom w:val="nil"/>
              <w:right w:val="single" w:sz="8" w:space="0" w:color="000000"/>
            </w:tcBorders>
          </w:tcPr>
          <w:p>
            <w:pPr>
              <w:pStyle w:val="TableParagraph"/>
              <w:spacing w:before="47"/>
              <w:ind w:right="38"/>
              <w:jc w:val="right"/>
              <w:rPr>
                <w:sz w:val="18"/>
              </w:rPr>
            </w:pPr>
            <w:r>
              <w:rPr>
                <w:sz w:val="18"/>
              </w:rPr>
              <w:t>1.147</w:t>
            </w:r>
          </w:p>
        </w:tc>
        <w:tc>
          <w:tcPr>
            <w:tcW w:w="1438" w:type="dxa"/>
            <w:tcBorders>
              <w:top w:val="nil"/>
              <w:left w:val="single" w:sz="8" w:space="0" w:color="000000"/>
              <w:bottom w:val="nil"/>
              <w:right w:val="single" w:sz="8" w:space="0" w:color="000000"/>
            </w:tcBorders>
          </w:tcPr>
          <w:p>
            <w:pPr>
              <w:pStyle w:val="TableParagraph"/>
              <w:spacing w:before="47"/>
              <w:ind w:right="37"/>
              <w:jc w:val="right"/>
              <w:rPr>
                <w:sz w:val="18"/>
              </w:rPr>
            </w:pPr>
            <w:r>
              <w:rPr>
                <w:sz w:val="18"/>
              </w:rPr>
              <w:t>2.731</w:t>
            </w:r>
          </w:p>
        </w:tc>
        <w:tc>
          <w:tcPr>
            <w:tcW w:w="1455" w:type="dxa"/>
            <w:tcBorders>
              <w:top w:val="nil"/>
              <w:left w:val="single" w:sz="8" w:space="0" w:color="000000"/>
              <w:bottom w:val="nil"/>
              <w:right w:val="single" w:sz="8" w:space="0" w:color="000000"/>
            </w:tcBorders>
          </w:tcPr>
          <w:p>
            <w:pPr>
              <w:pStyle w:val="TableParagraph"/>
              <w:spacing w:before="47"/>
              <w:ind w:right="40"/>
              <w:jc w:val="right"/>
              <w:rPr>
                <w:sz w:val="18"/>
              </w:rPr>
            </w:pPr>
            <w:r>
              <w:rPr>
                <w:sz w:val="18"/>
              </w:rPr>
              <w:t>68.102</w:t>
            </w:r>
          </w:p>
        </w:tc>
        <w:tc>
          <w:tcPr>
            <w:tcW w:w="1164" w:type="dxa"/>
            <w:tcBorders>
              <w:top w:val="nil"/>
              <w:left w:val="single" w:sz="8" w:space="0" w:color="000000"/>
              <w:bottom w:val="nil"/>
              <w:right w:val="single" w:sz="8" w:space="0" w:color="000000"/>
            </w:tcBorders>
          </w:tcPr>
          <w:p>
            <w:pPr>
              <w:pStyle w:val="TableParagraph"/>
              <w:spacing w:before="47"/>
              <w:ind w:right="40"/>
              <w:jc w:val="right"/>
              <w:rPr>
                <w:sz w:val="18"/>
              </w:rPr>
            </w:pPr>
            <w:r>
              <w:rPr>
                <w:sz w:val="18"/>
              </w:rPr>
              <w:t>1.147</w:t>
            </w:r>
          </w:p>
        </w:tc>
        <w:tc>
          <w:tcPr>
            <w:tcW w:w="1438" w:type="dxa"/>
            <w:tcBorders>
              <w:top w:val="nil"/>
              <w:left w:val="single" w:sz="8" w:space="0" w:color="000000"/>
              <w:bottom w:val="nil"/>
              <w:right w:val="single" w:sz="8" w:space="0" w:color="000000"/>
            </w:tcBorders>
          </w:tcPr>
          <w:p>
            <w:pPr>
              <w:pStyle w:val="TableParagraph"/>
              <w:spacing w:before="47"/>
              <w:ind w:right="38"/>
              <w:jc w:val="right"/>
              <w:rPr>
                <w:sz w:val="18"/>
              </w:rPr>
            </w:pPr>
            <w:r>
              <w:rPr>
                <w:sz w:val="18"/>
              </w:rPr>
              <w:t>2.731</w:t>
            </w:r>
          </w:p>
        </w:tc>
        <w:tc>
          <w:tcPr>
            <w:tcW w:w="1454" w:type="dxa"/>
            <w:tcBorders>
              <w:top w:val="nil"/>
              <w:left w:val="single" w:sz="8" w:space="0" w:color="000000"/>
              <w:bottom w:val="nil"/>
            </w:tcBorders>
          </w:tcPr>
          <w:p>
            <w:pPr>
              <w:pStyle w:val="TableParagraph"/>
              <w:spacing w:before="47"/>
              <w:ind w:right="36"/>
              <w:jc w:val="right"/>
              <w:rPr>
                <w:sz w:val="18"/>
              </w:rPr>
            </w:pPr>
            <w:r>
              <w:rPr>
                <w:sz w:val="18"/>
              </w:rPr>
              <w:t>68.102</w:t>
            </w:r>
          </w:p>
        </w:tc>
      </w:tr>
      <w:tr>
        <w:trPr>
          <w:trHeight w:val="310" w:hRule="atLeast"/>
        </w:trPr>
        <w:tc>
          <w:tcPr>
            <w:tcW w:w="1284" w:type="dxa"/>
            <w:tcBorders>
              <w:top w:val="nil"/>
              <w:bottom w:val="nil"/>
            </w:tcBorders>
          </w:tcPr>
          <w:p>
            <w:pPr>
              <w:pStyle w:val="TableParagraph"/>
              <w:spacing w:before="47"/>
              <w:ind w:left="75"/>
              <w:rPr>
                <w:sz w:val="18"/>
              </w:rPr>
            </w:pPr>
            <w:r>
              <w:rPr>
                <w:sz w:val="18"/>
              </w:rPr>
              <w:t>11</w:t>
            </w:r>
          </w:p>
        </w:tc>
        <w:tc>
          <w:tcPr>
            <w:tcW w:w="1023" w:type="dxa"/>
            <w:tcBorders>
              <w:top w:val="nil"/>
              <w:bottom w:val="nil"/>
              <w:right w:val="single" w:sz="8" w:space="0" w:color="000000"/>
            </w:tcBorders>
          </w:tcPr>
          <w:p>
            <w:pPr>
              <w:pStyle w:val="TableParagraph"/>
              <w:spacing w:before="47"/>
              <w:ind w:right="36"/>
              <w:jc w:val="right"/>
              <w:rPr>
                <w:sz w:val="18"/>
              </w:rPr>
            </w:pPr>
            <w:r>
              <w:rPr>
                <w:sz w:val="18"/>
              </w:rPr>
              <w:t>1.052</w:t>
            </w:r>
          </w:p>
        </w:tc>
        <w:tc>
          <w:tcPr>
            <w:tcW w:w="1438" w:type="dxa"/>
            <w:tcBorders>
              <w:top w:val="nil"/>
              <w:left w:val="single" w:sz="8" w:space="0" w:color="000000"/>
              <w:bottom w:val="nil"/>
              <w:right w:val="single" w:sz="8" w:space="0" w:color="000000"/>
            </w:tcBorders>
          </w:tcPr>
          <w:p>
            <w:pPr>
              <w:pStyle w:val="TableParagraph"/>
              <w:spacing w:before="47"/>
              <w:ind w:right="37"/>
              <w:jc w:val="right"/>
              <w:rPr>
                <w:sz w:val="18"/>
              </w:rPr>
            </w:pPr>
            <w:r>
              <w:rPr>
                <w:sz w:val="18"/>
              </w:rPr>
              <w:t>2.504</w:t>
            </w:r>
          </w:p>
        </w:tc>
        <w:tc>
          <w:tcPr>
            <w:tcW w:w="1455" w:type="dxa"/>
            <w:tcBorders>
              <w:top w:val="nil"/>
              <w:left w:val="single" w:sz="8" w:space="0" w:color="000000"/>
              <w:bottom w:val="nil"/>
              <w:right w:val="single" w:sz="8" w:space="0" w:color="000000"/>
            </w:tcBorders>
          </w:tcPr>
          <w:p>
            <w:pPr>
              <w:pStyle w:val="TableParagraph"/>
              <w:spacing w:before="47"/>
              <w:ind w:right="40"/>
              <w:jc w:val="right"/>
              <w:rPr>
                <w:sz w:val="18"/>
              </w:rPr>
            </w:pPr>
            <w:r>
              <w:rPr>
                <w:sz w:val="18"/>
              </w:rPr>
              <w:t>70.606</w:t>
            </w:r>
          </w:p>
        </w:tc>
        <w:tc>
          <w:tcPr>
            <w:tcW w:w="1164" w:type="dxa"/>
            <w:tcBorders>
              <w:top w:val="nil"/>
              <w:left w:val="single" w:sz="8" w:space="0" w:color="000000"/>
              <w:bottom w:val="nil"/>
              <w:right w:val="single" w:sz="8" w:space="0" w:color="000000"/>
            </w:tcBorders>
          </w:tcPr>
          <w:p>
            <w:pPr>
              <w:pStyle w:val="TableParagraph"/>
              <w:spacing w:before="47"/>
              <w:ind w:right="40"/>
              <w:jc w:val="right"/>
              <w:rPr>
                <w:sz w:val="18"/>
              </w:rPr>
            </w:pPr>
            <w:r>
              <w:rPr>
                <w:sz w:val="18"/>
              </w:rPr>
              <w:t>1.052</w:t>
            </w:r>
          </w:p>
        </w:tc>
        <w:tc>
          <w:tcPr>
            <w:tcW w:w="1438" w:type="dxa"/>
            <w:tcBorders>
              <w:top w:val="nil"/>
              <w:left w:val="single" w:sz="8" w:space="0" w:color="000000"/>
              <w:bottom w:val="nil"/>
              <w:right w:val="single" w:sz="8" w:space="0" w:color="000000"/>
            </w:tcBorders>
          </w:tcPr>
          <w:p>
            <w:pPr>
              <w:pStyle w:val="TableParagraph"/>
              <w:spacing w:before="47"/>
              <w:ind w:right="38"/>
              <w:jc w:val="right"/>
              <w:rPr>
                <w:sz w:val="18"/>
              </w:rPr>
            </w:pPr>
            <w:r>
              <w:rPr>
                <w:sz w:val="18"/>
              </w:rPr>
              <w:t>2.504</w:t>
            </w:r>
          </w:p>
        </w:tc>
        <w:tc>
          <w:tcPr>
            <w:tcW w:w="1454" w:type="dxa"/>
            <w:tcBorders>
              <w:top w:val="nil"/>
              <w:left w:val="single" w:sz="8" w:space="0" w:color="000000"/>
              <w:bottom w:val="nil"/>
            </w:tcBorders>
          </w:tcPr>
          <w:p>
            <w:pPr>
              <w:pStyle w:val="TableParagraph"/>
              <w:spacing w:before="47"/>
              <w:ind w:right="37"/>
              <w:jc w:val="right"/>
              <w:rPr>
                <w:sz w:val="18"/>
              </w:rPr>
            </w:pPr>
            <w:r>
              <w:rPr>
                <w:sz w:val="18"/>
              </w:rPr>
              <w:t>70.606</w:t>
            </w:r>
          </w:p>
        </w:tc>
      </w:tr>
      <w:tr>
        <w:trPr>
          <w:trHeight w:val="387" w:hRule="atLeast"/>
        </w:trPr>
        <w:tc>
          <w:tcPr>
            <w:tcW w:w="1284" w:type="dxa"/>
            <w:tcBorders>
              <w:top w:val="nil"/>
              <w:bottom w:val="nil"/>
            </w:tcBorders>
          </w:tcPr>
          <w:p>
            <w:pPr>
              <w:pStyle w:val="TableParagraph"/>
              <w:spacing w:before="48"/>
              <w:ind w:left="75"/>
              <w:rPr>
                <w:sz w:val="18"/>
              </w:rPr>
            </w:pPr>
            <w:r>
              <w:rPr>
                <w:sz w:val="18"/>
              </w:rPr>
              <w:t>12</w:t>
            </w:r>
          </w:p>
        </w:tc>
        <w:tc>
          <w:tcPr>
            <w:tcW w:w="1023" w:type="dxa"/>
            <w:tcBorders>
              <w:top w:val="nil"/>
              <w:bottom w:val="nil"/>
              <w:right w:val="single" w:sz="8" w:space="0" w:color="000000"/>
            </w:tcBorders>
          </w:tcPr>
          <w:p>
            <w:pPr>
              <w:pStyle w:val="TableParagraph"/>
              <w:spacing w:before="99"/>
              <w:ind w:right="38"/>
              <w:jc w:val="right"/>
              <w:rPr>
                <w:sz w:val="18"/>
              </w:rPr>
            </w:pPr>
            <w:r>
              <w:rPr>
                <w:sz w:val="18"/>
              </w:rPr>
              <w:t>.890</w:t>
            </w:r>
          </w:p>
        </w:tc>
        <w:tc>
          <w:tcPr>
            <w:tcW w:w="1438" w:type="dxa"/>
            <w:tcBorders>
              <w:top w:val="nil"/>
              <w:left w:val="single" w:sz="8" w:space="0" w:color="000000"/>
              <w:bottom w:val="nil"/>
              <w:right w:val="single" w:sz="8" w:space="0" w:color="000000"/>
            </w:tcBorders>
          </w:tcPr>
          <w:p>
            <w:pPr>
              <w:pStyle w:val="TableParagraph"/>
              <w:spacing w:before="99"/>
              <w:ind w:right="37"/>
              <w:jc w:val="right"/>
              <w:rPr>
                <w:sz w:val="18"/>
              </w:rPr>
            </w:pPr>
            <w:r>
              <w:rPr>
                <w:sz w:val="18"/>
              </w:rPr>
              <w:t>2.119</w:t>
            </w:r>
          </w:p>
        </w:tc>
        <w:tc>
          <w:tcPr>
            <w:tcW w:w="1455" w:type="dxa"/>
            <w:tcBorders>
              <w:top w:val="nil"/>
              <w:left w:val="single" w:sz="8" w:space="0" w:color="000000"/>
              <w:bottom w:val="nil"/>
              <w:right w:val="single" w:sz="8" w:space="0" w:color="000000"/>
            </w:tcBorders>
          </w:tcPr>
          <w:p>
            <w:pPr>
              <w:pStyle w:val="TableParagraph"/>
              <w:spacing w:before="99"/>
              <w:ind w:right="40"/>
              <w:jc w:val="right"/>
              <w:rPr>
                <w:sz w:val="18"/>
              </w:rPr>
            </w:pPr>
            <w:r>
              <w:rPr>
                <w:sz w:val="18"/>
              </w:rPr>
              <w:t>72.725</w:t>
            </w:r>
          </w:p>
        </w:tc>
        <w:tc>
          <w:tcPr>
            <w:tcW w:w="1164" w:type="dxa"/>
            <w:tcBorders>
              <w:top w:val="nil"/>
              <w:left w:val="single" w:sz="8" w:space="0" w:color="000000"/>
              <w:bottom w:val="nil"/>
              <w:right w:val="single" w:sz="8" w:space="0" w:color="000000"/>
            </w:tcBorders>
          </w:tcPr>
          <w:p>
            <w:pPr>
              <w:pStyle w:val="TableParagraph"/>
              <w:rPr>
                <w:sz w:val="18"/>
              </w:rPr>
            </w:pPr>
          </w:p>
        </w:tc>
        <w:tc>
          <w:tcPr>
            <w:tcW w:w="1438" w:type="dxa"/>
            <w:tcBorders>
              <w:top w:val="nil"/>
              <w:left w:val="single" w:sz="8" w:space="0" w:color="000000"/>
              <w:bottom w:val="nil"/>
              <w:right w:val="single" w:sz="8" w:space="0" w:color="000000"/>
            </w:tcBorders>
          </w:tcPr>
          <w:p>
            <w:pPr>
              <w:pStyle w:val="TableParagraph"/>
              <w:rPr>
                <w:sz w:val="18"/>
              </w:rPr>
            </w:pPr>
          </w:p>
        </w:tc>
        <w:tc>
          <w:tcPr>
            <w:tcW w:w="1454" w:type="dxa"/>
            <w:tcBorders>
              <w:top w:val="nil"/>
              <w:left w:val="single" w:sz="8" w:space="0" w:color="000000"/>
              <w:bottom w:val="nil"/>
            </w:tcBorders>
          </w:tcPr>
          <w:p>
            <w:pPr>
              <w:pStyle w:val="TableParagraph"/>
              <w:rPr>
                <w:sz w:val="18"/>
              </w:rPr>
            </w:pPr>
          </w:p>
        </w:tc>
      </w:tr>
      <w:tr>
        <w:trPr>
          <w:trHeight w:val="415" w:hRule="atLeast"/>
        </w:trPr>
        <w:tc>
          <w:tcPr>
            <w:tcW w:w="1284" w:type="dxa"/>
            <w:tcBorders>
              <w:top w:val="nil"/>
              <w:bottom w:val="nil"/>
            </w:tcBorders>
          </w:tcPr>
          <w:p>
            <w:pPr>
              <w:pStyle w:val="TableParagraph"/>
              <w:spacing w:before="74"/>
              <w:ind w:left="75"/>
              <w:rPr>
                <w:sz w:val="18"/>
              </w:rPr>
            </w:pPr>
            <w:r>
              <w:rPr>
                <w:sz w:val="18"/>
              </w:rPr>
              <w:t>13</w:t>
            </w:r>
          </w:p>
        </w:tc>
        <w:tc>
          <w:tcPr>
            <w:tcW w:w="1023" w:type="dxa"/>
            <w:tcBorders>
              <w:top w:val="nil"/>
              <w:bottom w:val="nil"/>
              <w:right w:val="single" w:sz="8" w:space="0" w:color="000000"/>
            </w:tcBorders>
          </w:tcPr>
          <w:p>
            <w:pPr>
              <w:pStyle w:val="TableParagraph"/>
              <w:spacing w:before="126"/>
              <w:ind w:right="38"/>
              <w:jc w:val="right"/>
              <w:rPr>
                <w:sz w:val="18"/>
              </w:rPr>
            </w:pPr>
            <w:r>
              <w:rPr>
                <w:sz w:val="18"/>
              </w:rPr>
              <w:t>.860</w:t>
            </w:r>
          </w:p>
        </w:tc>
        <w:tc>
          <w:tcPr>
            <w:tcW w:w="1438" w:type="dxa"/>
            <w:tcBorders>
              <w:top w:val="nil"/>
              <w:left w:val="single" w:sz="8" w:space="0" w:color="000000"/>
              <w:bottom w:val="nil"/>
              <w:right w:val="single" w:sz="8" w:space="0" w:color="000000"/>
            </w:tcBorders>
          </w:tcPr>
          <w:p>
            <w:pPr>
              <w:pStyle w:val="TableParagraph"/>
              <w:spacing w:before="126"/>
              <w:ind w:right="37"/>
              <w:jc w:val="right"/>
              <w:rPr>
                <w:sz w:val="18"/>
              </w:rPr>
            </w:pPr>
            <w:r>
              <w:rPr>
                <w:sz w:val="18"/>
              </w:rPr>
              <w:t>2.048</w:t>
            </w:r>
          </w:p>
        </w:tc>
        <w:tc>
          <w:tcPr>
            <w:tcW w:w="1455" w:type="dxa"/>
            <w:tcBorders>
              <w:top w:val="nil"/>
              <w:left w:val="single" w:sz="8" w:space="0" w:color="000000"/>
              <w:bottom w:val="nil"/>
              <w:right w:val="single" w:sz="8" w:space="0" w:color="000000"/>
            </w:tcBorders>
          </w:tcPr>
          <w:p>
            <w:pPr>
              <w:pStyle w:val="TableParagraph"/>
              <w:spacing w:before="126"/>
              <w:ind w:right="40"/>
              <w:jc w:val="right"/>
              <w:rPr>
                <w:sz w:val="18"/>
              </w:rPr>
            </w:pPr>
            <w:r>
              <w:rPr>
                <w:sz w:val="18"/>
              </w:rPr>
              <w:t>74.773</w:t>
            </w:r>
          </w:p>
        </w:tc>
        <w:tc>
          <w:tcPr>
            <w:tcW w:w="1164" w:type="dxa"/>
            <w:tcBorders>
              <w:top w:val="nil"/>
              <w:left w:val="single" w:sz="8" w:space="0" w:color="000000"/>
              <w:bottom w:val="nil"/>
              <w:right w:val="single" w:sz="8" w:space="0" w:color="000000"/>
            </w:tcBorders>
          </w:tcPr>
          <w:p>
            <w:pPr>
              <w:pStyle w:val="TableParagraph"/>
              <w:rPr>
                <w:sz w:val="18"/>
              </w:rPr>
            </w:pPr>
          </w:p>
        </w:tc>
        <w:tc>
          <w:tcPr>
            <w:tcW w:w="1438" w:type="dxa"/>
            <w:tcBorders>
              <w:top w:val="nil"/>
              <w:left w:val="single" w:sz="8" w:space="0" w:color="000000"/>
              <w:bottom w:val="nil"/>
              <w:right w:val="single" w:sz="8" w:space="0" w:color="000000"/>
            </w:tcBorders>
          </w:tcPr>
          <w:p>
            <w:pPr>
              <w:pStyle w:val="TableParagraph"/>
              <w:rPr>
                <w:sz w:val="18"/>
              </w:rPr>
            </w:pPr>
          </w:p>
        </w:tc>
        <w:tc>
          <w:tcPr>
            <w:tcW w:w="1454" w:type="dxa"/>
            <w:tcBorders>
              <w:top w:val="nil"/>
              <w:left w:val="single" w:sz="8" w:space="0" w:color="000000"/>
              <w:bottom w:val="nil"/>
            </w:tcBorders>
          </w:tcPr>
          <w:p>
            <w:pPr>
              <w:pStyle w:val="TableParagraph"/>
              <w:rPr>
                <w:sz w:val="18"/>
              </w:rPr>
            </w:pPr>
          </w:p>
        </w:tc>
      </w:tr>
      <w:tr>
        <w:trPr>
          <w:trHeight w:val="412" w:hRule="atLeast"/>
        </w:trPr>
        <w:tc>
          <w:tcPr>
            <w:tcW w:w="1284" w:type="dxa"/>
            <w:tcBorders>
              <w:top w:val="nil"/>
              <w:bottom w:val="nil"/>
            </w:tcBorders>
          </w:tcPr>
          <w:p>
            <w:pPr>
              <w:pStyle w:val="TableParagraph"/>
              <w:spacing w:before="74"/>
              <w:ind w:left="75"/>
              <w:rPr>
                <w:sz w:val="18"/>
              </w:rPr>
            </w:pPr>
            <w:r>
              <w:rPr>
                <w:sz w:val="18"/>
              </w:rPr>
              <w:t>14</w:t>
            </w:r>
          </w:p>
        </w:tc>
        <w:tc>
          <w:tcPr>
            <w:tcW w:w="1023" w:type="dxa"/>
            <w:tcBorders>
              <w:top w:val="nil"/>
              <w:bottom w:val="nil"/>
              <w:right w:val="single" w:sz="8" w:space="0" w:color="000000"/>
            </w:tcBorders>
          </w:tcPr>
          <w:p>
            <w:pPr>
              <w:pStyle w:val="TableParagraph"/>
              <w:spacing w:before="124"/>
              <w:ind w:right="38"/>
              <w:jc w:val="right"/>
              <w:rPr>
                <w:sz w:val="18"/>
              </w:rPr>
            </w:pPr>
            <w:r>
              <w:rPr>
                <w:sz w:val="18"/>
              </w:rPr>
              <w:t>.829</w:t>
            </w:r>
          </w:p>
        </w:tc>
        <w:tc>
          <w:tcPr>
            <w:tcW w:w="1438" w:type="dxa"/>
            <w:tcBorders>
              <w:top w:val="nil"/>
              <w:left w:val="single" w:sz="8" w:space="0" w:color="000000"/>
              <w:bottom w:val="nil"/>
              <w:right w:val="single" w:sz="8" w:space="0" w:color="000000"/>
            </w:tcBorders>
          </w:tcPr>
          <w:p>
            <w:pPr>
              <w:pStyle w:val="TableParagraph"/>
              <w:spacing w:before="124"/>
              <w:ind w:right="37"/>
              <w:jc w:val="right"/>
              <w:rPr>
                <w:sz w:val="18"/>
              </w:rPr>
            </w:pPr>
            <w:r>
              <w:rPr>
                <w:sz w:val="18"/>
              </w:rPr>
              <w:t>1.974</w:t>
            </w:r>
          </w:p>
        </w:tc>
        <w:tc>
          <w:tcPr>
            <w:tcW w:w="1455" w:type="dxa"/>
            <w:tcBorders>
              <w:top w:val="nil"/>
              <w:left w:val="single" w:sz="8" w:space="0" w:color="000000"/>
              <w:bottom w:val="nil"/>
              <w:right w:val="single" w:sz="8" w:space="0" w:color="000000"/>
            </w:tcBorders>
          </w:tcPr>
          <w:p>
            <w:pPr>
              <w:pStyle w:val="TableParagraph"/>
              <w:spacing w:before="124"/>
              <w:ind w:right="40"/>
              <w:jc w:val="right"/>
              <w:rPr>
                <w:sz w:val="18"/>
              </w:rPr>
            </w:pPr>
            <w:r>
              <w:rPr>
                <w:sz w:val="18"/>
              </w:rPr>
              <w:t>76.747</w:t>
            </w:r>
          </w:p>
        </w:tc>
        <w:tc>
          <w:tcPr>
            <w:tcW w:w="1164" w:type="dxa"/>
            <w:tcBorders>
              <w:top w:val="nil"/>
              <w:left w:val="single" w:sz="8" w:space="0" w:color="000000"/>
              <w:bottom w:val="nil"/>
              <w:right w:val="single" w:sz="8" w:space="0" w:color="000000"/>
            </w:tcBorders>
          </w:tcPr>
          <w:p>
            <w:pPr>
              <w:pStyle w:val="TableParagraph"/>
              <w:rPr>
                <w:sz w:val="18"/>
              </w:rPr>
            </w:pPr>
          </w:p>
        </w:tc>
        <w:tc>
          <w:tcPr>
            <w:tcW w:w="1438" w:type="dxa"/>
            <w:tcBorders>
              <w:top w:val="nil"/>
              <w:left w:val="single" w:sz="8" w:space="0" w:color="000000"/>
              <w:bottom w:val="nil"/>
              <w:right w:val="single" w:sz="8" w:space="0" w:color="000000"/>
            </w:tcBorders>
          </w:tcPr>
          <w:p>
            <w:pPr>
              <w:pStyle w:val="TableParagraph"/>
              <w:rPr>
                <w:sz w:val="18"/>
              </w:rPr>
            </w:pPr>
          </w:p>
        </w:tc>
        <w:tc>
          <w:tcPr>
            <w:tcW w:w="1454" w:type="dxa"/>
            <w:tcBorders>
              <w:top w:val="nil"/>
              <w:left w:val="single" w:sz="8" w:space="0" w:color="000000"/>
              <w:bottom w:val="nil"/>
            </w:tcBorders>
          </w:tcPr>
          <w:p>
            <w:pPr>
              <w:pStyle w:val="TableParagraph"/>
              <w:rPr>
                <w:sz w:val="18"/>
              </w:rPr>
            </w:pPr>
          </w:p>
        </w:tc>
      </w:tr>
      <w:tr>
        <w:trPr>
          <w:trHeight w:val="415" w:hRule="atLeast"/>
        </w:trPr>
        <w:tc>
          <w:tcPr>
            <w:tcW w:w="1284" w:type="dxa"/>
            <w:tcBorders>
              <w:top w:val="nil"/>
              <w:bottom w:val="nil"/>
            </w:tcBorders>
          </w:tcPr>
          <w:p>
            <w:pPr>
              <w:pStyle w:val="TableParagraph"/>
              <w:spacing w:before="74"/>
              <w:ind w:left="75"/>
              <w:rPr>
                <w:sz w:val="18"/>
              </w:rPr>
            </w:pPr>
            <w:r>
              <w:rPr>
                <w:sz w:val="18"/>
              </w:rPr>
              <w:t>15</w:t>
            </w:r>
          </w:p>
        </w:tc>
        <w:tc>
          <w:tcPr>
            <w:tcW w:w="1023" w:type="dxa"/>
            <w:tcBorders>
              <w:top w:val="nil"/>
              <w:bottom w:val="nil"/>
              <w:right w:val="single" w:sz="8" w:space="0" w:color="000000"/>
            </w:tcBorders>
          </w:tcPr>
          <w:p>
            <w:pPr>
              <w:pStyle w:val="TableParagraph"/>
              <w:spacing w:before="126"/>
              <w:ind w:right="38"/>
              <w:jc w:val="right"/>
              <w:rPr>
                <w:sz w:val="18"/>
              </w:rPr>
            </w:pPr>
            <w:r>
              <w:rPr>
                <w:sz w:val="18"/>
              </w:rPr>
              <w:t>.757</w:t>
            </w:r>
          </w:p>
        </w:tc>
        <w:tc>
          <w:tcPr>
            <w:tcW w:w="1438" w:type="dxa"/>
            <w:tcBorders>
              <w:top w:val="nil"/>
              <w:left w:val="single" w:sz="8" w:space="0" w:color="000000"/>
              <w:bottom w:val="nil"/>
              <w:right w:val="single" w:sz="8" w:space="0" w:color="000000"/>
            </w:tcBorders>
          </w:tcPr>
          <w:p>
            <w:pPr>
              <w:pStyle w:val="TableParagraph"/>
              <w:spacing w:before="126"/>
              <w:ind w:right="37"/>
              <w:jc w:val="right"/>
              <w:rPr>
                <w:sz w:val="18"/>
              </w:rPr>
            </w:pPr>
            <w:r>
              <w:rPr>
                <w:sz w:val="18"/>
              </w:rPr>
              <w:t>1.803</w:t>
            </w:r>
          </w:p>
        </w:tc>
        <w:tc>
          <w:tcPr>
            <w:tcW w:w="1455" w:type="dxa"/>
            <w:tcBorders>
              <w:top w:val="nil"/>
              <w:left w:val="single" w:sz="8" w:space="0" w:color="000000"/>
              <w:bottom w:val="nil"/>
              <w:right w:val="single" w:sz="8" w:space="0" w:color="000000"/>
            </w:tcBorders>
          </w:tcPr>
          <w:p>
            <w:pPr>
              <w:pStyle w:val="TableParagraph"/>
              <w:spacing w:before="126"/>
              <w:ind w:right="40"/>
              <w:jc w:val="right"/>
              <w:rPr>
                <w:sz w:val="18"/>
              </w:rPr>
            </w:pPr>
            <w:r>
              <w:rPr>
                <w:sz w:val="18"/>
              </w:rPr>
              <w:t>78.550</w:t>
            </w:r>
          </w:p>
        </w:tc>
        <w:tc>
          <w:tcPr>
            <w:tcW w:w="1164" w:type="dxa"/>
            <w:tcBorders>
              <w:top w:val="nil"/>
              <w:left w:val="single" w:sz="8" w:space="0" w:color="000000"/>
              <w:bottom w:val="nil"/>
              <w:right w:val="single" w:sz="8" w:space="0" w:color="000000"/>
            </w:tcBorders>
          </w:tcPr>
          <w:p>
            <w:pPr>
              <w:pStyle w:val="TableParagraph"/>
              <w:rPr>
                <w:sz w:val="18"/>
              </w:rPr>
            </w:pPr>
          </w:p>
        </w:tc>
        <w:tc>
          <w:tcPr>
            <w:tcW w:w="1438" w:type="dxa"/>
            <w:tcBorders>
              <w:top w:val="nil"/>
              <w:left w:val="single" w:sz="8" w:space="0" w:color="000000"/>
              <w:bottom w:val="nil"/>
              <w:right w:val="single" w:sz="8" w:space="0" w:color="000000"/>
            </w:tcBorders>
          </w:tcPr>
          <w:p>
            <w:pPr>
              <w:pStyle w:val="TableParagraph"/>
              <w:rPr>
                <w:sz w:val="18"/>
              </w:rPr>
            </w:pPr>
          </w:p>
        </w:tc>
        <w:tc>
          <w:tcPr>
            <w:tcW w:w="1454" w:type="dxa"/>
            <w:tcBorders>
              <w:top w:val="nil"/>
              <w:left w:val="single" w:sz="8" w:space="0" w:color="000000"/>
              <w:bottom w:val="nil"/>
            </w:tcBorders>
          </w:tcPr>
          <w:p>
            <w:pPr>
              <w:pStyle w:val="TableParagraph"/>
              <w:rPr>
                <w:sz w:val="18"/>
              </w:rPr>
            </w:pPr>
          </w:p>
        </w:tc>
      </w:tr>
      <w:tr>
        <w:trPr>
          <w:trHeight w:val="412" w:hRule="atLeast"/>
        </w:trPr>
        <w:tc>
          <w:tcPr>
            <w:tcW w:w="1284" w:type="dxa"/>
            <w:tcBorders>
              <w:top w:val="nil"/>
              <w:bottom w:val="nil"/>
            </w:tcBorders>
          </w:tcPr>
          <w:p>
            <w:pPr>
              <w:pStyle w:val="TableParagraph"/>
              <w:spacing w:before="74"/>
              <w:ind w:left="75"/>
              <w:rPr>
                <w:sz w:val="18"/>
              </w:rPr>
            </w:pPr>
            <w:r>
              <w:rPr>
                <w:sz w:val="18"/>
              </w:rPr>
              <w:t>16</w:t>
            </w:r>
          </w:p>
        </w:tc>
        <w:tc>
          <w:tcPr>
            <w:tcW w:w="1023" w:type="dxa"/>
            <w:tcBorders>
              <w:top w:val="nil"/>
              <w:bottom w:val="nil"/>
              <w:right w:val="single" w:sz="8" w:space="0" w:color="000000"/>
            </w:tcBorders>
          </w:tcPr>
          <w:p>
            <w:pPr>
              <w:pStyle w:val="TableParagraph"/>
              <w:spacing w:before="124"/>
              <w:ind w:right="38"/>
              <w:jc w:val="right"/>
              <w:rPr>
                <w:sz w:val="18"/>
              </w:rPr>
            </w:pPr>
            <w:r>
              <w:rPr>
                <w:sz w:val="18"/>
              </w:rPr>
              <w:t>.690</w:t>
            </w:r>
          </w:p>
        </w:tc>
        <w:tc>
          <w:tcPr>
            <w:tcW w:w="1438" w:type="dxa"/>
            <w:tcBorders>
              <w:top w:val="nil"/>
              <w:left w:val="single" w:sz="8" w:space="0" w:color="000000"/>
              <w:bottom w:val="nil"/>
              <w:right w:val="single" w:sz="8" w:space="0" w:color="000000"/>
            </w:tcBorders>
          </w:tcPr>
          <w:p>
            <w:pPr>
              <w:pStyle w:val="TableParagraph"/>
              <w:spacing w:before="124"/>
              <w:ind w:right="37"/>
              <w:jc w:val="right"/>
              <w:rPr>
                <w:sz w:val="18"/>
              </w:rPr>
            </w:pPr>
            <w:r>
              <w:rPr>
                <w:sz w:val="18"/>
              </w:rPr>
              <w:t>1.644</w:t>
            </w:r>
          </w:p>
        </w:tc>
        <w:tc>
          <w:tcPr>
            <w:tcW w:w="1455" w:type="dxa"/>
            <w:tcBorders>
              <w:top w:val="nil"/>
              <w:left w:val="single" w:sz="8" w:space="0" w:color="000000"/>
              <w:bottom w:val="nil"/>
              <w:right w:val="single" w:sz="8" w:space="0" w:color="000000"/>
            </w:tcBorders>
          </w:tcPr>
          <w:p>
            <w:pPr>
              <w:pStyle w:val="TableParagraph"/>
              <w:spacing w:before="124"/>
              <w:ind w:right="40"/>
              <w:jc w:val="right"/>
              <w:rPr>
                <w:sz w:val="18"/>
              </w:rPr>
            </w:pPr>
            <w:r>
              <w:rPr>
                <w:sz w:val="18"/>
              </w:rPr>
              <w:t>80.194</w:t>
            </w:r>
          </w:p>
        </w:tc>
        <w:tc>
          <w:tcPr>
            <w:tcW w:w="1164" w:type="dxa"/>
            <w:tcBorders>
              <w:top w:val="nil"/>
              <w:left w:val="single" w:sz="8" w:space="0" w:color="000000"/>
              <w:bottom w:val="nil"/>
              <w:right w:val="single" w:sz="8" w:space="0" w:color="000000"/>
            </w:tcBorders>
          </w:tcPr>
          <w:p>
            <w:pPr>
              <w:pStyle w:val="TableParagraph"/>
              <w:rPr>
                <w:sz w:val="18"/>
              </w:rPr>
            </w:pPr>
          </w:p>
        </w:tc>
        <w:tc>
          <w:tcPr>
            <w:tcW w:w="1438" w:type="dxa"/>
            <w:tcBorders>
              <w:top w:val="nil"/>
              <w:left w:val="single" w:sz="8" w:space="0" w:color="000000"/>
              <w:bottom w:val="nil"/>
              <w:right w:val="single" w:sz="8" w:space="0" w:color="000000"/>
            </w:tcBorders>
          </w:tcPr>
          <w:p>
            <w:pPr>
              <w:pStyle w:val="TableParagraph"/>
              <w:rPr>
                <w:sz w:val="18"/>
              </w:rPr>
            </w:pPr>
          </w:p>
        </w:tc>
        <w:tc>
          <w:tcPr>
            <w:tcW w:w="1454" w:type="dxa"/>
            <w:tcBorders>
              <w:top w:val="nil"/>
              <w:left w:val="single" w:sz="8" w:space="0" w:color="000000"/>
              <w:bottom w:val="nil"/>
            </w:tcBorders>
          </w:tcPr>
          <w:p>
            <w:pPr>
              <w:pStyle w:val="TableParagraph"/>
              <w:rPr>
                <w:sz w:val="18"/>
              </w:rPr>
            </w:pPr>
          </w:p>
        </w:tc>
      </w:tr>
      <w:tr>
        <w:trPr>
          <w:trHeight w:val="415" w:hRule="atLeast"/>
        </w:trPr>
        <w:tc>
          <w:tcPr>
            <w:tcW w:w="1284" w:type="dxa"/>
            <w:tcBorders>
              <w:top w:val="nil"/>
              <w:bottom w:val="nil"/>
            </w:tcBorders>
          </w:tcPr>
          <w:p>
            <w:pPr>
              <w:pStyle w:val="TableParagraph"/>
              <w:spacing w:before="74"/>
              <w:ind w:left="75"/>
              <w:rPr>
                <w:sz w:val="18"/>
              </w:rPr>
            </w:pPr>
            <w:r>
              <w:rPr>
                <w:sz w:val="18"/>
              </w:rPr>
              <w:t>17</w:t>
            </w:r>
          </w:p>
        </w:tc>
        <w:tc>
          <w:tcPr>
            <w:tcW w:w="1023" w:type="dxa"/>
            <w:tcBorders>
              <w:top w:val="nil"/>
              <w:bottom w:val="nil"/>
              <w:right w:val="single" w:sz="8" w:space="0" w:color="000000"/>
            </w:tcBorders>
          </w:tcPr>
          <w:p>
            <w:pPr>
              <w:pStyle w:val="TableParagraph"/>
              <w:spacing w:before="126"/>
              <w:ind w:right="38"/>
              <w:jc w:val="right"/>
              <w:rPr>
                <w:sz w:val="18"/>
              </w:rPr>
            </w:pPr>
            <w:r>
              <w:rPr>
                <w:sz w:val="18"/>
              </w:rPr>
              <w:t>.654</w:t>
            </w:r>
          </w:p>
        </w:tc>
        <w:tc>
          <w:tcPr>
            <w:tcW w:w="1438" w:type="dxa"/>
            <w:tcBorders>
              <w:top w:val="nil"/>
              <w:left w:val="single" w:sz="8" w:space="0" w:color="000000"/>
              <w:bottom w:val="nil"/>
              <w:right w:val="single" w:sz="8" w:space="0" w:color="000000"/>
            </w:tcBorders>
          </w:tcPr>
          <w:p>
            <w:pPr>
              <w:pStyle w:val="TableParagraph"/>
              <w:spacing w:before="126"/>
              <w:ind w:right="37"/>
              <w:jc w:val="right"/>
              <w:rPr>
                <w:sz w:val="18"/>
              </w:rPr>
            </w:pPr>
            <w:r>
              <w:rPr>
                <w:sz w:val="18"/>
              </w:rPr>
              <w:t>1.558</w:t>
            </w:r>
          </w:p>
        </w:tc>
        <w:tc>
          <w:tcPr>
            <w:tcW w:w="1455" w:type="dxa"/>
            <w:tcBorders>
              <w:top w:val="nil"/>
              <w:left w:val="single" w:sz="8" w:space="0" w:color="000000"/>
              <w:bottom w:val="nil"/>
              <w:right w:val="single" w:sz="8" w:space="0" w:color="000000"/>
            </w:tcBorders>
          </w:tcPr>
          <w:p>
            <w:pPr>
              <w:pStyle w:val="TableParagraph"/>
              <w:spacing w:before="126"/>
              <w:ind w:right="40"/>
              <w:jc w:val="right"/>
              <w:rPr>
                <w:sz w:val="18"/>
              </w:rPr>
            </w:pPr>
            <w:r>
              <w:rPr>
                <w:sz w:val="18"/>
              </w:rPr>
              <w:t>81.751</w:t>
            </w:r>
          </w:p>
        </w:tc>
        <w:tc>
          <w:tcPr>
            <w:tcW w:w="1164" w:type="dxa"/>
            <w:tcBorders>
              <w:top w:val="nil"/>
              <w:left w:val="single" w:sz="8" w:space="0" w:color="000000"/>
              <w:bottom w:val="nil"/>
              <w:right w:val="single" w:sz="8" w:space="0" w:color="000000"/>
            </w:tcBorders>
          </w:tcPr>
          <w:p>
            <w:pPr>
              <w:pStyle w:val="TableParagraph"/>
              <w:rPr>
                <w:sz w:val="18"/>
              </w:rPr>
            </w:pPr>
          </w:p>
        </w:tc>
        <w:tc>
          <w:tcPr>
            <w:tcW w:w="1438" w:type="dxa"/>
            <w:tcBorders>
              <w:top w:val="nil"/>
              <w:left w:val="single" w:sz="8" w:space="0" w:color="000000"/>
              <w:bottom w:val="nil"/>
              <w:right w:val="single" w:sz="8" w:space="0" w:color="000000"/>
            </w:tcBorders>
          </w:tcPr>
          <w:p>
            <w:pPr>
              <w:pStyle w:val="TableParagraph"/>
              <w:rPr>
                <w:sz w:val="18"/>
              </w:rPr>
            </w:pPr>
          </w:p>
        </w:tc>
        <w:tc>
          <w:tcPr>
            <w:tcW w:w="1454" w:type="dxa"/>
            <w:tcBorders>
              <w:top w:val="nil"/>
              <w:left w:val="single" w:sz="8" w:space="0" w:color="000000"/>
              <w:bottom w:val="nil"/>
            </w:tcBorders>
          </w:tcPr>
          <w:p>
            <w:pPr>
              <w:pStyle w:val="TableParagraph"/>
              <w:rPr>
                <w:sz w:val="18"/>
              </w:rPr>
            </w:pPr>
          </w:p>
        </w:tc>
      </w:tr>
      <w:tr>
        <w:trPr>
          <w:trHeight w:val="413" w:hRule="atLeast"/>
        </w:trPr>
        <w:tc>
          <w:tcPr>
            <w:tcW w:w="1284" w:type="dxa"/>
            <w:tcBorders>
              <w:top w:val="nil"/>
              <w:bottom w:val="nil"/>
            </w:tcBorders>
          </w:tcPr>
          <w:p>
            <w:pPr>
              <w:pStyle w:val="TableParagraph"/>
              <w:spacing w:before="74"/>
              <w:ind w:left="75"/>
              <w:rPr>
                <w:sz w:val="18"/>
              </w:rPr>
            </w:pPr>
            <w:r>
              <w:rPr>
                <w:sz w:val="18"/>
              </w:rPr>
              <w:t>18</w:t>
            </w:r>
          </w:p>
        </w:tc>
        <w:tc>
          <w:tcPr>
            <w:tcW w:w="1023" w:type="dxa"/>
            <w:tcBorders>
              <w:top w:val="nil"/>
              <w:bottom w:val="nil"/>
              <w:right w:val="single" w:sz="8" w:space="0" w:color="000000"/>
            </w:tcBorders>
          </w:tcPr>
          <w:p>
            <w:pPr>
              <w:pStyle w:val="TableParagraph"/>
              <w:spacing w:before="124"/>
              <w:ind w:right="39"/>
              <w:jc w:val="right"/>
              <w:rPr>
                <w:sz w:val="18"/>
              </w:rPr>
            </w:pPr>
            <w:r>
              <w:rPr>
                <w:sz w:val="18"/>
              </w:rPr>
              <w:t>.587</w:t>
            </w:r>
          </w:p>
        </w:tc>
        <w:tc>
          <w:tcPr>
            <w:tcW w:w="1438" w:type="dxa"/>
            <w:tcBorders>
              <w:top w:val="nil"/>
              <w:left w:val="single" w:sz="8" w:space="0" w:color="000000"/>
              <w:bottom w:val="nil"/>
              <w:right w:val="single" w:sz="8" w:space="0" w:color="000000"/>
            </w:tcBorders>
          </w:tcPr>
          <w:p>
            <w:pPr>
              <w:pStyle w:val="TableParagraph"/>
              <w:spacing w:before="124"/>
              <w:ind w:right="37"/>
              <w:jc w:val="right"/>
              <w:rPr>
                <w:sz w:val="18"/>
              </w:rPr>
            </w:pPr>
            <w:r>
              <w:rPr>
                <w:sz w:val="18"/>
              </w:rPr>
              <w:t>1.397</w:t>
            </w:r>
          </w:p>
        </w:tc>
        <w:tc>
          <w:tcPr>
            <w:tcW w:w="1455" w:type="dxa"/>
            <w:tcBorders>
              <w:top w:val="nil"/>
              <w:left w:val="single" w:sz="8" w:space="0" w:color="000000"/>
              <w:bottom w:val="nil"/>
              <w:right w:val="single" w:sz="8" w:space="0" w:color="000000"/>
            </w:tcBorders>
          </w:tcPr>
          <w:p>
            <w:pPr>
              <w:pStyle w:val="TableParagraph"/>
              <w:spacing w:before="124"/>
              <w:ind w:right="40"/>
              <w:jc w:val="right"/>
              <w:rPr>
                <w:sz w:val="18"/>
              </w:rPr>
            </w:pPr>
            <w:r>
              <w:rPr>
                <w:sz w:val="18"/>
              </w:rPr>
              <w:t>83.148</w:t>
            </w:r>
          </w:p>
        </w:tc>
        <w:tc>
          <w:tcPr>
            <w:tcW w:w="1164" w:type="dxa"/>
            <w:tcBorders>
              <w:top w:val="nil"/>
              <w:left w:val="single" w:sz="8" w:space="0" w:color="000000"/>
              <w:bottom w:val="nil"/>
              <w:right w:val="single" w:sz="8" w:space="0" w:color="000000"/>
            </w:tcBorders>
          </w:tcPr>
          <w:p>
            <w:pPr>
              <w:pStyle w:val="TableParagraph"/>
              <w:rPr>
                <w:sz w:val="18"/>
              </w:rPr>
            </w:pPr>
          </w:p>
        </w:tc>
        <w:tc>
          <w:tcPr>
            <w:tcW w:w="1438" w:type="dxa"/>
            <w:tcBorders>
              <w:top w:val="nil"/>
              <w:left w:val="single" w:sz="8" w:space="0" w:color="000000"/>
              <w:bottom w:val="nil"/>
              <w:right w:val="single" w:sz="8" w:space="0" w:color="000000"/>
            </w:tcBorders>
          </w:tcPr>
          <w:p>
            <w:pPr>
              <w:pStyle w:val="TableParagraph"/>
              <w:rPr>
                <w:sz w:val="18"/>
              </w:rPr>
            </w:pPr>
          </w:p>
        </w:tc>
        <w:tc>
          <w:tcPr>
            <w:tcW w:w="1454" w:type="dxa"/>
            <w:tcBorders>
              <w:top w:val="nil"/>
              <w:left w:val="single" w:sz="8" w:space="0" w:color="000000"/>
              <w:bottom w:val="nil"/>
            </w:tcBorders>
          </w:tcPr>
          <w:p>
            <w:pPr>
              <w:pStyle w:val="TableParagraph"/>
              <w:rPr>
                <w:sz w:val="18"/>
              </w:rPr>
            </w:pPr>
          </w:p>
        </w:tc>
      </w:tr>
      <w:tr>
        <w:trPr>
          <w:trHeight w:val="415" w:hRule="atLeast"/>
        </w:trPr>
        <w:tc>
          <w:tcPr>
            <w:tcW w:w="1284" w:type="dxa"/>
            <w:tcBorders>
              <w:top w:val="nil"/>
              <w:bottom w:val="nil"/>
            </w:tcBorders>
          </w:tcPr>
          <w:p>
            <w:pPr>
              <w:pStyle w:val="TableParagraph"/>
              <w:spacing w:before="74"/>
              <w:ind w:left="75"/>
              <w:rPr>
                <w:sz w:val="18"/>
              </w:rPr>
            </w:pPr>
            <w:r>
              <w:rPr>
                <w:sz w:val="18"/>
              </w:rPr>
              <w:t>19</w:t>
            </w:r>
          </w:p>
        </w:tc>
        <w:tc>
          <w:tcPr>
            <w:tcW w:w="1023" w:type="dxa"/>
            <w:tcBorders>
              <w:top w:val="nil"/>
              <w:bottom w:val="nil"/>
              <w:right w:val="single" w:sz="8" w:space="0" w:color="000000"/>
            </w:tcBorders>
          </w:tcPr>
          <w:p>
            <w:pPr>
              <w:pStyle w:val="TableParagraph"/>
              <w:spacing w:before="127"/>
              <w:ind w:right="38"/>
              <w:jc w:val="right"/>
              <w:rPr>
                <w:sz w:val="18"/>
              </w:rPr>
            </w:pPr>
            <w:r>
              <w:rPr>
                <w:sz w:val="18"/>
              </w:rPr>
              <w:t>.582</w:t>
            </w:r>
          </w:p>
        </w:tc>
        <w:tc>
          <w:tcPr>
            <w:tcW w:w="1438" w:type="dxa"/>
            <w:tcBorders>
              <w:top w:val="nil"/>
              <w:left w:val="single" w:sz="8" w:space="0" w:color="000000"/>
              <w:bottom w:val="nil"/>
              <w:right w:val="single" w:sz="8" w:space="0" w:color="000000"/>
            </w:tcBorders>
          </w:tcPr>
          <w:p>
            <w:pPr>
              <w:pStyle w:val="TableParagraph"/>
              <w:spacing w:before="127"/>
              <w:ind w:right="37"/>
              <w:jc w:val="right"/>
              <w:rPr>
                <w:sz w:val="18"/>
              </w:rPr>
            </w:pPr>
            <w:r>
              <w:rPr>
                <w:sz w:val="18"/>
              </w:rPr>
              <w:t>1.385</w:t>
            </w:r>
          </w:p>
        </w:tc>
        <w:tc>
          <w:tcPr>
            <w:tcW w:w="1455" w:type="dxa"/>
            <w:tcBorders>
              <w:top w:val="nil"/>
              <w:left w:val="single" w:sz="8" w:space="0" w:color="000000"/>
              <w:bottom w:val="nil"/>
              <w:right w:val="single" w:sz="8" w:space="0" w:color="000000"/>
            </w:tcBorders>
          </w:tcPr>
          <w:p>
            <w:pPr>
              <w:pStyle w:val="TableParagraph"/>
              <w:spacing w:before="127"/>
              <w:ind w:right="41"/>
              <w:jc w:val="right"/>
              <w:rPr>
                <w:sz w:val="18"/>
              </w:rPr>
            </w:pPr>
            <w:r>
              <w:rPr>
                <w:sz w:val="18"/>
              </w:rPr>
              <w:t>84.533</w:t>
            </w:r>
          </w:p>
        </w:tc>
        <w:tc>
          <w:tcPr>
            <w:tcW w:w="1164" w:type="dxa"/>
            <w:tcBorders>
              <w:top w:val="nil"/>
              <w:left w:val="single" w:sz="8" w:space="0" w:color="000000"/>
              <w:bottom w:val="nil"/>
              <w:right w:val="single" w:sz="8" w:space="0" w:color="000000"/>
            </w:tcBorders>
          </w:tcPr>
          <w:p>
            <w:pPr>
              <w:pStyle w:val="TableParagraph"/>
              <w:rPr>
                <w:sz w:val="18"/>
              </w:rPr>
            </w:pPr>
          </w:p>
        </w:tc>
        <w:tc>
          <w:tcPr>
            <w:tcW w:w="1438" w:type="dxa"/>
            <w:tcBorders>
              <w:top w:val="nil"/>
              <w:left w:val="single" w:sz="8" w:space="0" w:color="000000"/>
              <w:bottom w:val="nil"/>
              <w:right w:val="single" w:sz="8" w:space="0" w:color="000000"/>
            </w:tcBorders>
          </w:tcPr>
          <w:p>
            <w:pPr>
              <w:pStyle w:val="TableParagraph"/>
              <w:rPr>
                <w:sz w:val="18"/>
              </w:rPr>
            </w:pPr>
          </w:p>
        </w:tc>
        <w:tc>
          <w:tcPr>
            <w:tcW w:w="1454" w:type="dxa"/>
            <w:tcBorders>
              <w:top w:val="nil"/>
              <w:left w:val="single" w:sz="8" w:space="0" w:color="000000"/>
              <w:bottom w:val="nil"/>
            </w:tcBorders>
          </w:tcPr>
          <w:p>
            <w:pPr>
              <w:pStyle w:val="TableParagraph"/>
              <w:rPr>
                <w:sz w:val="18"/>
              </w:rPr>
            </w:pPr>
          </w:p>
        </w:tc>
      </w:tr>
      <w:tr>
        <w:trPr>
          <w:trHeight w:val="412" w:hRule="atLeast"/>
        </w:trPr>
        <w:tc>
          <w:tcPr>
            <w:tcW w:w="1284" w:type="dxa"/>
            <w:tcBorders>
              <w:top w:val="nil"/>
              <w:bottom w:val="nil"/>
            </w:tcBorders>
          </w:tcPr>
          <w:p>
            <w:pPr>
              <w:pStyle w:val="TableParagraph"/>
              <w:spacing w:before="74"/>
              <w:ind w:left="75"/>
              <w:rPr>
                <w:sz w:val="18"/>
              </w:rPr>
            </w:pPr>
            <w:r>
              <w:rPr>
                <w:sz w:val="18"/>
              </w:rPr>
              <w:t>20</w:t>
            </w:r>
          </w:p>
        </w:tc>
        <w:tc>
          <w:tcPr>
            <w:tcW w:w="1023" w:type="dxa"/>
            <w:tcBorders>
              <w:top w:val="nil"/>
              <w:bottom w:val="nil"/>
              <w:right w:val="single" w:sz="8" w:space="0" w:color="000000"/>
            </w:tcBorders>
          </w:tcPr>
          <w:p>
            <w:pPr>
              <w:pStyle w:val="TableParagraph"/>
              <w:spacing w:before="124"/>
              <w:ind w:right="38"/>
              <w:jc w:val="right"/>
              <w:rPr>
                <w:sz w:val="18"/>
              </w:rPr>
            </w:pPr>
            <w:r>
              <w:rPr>
                <w:sz w:val="18"/>
              </w:rPr>
              <w:t>.522</w:t>
            </w:r>
          </w:p>
        </w:tc>
        <w:tc>
          <w:tcPr>
            <w:tcW w:w="1438" w:type="dxa"/>
            <w:tcBorders>
              <w:top w:val="nil"/>
              <w:left w:val="single" w:sz="8" w:space="0" w:color="000000"/>
              <w:bottom w:val="nil"/>
              <w:right w:val="single" w:sz="8" w:space="0" w:color="000000"/>
            </w:tcBorders>
          </w:tcPr>
          <w:p>
            <w:pPr>
              <w:pStyle w:val="TableParagraph"/>
              <w:spacing w:before="124"/>
              <w:ind w:right="37"/>
              <w:jc w:val="right"/>
              <w:rPr>
                <w:sz w:val="18"/>
              </w:rPr>
            </w:pPr>
            <w:r>
              <w:rPr>
                <w:sz w:val="18"/>
              </w:rPr>
              <w:t>1.243</w:t>
            </w:r>
          </w:p>
        </w:tc>
        <w:tc>
          <w:tcPr>
            <w:tcW w:w="1455" w:type="dxa"/>
            <w:tcBorders>
              <w:top w:val="nil"/>
              <w:left w:val="single" w:sz="8" w:space="0" w:color="000000"/>
              <w:bottom w:val="nil"/>
              <w:right w:val="single" w:sz="8" w:space="0" w:color="000000"/>
            </w:tcBorders>
          </w:tcPr>
          <w:p>
            <w:pPr>
              <w:pStyle w:val="TableParagraph"/>
              <w:spacing w:before="124"/>
              <w:ind w:right="40"/>
              <w:jc w:val="right"/>
              <w:rPr>
                <w:sz w:val="18"/>
              </w:rPr>
            </w:pPr>
            <w:r>
              <w:rPr>
                <w:sz w:val="18"/>
              </w:rPr>
              <w:t>85.777</w:t>
            </w:r>
          </w:p>
        </w:tc>
        <w:tc>
          <w:tcPr>
            <w:tcW w:w="1164" w:type="dxa"/>
            <w:tcBorders>
              <w:top w:val="nil"/>
              <w:left w:val="single" w:sz="8" w:space="0" w:color="000000"/>
              <w:bottom w:val="nil"/>
              <w:right w:val="single" w:sz="8" w:space="0" w:color="000000"/>
            </w:tcBorders>
          </w:tcPr>
          <w:p>
            <w:pPr>
              <w:pStyle w:val="TableParagraph"/>
              <w:rPr>
                <w:sz w:val="18"/>
              </w:rPr>
            </w:pPr>
          </w:p>
        </w:tc>
        <w:tc>
          <w:tcPr>
            <w:tcW w:w="1438" w:type="dxa"/>
            <w:tcBorders>
              <w:top w:val="nil"/>
              <w:left w:val="single" w:sz="8" w:space="0" w:color="000000"/>
              <w:bottom w:val="nil"/>
              <w:right w:val="single" w:sz="8" w:space="0" w:color="000000"/>
            </w:tcBorders>
          </w:tcPr>
          <w:p>
            <w:pPr>
              <w:pStyle w:val="TableParagraph"/>
              <w:rPr>
                <w:sz w:val="18"/>
              </w:rPr>
            </w:pPr>
          </w:p>
        </w:tc>
        <w:tc>
          <w:tcPr>
            <w:tcW w:w="1454" w:type="dxa"/>
            <w:tcBorders>
              <w:top w:val="nil"/>
              <w:left w:val="single" w:sz="8" w:space="0" w:color="000000"/>
              <w:bottom w:val="nil"/>
            </w:tcBorders>
          </w:tcPr>
          <w:p>
            <w:pPr>
              <w:pStyle w:val="TableParagraph"/>
              <w:rPr>
                <w:sz w:val="18"/>
              </w:rPr>
            </w:pPr>
          </w:p>
        </w:tc>
      </w:tr>
      <w:tr>
        <w:trPr>
          <w:trHeight w:val="415" w:hRule="atLeast"/>
        </w:trPr>
        <w:tc>
          <w:tcPr>
            <w:tcW w:w="1284" w:type="dxa"/>
            <w:tcBorders>
              <w:top w:val="nil"/>
              <w:bottom w:val="nil"/>
            </w:tcBorders>
          </w:tcPr>
          <w:p>
            <w:pPr>
              <w:pStyle w:val="TableParagraph"/>
              <w:spacing w:before="74"/>
              <w:ind w:left="75"/>
              <w:rPr>
                <w:sz w:val="18"/>
              </w:rPr>
            </w:pPr>
            <w:r>
              <w:rPr>
                <w:sz w:val="18"/>
              </w:rPr>
              <w:t>21</w:t>
            </w:r>
          </w:p>
        </w:tc>
        <w:tc>
          <w:tcPr>
            <w:tcW w:w="1023" w:type="dxa"/>
            <w:tcBorders>
              <w:top w:val="nil"/>
              <w:bottom w:val="nil"/>
              <w:right w:val="single" w:sz="8" w:space="0" w:color="000000"/>
            </w:tcBorders>
          </w:tcPr>
          <w:p>
            <w:pPr>
              <w:pStyle w:val="TableParagraph"/>
              <w:spacing w:before="126"/>
              <w:ind w:right="38"/>
              <w:jc w:val="right"/>
              <w:rPr>
                <w:sz w:val="18"/>
              </w:rPr>
            </w:pPr>
            <w:r>
              <w:rPr>
                <w:sz w:val="18"/>
              </w:rPr>
              <w:t>.517</w:t>
            </w:r>
          </w:p>
        </w:tc>
        <w:tc>
          <w:tcPr>
            <w:tcW w:w="1438" w:type="dxa"/>
            <w:tcBorders>
              <w:top w:val="nil"/>
              <w:left w:val="single" w:sz="8" w:space="0" w:color="000000"/>
              <w:bottom w:val="nil"/>
              <w:right w:val="single" w:sz="8" w:space="0" w:color="000000"/>
            </w:tcBorders>
          </w:tcPr>
          <w:p>
            <w:pPr>
              <w:pStyle w:val="TableParagraph"/>
              <w:spacing w:before="126"/>
              <w:ind w:right="37"/>
              <w:jc w:val="right"/>
              <w:rPr>
                <w:sz w:val="18"/>
              </w:rPr>
            </w:pPr>
            <w:r>
              <w:rPr>
                <w:sz w:val="18"/>
              </w:rPr>
              <w:t>1.232</w:t>
            </w:r>
          </w:p>
        </w:tc>
        <w:tc>
          <w:tcPr>
            <w:tcW w:w="1455" w:type="dxa"/>
            <w:tcBorders>
              <w:top w:val="nil"/>
              <w:left w:val="single" w:sz="8" w:space="0" w:color="000000"/>
              <w:bottom w:val="nil"/>
              <w:right w:val="single" w:sz="8" w:space="0" w:color="000000"/>
            </w:tcBorders>
          </w:tcPr>
          <w:p>
            <w:pPr>
              <w:pStyle w:val="TableParagraph"/>
              <w:spacing w:before="126"/>
              <w:ind w:right="40"/>
              <w:jc w:val="right"/>
              <w:rPr>
                <w:sz w:val="18"/>
              </w:rPr>
            </w:pPr>
            <w:r>
              <w:rPr>
                <w:sz w:val="18"/>
              </w:rPr>
              <w:t>87.009</w:t>
            </w:r>
          </w:p>
        </w:tc>
        <w:tc>
          <w:tcPr>
            <w:tcW w:w="1164" w:type="dxa"/>
            <w:tcBorders>
              <w:top w:val="nil"/>
              <w:left w:val="single" w:sz="8" w:space="0" w:color="000000"/>
              <w:bottom w:val="nil"/>
              <w:right w:val="single" w:sz="8" w:space="0" w:color="000000"/>
            </w:tcBorders>
          </w:tcPr>
          <w:p>
            <w:pPr>
              <w:pStyle w:val="TableParagraph"/>
              <w:rPr>
                <w:sz w:val="18"/>
              </w:rPr>
            </w:pPr>
          </w:p>
        </w:tc>
        <w:tc>
          <w:tcPr>
            <w:tcW w:w="1438" w:type="dxa"/>
            <w:tcBorders>
              <w:top w:val="nil"/>
              <w:left w:val="single" w:sz="8" w:space="0" w:color="000000"/>
              <w:bottom w:val="nil"/>
              <w:right w:val="single" w:sz="8" w:space="0" w:color="000000"/>
            </w:tcBorders>
          </w:tcPr>
          <w:p>
            <w:pPr>
              <w:pStyle w:val="TableParagraph"/>
              <w:rPr>
                <w:sz w:val="18"/>
              </w:rPr>
            </w:pPr>
          </w:p>
        </w:tc>
        <w:tc>
          <w:tcPr>
            <w:tcW w:w="1454" w:type="dxa"/>
            <w:tcBorders>
              <w:top w:val="nil"/>
              <w:left w:val="single" w:sz="8" w:space="0" w:color="000000"/>
              <w:bottom w:val="nil"/>
            </w:tcBorders>
          </w:tcPr>
          <w:p>
            <w:pPr>
              <w:pStyle w:val="TableParagraph"/>
              <w:rPr>
                <w:sz w:val="18"/>
              </w:rPr>
            </w:pPr>
          </w:p>
        </w:tc>
      </w:tr>
      <w:tr>
        <w:trPr>
          <w:trHeight w:val="412" w:hRule="atLeast"/>
        </w:trPr>
        <w:tc>
          <w:tcPr>
            <w:tcW w:w="1284" w:type="dxa"/>
            <w:tcBorders>
              <w:top w:val="nil"/>
              <w:bottom w:val="nil"/>
            </w:tcBorders>
          </w:tcPr>
          <w:p>
            <w:pPr>
              <w:pStyle w:val="TableParagraph"/>
              <w:spacing w:before="74"/>
              <w:ind w:left="75"/>
              <w:rPr>
                <w:sz w:val="18"/>
              </w:rPr>
            </w:pPr>
            <w:r>
              <w:rPr>
                <w:sz w:val="18"/>
              </w:rPr>
              <w:t>22</w:t>
            </w:r>
          </w:p>
        </w:tc>
        <w:tc>
          <w:tcPr>
            <w:tcW w:w="1023" w:type="dxa"/>
            <w:tcBorders>
              <w:top w:val="nil"/>
              <w:bottom w:val="nil"/>
              <w:right w:val="single" w:sz="8" w:space="0" w:color="000000"/>
            </w:tcBorders>
          </w:tcPr>
          <w:p>
            <w:pPr>
              <w:pStyle w:val="TableParagraph"/>
              <w:spacing w:before="124"/>
              <w:ind w:right="38"/>
              <w:jc w:val="right"/>
              <w:rPr>
                <w:sz w:val="18"/>
              </w:rPr>
            </w:pPr>
            <w:r>
              <w:rPr>
                <w:sz w:val="18"/>
              </w:rPr>
              <w:t>.476</w:t>
            </w:r>
          </w:p>
        </w:tc>
        <w:tc>
          <w:tcPr>
            <w:tcW w:w="1438" w:type="dxa"/>
            <w:tcBorders>
              <w:top w:val="nil"/>
              <w:left w:val="single" w:sz="8" w:space="0" w:color="000000"/>
              <w:bottom w:val="nil"/>
              <w:right w:val="single" w:sz="8" w:space="0" w:color="000000"/>
            </w:tcBorders>
          </w:tcPr>
          <w:p>
            <w:pPr>
              <w:pStyle w:val="TableParagraph"/>
              <w:spacing w:before="124"/>
              <w:ind w:right="37"/>
              <w:jc w:val="right"/>
              <w:rPr>
                <w:sz w:val="18"/>
              </w:rPr>
            </w:pPr>
            <w:r>
              <w:rPr>
                <w:sz w:val="18"/>
              </w:rPr>
              <w:t>1.132</w:t>
            </w:r>
          </w:p>
        </w:tc>
        <w:tc>
          <w:tcPr>
            <w:tcW w:w="1455" w:type="dxa"/>
            <w:tcBorders>
              <w:top w:val="nil"/>
              <w:left w:val="single" w:sz="8" w:space="0" w:color="000000"/>
              <w:bottom w:val="nil"/>
              <w:right w:val="single" w:sz="8" w:space="0" w:color="000000"/>
            </w:tcBorders>
          </w:tcPr>
          <w:p>
            <w:pPr>
              <w:pStyle w:val="TableParagraph"/>
              <w:spacing w:before="124"/>
              <w:ind w:right="40"/>
              <w:jc w:val="right"/>
              <w:rPr>
                <w:sz w:val="18"/>
              </w:rPr>
            </w:pPr>
            <w:r>
              <w:rPr>
                <w:sz w:val="18"/>
              </w:rPr>
              <w:t>88.141</w:t>
            </w:r>
          </w:p>
        </w:tc>
        <w:tc>
          <w:tcPr>
            <w:tcW w:w="1164" w:type="dxa"/>
            <w:tcBorders>
              <w:top w:val="nil"/>
              <w:left w:val="single" w:sz="8" w:space="0" w:color="000000"/>
              <w:bottom w:val="nil"/>
              <w:right w:val="single" w:sz="8" w:space="0" w:color="000000"/>
            </w:tcBorders>
          </w:tcPr>
          <w:p>
            <w:pPr>
              <w:pStyle w:val="TableParagraph"/>
              <w:rPr>
                <w:sz w:val="18"/>
              </w:rPr>
            </w:pPr>
          </w:p>
        </w:tc>
        <w:tc>
          <w:tcPr>
            <w:tcW w:w="1438" w:type="dxa"/>
            <w:tcBorders>
              <w:top w:val="nil"/>
              <w:left w:val="single" w:sz="8" w:space="0" w:color="000000"/>
              <w:bottom w:val="nil"/>
              <w:right w:val="single" w:sz="8" w:space="0" w:color="000000"/>
            </w:tcBorders>
          </w:tcPr>
          <w:p>
            <w:pPr>
              <w:pStyle w:val="TableParagraph"/>
              <w:rPr>
                <w:sz w:val="18"/>
              </w:rPr>
            </w:pPr>
          </w:p>
        </w:tc>
        <w:tc>
          <w:tcPr>
            <w:tcW w:w="1454" w:type="dxa"/>
            <w:tcBorders>
              <w:top w:val="nil"/>
              <w:left w:val="single" w:sz="8" w:space="0" w:color="000000"/>
              <w:bottom w:val="nil"/>
            </w:tcBorders>
          </w:tcPr>
          <w:p>
            <w:pPr>
              <w:pStyle w:val="TableParagraph"/>
              <w:rPr>
                <w:sz w:val="18"/>
              </w:rPr>
            </w:pPr>
          </w:p>
        </w:tc>
      </w:tr>
      <w:tr>
        <w:trPr>
          <w:trHeight w:val="413" w:hRule="atLeast"/>
        </w:trPr>
        <w:tc>
          <w:tcPr>
            <w:tcW w:w="1284" w:type="dxa"/>
            <w:tcBorders>
              <w:top w:val="nil"/>
              <w:bottom w:val="nil"/>
            </w:tcBorders>
          </w:tcPr>
          <w:p>
            <w:pPr>
              <w:pStyle w:val="TableParagraph"/>
              <w:spacing w:before="74"/>
              <w:ind w:left="75"/>
              <w:rPr>
                <w:sz w:val="18"/>
              </w:rPr>
            </w:pPr>
            <w:r>
              <w:rPr>
                <w:sz w:val="18"/>
              </w:rPr>
              <w:t>23</w:t>
            </w:r>
          </w:p>
        </w:tc>
        <w:tc>
          <w:tcPr>
            <w:tcW w:w="1023" w:type="dxa"/>
            <w:tcBorders>
              <w:top w:val="nil"/>
              <w:bottom w:val="nil"/>
              <w:right w:val="single" w:sz="8" w:space="0" w:color="000000"/>
            </w:tcBorders>
          </w:tcPr>
          <w:p>
            <w:pPr>
              <w:pStyle w:val="TableParagraph"/>
              <w:spacing w:before="126"/>
              <w:ind w:right="38"/>
              <w:jc w:val="right"/>
              <w:rPr>
                <w:sz w:val="18"/>
              </w:rPr>
            </w:pPr>
            <w:r>
              <w:rPr>
                <w:sz w:val="18"/>
              </w:rPr>
              <w:t>.445</w:t>
            </w:r>
          </w:p>
        </w:tc>
        <w:tc>
          <w:tcPr>
            <w:tcW w:w="1438" w:type="dxa"/>
            <w:tcBorders>
              <w:top w:val="nil"/>
              <w:left w:val="single" w:sz="8" w:space="0" w:color="000000"/>
              <w:bottom w:val="nil"/>
              <w:right w:val="single" w:sz="8" w:space="0" w:color="000000"/>
            </w:tcBorders>
          </w:tcPr>
          <w:p>
            <w:pPr>
              <w:pStyle w:val="TableParagraph"/>
              <w:spacing w:before="126"/>
              <w:ind w:right="37"/>
              <w:jc w:val="right"/>
              <w:rPr>
                <w:sz w:val="18"/>
              </w:rPr>
            </w:pPr>
            <w:r>
              <w:rPr>
                <w:sz w:val="18"/>
              </w:rPr>
              <w:t>1.061</w:t>
            </w:r>
          </w:p>
        </w:tc>
        <w:tc>
          <w:tcPr>
            <w:tcW w:w="1455" w:type="dxa"/>
            <w:tcBorders>
              <w:top w:val="nil"/>
              <w:left w:val="single" w:sz="8" w:space="0" w:color="000000"/>
              <w:bottom w:val="nil"/>
              <w:right w:val="single" w:sz="8" w:space="0" w:color="000000"/>
            </w:tcBorders>
          </w:tcPr>
          <w:p>
            <w:pPr>
              <w:pStyle w:val="TableParagraph"/>
              <w:spacing w:before="126"/>
              <w:ind w:right="40"/>
              <w:jc w:val="right"/>
              <w:rPr>
                <w:sz w:val="18"/>
              </w:rPr>
            </w:pPr>
            <w:r>
              <w:rPr>
                <w:sz w:val="18"/>
              </w:rPr>
              <w:t>89.202</w:t>
            </w:r>
          </w:p>
        </w:tc>
        <w:tc>
          <w:tcPr>
            <w:tcW w:w="1164" w:type="dxa"/>
            <w:tcBorders>
              <w:top w:val="nil"/>
              <w:left w:val="single" w:sz="8" w:space="0" w:color="000000"/>
              <w:bottom w:val="nil"/>
              <w:right w:val="single" w:sz="8" w:space="0" w:color="000000"/>
            </w:tcBorders>
          </w:tcPr>
          <w:p>
            <w:pPr>
              <w:pStyle w:val="TableParagraph"/>
              <w:rPr>
                <w:sz w:val="18"/>
              </w:rPr>
            </w:pPr>
          </w:p>
        </w:tc>
        <w:tc>
          <w:tcPr>
            <w:tcW w:w="1438" w:type="dxa"/>
            <w:tcBorders>
              <w:top w:val="nil"/>
              <w:left w:val="single" w:sz="8" w:space="0" w:color="000000"/>
              <w:bottom w:val="nil"/>
              <w:right w:val="single" w:sz="8" w:space="0" w:color="000000"/>
            </w:tcBorders>
          </w:tcPr>
          <w:p>
            <w:pPr>
              <w:pStyle w:val="TableParagraph"/>
              <w:rPr>
                <w:sz w:val="18"/>
              </w:rPr>
            </w:pPr>
          </w:p>
        </w:tc>
        <w:tc>
          <w:tcPr>
            <w:tcW w:w="1454" w:type="dxa"/>
            <w:tcBorders>
              <w:top w:val="nil"/>
              <w:left w:val="single" w:sz="8" w:space="0" w:color="000000"/>
              <w:bottom w:val="nil"/>
            </w:tcBorders>
          </w:tcPr>
          <w:p>
            <w:pPr>
              <w:pStyle w:val="TableParagraph"/>
              <w:rPr>
                <w:sz w:val="18"/>
              </w:rPr>
            </w:pPr>
          </w:p>
        </w:tc>
      </w:tr>
      <w:tr>
        <w:trPr>
          <w:trHeight w:val="413" w:hRule="atLeast"/>
        </w:trPr>
        <w:tc>
          <w:tcPr>
            <w:tcW w:w="1284" w:type="dxa"/>
            <w:tcBorders>
              <w:top w:val="nil"/>
              <w:bottom w:val="nil"/>
            </w:tcBorders>
          </w:tcPr>
          <w:p>
            <w:pPr>
              <w:pStyle w:val="TableParagraph"/>
              <w:spacing w:before="72"/>
              <w:ind w:left="75"/>
              <w:rPr>
                <w:sz w:val="18"/>
              </w:rPr>
            </w:pPr>
            <w:r>
              <w:rPr>
                <w:sz w:val="18"/>
              </w:rPr>
              <w:t>24</w:t>
            </w:r>
          </w:p>
        </w:tc>
        <w:tc>
          <w:tcPr>
            <w:tcW w:w="1023" w:type="dxa"/>
            <w:tcBorders>
              <w:top w:val="nil"/>
              <w:bottom w:val="nil"/>
              <w:right w:val="single" w:sz="8" w:space="0" w:color="000000"/>
            </w:tcBorders>
          </w:tcPr>
          <w:p>
            <w:pPr>
              <w:pStyle w:val="TableParagraph"/>
              <w:spacing w:before="125"/>
              <w:ind w:right="38"/>
              <w:jc w:val="right"/>
              <w:rPr>
                <w:sz w:val="18"/>
              </w:rPr>
            </w:pPr>
            <w:r>
              <w:rPr>
                <w:sz w:val="18"/>
              </w:rPr>
              <w:t>.407</w:t>
            </w:r>
          </w:p>
        </w:tc>
        <w:tc>
          <w:tcPr>
            <w:tcW w:w="1438" w:type="dxa"/>
            <w:tcBorders>
              <w:top w:val="nil"/>
              <w:left w:val="single" w:sz="8" w:space="0" w:color="000000"/>
              <w:bottom w:val="nil"/>
              <w:right w:val="single" w:sz="8" w:space="0" w:color="000000"/>
            </w:tcBorders>
          </w:tcPr>
          <w:p>
            <w:pPr>
              <w:pStyle w:val="TableParagraph"/>
              <w:spacing w:before="125"/>
              <w:ind w:right="37"/>
              <w:jc w:val="right"/>
              <w:rPr>
                <w:sz w:val="18"/>
              </w:rPr>
            </w:pPr>
            <w:r>
              <w:rPr>
                <w:sz w:val="18"/>
              </w:rPr>
              <w:t>.970</w:t>
            </w:r>
          </w:p>
        </w:tc>
        <w:tc>
          <w:tcPr>
            <w:tcW w:w="1455" w:type="dxa"/>
            <w:tcBorders>
              <w:top w:val="nil"/>
              <w:left w:val="single" w:sz="8" w:space="0" w:color="000000"/>
              <w:bottom w:val="nil"/>
              <w:right w:val="single" w:sz="8" w:space="0" w:color="000000"/>
            </w:tcBorders>
          </w:tcPr>
          <w:p>
            <w:pPr>
              <w:pStyle w:val="TableParagraph"/>
              <w:spacing w:before="125"/>
              <w:ind w:right="40"/>
              <w:jc w:val="right"/>
              <w:rPr>
                <w:sz w:val="18"/>
              </w:rPr>
            </w:pPr>
            <w:r>
              <w:rPr>
                <w:sz w:val="18"/>
              </w:rPr>
              <w:t>90.172</w:t>
            </w:r>
          </w:p>
        </w:tc>
        <w:tc>
          <w:tcPr>
            <w:tcW w:w="1164" w:type="dxa"/>
            <w:tcBorders>
              <w:top w:val="nil"/>
              <w:left w:val="single" w:sz="8" w:space="0" w:color="000000"/>
              <w:bottom w:val="nil"/>
              <w:right w:val="single" w:sz="8" w:space="0" w:color="000000"/>
            </w:tcBorders>
          </w:tcPr>
          <w:p>
            <w:pPr>
              <w:pStyle w:val="TableParagraph"/>
              <w:rPr>
                <w:sz w:val="18"/>
              </w:rPr>
            </w:pPr>
          </w:p>
        </w:tc>
        <w:tc>
          <w:tcPr>
            <w:tcW w:w="1438" w:type="dxa"/>
            <w:tcBorders>
              <w:top w:val="nil"/>
              <w:left w:val="single" w:sz="8" w:space="0" w:color="000000"/>
              <w:bottom w:val="nil"/>
              <w:right w:val="single" w:sz="8" w:space="0" w:color="000000"/>
            </w:tcBorders>
          </w:tcPr>
          <w:p>
            <w:pPr>
              <w:pStyle w:val="TableParagraph"/>
              <w:rPr>
                <w:sz w:val="18"/>
              </w:rPr>
            </w:pPr>
          </w:p>
        </w:tc>
        <w:tc>
          <w:tcPr>
            <w:tcW w:w="1454" w:type="dxa"/>
            <w:tcBorders>
              <w:top w:val="nil"/>
              <w:left w:val="single" w:sz="8" w:space="0" w:color="000000"/>
              <w:bottom w:val="nil"/>
            </w:tcBorders>
          </w:tcPr>
          <w:p>
            <w:pPr>
              <w:pStyle w:val="TableParagraph"/>
              <w:rPr>
                <w:sz w:val="18"/>
              </w:rPr>
            </w:pPr>
          </w:p>
        </w:tc>
      </w:tr>
      <w:tr>
        <w:trPr>
          <w:trHeight w:val="413" w:hRule="atLeast"/>
        </w:trPr>
        <w:tc>
          <w:tcPr>
            <w:tcW w:w="1284" w:type="dxa"/>
            <w:tcBorders>
              <w:top w:val="nil"/>
              <w:bottom w:val="nil"/>
            </w:tcBorders>
          </w:tcPr>
          <w:p>
            <w:pPr>
              <w:pStyle w:val="TableParagraph"/>
              <w:spacing w:before="74"/>
              <w:ind w:left="75"/>
              <w:rPr>
                <w:sz w:val="18"/>
              </w:rPr>
            </w:pPr>
            <w:r>
              <w:rPr>
                <w:sz w:val="18"/>
              </w:rPr>
              <w:t>25</w:t>
            </w:r>
          </w:p>
        </w:tc>
        <w:tc>
          <w:tcPr>
            <w:tcW w:w="1023" w:type="dxa"/>
            <w:tcBorders>
              <w:top w:val="nil"/>
              <w:bottom w:val="nil"/>
              <w:right w:val="single" w:sz="8" w:space="0" w:color="000000"/>
            </w:tcBorders>
          </w:tcPr>
          <w:p>
            <w:pPr>
              <w:pStyle w:val="TableParagraph"/>
              <w:spacing w:before="126"/>
              <w:ind w:right="38"/>
              <w:jc w:val="right"/>
              <w:rPr>
                <w:sz w:val="18"/>
              </w:rPr>
            </w:pPr>
            <w:r>
              <w:rPr>
                <w:sz w:val="18"/>
              </w:rPr>
              <w:t>.379</w:t>
            </w:r>
          </w:p>
        </w:tc>
        <w:tc>
          <w:tcPr>
            <w:tcW w:w="1438" w:type="dxa"/>
            <w:tcBorders>
              <w:top w:val="nil"/>
              <w:left w:val="single" w:sz="8" w:space="0" w:color="000000"/>
              <w:bottom w:val="nil"/>
              <w:right w:val="single" w:sz="8" w:space="0" w:color="000000"/>
            </w:tcBorders>
          </w:tcPr>
          <w:p>
            <w:pPr>
              <w:pStyle w:val="TableParagraph"/>
              <w:spacing w:before="126"/>
              <w:ind w:right="37"/>
              <w:jc w:val="right"/>
              <w:rPr>
                <w:sz w:val="18"/>
              </w:rPr>
            </w:pPr>
            <w:r>
              <w:rPr>
                <w:sz w:val="18"/>
              </w:rPr>
              <w:t>.903</w:t>
            </w:r>
          </w:p>
        </w:tc>
        <w:tc>
          <w:tcPr>
            <w:tcW w:w="1455" w:type="dxa"/>
            <w:tcBorders>
              <w:top w:val="nil"/>
              <w:left w:val="single" w:sz="8" w:space="0" w:color="000000"/>
              <w:bottom w:val="nil"/>
              <w:right w:val="single" w:sz="8" w:space="0" w:color="000000"/>
            </w:tcBorders>
          </w:tcPr>
          <w:p>
            <w:pPr>
              <w:pStyle w:val="TableParagraph"/>
              <w:spacing w:before="126"/>
              <w:ind w:right="40"/>
              <w:jc w:val="right"/>
              <w:rPr>
                <w:sz w:val="18"/>
              </w:rPr>
            </w:pPr>
            <w:r>
              <w:rPr>
                <w:sz w:val="18"/>
              </w:rPr>
              <w:t>91.075</w:t>
            </w:r>
          </w:p>
        </w:tc>
        <w:tc>
          <w:tcPr>
            <w:tcW w:w="1164" w:type="dxa"/>
            <w:tcBorders>
              <w:top w:val="nil"/>
              <w:left w:val="single" w:sz="8" w:space="0" w:color="000000"/>
              <w:bottom w:val="nil"/>
              <w:right w:val="single" w:sz="8" w:space="0" w:color="000000"/>
            </w:tcBorders>
          </w:tcPr>
          <w:p>
            <w:pPr>
              <w:pStyle w:val="TableParagraph"/>
              <w:rPr>
                <w:sz w:val="18"/>
              </w:rPr>
            </w:pPr>
          </w:p>
        </w:tc>
        <w:tc>
          <w:tcPr>
            <w:tcW w:w="1438" w:type="dxa"/>
            <w:tcBorders>
              <w:top w:val="nil"/>
              <w:left w:val="single" w:sz="8" w:space="0" w:color="000000"/>
              <w:bottom w:val="nil"/>
              <w:right w:val="single" w:sz="8" w:space="0" w:color="000000"/>
            </w:tcBorders>
          </w:tcPr>
          <w:p>
            <w:pPr>
              <w:pStyle w:val="TableParagraph"/>
              <w:rPr>
                <w:sz w:val="18"/>
              </w:rPr>
            </w:pPr>
          </w:p>
        </w:tc>
        <w:tc>
          <w:tcPr>
            <w:tcW w:w="1454" w:type="dxa"/>
            <w:tcBorders>
              <w:top w:val="nil"/>
              <w:left w:val="single" w:sz="8" w:space="0" w:color="000000"/>
              <w:bottom w:val="nil"/>
            </w:tcBorders>
          </w:tcPr>
          <w:p>
            <w:pPr>
              <w:pStyle w:val="TableParagraph"/>
              <w:rPr>
                <w:sz w:val="18"/>
              </w:rPr>
            </w:pPr>
          </w:p>
        </w:tc>
      </w:tr>
      <w:tr>
        <w:trPr>
          <w:trHeight w:val="414" w:hRule="atLeast"/>
        </w:trPr>
        <w:tc>
          <w:tcPr>
            <w:tcW w:w="1284" w:type="dxa"/>
            <w:tcBorders>
              <w:top w:val="nil"/>
              <w:bottom w:val="nil"/>
            </w:tcBorders>
          </w:tcPr>
          <w:p>
            <w:pPr>
              <w:pStyle w:val="TableParagraph"/>
              <w:spacing w:before="72"/>
              <w:ind w:left="75"/>
              <w:rPr>
                <w:sz w:val="18"/>
              </w:rPr>
            </w:pPr>
            <w:r>
              <w:rPr>
                <w:sz w:val="18"/>
              </w:rPr>
              <w:t>26</w:t>
            </w:r>
          </w:p>
        </w:tc>
        <w:tc>
          <w:tcPr>
            <w:tcW w:w="1023" w:type="dxa"/>
            <w:tcBorders>
              <w:top w:val="nil"/>
              <w:bottom w:val="nil"/>
              <w:right w:val="single" w:sz="8" w:space="0" w:color="000000"/>
            </w:tcBorders>
          </w:tcPr>
          <w:p>
            <w:pPr>
              <w:pStyle w:val="TableParagraph"/>
              <w:spacing w:before="125"/>
              <w:ind w:right="38"/>
              <w:jc w:val="right"/>
              <w:rPr>
                <w:sz w:val="18"/>
              </w:rPr>
            </w:pPr>
            <w:r>
              <w:rPr>
                <w:sz w:val="18"/>
              </w:rPr>
              <w:t>.328</w:t>
            </w:r>
          </w:p>
        </w:tc>
        <w:tc>
          <w:tcPr>
            <w:tcW w:w="1438" w:type="dxa"/>
            <w:tcBorders>
              <w:top w:val="nil"/>
              <w:left w:val="single" w:sz="8" w:space="0" w:color="000000"/>
              <w:bottom w:val="nil"/>
              <w:right w:val="single" w:sz="8" w:space="0" w:color="000000"/>
            </w:tcBorders>
          </w:tcPr>
          <w:p>
            <w:pPr>
              <w:pStyle w:val="TableParagraph"/>
              <w:spacing w:before="125"/>
              <w:ind w:right="37"/>
              <w:jc w:val="right"/>
              <w:rPr>
                <w:sz w:val="18"/>
              </w:rPr>
            </w:pPr>
            <w:r>
              <w:rPr>
                <w:sz w:val="18"/>
              </w:rPr>
              <w:t>.781</w:t>
            </w:r>
          </w:p>
        </w:tc>
        <w:tc>
          <w:tcPr>
            <w:tcW w:w="1455" w:type="dxa"/>
            <w:tcBorders>
              <w:top w:val="nil"/>
              <w:left w:val="single" w:sz="8" w:space="0" w:color="000000"/>
              <w:bottom w:val="nil"/>
              <w:right w:val="single" w:sz="8" w:space="0" w:color="000000"/>
            </w:tcBorders>
          </w:tcPr>
          <w:p>
            <w:pPr>
              <w:pStyle w:val="TableParagraph"/>
              <w:spacing w:before="125"/>
              <w:ind w:right="40"/>
              <w:jc w:val="right"/>
              <w:rPr>
                <w:sz w:val="18"/>
              </w:rPr>
            </w:pPr>
            <w:r>
              <w:rPr>
                <w:sz w:val="18"/>
              </w:rPr>
              <w:t>91.856</w:t>
            </w:r>
          </w:p>
        </w:tc>
        <w:tc>
          <w:tcPr>
            <w:tcW w:w="1164" w:type="dxa"/>
            <w:tcBorders>
              <w:top w:val="nil"/>
              <w:left w:val="single" w:sz="8" w:space="0" w:color="000000"/>
              <w:bottom w:val="nil"/>
              <w:right w:val="single" w:sz="8" w:space="0" w:color="000000"/>
            </w:tcBorders>
          </w:tcPr>
          <w:p>
            <w:pPr>
              <w:pStyle w:val="TableParagraph"/>
              <w:rPr>
                <w:sz w:val="18"/>
              </w:rPr>
            </w:pPr>
          </w:p>
        </w:tc>
        <w:tc>
          <w:tcPr>
            <w:tcW w:w="1438" w:type="dxa"/>
            <w:tcBorders>
              <w:top w:val="nil"/>
              <w:left w:val="single" w:sz="8" w:space="0" w:color="000000"/>
              <w:bottom w:val="nil"/>
              <w:right w:val="single" w:sz="8" w:space="0" w:color="000000"/>
            </w:tcBorders>
          </w:tcPr>
          <w:p>
            <w:pPr>
              <w:pStyle w:val="TableParagraph"/>
              <w:rPr>
                <w:sz w:val="18"/>
              </w:rPr>
            </w:pPr>
          </w:p>
        </w:tc>
        <w:tc>
          <w:tcPr>
            <w:tcW w:w="1454" w:type="dxa"/>
            <w:tcBorders>
              <w:top w:val="nil"/>
              <w:left w:val="single" w:sz="8" w:space="0" w:color="000000"/>
              <w:bottom w:val="nil"/>
            </w:tcBorders>
          </w:tcPr>
          <w:p>
            <w:pPr>
              <w:pStyle w:val="TableParagraph"/>
              <w:rPr>
                <w:sz w:val="18"/>
              </w:rPr>
            </w:pPr>
          </w:p>
        </w:tc>
      </w:tr>
      <w:tr>
        <w:trPr>
          <w:trHeight w:val="414" w:hRule="atLeast"/>
        </w:trPr>
        <w:tc>
          <w:tcPr>
            <w:tcW w:w="1284" w:type="dxa"/>
            <w:tcBorders>
              <w:top w:val="nil"/>
              <w:bottom w:val="nil"/>
            </w:tcBorders>
          </w:tcPr>
          <w:p>
            <w:pPr>
              <w:pStyle w:val="TableParagraph"/>
              <w:spacing w:before="74"/>
              <w:ind w:left="75"/>
              <w:rPr>
                <w:sz w:val="18"/>
              </w:rPr>
            </w:pPr>
            <w:r>
              <w:rPr>
                <w:sz w:val="18"/>
              </w:rPr>
              <w:t>27</w:t>
            </w:r>
          </w:p>
        </w:tc>
        <w:tc>
          <w:tcPr>
            <w:tcW w:w="1023" w:type="dxa"/>
            <w:tcBorders>
              <w:top w:val="nil"/>
              <w:bottom w:val="nil"/>
              <w:right w:val="single" w:sz="8" w:space="0" w:color="000000"/>
            </w:tcBorders>
          </w:tcPr>
          <w:p>
            <w:pPr>
              <w:pStyle w:val="TableParagraph"/>
              <w:spacing w:before="127"/>
              <w:ind w:right="37"/>
              <w:jc w:val="right"/>
              <w:rPr>
                <w:sz w:val="18"/>
              </w:rPr>
            </w:pPr>
            <w:r>
              <w:rPr>
                <w:sz w:val="18"/>
              </w:rPr>
              <w:t>.316</w:t>
            </w:r>
          </w:p>
        </w:tc>
        <w:tc>
          <w:tcPr>
            <w:tcW w:w="1438" w:type="dxa"/>
            <w:tcBorders>
              <w:top w:val="nil"/>
              <w:left w:val="single" w:sz="8" w:space="0" w:color="000000"/>
              <w:bottom w:val="nil"/>
              <w:right w:val="single" w:sz="8" w:space="0" w:color="000000"/>
            </w:tcBorders>
          </w:tcPr>
          <w:p>
            <w:pPr>
              <w:pStyle w:val="TableParagraph"/>
              <w:spacing w:before="127"/>
              <w:ind w:right="37"/>
              <w:jc w:val="right"/>
              <w:rPr>
                <w:sz w:val="18"/>
              </w:rPr>
            </w:pPr>
            <w:r>
              <w:rPr>
                <w:sz w:val="18"/>
              </w:rPr>
              <w:t>.752</w:t>
            </w:r>
          </w:p>
        </w:tc>
        <w:tc>
          <w:tcPr>
            <w:tcW w:w="1455" w:type="dxa"/>
            <w:tcBorders>
              <w:top w:val="nil"/>
              <w:left w:val="single" w:sz="8" w:space="0" w:color="000000"/>
              <w:bottom w:val="nil"/>
              <w:right w:val="single" w:sz="8" w:space="0" w:color="000000"/>
            </w:tcBorders>
          </w:tcPr>
          <w:p>
            <w:pPr>
              <w:pStyle w:val="TableParagraph"/>
              <w:spacing w:before="127"/>
              <w:ind w:right="40"/>
              <w:jc w:val="right"/>
              <w:rPr>
                <w:sz w:val="18"/>
              </w:rPr>
            </w:pPr>
            <w:r>
              <w:rPr>
                <w:sz w:val="18"/>
              </w:rPr>
              <w:t>92.608</w:t>
            </w:r>
          </w:p>
        </w:tc>
        <w:tc>
          <w:tcPr>
            <w:tcW w:w="1164" w:type="dxa"/>
            <w:tcBorders>
              <w:top w:val="nil"/>
              <w:left w:val="single" w:sz="8" w:space="0" w:color="000000"/>
              <w:bottom w:val="nil"/>
              <w:right w:val="single" w:sz="8" w:space="0" w:color="000000"/>
            </w:tcBorders>
          </w:tcPr>
          <w:p>
            <w:pPr>
              <w:pStyle w:val="TableParagraph"/>
              <w:rPr>
                <w:sz w:val="18"/>
              </w:rPr>
            </w:pPr>
          </w:p>
        </w:tc>
        <w:tc>
          <w:tcPr>
            <w:tcW w:w="1438" w:type="dxa"/>
            <w:tcBorders>
              <w:top w:val="nil"/>
              <w:left w:val="single" w:sz="8" w:space="0" w:color="000000"/>
              <w:bottom w:val="nil"/>
              <w:right w:val="single" w:sz="8" w:space="0" w:color="000000"/>
            </w:tcBorders>
          </w:tcPr>
          <w:p>
            <w:pPr>
              <w:pStyle w:val="TableParagraph"/>
              <w:rPr>
                <w:sz w:val="18"/>
              </w:rPr>
            </w:pPr>
          </w:p>
        </w:tc>
        <w:tc>
          <w:tcPr>
            <w:tcW w:w="1454" w:type="dxa"/>
            <w:tcBorders>
              <w:top w:val="nil"/>
              <w:left w:val="single" w:sz="8" w:space="0" w:color="000000"/>
              <w:bottom w:val="nil"/>
            </w:tcBorders>
          </w:tcPr>
          <w:p>
            <w:pPr>
              <w:pStyle w:val="TableParagraph"/>
              <w:rPr>
                <w:sz w:val="18"/>
              </w:rPr>
            </w:pPr>
          </w:p>
        </w:tc>
      </w:tr>
      <w:tr>
        <w:trPr>
          <w:trHeight w:val="413" w:hRule="atLeast"/>
        </w:trPr>
        <w:tc>
          <w:tcPr>
            <w:tcW w:w="1284" w:type="dxa"/>
            <w:tcBorders>
              <w:top w:val="nil"/>
              <w:bottom w:val="nil"/>
            </w:tcBorders>
          </w:tcPr>
          <w:p>
            <w:pPr>
              <w:pStyle w:val="TableParagraph"/>
              <w:spacing w:before="72"/>
              <w:ind w:left="75"/>
              <w:rPr>
                <w:sz w:val="18"/>
              </w:rPr>
            </w:pPr>
            <w:r>
              <w:rPr>
                <w:sz w:val="18"/>
              </w:rPr>
              <w:t>28</w:t>
            </w:r>
          </w:p>
        </w:tc>
        <w:tc>
          <w:tcPr>
            <w:tcW w:w="1023" w:type="dxa"/>
            <w:tcBorders>
              <w:top w:val="nil"/>
              <w:bottom w:val="nil"/>
              <w:right w:val="single" w:sz="8" w:space="0" w:color="000000"/>
            </w:tcBorders>
          </w:tcPr>
          <w:p>
            <w:pPr>
              <w:pStyle w:val="TableParagraph"/>
              <w:spacing w:before="125"/>
              <w:ind w:right="39"/>
              <w:jc w:val="right"/>
              <w:rPr>
                <w:sz w:val="18"/>
              </w:rPr>
            </w:pPr>
            <w:r>
              <w:rPr>
                <w:sz w:val="18"/>
              </w:rPr>
              <w:t>.308</w:t>
            </w:r>
          </w:p>
        </w:tc>
        <w:tc>
          <w:tcPr>
            <w:tcW w:w="1438" w:type="dxa"/>
            <w:tcBorders>
              <w:top w:val="nil"/>
              <w:left w:val="single" w:sz="8" w:space="0" w:color="000000"/>
              <w:bottom w:val="nil"/>
              <w:right w:val="single" w:sz="8" w:space="0" w:color="000000"/>
            </w:tcBorders>
          </w:tcPr>
          <w:p>
            <w:pPr>
              <w:pStyle w:val="TableParagraph"/>
              <w:spacing w:before="125"/>
              <w:ind w:right="37"/>
              <w:jc w:val="right"/>
              <w:rPr>
                <w:sz w:val="18"/>
              </w:rPr>
            </w:pPr>
            <w:r>
              <w:rPr>
                <w:sz w:val="18"/>
              </w:rPr>
              <w:t>.734</w:t>
            </w:r>
          </w:p>
        </w:tc>
        <w:tc>
          <w:tcPr>
            <w:tcW w:w="1455" w:type="dxa"/>
            <w:tcBorders>
              <w:top w:val="nil"/>
              <w:left w:val="single" w:sz="8" w:space="0" w:color="000000"/>
              <w:bottom w:val="nil"/>
              <w:right w:val="single" w:sz="8" w:space="0" w:color="000000"/>
            </w:tcBorders>
          </w:tcPr>
          <w:p>
            <w:pPr>
              <w:pStyle w:val="TableParagraph"/>
              <w:spacing w:before="125"/>
              <w:ind w:right="41"/>
              <w:jc w:val="right"/>
              <w:rPr>
                <w:sz w:val="18"/>
              </w:rPr>
            </w:pPr>
            <w:r>
              <w:rPr>
                <w:sz w:val="18"/>
              </w:rPr>
              <w:t>93.343</w:t>
            </w:r>
          </w:p>
        </w:tc>
        <w:tc>
          <w:tcPr>
            <w:tcW w:w="1164" w:type="dxa"/>
            <w:tcBorders>
              <w:top w:val="nil"/>
              <w:left w:val="single" w:sz="8" w:space="0" w:color="000000"/>
              <w:bottom w:val="nil"/>
              <w:right w:val="single" w:sz="8" w:space="0" w:color="000000"/>
            </w:tcBorders>
          </w:tcPr>
          <w:p>
            <w:pPr>
              <w:pStyle w:val="TableParagraph"/>
              <w:rPr>
                <w:sz w:val="18"/>
              </w:rPr>
            </w:pPr>
          </w:p>
        </w:tc>
        <w:tc>
          <w:tcPr>
            <w:tcW w:w="1438" w:type="dxa"/>
            <w:tcBorders>
              <w:top w:val="nil"/>
              <w:left w:val="single" w:sz="8" w:space="0" w:color="000000"/>
              <w:bottom w:val="nil"/>
              <w:right w:val="single" w:sz="8" w:space="0" w:color="000000"/>
            </w:tcBorders>
          </w:tcPr>
          <w:p>
            <w:pPr>
              <w:pStyle w:val="TableParagraph"/>
              <w:rPr>
                <w:sz w:val="18"/>
              </w:rPr>
            </w:pPr>
          </w:p>
        </w:tc>
        <w:tc>
          <w:tcPr>
            <w:tcW w:w="1454" w:type="dxa"/>
            <w:tcBorders>
              <w:top w:val="nil"/>
              <w:left w:val="single" w:sz="8" w:space="0" w:color="000000"/>
              <w:bottom w:val="nil"/>
            </w:tcBorders>
          </w:tcPr>
          <w:p>
            <w:pPr>
              <w:pStyle w:val="TableParagraph"/>
              <w:rPr>
                <w:sz w:val="18"/>
              </w:rPr>
            </w:pPr>
          </w:p>
        </w:tc>
      </w:tr>
      <w:tr>
        <w:trPr>
          <w:trHeight w:val="412" w:hRule="atLeast"/>
        </w:trPr>
        <w:tc>
          <w:tcPr>
            <w:tcW w:w="1284" w:type="dxa"/>
            <w:tcBorders>
              <w:top w:val="nil"/>
              <w:bottom w:val="nil"/>
            </w:tcBorders>
          </w:tcPr>
          <w:p>
            <w:pPr>
              <w:pStyle w:val="TableParagraph"/>
              <w:spacing w:before="74"/>
              <w:ind w:left="75"/>
              <w:rPr>
                <w:sz w:val="18"/>
              </w:rPr>
            </w:pPr>
            <w:r>
              <w:rPr>
                <w:sz w:val="18"/>
              </w:rPr>
              <w:t>29</w:t>
            </w:r>
          </w:p>
        </w:tc>
        <w:tc>
          <w:tcPr>
            <w:tcW w:w="1023" w:type="dxa"/>
            <w:tcBorders>
              <w:top w:val="nil"/>
              <w:bottom w:val="nil"/>
              <w:right w:val="single" w:sz="8" w:space="0" w:color="000000"/>
            </w:tcBorders>
          </w:tcPr>
          <w:p>
            <w:pPr>
              <w:pStyle w:val="TableParagraph"/>
              <w:spacing w:before="124"/>
              <w:ind w:right="37"/>
              <w:jc w:val="right"/>
              <w:rPr>
                <w:sz w:val="18"/>
              </w:rPr>
            </w:pPr>
            <w:r>
              <w:rPr>
                <w:sz w:val="18"/>
              </w:rPr>
              <w:t>.295</w:t>
            </w:r>
          </w:p>
        </w:tc>
        <w:tc>
          <w:tcPr>
            <w:tcW w:w="1438" w:type="dxa"/>
            <w:tcBorders>
              <w:top w:val="nil"/>
              <w:left w:val="single" w:sz="8" w:space="0" w:color="000000"/>
              <w:bottom w:val="nil"/>
              <w:right w:val="single" w:sz="8" w:space="0" w:color="000000"/>
            </w:tcBorders>
          </w:tcPr>
          <w:p>
            <w:pPr>
              <w:pStyle w:val="TableParagraph"/>
              <w:spacing w:before="124"/>
              <w:ind w:right="37"/>
              <w:jc w:val="right"/>
              <w:rPr>
                <w:sz w:val="18"/>
              </w:rPr>
            </w:pPr>
            <w:r>
              <w:rPr>
                <w:sz w:val="18"/>
              </w:rPr>
              <w:t>.703</w:t>
            </w:r>
          </w:p>
        </w:tc>
        <w:tc>
          <w:tcPr>
            <w:tcW w:w="1455" w:type="dxa"/>
            <w:tcBorders>
              <w:top w:val="nil"/>
              <w:left w:val="single" w:sz="8" w:space="0" w:color="000000"/>
              <w:bottom w:val="nil"/>
              <w:right w:val="single" w:sz="8" w:space="0" w:color="000000"/>
            </w:tcBorders>
          </w:tcPr>
          <w:p>
            <w:pPr>
              <w:pStyle w:val="TableParagraph"/>
              <w:spacing w:before="124"/>
              <w:ind w:right="40"/>
              <w:jc w:val="right"/>
              <w:rPr>
                <w:sz w:val="18"/>
              </w:rPr>
            </w:pPr>
            <w:r>
              <w:rPr>
                <w:sz w:val="18"/>
              </w:rPr>
              <w:t>94.046</w:t>
            </w:r>
          </w:p>
        </w:tc>
        <w:tc>
          <w:tcPr>
            <w:tcW w:w="1164" w:type="dxa"/>
            <w:tcBorders>
              <w:top w:val="nil"/>
              <w:left w:val="single" w:sz="8" w:space="0" w:color="000000"/>
              <w:bottom w:val="nil"/>
              <w:right w:val="single" w:sz="8" w:space="0" w:color="000000"/>
            </w:tcBorders>
          </w:tcPr>
          <w:p>
            <w:pPr>
              <w:pStyle w:val="TableParagraph"/>
              <w:rPr>
                <w:sz w:val="18"/>
              </w:rPr>
            </w:pPr>
          </w:p>
        </w:tc>
        <w:tc>
          <w:tcPr>
            <w:tcW w:w="1438" w:type="dxa"/>
            <w:tcBorders>
              <w:top w:val="nil"/>
              <w:left w:val="single" w:sz="8" w:space="0" w:color="000000"/>
              <w:bottom w:val="nil"/>
              <w:right w:val="single" w:sz="8" w:space="0" w:color="000000"/>
            </w:tcBorders>
          </w:tcPr>
          <w:p>
            <w:pPr>
              <w:pStyle w:val="TableParagraph"/>
              <w:rPr>
                <w:sz w:val="18"/>
              </w:rPr>
            </w:pPr>
          </w:p>
        </w:tc>
        <w:tc>
          <w:tcPr>
            <w:tcW w:w="1454" w:type="dxa"/>
            <w:tcBorders>
              <w:top w:val="nil"/>
              <w:left w:val="single" w:sz="8" w:space="0" w:color="000000"/>
              <w:bottom w:val="nil"/>
            </w:tcBorders>
          </w:tcPr>
          <w:p>
            <w:pPr>
              <w:pStyle w:val="TableParagraph"/>
              <w:rPr>
                <w:sz w:val="18"/>
              </w:rPr>
            </w:pPr>
          </w:p>
        </w:tc>
      </w:tr>
      <w:tr>
        <w:trPr>
          <w:trHeight w:val="415" w:hRule="atLeast"/>
        </w:trPr>
        <w:tc>
          <w:tcPr>
            <w:tcW w:w="1284" w:type="dxa"/>
            <w:tcBorders>
              <w:top w:val="nil"/>
              <w:bottom w:val="nil"/>
            </w:tcBorders>
          </w:tcPr>
          <w:p>
            <w:pPr>
              <w:pStyle w:val="TableParagraph"/>
              <w:spacing w:before="74"/>
              <w:ind w:left="75"/>
              <w:rPr>
                <w:sz w:val="18"/>
              </w:rPr>
            </w:pPr>
            <w:r>
              <w:rPr>
                <w:sz w:val="18"/>
              </w:rPr>
              <w:t>30</w:t>
            </w:r>
          </w:p>
        </w:tc>
        <w:tc>
          <w:tcPr>
            <w:tcW w:w="1023" w:type="dxa"/>
            <w:tcBorders>
              <w:top w:val="nil"/>
              <w:bottom w:val="nil"/>
              <w:right w:val="single" w:sz="8" w:space="0" w:color="000000"/>
            </w:tcBorders>
          </w:tcPr>
          <w:p>
            <w:pPr>
              <w:pStyle w:val="TableParagraph"/>
              <w:spacing w:before="126"/>
              <w:ind w:right="39"/>
              <w:jc w:val="right"/>
              <w:rPr>
                <w:sz w:val="18"/>
              </w:rPr>
            </w:pPr>
            <w:r>
              <w:rPr>
                <w:sz w:val="18"/>
              </w:rPr>
              <w:t>.279</w:t>
            </w:r>
          </w:p>
        </w:tc>
        <w:tc>
          <w:tcPr>
            <w:tcW w:w="1438" w:type="dxa"/>
            <w:tcBorders>
              <w:top w:val="nil"/>
              <w:left w:val="single" w:sz="8" w:space="0" w:color="000000"/>
              <w:bottom w:val="nil"/>
              <w:right w:val="single" w:sz="8" w:space="0" w:color="000000"/>
            </w:tcBorders>
          </w:tcPr>
          <w:p>
            <w:pPr>
              <w:pStyle w:val="TableParagraph"/>
              <w:spacing w:before="126"/>
              <w:ind w:right="38"/>
              <w:jc w:val="right"/>
              <w:rPr>
                <w:sz w:val="18"/>
              </w:rPr>
            </w:pPr>
            <w:r>
              <w:rPr>
                <w:sz w:val="18"/>
              </w:rPr>
              <w:t>.665</w:t>
            </w:r>
          </w:p>
        </w:tc>
        <w:tc>
          <w:tcPr>
            <w:tcW w:w="1455" w:type="dxa"/>
            <w:tcBorders>
              <w:top w:val="nil"/>
              <w:left w:val="single" w:sz="8" w:space="0" w:color="000000"/>
              <w:bottom w:val="nil"/>
              <w:right w:val="single" w:sz="8" w:space="0" w:color="000000"/>
            </w:tcBorders>
          </w:tcPr>
          <w:p>
            <w:pPr>
              <w:pStyle w:val="TableParagraph"/>
              <w:spacing w:before="126"/>
              <w:ind w:right="40"/>
              <w:jc w:val="right"/>
              <w:rPr>
                <w:sz w:val="18"/>
              </w:rPr>
            </w:pPr>
            <w:r>
              <w:rPr>
                <w:sz w:val="18"/>
              </w:rPr>
              <w:t>94.711</w:t>
            </w:r>
          </w:p>
        </w:tc>
        <w:tc>
          <w:tcPr>
            <w:tcW w:w="1164" w:type="dxa"/>
            <w:tcBorders>
              <w:top w:val="nil"/>
              <w:left w:val="single" w:sz="8" w:space="0" w:color="000000"/>
              <w:bottom w:val="nil"/>
              <w:right w:val="single" w:sz="8" w:space="0" w:color="000000"/>
            </w:tcBorders>
          </w:tcPr>
          <w:p>
            <w:pPr>
              <w:pStyle w:val="TableParagraph"/>
              <w:rPr>
                <w:sz w:val="18"/>
              </w:rPr>
            </w:pPr>
          </w:p>
        </w:tc>
        <w:tc>
          <w:tcPr>
            <w:tcW w:w="1438" w:type="dxa"/>
            <w:tcBorders>
              <w:top w:val="nil"/>
              <w:left w:val="single" w:sz="8" w:space="0" w:color="000000"/>
              <w:bottom w:val="nil"/>
              <w:right w:val="single" w:sz="8" w:space="0" w:color="000000"/>
            </w:tcBorders>
          </w:tcPr>
          <w:p>
            <w:pPr>
              <w:pStyle w:val="TableParagraph"/>
              <w:rPr>
                <w:sz w:val="18"/>
              </w:rPr>
            </w:pPr>
          </w:p>
        </w:tc>
        <w:tc>
          <w:tcPr>
            <w:tcW w:w="1454" w:type="dxa"/>
            <w:tcBorders>
              <w:top w:val="nil"/>
              <w:left w:val="single" w:sz="8" w:space="0" w:color="000000"/>
              <w:bottom w:val="nil"/>
            </w:tcBorders>
          </w:tcPr>
          <w:p>
            <w:pPr>
              <w:pStyle w:val="TableParagraph"/>
              <w:rPr>
                <w:sz w:val="18"/>
              </w:rPr>
            </w:pPr>
          </w:p>
        </w:tc>
      </w:tr>
      <w:tr>
        <w:trPr>
          <w:trHeight w:val="412" w:hRule="atLeast"/>
        </w:trPr>
        <w:tc>
          <w:tcPr>
            <w:tcW w:w="1284" w:type="dxa"/>
            <w:tcBorders>
              <w:top w:val="nil"/>
              <w:bottom w:val="nil"/>
            </w:tcBorders>
          </w:tcPr>
          <w:p>
            <w:pPr>
              <w:pStyle w:val="TableParagraph"/>
              <w:spacing w:before="74"/>
              <w:ind w:left="75"/>
              <w:rPr>
                <w:sz w:val="18"/>
              </w:rPr>
            </w:pPr>
            <w:r>
              <w:rPr>
                <w:sz w:val="18"/>
              </w:rPr>
              <w:t>31</w:t>
            </w:r>
          </w:p>
        </w:tc>
        <w:tc>
          <w:tcPr>
            <w:tcW w:w="1023" w:type="dxa"/>
            <w:tcBorders>
              <w:top w:val="nil"/>
              <w:bottom w:val="nil"/>
              <w:right w:val="single" w:sz="8" w:space="0" w:color="000000"/>
            </w:tcBorders>
          </w:tcPr>
          <w:p>
            <w:pPr>
              <w:pStyle w:val="TableParagraph"/>
              <w:spacing w:before="124"/>
              <w:ind w:right="38"/>
              <w:jc w:val="right"/>
              <w:rPr>
                <w:sz w:val="18"/>
              </w:rPr>
            </w:pPr>
            <w:r>
              <w:rPr>
                <w:sz w:val="18"/>
              </w:rPr>
              <w:t>.267</w:t>
            </w:r>
          </w:p>
        </w:tc>
        <w:tc>
          <w:tcPr>
            <w:tcW w:w="1438" w:type="dxa"/>
            <w:tcBorders>
              <w:top w:val="nil"/>
              <w:left w:val="single" w:sz="8" w:space="0" w:color="000000"/>
              <w:bottom w:val="nil"/>
              <w:right w:val="single" w:sz="8" w:space="0" w:color="000000"/>
            </w:tcBorders>
          </w:tcPr>
          <w:p>
            <w:pPr>
              <w:pStyle w:val="TableParagraph"/>
              <w:spacing w:before="124"/>
              <w:ind w:right="37"/>
              <w:jc w:val="right"/>
              <w:rPr>
                <w:sz w:val="18"/>
              </w:rPr>
            </w:pPr>
            <w:r>
              <w:rPr>
                <w:sz w:val="18"/>
              </w:rPr>
              <w:t>.636</w:t>
            </w:r>
          </w:p>
        </w:tc>
        <w:tc>
          <w:tcPr>
            <w:tcW w:w="1455" w:type="dxa"/>
            <w:tcBorders>
              <w:top w:val="nil"/>
              <w:left w:val="single" w:sz="8" w:space="0" w:color="000000"/>
              <w:bottom w:val="nil"/>
              <w:right w:val="single" w:sz="8" w:space="0" w:color="000000"/>
            </w:tcBorders>
          </w:tcPr>
          <w:p>
            <w:pPr>
              <w:pStyle w:val="TableParagraph"/>
              <w:spacing w:before="124"/>
              <w:ind w:right="40"/>
              <w:jc w:val="right"/>
              <w:rPr>
                <w:sz w:val="18"/>
              </w:rPr>
            </w:pPr>
            <w:r>
              <w:rPr>
                <w:sz w:val="18"/>
              </w:rPr>
              <w:t>95.347</w:t>
            </w:r>
          </w:p>
        </w:tc>
        <w:tc>
          <w:tcPr>
            <w:tcW w:w="1164" w:type="dxa"/>
            <w:tcBorders>
              <w:top w:val="nil"/>
              <w:left w:val="single" w:sz="8" w:space="0" w:color="000000"/>
              <w:bottom w:val="nil"/>
              <w:right w:val="single" w:sz="8" w:space="0" w:color="000000"/>
            </w:tcBorders>
          </w:tcPr>
          <w:p>
            <w:pPr>
              <w:pStyle w:val="TableParagraph"/>
              <w:rPr>
                <w:sz w:val="18"/>
              </w:rPr>
            </w:pPr>
          </w:p>
        </w:tc>
        <w:tc>
          <w:tcPr>
            <w:tcW w:w="1438" w:type="dxa"/>
            <w:tcBorders>
              <w:top w:val="nil"/>
              <w:left w:val="single" w:sz="8" w:space="0" w:color="000000"/>
              <w:bottom w:val="nil"/>
              <w:right w:val="single" w:sz="8" w:space="0" w:color="000000"/>
            </w:tcBorders>
          </w:tcPr>
          <w:p>
            <w:pPr>
              <w:pStyle w:val="TableParagraph"/>
              <w:rPr>
                <w:sz w:val="18"/>
              </w:rPr>
            </w:pPr>
          </w:p>
        </w:tc>
        <w:tc>
          <w:tcPr>
            <w:tcW w:w="1454" w:type="dxa"/>
            <w:tcBorders>
              <w:top w:val="nil"/>
              <w:left w:val="single" w:sz="8" w:space="0" w:color="000000"/>
              <w:bottom w:val="nil"/>
            </w:tcBorders>
          </w:tcPr>
          <w:p>
            <w:pPr>
              <w:pStyle w:val="TableParagraph"/>
              <w:rPr>
                <w:sz w:val="18"/>
              </w:rPr>
            </w:pPr>
          </w:p>
        </w:tc>
      </w:tr>
      <w:tr>
        <w:trPr>
          <w:trHeight w:val="415" w:hRule="atLeast"/>
        </w:trPr>
        <w:tc>
          <w:tcPr>
            <w:tcW w:w="1284" w:type="dxa"/>
            <w:tcBorders>
              <w:top w:val="nil"/>
              <w:bottom w:val="nil"/>
            </w:tcBorders>
          </w:tcPr>
          <w:p>
            <w:pPr>
              <w:pStyle w:val="TableParagraph"/>
              <w:spacing w:before="74"/>
              <w:ind w:left="75"/>
              <w:rPr>
                <w:sz w:val="18"/>
              </w:rPr>
            </w:pPr>
            <w:r>
              <w:rPr>
                <w:sz w:val="18"/>
              </w:rPr>
              <w:t>32</w:t>
            </w:r>
          </w:p>
        </w:tc>
        <w:tc>
          <w:tcPr>
            <w:tcW w:w="1023" w:type="dxa"/>
            <w:tcBorders>
              <w:top w:val="nil"/>
              <w:bottom w:val="nil"/>
              <w:right w:val="single" w:sz="8" w:space="0" w:color="000000"/>
            </w:tcBorders>
          </w:tcPr>
          <w:p>
            <w:pPr>
              <w:pStyle w:val="TableParagraph"/>
              <w:spacing w:before="126"/>
              <w:ind w:right="39"/>
              <w:jc w:val="right"/>
              <w:rPr>
                <w:sz w:val="18"/>
              </w:rPr>
            </w:pPr>
            <w:r>
              <w:rPr>
                <w:sz w:val="18"/>
              </w:rPr>
              <w:t>.253</w:t>
            </w:r>
          </w:p>
        </w:tc>
        <w:tc>
          <w:tcPr>
            <w:tcW w:w="1438" w:type="dxa"/>
            <w:tcBorders>
              <w:top w:val="nil"/>
              <w:left w:val="single" w:sz="8" w:space="0" w:color="000000"/>
              <w:bottom w:val="nil"/>
              <w:right w:val="single" w:sz="8" w:space="0" w:color="000000"/>
            </w:tcBorders>
          </w:tcPr>
          <w:p>
            <w:pPr>
              <w:pStyle w:val="TableParagraph"/>
              <w:spacing w:before="126"/>
              <w:ind w:right="37"/>
              <w:jc w:val="right"/>
              <w:rPr>
                <w:sz w:val="18"/>
              </w:rPr>
            </w:pPr>
            <w:r>
              <w:rPr>
                <w:sz w:val="18"/>
              </w:rPr>
              <w:t>.602</w:t>
            </w:r>
          </w:p>
        </w:tc>
        <w:tc>
          <w:tcPr>
            <w:tcW w:w="1455" w:type="dxa"/>
            <w:tcBorders>
              <w:top w:val="nil"/>
              <w:left w:val="single" w:sz="8" w:space="0" w:color="000000"/>
              <w:bottom w:val="nil"/>
              <w:right w:val="single" w:sz="8" w:space="0" w:color="000000"/>
            </w:tcBorders>
          </w:tcPr>
          <w:p>
            <w:pPr>
              <w:pStyle w:val="TableParagraph"/>
              <w:spacing w:before="126"/>
              <w:ind w:right="40"/>
              <w:jc w:val="right"/>
              <w:rPr>
                <w:sz w:val="18"/>
              </w:rPr>
            </w:pPr>
            <w:r>
              <w:rPr>
                <w:sz w:val="18"/>
              </w:rPr>
              <w:t>95.949</w:t>
            </w:r>
          </w:p>
        </w:tc>
        <w:tc>
          <w:tcPr>
            <w:tcW w:w="1164" w:type="dxa"/>
            <w:tcBorders>
              <w:top w:val="nil"/>
              <w:left w:val="single" w:sz="8" w:space="0" w:color="000000"/>
              <w:bottom w:val="nil"/>
              <w:right w:val="single" w:sz="8" w:space="0" w:color="000000"/>
            </w:tcBorders>
          </w:tcPr>
          <w:p>
            <w:pPr>
              <w:pStyle w:val="TableParagraph"/>
              <w:rPr>
                <w:sz w:val="18"/>
              </w:rPr>
            </w:pPr>
          </w:p>
        </w:tc>
        <w:tc>
          <w:tcPr>
            <w:tcW w:w="1438" w:type="dxa"/>
            <w:tcBorders>
              <w:top w:val="nil"/>
              <w:left w:val="single" w:sz="8" w:space="0" w:color="000000"/>
              <w:bottom w:val="nil"/>
              <w:right w:val="single" w:sz="8" w:space="0" w:color="000000"/>
            </w:tcBorders>
          </w:tcPr>
          <w:p>
            <w:pPr>
              <w:pStyle w:val="TableParagraph"/>
              <w:rPr>
                <w:sz w:val="18"/>
              </w:rPr>
            </w:pPr>
          </w:p>
        </w:tc>
        <w:tc>
          <w:tcPr>
            <w:tcW w:w="1454" w:type="dxa"/>
            <w:tcBorders>
              <w:top w:val="nil"/>
              <w:left w:val="single" w:sz="8" w:space="0" w:color="000000"/>
              <w:bottom w:val="nil"/>
            </w:tcBorders>
          </w:tcPr>
          <w:p>
            <w:pPr>
              <w:pStyle w:val="TableParagraph"/>
              <w:rPr>
                <w:sz w:val="18"/>
              </w:rPr>
            </w:pPr>
          </w:p>
        </w:tc>
      </w:tr>
      <w:tr>
        <w:trPr>
          <w:trHeight w:val="412" w:hRule="atLeast"/>
        </w:trPr>
        <w:tc>
          <w:tcPr>
            <w:tcW w:w="1284" w:type="dxa"/>
            <w:tcBorders>
              <w:top w:val="nil"/>
              <w:bottom w:val="nil"/>
            </w:tcBorders>
          </w:tcPr>
          <w:p>
            <w:pPr>
              <w:pStyle w:val="TableParagraph"/>
              <w:spacing w:before="74"/>
              <w:ind w:left="75"/>
              <w:rPr>
                <w:sz w:val="18"/>
              </w:rPr>
            </w:pPr>
            <w:r>
              <w:rPr>
                <w:sz w:val="18"/>
              </w:rPr>
              <w:t>33</w:t>
            </w:r>
          </w:p>
        </w:tc>
        <w:tc>
          <w:tcPr>
            <w:tcW w:w="1023" w:type="dxa"/>
            <w:tcBorders>
              <w:top w:val="nil"/>
              <w:bottom w:val="nil"/>
              <w:right w:val="single" w:sz="8" w:space="0" w:color="000000"/>
            </w:tcBorders>
          </w:tcPr>
          <w:p>
            <w:pPr>
              <w:pStyle w:val="TableParagraph"/>
              <w:spacing w:before="124"/>
              <w:ind w:right="38"/>
              <w:jc w:val="right"/>
              <w:rPr>
                <w:sz w:val="18"/>
              </w:rPr>
            </w:pPr>
            <w:r>
              <w:rPr>
                <w:sz w:val="18"/>
              </w:rPr>
              <w:t>.242</w:t>
            </w:r>
          </w:p>
        </w:tc>
        <w:tc>
          <w:tcPr>
            <w:tcW w:w="1438" w:type="dxa"/>
            <w:tcBorders>
              <w:top w:val="nil"/>
              <w:left w:val="single" w:sz="8" w:space="0" w:color="000000"/>
              <w:bottom w:val="nil"/>
              <w:right w:val="single" w:sz="8" w:space="0" w:color="000000"/>
            </w:tcBorders>
          </w:tcPr>
          <w:p>
            <w:pPr>
              <w:pStyle w:val="TableParagraph"/>
              <w:spacing w:before="124"/>
              <w:ind w:right="38"/>
              <w:jc w:val="right"/>
              <w:rPr>
                <w:sz w:val="18"/>
              </w:rPr>
            </w:pPr>
            <w:r>
              <w:rPr>
                <w:sz w:val="18"/>
              </w:rPr>
              <w:t>.576</w:t>
            </w:r>
          </w:p>
        </w:tc>
        <w:tc>
          <w:tcPr>
            <w:tcW w:w="1455" w:type="dxa"/>
            <w:tcBorders>
              <w:top w:val="nil"/>
              <w:left w:val="single" w:sz="8" w:space="0" w:color="000000"/>
              <w:bottom w:val="nil"/>
              <w:right w:val="single" w:sz="8" w:space="0" w:color="000000"/>
            </w:tcBorders>
          </w:tcPr>
          <w:p>
            <w:pPr>
              <w:pStyle w:val="TableParagraph"/>
              <w:spacing w:before="124"/>
              <w:ind w:right="40"/>
              <w:jc w:val="right"/>
              <w:rPr>
                <w:sz w:val="18"/>
              </w:rPr>
            </w:pPr>
            <w:r>
              <w:rPr>
                <w:sz w:val="18"/>
              </w:rPr>
              <w:t>96.525</w:t>
            </w:r>
          </w:p>
        </w:tc>
        <w:tc>
          <w:tcPr>
            <w:tcW w:w="1164" w:type="dxa"/>
            <w:tcBorders>
              <w:top w:val="nil"/>
              <w:left w:val="single" w:sz="8" w:space="0" w:color="000000"/>
              <w:bottom w:val="nil"/>
              <w:right w:val="single" w:sz="8" w:space="0" w:color="000000"/>
            </w:tcBorders>
          </w:tcPr>
          <w:p>
            <w:pPr>
              <w:pStyle w:val="TableParagraph"/>
              <w:rPr>
                <w:sz w:val="18"/>
              </w:rPr>
            </w:pPr>
          </w:p>
        </w:tc>
        <w:tc>
          <w:tcPr>
            <w:tcW w:w="1438" w:type="dxa"/>
            <w:tcBorders>
              <w:top w:val="nil"/>
              <w:left w:val="single" w:sz="8" w:space="0" w:color="000000"/>
              <w:bottom w:val="nil"/>
              <w:right w:val="single" w:sz="8" w:space="0" w:color="000000"/>
            </w:tcBorders>
          </w:tcPr>
          <w:p>
            <w:pPr>
              <w:pStyle w:val="TableParagraph"/>
              <w:rPr>
                <w:sz w:val="18"/>
              </w:rPr>
            </w:pPr>
          </w:p>
        </w:tc>
        <w:tc>
          <w:tcPr>
            <w:tcW w:w="1454" w:type="dxa"/>
            <w:tcBorders>
              <w:top w:val="nil"/>
              <w:left w:val="single" w:sz="8" w:space="0" w:color="000000"/>
              <w:bottom w:val="nil"/>
            </w:tcBorders>
          </w:tcPr>
          <w:p>
            <w:pPr>
              <w:pStyle w:val="TableParagraph"/>
              <w:rPr>
                <w:sz w:val="18"/>
              </w:rPr>
            </w:pPr>
          </w:p>
        </w:tc>
      </w:tr>
      <w:tr>
        <w:trPr>
          <w:trHeight w:val="415" w:hRule="atLeast"/>
        </w:trPr>
        <w:tc>
          <w:tcPr>
            <w:tcW w:w="1284" w:type="dxa"/>
            <w:tcBorders>
              <w:top w:val="nil"/>
              <w:bottom w:val="nil"/>
            </w:tcBorders>
          </w:tcPr>
          <w:p>
            <w:pPr>
              <w:pStyle w:val="TableParagraph"/>
              <w:spacing w:before="74"/>
              <w:ind w:left="75"/>
              <w:rPr>
                <w:sz w:val="18"/>
              </w:rPr>
            </w:pPr>
            <w:r>
              <w:rPr>
                <w:sz w:val="18"/>
              </w:rPr>
              <w:t>34</w:t>
            </w:r>
          </w:p>
        </w:tc>
        <w:tc>
          <w:tcPr>
            <w:tcW w:w="1023" w:type="dxa"/>
            <w:tcBorders>
              <w:top w:val="nil"/>
              <w:bottom w:val="nil"/>
              <w:right w:val="single" w:sz="8" w:space="0" w:color="000000"/>
            </w:tcBorders>
          </w:tcPr>
          <w:p>
            <w:pPr>
              <w:pStyle w:val="TableParagraph"/>
              <w:spacing w:before="126"/>
              <w:ind w:right="38"/>
              <w:jc w:val="right"/>
              <w:rPr>
                <w:sz w:val="18"/>
              </w:rPr>
            </w:pPr>
            <w:r>
              <w:rPr>
                <w:sz w:val="18"/>
              </w:rPr>
              <w:t>.224</w:t>
            </w:r>
          </w:p>
        </w:tc>
        <w:tc>
          <w:tcPr>
            <w:tcW w:w="1438" w:type="dxa"/>
            <w:tcBorders>
              <w:top w:val="nil"/>
              <w:left w:val="single" w:sz="8" w:space="0" w:color="000000"/>
              <w:bottom w:val="nil"/>
              <w:right w:val="single" w:sz="8" w:space="0" w:color="000000"/>
            </w:tcBorders>
          </w:tcPr>
          <w:p>
            <w:pPr>
              <w:pStyle w:val="TableParagraph"/>
              <w:spacing w:before="126"/>
              <w:ind w:right="38"/>
              <w:jc w:val="right"/>
              <w:rPr>
                <w:sz w:val="18"/>
              </w:rPr>
            </w:pPr>
            <w:r>
              <w:rPr>
                <w:sz w:val="18"/>
              </w:rPr>
              <w:t>.534</w:t>
            </w:r>
          </w:p>
        </w:tc>
        <w:tc>
          <w:tcPr>
            <w:tcW w:w="1455" w:type="dxa"/>
            <w:tcBorders>
              <w:top w:val="nil"/>
              <w:left w:val="single" w:sz="8" w:space="0" w:color="000000"/>
              <w:bottom w:val="nil"/>
              <w:right w:val="single" w:sz="8" w:space="0" w:color="000000"/>
            </w:tcBorders>
          </w:tcPr>
          <w:p>
            <w:pPr>
              <w:pStyle w:val="TableParagraph"/>
              <w:spacing w:before="126"/>
              <w:ind w:right="40"/>
              <w:jc w:val="right"/>
              <w:rPr>
                <w:sz w:val="18"/>
              </w:rPr>
            </w:pPr>
            <w:r>
              <w:rPr>
                <w:sz w:val="18"/>
              </w:rPr>
              <w:t>97.059</w:t>
            </w:r>
          </w:p>
        </w:tc>
        <w:tc>
          <w:tcPr>
            <w:tcW w:w="1164" w:type="dxa"/>
            <w:tcBorders>
              <w:top w:val="nil"/>
              <w:left w:val="single" w:sz="8" w:space="0" w:color="000000"/>
              <w:bottom w:val="nil"/>
              <w:right w:val="single" w:sz="8" w:space="0" w:color="000000"/>
            </w:tcBorders>
          </w:tcPr>
          <w:p>
            <w:pPr>
              <w:pStyle w:val="TableParagraph"/>
              <w:rPr>
                <w:sz w:val="18"/>
              </w:rPr>
            </w:pPr>
          </w:p>
        </w:tc>
        <w:tc>
          <w:tcPr>
            <w:tcW w:w="1438" w:type="dxa"/>
            <w:tcBorders>
              <w:top w:val="nil"/>
              <w:left w:val="single" w:sz="8" w:space="0" w:color="000000"/>
              <w:bottom w:val="nil"/>
              <w:right w:val="single" w:sz="8" w:space="0" w:color="000000"/>
            </w:tcBorders>
          </w:tcPr>
          <w:p>
            <w:pPr>
              <w:pStyle w:val="TableParagraph"/>
              <w:rPr>
                <w:sz w:val="18"/>
              </w:rPr>
            </w:pPr>
          </w:p>
        </w:tc>
        <w:tc>
          <w:tcPr>
            <w:tcW w:w="1454" w:type="dxa"/>
            <w:tcBorders>
              <w:top w:val="nil"/>
              <w:left w:val="single" w:sz="8" w:space="0" w:color="000000"/>
              <w:bottom w:val="nil"/>
            </w:tcBorders>
          </w:tcPr>
          <w:p>
            <w:pPr>
              <w:pStyle w:val="TableParagraph"/>
              <w:rPr>
                <w:sz w:val="18"/>
              </w:rPr>
            </w:pPr>
          </w:p>
        </w:tc>
      </w:tr>
      <w:tr>
        <w:trPr>
          <w:trHeight w:val="413" w:hRule="atLeast"/>
        </w:trPr>
        <w:tc>
          <w:tcPr>
            <w:tcW w:w="1284" w:type="dxa"/>
            <w:tcBorders>
              <w:top w:val="nil"/>
              <w:bottom w:val="nil"/>
            </w:tcBorders>
          </w:tcPr>
          <w:p>
            <w:pPr>
              <w:pStyle w:val="TableParagraph"/>
              <w:spacing w:before="74"/>
              <w:ind w:left="75"/>
              <w:rPr>
                <w:sz w:val="18"/>
              </w:rPr>
            </w:pPr>
            <w:r>
              <w:rPr>
                <w:sz w:val="18"/>
              </w:rPr>
              <w:t>35</w:t>
            </w:r>
          </w:p>
        </w:tc>
        <w:tc>
          <w:tcPr>
            <w:tcW w:w="1023" w:type="dxa"/>
            <w:tcBorders>
              <w:top w:val="nil"/>
              <w:bottom w:val="nil"/>
              <w:right w:val="single" w:sz="8" w:space="0" w:color="000000"/>
            </w:tcBorders>
          </w:tcPr>
          <w:p>
            <w:pPr>
              <w:pStyle w:val="TableParagraph"/>
              <w:spacing w:before="124"/>
              <w:ind w:right="38"/>
              <w:jc w:val="right"/>
              <w:rPr>
                <w:sz w:val="18"/>
              </w:rPr>
            </w:pPr>
            <w:r>
              <w:rPr>
                <w:sz w:val="18"/>
              </w:rPr>
              <w:t>.213</w:t>
            </w:r>
          </w:p>
        </w:tc>
        <w:tc>
          <w:tcPr>
            <w:tcW w:w="1438" w:type="dxa"/>
            <w:tcBorders>
              <w:top w:val="nil"/>
              <w:left w:val="single" w:sz="8" w:space="0" w:color="000000"/>
              <w:bottom w:val="nil"/>
              <w:right w:val="single" w:sz="8" w:space="0" w:color="000000"/>
            </w:tcBorders>
          </w:tcPr>
          <w:p>
            <w:pPr>
              <w:pStyle w:val="TableParagraph"/>
              <w:spacing w:before="124"/>
              <w:ind w:right="37"/>
              <w:jc w:val="right"/>
              <w:rPr>
                <w:sz w:val="18"/>
              </w:rPr>
            </w:pPr>
            <w:r>
              <w:rPr>
                <w:sz w:val="18"/>
              </w:rPr>
              <w:t>.507</w:t>
            </w:r>
          </w:p>
        </w:tc>
        <w:tc>
          <w:tcPr>
            <w:tcW w:w="1455" w:type="dxa"/>
            <w:tcBorders>
              <w:top w:val="nil"/>
              <w:left w:val="single" w:sz="8" w:space="0" w:color="000000"/>
              <w:bottom w:val="nil"/>
              <w:right w:val="single" w:sz="8" w:space="0" w:color="000000"/>
            </w:tcBorders>
          </w:tcPr>
          <w:p>
            <w:pPr>
              <w:pStyle w:val="TableParagraph"/>
              <w:spacing w:before="124"/>
              <w:ind w:right="40"/>
              <w:jc w:val="right"/>
              <w:rPr>
                <w:sz w:val="18"/>
              </w:rPr>
            </w:pPr>
            <w:r>
              <w:rPr>
                <w:sz w:val="18"/>
              </w:rPr>
              <w:t>97.566</w:t>
            </w:r>
          </w:p>
        </w:tc>
        <w:tc>
          <w:tcPr>
            <w:tcW w:w="1164" w:type="dxa"/>
            <w:tcBorders>
              <w:top w:val="nil"/>
              <w:left w:val="single" w:sz="8" w:space="0" w:color="000000"/>
              <w:bottom w:val="nil"/>
              <w:right w:val="single" w:sz="8" w:space="0" w:color="000000"/>
            </w:tcBorders>
          </w:tcPr>
          <w:p>
            <w:pPr>
              <w:pStyle w:val="TableParagraph"/>
              <w:rPr>
                <w:sz w:val="18"/>
              </w:rPr>
            </w:pPr>
          </w:p>
        </w:tc>
        <w:tc>
          <w:tcPr>
            <w:tcW w:w="1438" w:type="dxa"/>
            <w:tcBorders>
              <w:top w:val="nil"/>
              <w:left w:val="single" w:sz="8" w:space="0" w:color="000000"/>
              <w:bottom w:val="nil"/>
              <w:right w:val="single" w:sz="8" w:space="0" w:color="000000"/>
            </w:tcBorders>
          </w:tcPr>
          <w:p>
            <w:pPr>
              <w:pStyle w:val="TableParagraph"/>
              <w:rPr>
                <w:sz w:val="18"/>
              </w:rPr>
            </w:pPr>
          </w:p>
        </w:tc>
        <w:tc>
          <w:tcPr>
            <w:tcW w:w="1454" w:type="dxa"/>
            <w:tcBorders>
              <w:top w:val="nil"/>
              <w:left w:val="single" w:sz="8" w:space="0" w:color="000000"/>
              <w:bottom w:val="nil"/>
            </w:tcBorders>
          </w:tcPr>
          <w:p>
            <w:pPr>
              <w:pStyle w:val="TableParagraph"/>
              <w:rPr>
                <w:sz w:val="18"/>
              </w:rPr>
            </w:pPr>
          </w:p>
        </w:tc>
      </w:tr>
      <w:tr>
        <w:trPr>
          <w:trHeight w:val="415" w:hRule="atLeast"/>
        </w:trPr>
        <w:tc>
          <w:tcPr>
            <w:tcW w:w="1284" w:type="dxa"/>
            <w:tcBorders>
              <w:top w:val="nil"/>
              <w:bottom w:val="nil"/>
            </w:tcBorders>
          </w:tcPr>
          <w:p>
            <w:pPr>
              <w:pStyle w:val="TableParagraph"/>
              <w:spacing w:before="74"/>
              <w:ind w:left="75"/>
              <w:rPr>
                <w:sz w:val="18"/>
              </w:rPr>
            </w:pPr>
            <w:r>
              <w:rPr>
                <w:sz w:val="18"/>
              </w:rPr>
              <w:t>36</w:t>
            </w:r>
          </w:p>
        </w:tc>
        <w:tc>
          <w:tcPr>
            <w:tcW w:w="1023" w:type="dxa"/>
            <w:tcBorders>
              <w:top w:val="nil"/>
              <w:bottom w:val="nil"/>
              <w:right w:val="single" w:sz="8" w:space="0" w:color="000000"/>
            </w:tcBorders>
          </w:tcPr>
          <w:p>
            <w:pPr>
              <w:pStyle w:val="TableParagraph"/>
              <w:spacing w:before="127"/>
              <w:ind w:right="38"/>
              <w:jc w:val="right"/>
              <w:rPr>
                <w:sz w:val="18"/>
              </w:rPr>
            </w:pPr>
            <w:r>
              <w:rPr>
                <w:sz w:val="18"/>
              </w:rPr>
              <w:t>.198</w:t>
            </w:r>
          </w:p>
        </w:tc>
        <w:tc>
          <w:tcPr>
            <w:tcW w:w="1438" w:type="dxa"/>
            <w:tcBorders>
              <w:top w:val="nil"/>
              <w:left w:val="single" w:sz="8" w:space="0" w:color="000000"/>
              <w:bottom w:val="nil"/>
              <w:right w:val="single" w:sz="8" w:space="0" w:color="000000"/>
            </w:tcBorders>
          </w:tcPr>
          <w:p>
            <w:pPr>
              <w:pStyle w:val="TableParagraph"/>
              <w:spacing w:before="127"/>
              <w:ind w:right="37"/>
              <w:jc w:val="right"/>
              <w:rPr>
                <w:sz w:val="18"/>
              </w:rPr>
            </w:pPr>
            <w:r>
              <w:rPr>
                <w:sz w:val="18"/>
              </w:rPr>
              <w:t>.471</w:t>
            </w:r>
          </w:p>
        </w:tc>
        <w:tc>
          <w:tcPr>
            <w:tcW w:w="1455" w:type="dxa"/>
            <w:tcBorders>
              <w:top w:val="nil"/>
              <w:left w:val="single" w:sz="8" w:space="0" w:color="000000"/>
              <w:bottom w:val="nil"/>
              <w:right w:val="single" w:sz="8" w:space="0" w:color="000000"/>
            </w:tcBorders>
          </w:tcPr>
          <w:p>
            <w:pPr>
              <w:pStyle w:val="TableParagraph"/>
              <w:spacing w:before="127"/>
              <w:ind w:right="40"/>
              <w:jc w:val="right"/>
              <w:rPr>
                <w:sz w:val="18"/>
              </w:rPr>
            </w:pPr>
            <w:r>
              <w:rPr>
                <w:sz w:val="18"/>
              </w:rPr>
              <w:t>98.037</w:t>
            </w:r>
          </w:p>
        </w:tc>
        <w:tc>
          <w:tcPr>
            <w:tcW w:w="1164" w:type="dxa"/>
            <w:tcBorders>
              <w:top w:val="nil"/>
              <w:left w:val="single" w:sz="8" w:space="0" w:color="000000"/>
              <w:bottom w:val="nil"/>
              <w:right w:val="single" w:sz="8" w:space="0" w:color="000000"/>
            </w:tcBorders>
          </w:tcPr>
          <w:p>
            <w:pPr>
              <w:pStyle w:val="TableParagraph"/>
              <w:rPr>
                <w:sz w:val="18"/>
              </w:rPr>
            </w:pPr>
          </w:p>
        </w:tc>
        <w:tc>
          <w:tcPr>
            <w:tcW w:w="1438" w:type="dxa"/>
            <w:tcBorders>
              <w:top w:val="nil"/>
              <w:left w:val="single" w:sz="8" w:space="0" w:color="000000"/>
              <w:bottom w:val="nil"/>
              <w:right w:val="single" w:sz="8" w:space="0" w:color="000000"/>
            </w:tcBorders>
          </w:tcPr>
          <w:p>
            <w:pPr>
              <w:pStyle w:val="TableParagraph"/>
              <w:rPr>
                <w:sz w:val="18"/>
              </w:rPr>
            </w:pPr>
          </w:p>
        </w:tc>
        <w:tc>
          <w:tcPr>
            <w:tcW w:w="1454" w:type="dxa"/>
            <w:tcBorders>
              <w:top w:val="nil"/>
              <w:left w:val="single" w:sz="8" w:space="0" w:color="000000"/>
              <w:bottom w:val="nil"/>
            </w:tcBorders>
          </w:tcPr>
          <w:p>
            <w:pPr>
              <w:pStyle w:val="TableParagraph"/>
              <w:rPr>
                <w:sz w:val="18"/>
              </w:rPr>
            </w:pPr>
          </w:p>
        </w:tc>
      </w:tr>
      <w:tr>
        <w:trPr>
          <w:trHeight w:val="412" w:hRule="atLeast"/>
        </w:trPr>
        <w:tc>
          <w:tcPr>
            <w:tcW w:w="1284" w:type="dxa"/>
            <w:tcBorders>
              <w:top w:val="nil"/>
              <w:bottom w:val="nil"/>
            </w:tcBorders>
          </w:tcPr>
          <w:p>
            <w:pPr>
              <w:pStyle w:val="TableParagraph"/>
              <w:spacing w:before="74"/>
              <w:ind w:left="75"/>
              <w:rPr>
                <w:sz w:val="18"/>
              </w:rPr>
            </w:pPr>
            <w:r>
              <w:rPr>
                <w:sz w:val="18"/>
              </w:rPr>
              <w:t>37</w:t>
            </w:r>
          </w:p>
        </w:tc>
        <w:tc>
          <w:tcPr>
            <w:tcW w:w="1023" w:type="dxa"/>
            <w:tcBorders>
              <w:top w:val="nil"/>
              <w:bottom w:val="nil"/>
              <w:right w:val="single" w:sz="8" w:space="0" w:color="000000"/>
            </w:tcBorders>
          </w:tcPr>
          <w:p>
            <w:pPr>
              <w:pStyle w:val="TableParagraph"/>
              <w:spacing w:before="124"/>
              <w:ind w:right="38"/>
              <w:jc w:val="right"/>
              <w:rPr>
                <w:sz w:val="18"/>
              </w:rPr>
            </w:pPr>
            <w:r>
              <w:rPr>
                <w:sz w:val="18"/>
              </w:rPr>
              <w:t>.181</w:t>
            </w:r>
          </w:p>
        </w:tc>
        <w:tc>
          <w:tcPr>
            <w:tcW w:w="1438" w:type="dxa"/>
            <w:tcBorders>
              <w:top w:val="nil"/>
              <w:left w:val="single" w:sz="8" w:space="0" w:color="000000"/>
              <w:bottom w:val="nil"/>
              <w:right w:val="single" w:sz="8" w:space="0" w:color="000000"/>
            </w:tcBorders>
          </w:tcPr>
          <w:p>
            <w:pPr>
              <w:pStyle w:val="TableParagraph"/>
              <w:spacing w:before="124"/>
              <w:ind w:right="37"/>
              <w:jc w:val="right"/>
              <w:rPr>
                <w:sz w:val="18"/>
              </w:rPr>
            </w:pPr>
            <w:r>
              <w:rPr>
                <w:sz w:val="18"/>
              </w:rPr>
              <w:t>.430</w:t>
            </w:r>
          </w:p>
        </w:tc>
        <w:tc>
          <w:tcPr>
            <w:tcW w:w="1455" w:type="dxa"/>
            <w:tcBorders>
              <w:top w:val="nil"/>
              <w:left w:val="single" w:sz="8" w:space="0" w:color="000000"/>
              <w:bottom w:val="nil"/>
              <w:right w:val="single" w:sz="8" w:space="0" w:color="000000"/>
            </w:tcBorders>
          </w:tcPr>
          <w:p>
            <w:pPr>
              <w:pStyle w:val="TableParagraph"/>
              <w:spacing w:before="124"/>
              <w:ind w:right="40"/>
              <w:jc w:val="right"/>
              <w:rPr>
                <w:sz w:val="18"/>
              </w:rPr>
            </w:pPr>
            <w:r>
              <w:rPr>
                <w:sz w:val="18"/>
              </w:rPr>
              <w:t>98.467</w:t>
            </w:r>
          </w:p>
        </w:tc>
        <w:tc>
          <w:tcPr>
            <w:tcW w:w="1164" w:type="dxa"/>
            <w:tcBorders>
              <w:top w:val="nil"/>
              <w:left w:val="single" w:sz="8" w:space="0" w:color="000000"/>
              <w:bottom w:val="nil"/>
              <w:right w:val="single" w:sz="8" w:space="0" w:color="000000"/>
            </w:tcBorders>
          </w:tcPr>
          <w:p>
            <w:pPr>
              <w:pStyle w:val="TableParagraph"/>
              <w:rPr>
                <w:sz w:val="18"/>
              </w:rPr>
            </w:pPr>
          </w:p>
        </w:tc>
        <w:tc>
          <w:tcPr>
            <w:tcW w:w="1438" w:type="dxa"/>
            <w:tcBorders>
              <w:top w:val="nil"/>
              <w:left w:val="single" w:sz="8" w:space="0" w:color="000000"/>
              <w:bottom w:val="nil"/>
              <w:right w:val="single" w:sz="8" w:space="0" w:color="000000"/>
            </w:tcBorders>
          </w:tcPr>
          <w:p>
            <w:pPr>
              <w:pStyle w:val="TableParagraph"/>
              <w:rPr>
                <w:sz w:val="18"/>
              </w:rPr>
            </w:pPr>
          </w:p>
        </w:tc>
        <w:tc>
          <w:tcPr>
            <w:tcW w:w="1454" w:type="dxa"/>
            <w:tcBorders>
              <w:top w:val="nil"/>
              <w:left w:val="single" w:sz="8" w:space="0" w:color="000000"/>
              <w:bottom w:val="nil"/>
            </w:tcBorders>
          </w:tcPr>
          <w:p>
            <w:pPr>
              <w:pStyle w:val="TableParagraph"/>
              <w:rPr>
                <w:sz w:val="18"/>
              </w:rPr>
            </w:pPr>
          </w:p>
        </w:tc>
      </w:tr>
      <w:tr>
        <w:trPr>
          <w:trHeight w:val="415" w:hRule="atLeast"/>
        </w:trPr>
        <w:tc>
          <w:tcPr>
            <w:tcW w:w="1284" w:type="dxa"/>
            <w:tcBorders>
              <w:top w:val="nil"/>
              <w:bottom w:val="nil"/>
            </w:tcBorders>
          </w:tcPr>
          <w:p>
            <w:pPr>
              <w:pStyle w:val="TableParagraph"/>
              <w:spacing w:before="74"/>
              <w:ind w:left="75"/>
              <w:rPr>
                <w:sz w:val="18"/>
              </w:rPr>
            </w:pPr>
            <w:r>
              <w:rPr>
                <w:sz w:val="18"/>
              </w:rPr>
              <w:t>38</w:t>
            </w:r>
          </w:p>
        </w:tc>
        <w:tc>
          <w:tcPr>
            <w:tcW w:w="1023" w:type="dxa"/>
            <w:tcBorders>
              <w:top w:val="nil"/>
              <w:bottom w:val="nil"/>
              <w:right w:val="single" w:sz="8" w:space="0" w:color="000000"/>
            </w:tcBorders>
          </w:tcPr>
          <w:p>
            <w:pPr>
              <w:pStyle w:val="TableParagraph"/>
              <w:spacing w:before="126"/>
              <w:ind w:right="38"/>
              <w:jc w:val="right"/>
              <w:rPr>
                <w:sz w:val="18"/>
              </w:rPr>
            </w:pPr>
            <w:r>
              <w:rPr>
                <w:sz w:val="18"/>
              </w:rPr>
              <w:t>.163</w:t>
            </w:r>
          </w:p>
        </w:tc>
        <w:tc>
          <w:tcPr>
            <w:tcW w:w="1438" w:type="dxa"/>
            <w:tcBorders>
              <w:top w:val="nil"/>
              <w:left w:val="single" w:sz="8" w:space="0" w:color="000000"/>
              <w:bottom w:val="nil"/>
              <w:right w:val="single" w:sz="8" w:space="0" w:color="000000"/>
            </w:tcBorders>
          </w:tcPr>
          <w:p>
            <w:pPr>
              <w:pStyle w:val="TableParagraph"/>
              <w:spacing w:before="126"/>
              <w:ind w:right="37"/>
              <w:jc w:val="right"/>
              <w:rPr>
                <w:sz w:val="18"/>
              </w:rPr>
            </w:pPr>
            <w:r>
              <w:rPr>
                <w:sz w:val="18"/>
              </w:rPr>
              <w:t>.388</w:t>
            </w:r>
          </w:p>
        </w:tc>
        <w:tc>
          <w:tcPr>
            <w:tcW w:w="1455" w:type="dxa"/>
            <w:tcBorders>
              <w:top w:val="nil"/>
              <w:left w:val="single" w:sz="8" w:space="0" w:color="000000"/>
              <w:bottom w:val="nil"/>
              <w:right w:val="single" w:sz="8" w:space="0" w:color="000000"/>
            </w:tcBorders>
          </w:tcPr>
          <w:p>
            <w:pPr>
              <w:pStyle w:val="TableParagraph"/>
              <w:spacing w:before="126"/>
              <w:ind w:right="40"/>
              <w:jc w:val="right"/>
              <w:rPr>
                <w:sz w:val="18"/>
              </w:rPr>
            </w:pPr>
            <w:r>
              <w:rPr>
                <w:sz w:val="18"/>
              </w:rPr>
              <w:t>98.855</w:t>
            </w:r>
          </w:p>
        </w:tc>
        <w:tc>
          <w:tcPr>
            <w:tcW w:w="1164" w:type="dxa"/>
            <w:tcBorders>
              <w:top w:val="nil"/>
              <w:left w:val="single" w:sz="8" w:space="0" w:color="000000"/>
              <w:bottom w:val="nil"/>
              <w:right w:val="single" w:sz="8" w:space="0" w:color="000000"/>
            </w:tcBorders>
          </w:tcPr>
          <w:p>
            <w:pPr>
              <w:pStyle w:val="TableParagraph"/>
              <w:rPr>
                <w:sz w:val="18"/>
              </w:rPr>
            </w:pPr>
          </w:p>
        </w:tc>
        <w:tc>
          <w:tcPr>
            <w:tcW w:w="1438" w:type="dxa"/>
            <w:tcBorders>
              <w:top w:val="nil"/>
              <w:left w:val="single" w:sz="8" w:space="0" w:color="000000"/>
              <w:bottom w:val="nil"/>
              <w:right w:val="single" w:sz="8" w:space="0" w:color="000000"/>
            </w:tcBorders>
          </w:tcPr>
          <w:p>
            <w:pPr>
              <w:pStyle w:val="TableParagraph"/>
              <w:rPr>
                <w:sz w:val="18"/>
              </w:rPr>
            </w:pPr>
          </w:p>
        </w:tc>
        <w:tc>
          <w:tcPr>
            <w:tcW w:w="1454" w:type="dxa"/>
            <w:tcBorders>
              <w:top w:val="nil"/>
              <w:left w:val="single" w:sz="8" w:space="0" w:color="000000"/>
              <w:bottom w:val="nil"/>
            </w:tcBorders>
          </w:tcPr>
          <w:p>
            <w:pPr>
              <w:pStyle w:val="TableParagraph"/>
              <w:rPr>
                <w:sz w:val="18"/>
              </w:rPr>
            </w:pPr>
          </w:p>
        </w:tc>
      </w:tr>
      <w:tr>
        <w:trPr>
          <w:trHeight w:val="412" w:hRule="atLeast"/>
        </w:trPr>
        <w:tc>
          <w:tcPr>
            <w:tcW w:w="1284" w:type="dxa"/>
            <w:tcBorders>
              <w:top w:val="nil"/>
              <w:bottom w:val="nil"/>
            </w:tcBorders>
          </w:tcPr>
          <w:p>
            <w:pPr>
              <w:pStyle w:val="TableParagraph"/>
              <w:spacing w:before="74"/>
              <w:ind w:left="75"/>
              <w:rPr>
                <w:sz w:val="18"/>
              </w:rPr>
            </w:pPr>
            <w:r>
              <w:rPr>
                <w:sz w:val="18"/>
              </w:rPr>
              <w:t>39</w:t>
            </w:r>
          </w:p>
        </w:tc>
        <w:tc>
          <w:tcPr>
            <w:tcW w:w="1023" w:type="dxa"/>
            <w:tcBorders>
              <w:top w:val="nil"/>
              <w:bottom w:val="nil"/>
              <w:right w:val="single" w:sz="8" w:space="0" w:color="000000"/>
            </w:tcBorders>
          </w:tcPr>
          <w:p>
            <w:pPr>
              <w:pStyle w:val="TableParagraph"/>
              <w:spacing w:before="124"/>
              <w:ind w:right="38"/>
              <w:jc w:val="right"/>
              <w:rPr>
                <w:sz w:val="18"/>
              </w:rPr>
            </w:pPr>
            <w:r>
              <w:rPr>
                <w:sz w:val="18"/>
              </w:rPr>
              <w:t>.139</w:t>
            </w:r>
          </w:p>
        </w:tc>
        <w:tc>
          <w:tcPr>
            <w:tcW w:w="1438" w:type="dxa"/>
            <w:tcBorders>
              <w:top w:val="nil"/>
              <w:left w:val="single" w:sz="8" w:space="0" w:color="000000"/>
              <w:bottom w:val="nil"/>
              <w:right w:val="single" w:sz="8" w:space="0" w:color="000000"/>
            </w:tcBorders>
          </w:tcPr>
          <w:p>
            <w:pPr>
              <w:pStyle w:val="TableParagraph"/>
              <w:spacing w:before="124"/>
              <w:ind w:right="37"/>
              <w:jc w:val="right"/>
              <w:rPr>
                <w:sz w:val="18"/>
              </w:rPr>
            </w:pPr>
            <w:r>
              <w:rPr>
                <w:sz w:val="18"/>
              </w:rPr>
              <w:t>.331</w:t>
            </w:r>
          </w:p>
        </w:tc>
        <w:tc>
          <w:tcPr>
            <w:tcW w:w="1455" w:type="dxa"/>
            <w:tcBorders>
              <w:top w:val="nil"/>
              <w:left w:val="single" w:sz="8" w:space="0" w:color="000000"/>
              <w:bottom w:val="nil"/>
              <w:right w:val="single" w:sz="8" w:space="0" w:color="000000"/>
            </w:tcBorders>
          </w:tcPr>
          <w:p>
            <w:pPr>
              <w:pStyle w:val="TableParagraph"/>
              <w:spacing w:before="124"/>
              <w:ind w:right="40"/>
              <w:jc w:val="right"/>
              <w:rPr>
                <w:sz w:val="18"/>
              </w:rPr>
            </w:pPr>
            <w:r>
              <w:rPr>
                <w:sz w:val="18"/>
              </w:rPr>
              <w:t>99.186</w:t>
            </w:r>
          </w:p>
        </w:tc>
        <w:tc>
          <w:tcPr>
            <w:tcW w:w="1164" w:type="dxa"/>
            <w:tcBorders>
              <w:top w:val="nil"/>
              <w:left w:val="single" w:sz="8" w:space="0" w:color="000000"/>
              <w:bottom w:val="nil"/>
              <w:right w:val="single" w:sz="8" w:space="0" w:color="000000"/>
            </w:tcBorders>
          </w:tcPr>
          <w:p>
            <w:pPr>
              <w:pStyle w:val="TableParagraph"/>
              <w:rPr>
                <w:sz w:val="18"/>
              </w:rPr>
            </w:pPr>
          </w:p>
        </w:tc>
        <w:tc>
          <w:tcPr>
            <w:tcW w:w="1438" w:type="dxa"/>
            <w:tcBorders>
              <w:top w:val="nil"/>
              <w:left w:val="single" w:sz="8" w:space="0" w:color="000000"/>
              <w:bottom w:val="nil"/>
              <w:right w:val="single" w:sz="8" w:space="0" w:color="000000"/>
            </w:tcBorders>
          </w:tcPr>
          <w:p>
            <w:pPr>
              <w:pStyle w:val="TableParagraph"/>
              <w:rPr>
                <w:sz w:val="18"/>
              </w:rPr>
            </w:pPr>
          </w:p>
        </w:tc>
        <w:tc>
          <w:tcPr>
            <w:tcW w:w="1454" w:type="dxa"/>
            <w:tcBorders>
              <w:top w:val="nil"/>
              <w:left w:val="single" w:sz="8" w:space="0" w:color="000000"/>
              <w:bottom w:val="nil"/>
            </w:tcBorders>
          </w:tcPr>
          <w:p>
            <w:pPr>
              <w:pStyle w:val="TableParagraph"/>
              <w:rPr>
                <w:sz w:val="18"/>
              </w:rPr>
            </w:pPr>
          </w:p>
        </w:tc>
      </w:tr>
      <w:tr>
        <w:trPr>
          <w:trHeight w:val="415" w:hRule="atLeast"/>
        </w:trPr>
        <w:tc>
          <w:tcPr>
            <w:tcW w:w="1284" w:type="dxa"/>
            <w:tcBorders>
              <w:top w:val="nil"/>
              <w:bottom w:val="nil"/>
            </w:tcBorders>
          </w:tcPr>
          <w:p>
            <w:pPr>
              <w:pStyle w:val="TableParagraph"/>
              <w:spacing w:before="74"/>
              <w:ind w:left="75"/>
              <w:rPr>
                <w:sz w:val="18"/>
              </w:rPr>
            </w:pPr>
            <w:r>
              <w:rPr>
                <w:sz w:val="18"/>
              </w:rPr>
              <w:t>40</w:t>
            </w:r>
          </w:p>
        </w:tc>
        <w:tc>
          <w:tcPr>
            <w:tcW w:w="1023" w:type="dxa"/>
            <w:tcBorders>
              <w:top w:val="nil"/>
              <w:bottom w:val="nil"/>
              <w:right w:val="single" w:sz="8" w:space="0" w:color="000000"/>
            </w:tcBorders>
          </w:tcPr>
          <w:p>
            <w:pPr>
              <w:pStyle w:val="TableParagraph"/>
              <w:spacing w:before="126"/>
              <w:ind w:right="38"/>
              <w:jc w:val="right"/>
              <w:rPr>
                <w:sz w:val="18"/>
              </w:rPr>
            </w:pPr>
            <w:r>
              <w:rPr>
                <w:sz w:val="18"/>
              </w:rPr>
              <w:t>.126</w:t>
            </w:r>
          </w:p>
        </w:tc>
        <w:tc>
          <w:tcPr>
            <w:tcW w:w="1438" w:type="dxa"/>
            <w:tcBorders>
              <w:top w:val="nil"/>
              <w:left w:val="single" w:sz="8" w:space="0" w:color="000000"/>
              <w:bottom w:val="nil"/>
              <w:right w:val="single" w:sz="8" w:space="0" w:color="000000"/>
            </w:tcBorders>
          </w:tcPr>
          <w:p>
            <w:pPr>
              <w:pStyle w:val="TableParagraph"/>
              <w:spacing w:before="126"/>
              <w:ind w:right="38"/>
              <w:jc w:val="right"/>
              <w:rPr>
                <w:sz w:val="18"/>
              </w:rPr>
            </w:pPr>
            <w:r>
              <w:rPr>
                <w:sz w:val="18"/>
              </w:rPr>
              <w:t>.301</w:t>
            </w:r>
          </w:p>
        </w:tc>
        <w:tc>
          <w:tcPr>
            <w:tcW w:w="1455" w:type="dxa"/>
            <w:tcBorders>
              <w:top w:val="nil"/>
              <w:left w:val="single" w:sz="8" w:space="0" w:color="000000"/>
              <w:bottom w:val="nil"/>
              <w:right w:val="single" w:sz="8" w:space="0" w:color="000000"/>
            </w:tcBorders>
          </w:tcPr>
          <w:p>
            <w:pPr>
              <w:pStyle w:val="TableParagraph"/>
              <w:spacing w:before="126"/>
              <w:ind w:right="40"/>
              <w:jc w:val="right"/>
              <w:rPr>
                <w:sz w:val="18"/>
              </w:rPr>
            </w:pPr>
            <w:r>
              <w:rPr>
                <w:sz w:val="18"/>
              </w:rPr>
              <w:t>99.487</w:t>
            </w:r>
          </w:p>
        </w:tc>
        <w:tc>
          <w:tcPr>
            <w:tcW w:w="1164" w:type="dxa"/>
            <w:tcBorders>
              <w:top w:val="nil"/>
              <w:left w:val="single" w:sz="8" w:space="0" w:color="000000"/>
              <w:bottom w:val="nil"/>
              <w:right w:val="single" w:sz="8" w:space="0" w:color="000000"/>
            </w:tcBorders>
          </w:tcPr>
          <w:p>
            <w:pPr>
              <w:pStyle w:val="TableParagraph"/>
              <w:rPr>
                <w:sz w:val="18"/>
              </w:rPr>
            </w:pPr>
          </w:p>
        </w:tc>
        <w:tc>
          <w:tcPr>
            <w:tcW w:w="1438" w:type="dxa"/>
            <w:tcBorders>
              <w:top w:val="nil"/>
              <w:left w:val="single" w:sz="8" w:space="0" w:color="000000"/>
              <w:bottom w:val="nil"/>
              <w:right w:val="single" w:sz="8" w:space="0" w:color="000000"/>
            </w:tcBorders>
          </w:tcPr>
          <w:p>
            <w:pPr>
              <w:pStyle w:val="TableParagraph"/>
              <w:rPr>
                <w:sz w:val="18"/>
              </w:rPr>
            </w:pPr>
          </w:p>
        </w:tc>
        <w:tc>
          <w:tcPr>
            <w:tcW w:w="1454" w:type="dxa"/>
            <w:tcBorders>
              <w:top w:val="nil"/>
              <w:left w:val="single" w:sz="8" w:space="0" w:color="000000"/>
              <w:bottom w:val="nil"/>
            </w:tcBorders>
          </w:tcPr>
          <w:p>
            <w:pPr>
              <w:pStyle w:val="TableParagraph"/>
              <w:rPr>
                <w:sz w:val="18"/>
              </w:rPr>
            </w:pPr>
          </w:p>
        </w:tc>
      </w:tr>
      <w:tr>
        <w:trPr>
          <w:trHeight w:val="412" w:hRule="atLeast"/>
        </w:trPr>
        <w:tc>
          <w:tcPr>
            <w:tcW w:w="1284" w:type="dxa"/>
            <w:tcBorders>
              <w:top w:val="nil"/>
              <w:bottom w:val="nil"/>
            </w:tcBorders>
          </w:tcPr>
          <w:p>
            <w:pPr>
              <w:pStyle w:val="TableParagraph"/>
              <w:spacing w:before="74"/>
              <w:ind w:left="75"/>
              <w:rPr>
                <w:sz w:val="18"/>
              </w:rPr>
            </w:pPr>
            <w:r>
              <w:rPr>
                <w:sz w:val="18"/>
              </w:rPr>
              <w:t>41</w:t>
            </w:r>
          </w:p>
        </w:tc>
        <w:tc>
          <w:tcPr>
            <w:tcW w:w="1023" w:type="dxa"/>
            <w:tcBorders>
              <w:top w:val="nil"/>
              <w:bottom w:val="nil"/>
              <w:right w:val="single" w:sz="8" w:space="0" w:color="000000"/>
            </w:tcBorders>
          </w:tcPr>
          <w:p>
            <w:pPr>
              <w:pStyle w:val="TableParagraph"/>
              <w:spacing w:before="124"/>
              <w:ind w:right="38"/>
              <w:jc w:val="right"/>
              <w:rPr>
                <w:sz w:val="18"/>
              </w:rPr>
            </w:pPr>
            <w:r>
              <w:rPr>
                <w:sz w:val="18"/>
              </w:rPr>
              <w:t>.116</w:t>
            </w:r>
          </w:p>
        </w:tc>
        <w:tc>
          <w:tcPr>
            <w:tcW w:w="1438" w:type="dxa"/>
            <w:tcBorders>
              <w:top w:val="nil"/>
              <w:left w:val="single" w:sz="8" w:space="0" w:color="000000"/>
              <w:bottom w:val="nil"/>
              <w:right w:val="single" w:sz="8" w:space="0" w:color="000000"/>
            </w:tcBorders>
          </w:tcPr>
          <w:p>
            <w:pPr>
              <w:pStyle w:val="TableParagraph"/>
              <w:spacing w:before="124"/>
              <w:ind w:right="37"/>
              <w:jc w:val="right"/>
              <w:rPr>
                <w:sz w:val="18"/>
              </w:rPr>
            </w:pPr>
            <w:r>
              <w:rPr>
                <w:sz w:val="18"/>
              </w:rPr>
              <w:t>.275</w:t>
            </w:r>
          </w:p>
        </w:tc>
        <w:tc>
          <w:tcPr>
            <w:tcW w:w="1455" w:type="dxa"/>
            <w:tcBorders>
              <w:top w:val="nil"/>
              <w:left w:val="single" w:sz="8" w:space="0" w:color="000000"/>
              <w:bottom w:val="nil"/>
              <w:right w:val="single" w:sz="8" w:space="0" w:color="000000"/>
            </w:tcBorders>
          </w:tcPr>
          <w:p>
            <w:pPr>
              <w:pStyle w:val="TableParagraph"/>
              <w:spacing w:before="124"/>
              <w:ind w:right="40"/>
              <w:jc w:val="right"/>
              <w:rPr>
                <w:sz w:val="18"/>
              </w:rPr>
            </w:pPr>
            <w:r>
              <w:rPr>
                <w:sz w:val="18"/>
              </w:rPr>
              <w:t>99.762</w:t>
            </w:r>
          </w:p>
        </w:tc>
        <w:tc>
          <w:tcPr>
            <w:tcW w:w="1164" w:type="dxa"/>
            <w:tcBorders>
              <w:top w:val="nil"/>
              <w:left w:val="single" w:sz="8" w:space="0" w:color="000000"/>
              <w:bottom w:val="nil"/>
              <w:right w:val="single" w:sz="8" w:space="0" w:color="000000"/>
            </w:tcBorders>
          </w:tcPr>
          <w:p>
            <w:pPr>
              <w:pStyle w:val="TableParagraph"/>
              <w:rPr>
                <w:sz w:val="18"/>
              </w:rPr>
            </w:pPr>
          </w:p>
        </w:tc>
        <w:tc>
          <w:tcPr>
            <w:tcW w:w="1438" w:type="dxa"/>
            <w:tcBorders>
              <w:top w:val="nil"/>
              <w:left w:val="single" w:sz="8" w:space="0" w:color="000000"/>
              <w:bottom w:val="nil"/>
              <w:right w:val="single" w:sz="8" w:space="0" w:color="000000"/>
            </w:tcBorders>
          </w:tcPr>
          <w:p>
            <w:pPr>
              <w:pStyle w:val="TableParagraph"/>
              <w:rPr>
                <w:sz w:val="18"/>
              </w:rPr>
            </w:pPr>
          </w:p>
        </w:tc>
        <w:tc>
          <w:tcPr>
            <w:tcW w:w="1454" w:type="dxa"/>
            <w:tcBorders>
              <w:top w:val="nil"/>
              <w:left w:val="single" w:sz="8" w:space="0" w:color="000000"/>
              <w:bottom w:val="nil"/>
            </w:tcBorders>
          </w:tcPr>
          <w:p>
            <w:pPr>
              <w:pStyle w:val="TableParagraph"/>
              <w:rPr>
                <w:sz w:val="18"/>
              </w:rPr>
            </w:pPr>
          </w:p>
        </w:tc>
      </w:tr>
      <w:tr>
        <w:trPr>
          <w:trHeight w:val="485" w:hRule="atLeast"/>
        </w:trPr>
        <w:tc>
          <w:tcPr>
            <w:tcW w:w="1284" w:type="dxa"/>
            <w:tcBorders>
              <w:top w:val="nil"/>
            </w:tcBorders>
          </w:tcPr>
          <w:p>
            <w:pPr>
              <w:pStyle w:val="TableParagraph"/>
              <w:spacing w:before="74"/>
              <w:ind w:left="75"/>
              <w:rPr>
                <w:sz w:val="18"/>
              </w:rPr>
            </w:pPr>
            <w:r>
              <w:rPr>
                <w:sz w:val="18"/>
              </w:rPr>
              <w:t>42</w:t>
            </w:r>
          </w:p>
        </w:tc>
        <w:tc>
          <w:tcPr>
            <w:tcW w:w="1023" w:type="dxa"/>
            <w:tcBorders>
              <w:top w:val="nil"/>
              <w:right w:val="single" w:sz="8" w:space="0" w:color="000000"/>
            </w:tcBorders>
          </w:tcPr>
          <w:p>
            <w:pPr>
              <w:pStyle w:val="TableParagraph"/>
              <w:spacing w:before="126"/>
              <w:ind w:right="38"/>
              <w:jc w:val="right"/>
              <w:rPr>
                <w:sz w:val="18"/>
              </w:rPr>
            </w:pPr>
            <w:r>
              <w:rPr>
                <w:sz w:val="18"/>
              </w:rPr>
              <w:t>.100</w:t>
            </w:r>
          </w:p>
        </w:tc>
        <w:tc>
          <w:tcPr>
            <w:tcW w:w="1438" w:type="dxa"/>
            <w:tcBorders>
              <w:top w:val="nil"/>
              <w:left w:val="single" w:sz="8" w:space="0" w:color="000000"/>
              <w:right w:val="single" w:sz="8" w:space="0" w:color="000000"/>
            </w:tcBorders>
          </w:tcPr>
          <w:p>
            <w:pPr>
              <w:pStyle w:val="TableParagraph"/>
              <w:spacing w:before="126"/>
              <w:ind w:right="37"/>
              <w:jc w:val="right"/>
              <w:rPr>
                <w:sz w:val="18"/>
              </w:rPr>
            </w:pPr>
            <w:r>
              <w:rPr>
                <w:sz w:val="18"/>
              </w:rPr>
              <w:t>.238</w:t>
            </w:r>
          </w:p>
        </w:tc>
        <w:tc>
          <w:tcPr>
            <w:tcW w:w="1455" w:type="dxa"/>
            <w:tcBorders>
              <w:top w:val="nil"/>
              <w:left w:val="single" w:sz="8" w:space="0" w:color="000000"/>
              <w:right w:val="single" w:sz="8" w:space="0" w:color="000000"/>
            </w:tcBorders>
          </w:tcPr>
          <w:p>
            <w:pPr>
              <w:pStyle w:val="TableParagraph"/>
              <w:spacing w:before="126"/>
              <w:ind w:right="40"/>
              <w:jc w:val="right"/>
              <w:rPr>
                <w:sz w:val="18"/>
              </w:rPr>
            </w:pPr>
            <w:r>
              <w:rPr>
                <w:sz w:val="18"/>
              </w:rPr>
              <w:t>100.000</w:t>
            </w:r>
          </w:p>
        </w:tc>
        <w:tc>
          <w:tcPr>
            <w:tcW w:w="1164" w:type="dxa"/>
            <w:tcBorders>
              <w:top w:val="nil"/>
              <w:left w:val="single" w:sz="8" w:space="0" w:color="000000"/>
              <w:right w:val="single" w:sz="8" w:space="0" w:color="000000"/>
            </w:tcBorders>
          </w:tcPr>
          <w:p>
            <w:pPr>
              <w:pStyle w:val="TableParagraph"/>
              <w:rPr>
                <w:sz w:val="18"/>
              </w:rPr>
            </w:pPr>
          </w:p>
        </w:tc>
        <w:tc>
          <w:tcPr>
            <w:tcW w:w="1438" w:type="dxa"/>
            <w:tcBorders>
              <w:top w:val="nil"/>
              <w:left w:val="single" w:sz="8" w:space="0" w:color="000000"/>
              <w:right w:val="single" w:sz="8" w:space="0" w:color="000000"/>
            </w:tcBorders>
          </w:tcPr>
          <w:p>
            <w:pPr>
              <w:pStyle w:val="TableParagraph"/>
              <w:rPr>
                <w:sz w:val="18"/>
              </w:rPr>
            </w:pPr>
          </w:p>
        </w:tc>
        <w:tc>
          <w:tcPr>
            <w:tcW w:w="1454" w:type="dxa"/>
            <w:tcBorders>
              <w:top w:val="nil"/>
              <w:left w:val="single" w:sz="8" w:space="0" w:color="000000"/>
            </w:tcBorders>
          </w:tcPr>
          <w:p>
            <w:pPr>
              <w:pStyle w:val="TableParagraph"/>
              <w:rPr>
                <w:sz w:val="18"/>
              </w:rPr>
            </w:pPr>
          </w:p>
        </w:tc>
      </w:tr>
    </w:tbl>
    <w:p>
      <w:pPr>
        <w:spacing w:before="0"/>
        <w:ind w:left="942" w:right="0" w:firstLine="0"/>
        <w:jc w:val="left"/>
        <w:rPr>
          <w:sz w:val="18"/>
        </w:rPr>
      </w:pPr>
      <w:r>
        <w:rPr>
          <w:sz w:val="18"/>
        </w:rPr>
        <w:t>Extraction Method: Principal Component Analysis.</w:t>
      </w:r>
    </w:p>
    <w:p>
      <w:pPr>
        <w:spacing w:after="0"/>
        <w:jc w:val="left"/>
        <w:rPr>
          <w:sz w:val="18"/>
        </w:rPr>
        <w:sectPr>
          <w:pgSz w:w="11910" w:h="16850"/>
          <w:pgMar w:header="751" w:footer="0" w:top="960" w:bottom="280" w:left="820" w:right="240"/>
        </w:sectPr>
      </w:pPr>
    </w:p>
    <w:p>
      <w:pPr>
        <w:pStyle w:val="BodyText"/>
        <w:rPr>
          <w:sz w:val="20"/>
        </w:rPr>
      </w:pPr>
    </w:p>
    <w:p>
      <w:pPr>
        <w:pStyle w:val="BodyText"/>
        <w:rPr>
          <w:sz w:val="20"/>
        </w:rPr>
      </w:pPr>
    </w:p>
    <w:p>
      <w:pPr>
        <w:pStyle w:val="BodyText"/>
        <w:rPr>
          <w:sz w:val="20"/>
        </w:rPr>
      </w:pPr>
    </w:p>
    <w:p>
      <w:pPr>
        <w:pStyle w:val="BodyText"/>
        <w:spacing w:before="2"/>
        <w:rPr>
          <w:sz w:val="27"/>
        </w:rPr>
      </w:pPr>
    </w:p>
    <w:p>
      <w:pPr>
        <w:spacing w:before="99"/>
        <w:ind w:left="948" w:right="952" w:firstLine="0"/>
        <w:jc w:val="center"/>
        <w:rPr>
          <w:b/>
          <w:sz w:val="18"/>
        </w:rPr>
      </w:pPr>
      <w:r>
        <w:rPr>
          <w:b/>
          <w:sz w:val="18"/>
        </w:rPr>
        <w:t>Component Matrix</w:t>
      </w:r>
      <w:r>
        <w:rPr>
          <w:b/>
          <w:sz w:val="18"/>
          <w:vertAlign w:val="superscript"/>
        </w:rPr>
        <w:t>a</w:t>
      </w:r>
    </w:p>
    <w:p>
      <w:pPr>
        <w:pStyle w:val="BodyText"/>
        <w:spacing w:before="2"/>
        <w:rPr>
          <w:b/>
          <w:sz w:val="9"/>
        </w:rPr>
      </w:pPr>
    </w:p>
    <w:tbl>
      <w:tblPr>
        <w:tblW w:w="0" w:type="auto"/>
        <w:jc w:val="left"/>
        <w:tblInd w:w="907" w:type="dxa"/>
        <w:tblBorders>
          <w:top w:val="single" w:sz="18" w:space="0" w:color="000000"/>
          <w:left w:val="single" w:sz="18" w:space="0" w:color="000000"/>
          <w:bottom w:val="single" w:sz="18" w:space="0" w:color="000000"/>
          <w:right w:val="single" w:sz="18" w:space="0" w:color="000000"/>
          <w:insideH w:val="single" w:sz="18" w:space="0" w:color="000000"/>
          <w:insideV w:val="single" w:sz="18" w:space="0" w:color="000000"/>
        </w:tblBorders>
        <w:tblLayout w:type="fixed"/>
        <w:tblCellMar>
          <w:top w:w="0" w:type="dxa"/>
          <w:left w:w="0" w:type="dxa"/>
          <w:bottom w:w="0" w:type="dxa"/>
          <w:right w:w="0" w:type="dxa"/>
        </w:tblCellMar>
        <w:tblLook w:val="01E0"/>
      </w:tblPr>
      <w:tblGrid>
        <w:gridCol w:w="941"/>
        <w:gridCol w:w="735"/>
        <w:gridCol w:w="743"/>
        <w:gridCol w:w="740"/>
        <w:gridCol w:w="740"/>
        <w:gridCol w:w="740"/>
        <w:gridCol w:w="740"/>
        <w:gridCol w:w="740"/>
        <w:gridCol w:w="740"/>
        <w:gridCol w:w="741"/>
        <w:gridCol w:w="738"/>
        <w:gridCol w:w="745"/>
      </w:tblGrid>
      <w:tr>
        <w:trPr>
          <w:trHeight w:val="295" w:hRule="atLeast"/>
        </w:trPr>
        <w:tc>
          <w:tcPr>
            <w:tcW w:w="941" w:type="dxa"/>
            <w:vMerge w:val="restart"/>
          </w:tcPr>
          <w:p>
            <w:pPr>
              <w:pStyle w:val="TableParagraph"/>
              <w:rPr>
                <w:sz w:val="18"/>
              </w:rPr>
            </w:pPr>
          </w:p>
        </w:tc>
        <w:tc>
          <w:tcPr>
            <w:tcW w:w="8142" w:type="dxa"/>
            <w:gridSpan w:val="11"/>
            <w:tcBorders>
              <w:bottom w:val="single" w:sz="8" w:space="0" w:color="000000"/>
            </w:tcBorders>
          </w:tcPr>
          <w:p>
            <w:pPr>
              <w:pStyle w:val="TableParagraph"/>
              <w:spacing w:line="204" w:lineRule="exact"/>
              <w:ind w:left="3616" w:right="3601"/>
              <w:jc w:val="center"/>
              <w:rPr>
                <w:sz w:val="18"/>
              </w:rPr>
            </w:pPr>
            <w:r>
              <w:rPr>
                <w:sz w:val="18"/>
              </w:rPr>
              <w:t>Component</w:t>
            </w:r>
          </w:p>
        </w:tc>
      </w:tr>
      <w:tr>
        <w:trPr>
          <w:trHeight w:val="314" w:hRule="atLeast"/>
        </w:trPr>
        <w:tc>
          <w:tcPr>
            <w:tcW w:w="941" w:type="dxa"/>
            <w:vMerge/>
            <w:tcBorders>
              <w:top w:val="nil"/>
            </w:tcBorders>
          </w:tcPr>
          <w:p>
            <w:pPr>
              <w:rPr>
                <w:sz w:val="2"/>
                <w:szCs w:val="2"/>
              </w:rPr>
            </w:pPr>
          </w:p>
        </w:tc>
        <w:tc>
          <w:tcPr>
            <w:tcW w:w="735" w:type="dxa"/>
            <w:tcBorders>
              <w:top w:val="single" w:sz="8" w:space="0" w:color="000000"/>
              <w:right w:val="single" w:sz="8" w:space="0" w:color="000000"/>
            </w:tcBorders>
          </w:tcPr>
          <w:p>
            <w:pPr>
              <w:pStyle w:val="TableParagraph"/>
              <w:spacing w:before="6"/>
              <w:ind w:left="315"/>
              <w:rPr>
                <w:sz w:val="18"/>
              </w:rPr>
            </w:pPr>
            <w:r>
              <w:rPr>
                <w:sz w:val="18"/>
              </w:rPr>
              <w:t>1</w:t>
            </w:r>
          </w:p>
        </w:tc>
        <w:tc>
          <w:tcPr>
            <w:tcW w:w="743" w:type="dxa"/>
            <w:tcBorders>
              <w:top w:val="single" w:sz="8" w:space="0" w:color="000000"/>
              <w:left w:val="single" w:sz="8" w:space="0" w:color="000000"/>
              <w:right w:val="single" w:sz="8" w:space="0" w:color="000000"/>
            </w:tcBorders>
          </w:tcPr>
          <w:p>
            <w:pPr>
              <w:pStyle w:val="TableParagraph"/>
              <w:spacing w:before="6"/>
              <w:ind w:left="332"/>
              <w:rPr>
                <w:sz w:val="18"/>
              </w:rPr>
            </w:pPr>
            <w:r>
              <w:rPr>
                <w:sz w:val="18"/>
              </w:rPr>
              <w:t>2</w:t>
            </w:r>
          </w:p>
        </w:tc>
        <w:tc>
          <w:tcPr>
            <w:tcW w:w="740" w:type="dxa"/>
            <w:tcBorders>
              <w:top w:val="single" w:sz="8" w:space="0" w:color="000000"/>
              <w:left w:val="single" w:sz="8" w:space="0" w:color="000000"/>
              <w:right w:val="single" w:sz="8" w:space="0" w:color="000000"/>
            </w:tcBorders>
          </w:tcPr>
          <w:p>
            <w:pPr>
              <w:pStyle w:val="TableParagraph"/>
              <w:spacing w:before="6"/>
              <w:ind w:left="331"/>
              <w:rPr>
                <w:sz w:val="18"/>
              </w:rPr>
            </w:pPr>
            <w:r>
              <w:rPr>
                <w:sz w:val="18"/>
              </w:rPr>
              <w:t>3</w:t>
            </w:r>
          </w:p>
        </w:tc>
        <w:tc>
          <w:tcPr>
            <w:tcW w:w="740" w:type="dxa"/>
            <w:tcBorders>
              <w:top w:val="single" w:sz="8" w:space="0" w:color="000000"/>
              <w:left w:val="single" w:sz="8" w:space="0" w:color="000000"/>
              <w:right w:val="single" w:sz="8" w:space="0" w:color="000000"/>
            </w:tcBorders>
          </w:tcPr>
          <w:p>
            <w:pPr>
              <w:pStyle w:val="TableParagraph"/>
              <w:spacing w:before="6"/>
              <w:ind w:left="31"/>
              <w:jc w:val="center"/>
              <w:rPr>
                <w:sz w:val="18"/>
              </w:rPr>
            </w:pPr>
            <w:r>
              <w:rPr>
                <w:sz w:val="18"/>
              </w:rPr>
              <w:t>4</w:t>
            </w:r>
          </w:p>
        </w:tc>
        <w:tc>
          <w:tcPr>
            <w:tcW w:w="740" w:type="dxa"/>
            <w:tcBorders>
              <w:top w:val="single" w:sz="8" w:space="0" w:color="000000"/>
              <w:left w:val="single" w:sz="8" w:space="0" w:color="000000"/>
              <w:right w:val="single" w:sz="8" w:space="0" w:color="000000"/>
            </w:tcBorders>
          </w:tcPr>
          <w:p>
            <w:pPr>
              <w:pStyle w:val="TableParagraph"/>
              <w:spacing w:before="6"/>
              <w:ind w:left="329"/>
              <w:rPr>
                <w:sz w:val="18"/>
              </w:rPr>
            </w:pPr>
            <w:r>
              <w:rPr>
                <w:sz w:val="18"/>
              </w:rPr>
              <w:t>5</w:t>
            </w:r>
          </w:p>
        </w:tc>
        <w:tc>
          <w:tcPr>
            <w:tcW w:w="740" w:type="dxa"/>
            <w:tcBorders>
              <w:top w:val="single" w:sz="8" w:space="0" w:color="000000"/>
              <w:left w:val="single" w:sz="8" w:space="0" w:color="000000"/>
              <w:right w:val="single" w:sz="8" w:space="0" w:color="000000"/>
            </w:tcBorders>
          </w:tcPr>
          <w:p>
            <w:pPr>
              <w:pStyle w:val="TableParagraph"/>
              <w:spacing w:before="6"/>
              <w:ind w:left="329"/>
              <w:rPr>
                <w:sz w:val="18"/>
              </w:rPr>
            </w:pPr>
            <w:r>
              <w:rPr>
                <w:sz w:val="18"/>
              </w:rPr>
              <w:t>6</w:t>
            </w:r>
          </w:p>
        </w:tc>
        <w:tc>
          <w:tcPr>
            <w:tcW w:w="740" w:type="dxa"/>
            <w:tcBorders>
              <w:top w:val="single" w:sz="8" w:space="0" w:color="000000"/>
              <w:left w:val="single" w:sz="8" w:space="0" w:color="000000"/>
              <w:right w:val="single" w:sz="8" w:space="0" w:color="000000"/>
            </w:tcBorders>
          </w:tcPr>
          <w:p>
            <w:pPr>
              <w:pStyle w:val="TableParagraph"/>
              <w:spacing w:before="6"/>
              <w:ind w:left="27"/>
              <w:jc w:val="center"/>
              <w:rPr>
                <w:sz w:val="18"/>
              </w:rPr>
            </w:pPr>
            <w:r>
              <w:rPr>
                <w:sz w:val="18"/>
              </w:rPr>
              <w:t>7</w:t>
            </w:r>
          </w:p>
        </w:tc>
        <w:tc>
          <w:tcPr>
            <w:tcW w:w="740" w:type="dxa"/>
            <w:tcBorders>
              <w:top w:val="single" w:sz="8" w:space="0" w:color="000000"/>
              <w:left w:val="single" w:sz="8" w:space="0" w:color="000000"/>
              <w:right w:val="single" w:sz="8" w:space="0" w:color="000000"/>
            </w:tcBorders>
          </w:tcPr>
          <w:p>
            <w:pPr>
              <w:pStyle w:val="TableParagraph"/>
              <w:spacing w:before="6"/>
              <w:ind w:left="25"/>
              <w:jc w:val="center"/>
              <w:rPr>
                <w:sz w:val="18"/>
              </w:rPr>
            </w:pPr>
            <w:r>
              <w:rPr>
                <w:sz w:val="18"/>
              </w:rPr>
              <w:t>8</w:t>
            </w:r>
          </w:p>
        </w:tc>
        <w:tc>
          <w:tcPr>
            <w:tcW w:w="741" w:type="dxa"/>
            <w:tcBorders>
              <w:top w:val="single" w:sz="8" w:space="0" w:color="000000"/>
              <w:left w:val="single" w:sz="8" w:space="0" w:color="000000"/>
              <w:right w:val="single" w:sz="8" w:space="0" w:color="000000"/>
            </w:tcBorders>
          </w:tcPr>
          <w:p>
            <w:pPr>
              <w:pStyle w:val="TableParagraph"/>
              <w:spacing w:before="6"/>
              <w:ind w:left="23"/>
              <w:jc w:val="center"/>
              <w:rPr>
                <w:sz w:val="18"/>
              </w:rPr>
            </w:pPr>
            <w:r>
              <w:rPr>
                <w:sz w:val="18"/>
              </w:rPr>
              <w:t>9</w:t>
            </w:r>
          </w:p>
        </w:tc>
        <w:tc>
          <w:tcPr>
            <w:tcW w:w="738" w:type="dxa"/>
            <w:tcBorders>
              <w:top w:val="single" w:sz="8" w:space="0" w:color="000000"/>
              <w:left w:val="single" w:sz="8" w:space="0" w:color="000000"/>
              <w:right w:val="single" w:sz="8" w:space="0" w:color="000000"/>
            </w:tcBorders>
          </w:tcPr>
          <w:p>
            <w:pPr>
              <w:pStyle w:val="TableParagraph"/>
              <w:spacing w:before="6"/>
              <w:ind w:left="259" w:right="239"/>
              <w:jc w:val="center"/>
              <w:rPr>
                <w:sz w:val="18"/>
              </w:rPr>
            </w:pPr>
            <w:r>
              <w:rPr>
                <w:sz w:val="18"/>
              </w:rPr>
              <w:t>10</w:t>
            </w:r>
          </w:p>
        </w:tc>
        <w:tc>
          <w:tcPr>
            <w:tcW w:w="745" w:type="dxa"/>
            <w:tcBorders>
              <w:top w:val="single" w:sz="8" w:space="0" w:color="000000"/>
              <w:left w:val="single" w:sz="8" w:space="0" w:color="000000"/>
            </w:tcBorders>
          </w:tcPr>
          <w:p>
            <w:pPr>
              <w:pStyle w:val="TableParagraph"/>
              <w:spacing w:before="6"/>
              <w:ind w:left="257" w:right="234"/>
              <w:jc w:val="center"/>
              <w:rPr>
                <w:sz w:val="18"/>
              </w:rPr>
            </w:pPr>
            <w:r>
              <w:rPr>
                <w:sz w:val="18"/>
              </w:rPr>
              <w:t>11</w:t>
            </w:r>
          </w:p>
        </w:tc>
      </w:tr>
      <w:tr>
        <w:trPr>
          <w:trHeight w:val="337" w:hRule="atLeast"/>
        </w:trPr>
        <w:tc>
          <w:tcPr>
            <w:tcW w:w="941" w:type="dxa"/>
            <w:tcBorders>
              <w:bottom w:val="nil"/>
            </w:tcBorders>
          </w:tcPr>
          <w:p>
            <w:pPr>
              <w:pStyle w:val="TableParagraph"/>
              <w:spacing w:line="204" w:lineRule="exact"/>
              <w:ind w:left="75"/>
              <w:rPr>
                <w:sz w:val="18"/>
              </w:rPr>
            </w:pPr>
            <w:r>
              <w:rPr>
                <w:sz w:val="18"/>
              </w:rPr>
              <w:t>CLDV4</w:t>
            </w:r>
          </w:p>
        </w:tc>
        <w:tc>
          <w:tcPr>
            <w:tcW w:w="735" w:type="dxa"/>
            <w:tcBorders>
              <w:bottom w:val="nil"/>
              <w:right w:val="single" w:sz="8" w:space="0" w:color="000000"/>
            </w:tcBorders>
          </w:tcPr>
          <w:p>
            <w:pPr>
              <w:pStyle w:val="TableParagraph"/>
              <w:spacing w:before="49"/>
              <w:ind w:left="344"/>
              <w:rPr>
                <w:sz w:val="18"/>
              </w:rPr>
            </w:pPr>
            <w:r>
              <w:rPr>
                <w:sz w:val="18"/>
              </w:rPr>
              <w:t>.684</w:t>
            </w:r>
          </w:p>
        </w:tc>
        <w:tc>
          <w:tcPr>
            <w:tcW w:w="743" w:type="dxa"/>
            <w:tcBorders>
              <w:left w:val="single" w:sz="8" w:space="0" w:color="000000"/>
              <w:bottom w:val="nil"/>
              <w:right w:val="single" w:sz="8" w:space="0" w:color="000000"/>
            </w:tcBorders>
          </w:tcPr>
          <w:p>
            <w:pPr>
              <w:pStyle w:val="TableParagraph"/>
              <w:rPr>
                <w:sz w:val="18"/>
              </w:rPr>
            </w:pPr>
          </w:p>
        </w:tc>
        <w:tc>
          <w:tcPr>
            <w:tcW w:w="740" w:type="dxa"/>
            <w:tcBorders>
              <w:left w:val="single" w:sz="8" w:space="0" w:color="000000"/>
              <w:bottom w:val="nil"/>
              <w:right w:val="single" w:sz="8" w:space="0" w:color="000000"/>
            </w:tcBorders>
          </w:tcPr>
          <w:p>
            <w:pPr>
              <w:pStyle w:val="TableParagraph"/>
              <w:spacing w:before="49"/>
              <w:ind w:left="302"/>
              <w:rPr>
                <w:sz w:val="18"/>
              </w:rPr>
            </w:pPr>
            <w:r>
              <w:rPr>
                <w:sz w:val="18"/>
              </w:rPr>
              <w:t>-.468</w:t>
            </w:r>
          </w:p>
        </w:tc>
        <w:tc>
          <w:tcPr>
            <w:tcW w:w="740" w:type="dxa"/>
            <w:tcBorders>
              <w:left w:val="single" w:sz="8" w:space="0" w:color="000000"/>
              <w:bottom w:val="nil"/>
              <w:right w:val="single" w:sz="8" w:space="0" w:color="000000"/>
            </w:tcBorders>
          </w:tcPr>
          <w:p>
            <w:pPr>
              <w:pStyle w:val="TableParagraph"/>
              <w:rPr>
                <w:sz w:val="18"/>
              </w:rPr>
            </w:pPr>
          </w:p>
        </w:tc>
        <w:tc>
          <w:tcPr>
            <w:tcW w:w="740" w:type="dxa"/>
            <w:tcBorders>
              <w:left w:val="single" w:sz="8" w:space="0" w:color="000000"/>
              <w:bottom w:val="nil"/>
              <w:right w:val="single" w:sz="8" w:space="0" w:color="000000"/>
            </w:tcBorders>
          </w:tcPr>
          <w:p>
            <w:pPr>
              <w:pStyle w:val="TableParagraph"/>
              <w:rPr>
                <w:sz w:val="18"/>
              </w:rPr>
            </w:pPr>
          </w:p>
        </w:tc>
        <w:tc>
          <w:tcPr>
            <w:tcW w:w="740" w:type="dxa"/>
            <w:tcBorders>
              <w:left w:val="single" w:sz="8" w:space="0" w:color="000000"/>
              <w:bottom w:val="nil"/>
              <w:right w:val="single" w:sz="8" w:space="0" w:color="000000"/>
            </w:tcBorders>
          </w:tcPr>
          <w:p>
            <w:pPr>
              <w:pStyle w:val="TableParagraph"/>
              <w:rPr>
                <w:sz w:val="18"/>
              </w:rPr>
            </w:pPr>
          </w:p>
        </w:tc>
        <w:tc>
          <w:tcPr>
            <w:tcW w:w="740" w:type="dxa"/>
            <w:vMerge w:val="restart"/>
            <w:tcBorders>
              <w:left w:val="single" w:sz="8" w:space="0" w:color="000000"/>
              <w:bottom w:val="nil"/>
              <w:right w:val="single" w:sz="8" w:space="0" w:color="000000"/>
            </w:tcBorders>
          </w:tcPr>
          <w:p>
            <w:pPr>
              <w:pStyle w:val="TableParagraph"/>
              <w:rPr>
                <w:sz w:val="18"/>
              </w:rPr>
            </w:pPr>
          </w:p>
        </w:tc>
        <w:tc>
          <w:tcPr>
            <w:tcW w:w="740" w:type="dxa"/>
            <w:vMerge w:val="restart"/>
            <w:tcBorders>
              <w:left w:val="single" w:sz="8" w:space="0" w:color="000000"/>
              <w:bottom w:val="nil"/>
              <w:right w:val="single" w:sz="8" w:space="0" w:color="000000"/>
            </w:tcBorders>
          </w:tcPr>
          <w:p>
            <w:pPr>
              <w:pStyle w:val="TableParagraph"/>
              <w:rPr>
                <w:sz w:val="18"/>
              </w:rPr>
            </w:pPr>
          </w:p>
        </w:tc>
        <w:tc>
          <w:tcPr>
            <w:tcW w:w="741" w:type="dxa"/>
            <w:vMerge w:val="restart"/>
            <w:tcBorders>
              <w:left w:val="single" w:sz="8" w:space="0" w:color="000000"/>
              <w:bottom w:val="nil"/>
              <w:right w:val="single" w:sz="8" w:space="0" w:color="000000"/>
            </w:tcBorders>
          </w:tcPr>
          <w:p>
            <w:pPr>
              <w:pStyle w:val="TableParagraph"/>
              <w:rPr>
                <w:sz w:val="18"/>
              </w:rPr>
            </w:pPr>
          </w:p>
        </w:tc>
        <w:tc>
          <w:tcPr>
            <w:tcW w:w="738" w:type="dxa"/>
            <w:vMerge w:val="restart"/>
            <w:tcBorders>
              <w:left w:val="single" w:sz="8" w:space="0" w:color="000000"/>
              <w:bottom w:val="nil"/>
              <w:right w:val="single" w:sz="8" w:space="0" w:color="000000"/>
            </w:tcBorders>
          </w:tcPr>
          <w:p>
            <w:pPr>
              <w:pStyle w:val="TableParagraph"/>
              <w:rPr>
                <w:sz w:val="18"/>
              </w:rPr>
            </w:pPr>
          </w:p>
        </w:tc>
        <w:tc>
          <w:tcPr>
            <w:tcW w:w="745" w:type="dxa"/>
            <w:vMerge w:val="restart"/>
            <w:tcBorders>
              <w:left w:val="single" w:sz="8" w:space="0" w:color="000000"/>
              <w:bottom w:val="nil"/>
            </w:tcBorders>
          </w:tcPr>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spacing w:before="4"/>
              <w:rPr>
                <w:b/>
                <w:sz w:val="28"/>
              </w:rPr>
            </w:pPr>
          </w:p>
          <w:p>
            <w:pPr>
              <w:pStyle w:val="TableParagraph"/>
              <w:spacing w:before="1"/>
              <w:ind w:left="348"/>
              <w:rPr>
                <w:sz w:val="18"/>
              </w:rPr>
            </w:pPr>
            <w:r>
              <w:rPr>
                <w:sz w:val="18"/>
              </w:rPr>
              <w:t>.333</w:t>
            </w:r>
          </w:p>
        </w:tc>
      </w:tr>
      <w:tr>
        <w:trPr>
          <w:trHeight w:val="412" w:hRule="atLeast"/>
        </w:trPr>
        <w:tc>
          <w:tcPr>
            <w:tcW w:w="941" w:type="dxa"/>
            <w:tcBorders>
              <w:top w:val="nil"/>
              <w:bottom w:val="nil"/>
            </w:tcBorders>
          </w:tcPr>
          <w:p>
            <w:pPr>
              <w:pStyle w:val="TableParagraph"/>
              <w:spacing w:before="74"/>
              <w:ind w:left="75"/>
              <w:rPr>
                <w:sz w:val="18"/>
              </w:rPr>
            </w:pPr>
            <w:r>
              <w:rPr>
                <w:sz w:val="18"/>
              </w:rPr>
              <w:t>CLDV1</w:t>
            </w:r>
          </w:p>
        </w:tc>
        <w:tc>
          <w:tcPr>
            <w:tcW w:w="735" w:type="dxa"/>
            <w:tcBorders>
              <w:top w:val="nil"/>
              <w:bottom w:val="nil"/>
              <w:right w:val="single" w:sz="8" w:space="0" w:color="000000"/>
            </w:tcBorders>
          </w:tcPr>
          <w:p>
            <w:pPr>
              <w:pStyle w:val="TableParagraph"/>
              <w:spacing w:before="124"/>
              <w:ind w:left="344"/>
              <w:rPr>
                <w:sz w:val="18"/>
              </w:rPr>
            </w:pPr>
            <w:r>
              <w:rPr>
                <w:sz w:val="18"/>
              </w:rPr>
              <w:t>.677</w:t>
            </w:r>
          </w:p>
        </w:tc>
        <w:tc>
          <w:tcPr>
            <w:tcW w:w="743" w:type="dxa"/>
            <w:tcBorders>
              <w:top w:val="nil"/>
              <w:left w:val="single" w:sz="8" w:space="0" w:color="000000"/>
              <w:bottom w:val="nil"/>
              <w:right w:val="single" w:sz="8" w:space="0" w:color="000000"/>
            </w:tcBorders>
          </w:tcPr>
          <w:p>
            <w:pPr>
              <w:pStyle w:val="TableParagraph"/>
              <w:rPr>
                <w:sz w:val="18"/>
              </w:rPr>
            </w:pPr>
          </w:p>
        </w:tc>
        <w:tc>
          <w:tcPr>
            <w:tcW w:w="740" w:type="dxa"/>
            <w:tcBorders>
              <w:top w:val="nil"/>
              <w:left w:val="single" w:sz="8" w:space="0" w:color="000000"/>
              <w:bottom w:val="nil"/>
              <w:right w:val="single" w:sz="8" w:space="0" w:color="000000"/>
            </w:tcBorders>
          </w:tcPr>
          <w:p>
            <w:pPr>
              <w:pStyle w:val="TableParagraph"/>
              <w:spacing w:before="124"/>
              <w:ind w:left="302"/>
              <w:rPr>
                <w:sz w:val="18"/>
              </w:rPr>
            </w:pPr>
            <w:r>
              <w:rPr>
                <w:sz w:val="18"/>
              </w:rPr>
              <w:t>-.503</w:t>
            </w:r>
          </w:p>
        </w:tc>
        <w:tc>
          <w:tcPr>
            <w:tcW w:w="740" w:type="dxa"/>
            <w:tcBorders>
              <w:top w:val="nil"/>
              <w:left w:val="single" w:sz="8" w:space="0" w:color="000000"/>
              <w:bottom w:val="nil"/>
              <w:right w:val="single" w:sz="8" w:space="0" w:color="000000"/>
            </w:tcBorders>
          </w:tcPr>
          <w:p>
            <w:pPr>
              <w:pStyle w:val="TableParagraph"/>
              <w:rPr>
                <w:sz w:val="18"/>
              </w:rPr>
            </w:pPr>
          </w:p>
        </w:tc>
        <w:tc>
          <w:tcPr>
            <w:tcW w:w="740" w:type="dxa"/>
            <w:tcBorders>
              <w:top w:val="nil"/>
              <w:left w:val="single" w:sz="8" w:space="0" w:color="000000"/>
              <w:bottom w:val="nil"/>
              <w:right w:val="single" w:sz="8" w:space="0" w:color="000000"/>
            </w:tcBorders>
          </w:tcPr>
          <w:p>
            <w:pPr>
              <w:pStyle w:val="TableParagraph"/>
              <w:rPr>
                <w:sz w:val="18"/>
              </w:rPr>
            </w:pPr>
          </w:p>
        </w:tc>
        <w:tc>
          <w:tcPr>
            <w:tcW w:w="740" w:type="dxa"/>
            <w:tcBorders>
              <w:top w:val="nil"/>
              <w:left w:val="single" w:sz="8" w:space="0" w:color="000000"/>
              <w:bottom w:val="nil"/>
              <w:right w:val="single" w:sz="8" w:space="0" w:color="000000"/>
            </w:tcBorders>
          </w:tcPr>
          <w:p>
            <w:pPr>
              <w:pStyle w:val="TableParagraph"/>
              <w:rPr>
                <w:sz w:val="18"/>
              </w:rPr>
            </w:pPr>
          </w:p>
        </w:tc>
        <w:tc>
          <w:tcPr>
            <w:tcW w:w="740" w:type="dxa"/>
            <w:vMerge/>
            <w:tcBorders>
              <w:top w:val="nil"/>
              <w:left w:val="single" w:sz="8" w:space="0" w:color="000000"/>
              <w:bottom w:val="nil"/>
              <w:right w:val="single" w:sz="8" w:space="0" w:color="000000"/>
            </w:tcBorders>
          </w:tcPr>
          <w:p>
            <w:pPr>
              <w:rPr>
                <w:sz w:val="2"/>
                <w:szCs w:val="2"/>
              </w:rPr>
            </w:pPr>
          </w:p>
        </w:tc>
        <w:tc>
          <w:tcPr>
            <w:tcW w:w="740" w:type="dxa"/>
            <w:vMerge/>
            <w:tcBorders>
              <w:top w:val="nil"/>
              <w:left w:val="single" w:sz="8" w:space="0" w:color="000000"/>
              <w:bottom w:val="nil"/>
              <w:right w:val="single" w:sz="8" w:space="0" w:color="000000"/>
            </w:tcBorders>
          </w:tcPr>
          <w:p>
            <w:pPr>
              <w:rPr>
                <w:sz w:val="2"/>
                <w:szCs w:val="2"/>
              </w:rPr>
            </w:pPr>
          </w:p>
        </w:tc>
        <w:tc>
          <w:tcPr>
            <w:tcW w:w="741" w:type="dxa"/>
            <w:vMerge/>
            <w:tcBorders>
              <w:top w:val="nil"/>
              <w:left w:val="single" w:sz="8" w:space="0" w:color="000000"/>
              <w:bottom w:val="nil"/>
              <w:right w:val="single" w:sz="8" w:space="0" w:color="000000"/>
            </w:tcBorders>
          </w:tcPr>
          <w:p>
            <w:pPr>
              <w:rPr>
                <w:sz w:val="2"/>
                <w:szCs w:val="2"/>
              </w:rPr>
            </w:pPr>
          </w:p>
        </w:tc>
        <w:tc>
          <w:tcPr>
            <w:tcW w:w="738" w:type="dxa"/>
            <w:vMerge/>
            <w:tcBorders>
              <w:top w:val="nil"/>
              <w:left w:val="single" w:sz="8" w:space="0" w:color="000000"/>
              <w:bottom w:val="nil"/>
              <w:right w:val="single" w:sz="8" w:space="0" w:color="000000"/>
            </w:tcBorders>
          </w:tcPr>
          <w:p>
            <w:pPr>
              <w:rPr>
                <w:sz w:val="2"/>
                <w:szCs w:val="2"/>
              </w:rPr>
            </w:pPr>
          </w:p>
        </w:tc>
        <w:tc>
          <w:tcPr>
            <w:tcW w:w="745" w:type="dxa"/>
            <w:vMerge/>
            <w:tcBorders>
              <w:top w:val="nil"/>
              <w:left w:val="single" w:sz="8" w:space="0" w:color="000000"/>
              <w:bottom w:val="nil"/>
            </w:tcBorders>
          </w:tcPr>
          <w:p>
            <w:pPr>
              <w:rPr>
                <w:sz w:val="2"/>
                <w:szCs w:val="2"/>
              </w:rPr>
            </w:pPr>
          </w:p>
        </w:tc>
      </w:tr>
      <w:tr>
        <w:trPr>
          <w:trHeight w:val="415" w:hRule="atLeast"/>
        </w:trPr>
        <w:tc>
          <w:tcPr>
            <w:tcW w:w="941" w:type="dxa"/>
            <w:tcBorders>
              <w:top w:val="nil"/>
              <w:bottom w:val="nil"/>
            </w:tcBorders>
          </w:tcPr>
          <w:p>
            <w:pPr>
              <w:pStyle w:val="TableParagraph"/>
              <w:spacing w:before="74"/>
              <w:ind w:left="75"/>
              <w:rPr>
                <w:sz w:val="18"/>
              </w:rPr>
            </w:pPr>
            <w:r>
              <w:rPr>
                <w:sz w:val="18"/>
              </w:rPr>
              <w:t>CLDV3</w:t>
            </w:r>
          </w:p>
        </w:tc>
        <w:tc>
          <w:tcPr>
            <w:tcW w:w="735" w:type="dxa"/>
            <w:tcBorders>
              <w:top w:val="nil"/>
              <w:bottom w:val="nil"/>
              <w:right w:val="single" w:sz="8" w:space="0" w:color="000000"/>
            </w:tcBorders>
          </w:tcPr>
          <w:p>
            <w:pPr>
              <w:pStyle w:val="TableParagraph"/>
              <w:spacing w:before="126"/>
              <w:ind w:left="344"/>
              <w:rPr>
                <w:sz w:val="18"/>
              </w:rPr>
            </w:pPr>
            <w:r>
              <w:rPr>
                <w:sz w:val="18"/>
              </w:rPr>
              <w:t>.666</w:t>
            </w:r>
          </w:p>
        </w:tc>
        <w:tc>
          <w:tcPr>
            <w:tcW w:w="743" w:type="dxa"/>
            <w:tcBorders>
              <w:top w:val="nil"/>
              <w:left w:val="single" w:sz="8" w:space="0" w:color="000000"/>
              <w:bottom w:val="nil"/>
              <w:right w:val="single" w:sz="8" w:space="0" w:color="000000"/>
            </w:tcBorders>
          </w:tcPr>
          <w:p>
            <w:pPr>
              <w:pStyle w:val="TableParagraph"/>
              <w:rPr>
                <w:sz w:val="18"/>
              </w:rPr>
            </w:pPr>
          </w:p>
        </w:tc>
        <w:tc>
          <w:tcPr>
            <w:tcW w:w="740" w:type="dxa"/>
            <w:tcBorders>
              <w:top w:val="nil"/>
              <w:left w:val="single" w:sz="8" w:space="0" w:color="000000"/>
              <w:bottom w:val="nil"/>
              <w:right w:val="single" w:sz="8" w:space="0" w:color="000000"/>
            </w:tcBorders>
          </w:tcPr>
          <w:p>
            <w:pPr>
              <w:pStyle w:val="TableParagraph"/>
              <w:spacing w:before="126"/>
              <w:ind w:left="302"/>
              <w:rPr>
                <w:sz w:val="18"/>
              </w:rPr>
            </w:pPr>
            <w:r>
              <w:rPr>
                <w:sz w:val="18"/>
              </w:rPr>
              <w:t>-.529</w:t>
            </w:r>
          </w:p>
        </w:tc>
        <w:tc>
          <w:tcPr>
            <w:tcW w:w="740" w:type="dxa"/>
            <w:tcBorders>
              <w:top w:val="nil"/>
              <w:left w:val="single" w:sz="8" w:space="0" w:color="000000"/>
              <w:bottom w:val="nil"/>
              <w:right w:val="single" w:sz="8" w:space="0" w:color="000000"/>
            </w:tcBorders>
          </w:tcPr>
          <w:p>
            <w:pPr>
              <w:pStyle w:val="TableParagraph"/>
              <w:rPr>
                <w:sz w:val="18"/>
              </w:rPr>
            </w:pPr>
          </w:p>
        </w:tc>
        <w:tc>
          <w:tcPr>
            <w:tcW w:w="740" w:type="dxa"/>
            <w:tcBorders>
              <w:top w:val="nil"/>
              <w:left w:val="single" w:sz="8" w:space="0" w:color="000000"/>
              <w:bottom w:val="nil"/>
              <w:right w:val="single" w:sz="8" w:space="0" w:color="000000"/>
            </w:tcBorders>
          </w:tcPr>
          <w:p>
            <w:pPr>
              <w:pStyle w:val="TableParagraph"/>
              <w:rPr>
                <w:sz w:val="18"/>
              </w:rPr>
            </w:pPr>
          </w:p>
        </w:tc>
        <w:tc>
          <w:tcPr>
            <w:tcW w:w="740" w:type="dxa"/>
            <w:tcBorders>
              <w:top w:val="nil"/>
              <w:left w:val="single" w:sz="8" w:space="0" w:color="000000"/>
              <w:bottom w:val="nil"/>
              <w:right w:val="single" w:sz="8" w:space="0" w:color="000000"/>
            </w:tcBorders>
          </w:tcPr>
          <w:p>
            <w:pPr>
              <w:pStyle w:val="TableParagraph"/>
              <w:rPr>
                <w:sz w:val="18"/>
              </w:rPr>
            </w:pPr>
          </w:p>
        </w:tc>
        <w:tc>
          <w:tcPr>
            <w:tcW w:w="740" w:type="dxa"/>
            <w:vMerge/>
            <w:tcBorders>
              <w:top w:val="nil"/>
              <w:left w:val="single" w:sz="8" w:space="0" w:color="000000"/>
              <w:bottom w:val="nil"/>
              <w:right w:val="single" w:sz="8" w:space="0" w:color="000000"/>
            </w:tcBorders>
          </w:tcPr>
          <w:p>
            <w:pPr>
              <w:rPr>
                <w:sz w:val="2"/>
                <w:szCs w:val="2"/>
              </w:rPr>
            </w:pPr>
          </w:p>
        </w:tc>
        <w:tc>
          <w:tcPr>
            <w:tcW w:w="740" w:type="dxa"/>
            <w:vMerge/>
            <w:tcBorders>
              <w:top w:val="nil"/>
              <w:left w:val="single" w:sz="8" w:space="0" w:color="000000"/>
              <w:bottom w:val="nil"/>
              <w:right w:val="single" w:sz="8" w:space="0" w:color="000000"/>
            </w:tcBorders>
          </w:tcPr>
          <w:p>
            <w:pPr>
              <w:rPr>
                <w:sz w:val="2"/>
                <w:szCs w:val="2"/>
              </w:rPr>
            </w:pPr>
          </w:p>
        </w:tc>
        <w:tc>
          <w:tcPr>
            <w:tcW w:w="741" w:type="dxa"/>
            <w:vMerge/>
            <w:tcBorders>
              <w:top w:val="nil"/>
              <w:left w:val="single" w:sz="8" w:space="0" w:color="000000"/>
              <w:bottom w:val="nil"/>
              <w:right w:val="single" w:sz="8" w:space="0" w:color="000000"/>
            </w:tcBorders>
          </w:tcPr>
          <w:p>
            <w:pPr>
              <w:rPr>
                <w:sz w:val="2"/>
                <w:szCs w:val="2"/>
              </w:rPr>
            </w:pPr>
          </w:p>
        </w:tc>
        <w:tc>
          <w:tcPr>
            <w:tcW w:w="738" w:type="dxa"/>
            <w:vMerge/>
            <w:tcBorders>
              <w:top w:val="nil"/>
              <w:left w:val="single" w:sz="8" w:space="0" w:color="000000"/>
              <w:bottom w:val="nil"/>
              <w:right w:val="single" w:sz="8" w:space="0" w:color="000000"/>
            </w:tcBorders>
          </w:tcPr>
          <w:p>
            <w:pPr>
              <w:rPr>
                <w:sz w:val="2"/>
                <w:szCs w:val="2"/>
              </w:rPr>
            </w:pPr>
          </w:p>
        </w:tc>
        <w:tc>
          <w:tcPr>
            <w:tcW w:w="745" w:type="dxa"/>
            <w:vMerge/>
            <w:tcBorders>
              <w:top w:val="nil"/>
              <w:left w:val="single" w:sz="8" w:space="0" w:color="000000"/>
              <w:bottom w:val="nil"/>
            </w:tcBorders>
          </w:tcPr>
          <w:p>
            <w:pPr>
              <w:rPr>
                <w:sz w:val="2"/>
                <w:szCs w:val="2"/>
              </w:rPr>
            </w:pPr>
          </w:p>
        </w:tc>
      </w:tr>
      <w:tr>
        <w:trPr>
          <w:trHeight w:val="412" w:hRule="atLeast"/>
        </w:trPr>
        <w:tc>
          <w:tcPr>
            <w:tcW w:w="941" w:type="dxa"/>
            <w:tcBorders>
              <w:top w:val="nil"/>
              <w:bottom w:val="nil"/>
            </w:tcBorders>
          </w:tcPr>
          <w:p>
            <w:pPr>
              <w:pStyle w:val="TableParagraph"/>
              <w:spacing w:before="74"/>
              <w:ind w:left="75"/>
              <w:rPr>
                <w:sz w:val="18"/>
              </w:rPr>
            </w:pPr>
            <w:r>
              <w:rPr>
                <w:sz w:val="18"/>
              </w:rPr>
              <w:t>CLDV7</w:t>
            </w:r>
          </w:p>
        </w:tc>
        <w:tc>
          <w:tcPr>
            <w:tcW w:w="735" w:type="dxa"/>
            <w:tcBorders>
              <w:top w:val="nil"/>
              <w:bottom w:val="nil"/>
              <w:right w:val="single" w:sz="8" w:space="0" w:color="000000"/>
            </w:tcBorders>
          </w:tcPr>
          <w:p>
            <w:pPr>
              <w:pStyle w:val="TableParagraph"/>
              <w:spacing w:before="124"/>
              <w:ind w:left="344"/>
              <w:rPr>
                <w:sz w:val="18"/>
              </w:rPr>
            </w:pPr>
            <w:r>
              <w:rPr>
                <w:sz w:val="18"/>
              </w:rPr>
              <w:t>.664</w:t>
            </w:r>
          </w:p>
        </w:tc>
        <w:tc>
          <w:tcPr>
            <w:tcW w:w="743" w:type="dxa"/>
            <w:tcBorders>
              <w:top w:val="nil"/>
              <w:left w:val="single" w:sz="8" w:space="0" w:color="000000"/>
              <w:bottom w:val="nil"/>
              <w:right w:val="single" w:sz="8" w:space="0" w:color="000000"/>
            </w:tcBorders>
          </w:tcPr>
          <w:p>
            <w:pPr>
              <w:pStyle w:val="TableParagraph"/>
              <w:rPr>
                <w:sz w:val="18"/>
              </w:rPr>
            </w:pPr>
          </w:p>
        </w:tc>
        <w:tc>
          <w:tcPr>
            <w:tcW w:w="740" w:type="dxa"/>
            <w:tcBorders>
              <w:top w:val="nil"/>
              <w:left w:val="single" w:sz="8" w:space="0" w:color="000000"/>
              <w:bottom w:val="nil"/>
              <w:right w:val="single" w:sz="8" w:space="0" w:color="000000"/>
            </w:tcBorders>
          </w:tcPr>
          <w:p>
            <w:pPr>
              <w:pStyle w:val="TableParagraph"/>
              <w:spacing w:before="124"/>
              <w:ind w:left="302"/>
              <w:rPr>
                <w:sz w:val="18"/>
              </w:rPr>
            </w:pPr>
            <w:r>
              <w:rPr>
                <w:sz w:val="18"/>
              </w:rPr>
              <w:t>-.596</w:t>
            </w:r>
          </w:p>
        </w:tc>
        <w:tc>
          <w:tcPr>
            <w:tcW w:w="740" w:type="dxa"/>
            <w:tcBorders>
              <w:top w:val="nil"/>
              <w:left w:val="single" w:sz="8" w:space="0" w:color="000000"/>
              <w:bottom w:val="nil"/>
              <w:right w:val="single" w:sz="8" w:space="0" w:color="000000"/>
            </w:tcBorders>
          </w:tcPr>
          <w:p>
            <w:pPr>
              <w:pStyle w:val="TableParagraph"/>
              <w:rPr>
                <w:sz w:val="18"/>
              </w:rPr>
            </w:pPr>
          </w:p>
        </w:tc>
        <w:tc>
          <w:tcPr>
            <w:tcW w:w="740" w:type="dxa"/>
            <w:tcBorders>
              <w:top w:val="nil"/>
              <w:left w:val="single" w:sz="8" w:space="0" w:color="000000"/>
              <w:bottom w:val="nil"/>
              <w:right w:val="single" w:sz="8" w:space="0" w:color="000000"/>
            </w:tcBorders>
          </w:tcPr>
          <w:p>
            <w:pPr>
              <w:pStyle w:val="TableParagraph"/>
              <w:rPr>
                <w:sz w:val="18"/>
              </w:rPr>
            </w:pPr>
          </w:p>
        </w:tc>
        <w:tc>
          <w:tcPr>
            <w:tcW w:w="740" w:type="dxa"/>
            <w:tcBorders>
              <w:top w:val="nil"/>
              <w:left w:val="single" w:sz="8" w:space="0" w:color="000000"/>
              <w:bottom w:val="nil"/>
              <w:right w:val="single" w:sz="8" w:space="0" w:color="000000"/>
            </w:tcBorders>
          </w:tcPr>
          <w:p>
            <w:pPr>
              <w:pStyle w:val="TableParagraph"/>
              <w:rPr>
                <w:sz w:val="18"/>
              </w:rPr>
            </w:pPr>
          </w:p>
        </w:tc>
        <w:tc>
          <w:tcPr>
            <w:tcW w:w="740" w:type="dxa"/>
            <w:vMerge/>
            <w:tcBorders>
              <w:top w:val="nil"/>
              <w:left w:val="single" w:sz="8" w:space="0" w:color="000000"/>
              <w:bottom w:val="nil"/>
              <w:right w:val="single" w:sz="8" w:space="0" w:color="000000"/>
            </w:tcBorders>
          </w:tcPr>
          <w:p>
            <w:pPr>
              <w:rPr>
                <w:sz w:val="2"/>
                <w:szCs w:val="2"/>
              </w:rPr>
            </w:pPr>
          </w:p>
        </w:tc>
        <w:tc>
          <w:tcPr>
            <w:tcW w:w="740" w:type="dxa"/>
            <w:vMerge/>
            <w:tcBorders>
              <w:top w:val="nil"/>
              <w:left w:val="single" w:sz="8" w:space="0" w:color="000000"/>
              <w:bottom w:val="nil"/>
              <w:right w:val="single" w:sz="8" w:space="0" w:color="000000"/>
            </w:tcBorders>
          </w:tcPr>
          <w:p>
            <w:pPr>
              <w:rPr>
                <w:sz w:val="2"/>
                <w:szCs w:val="2"/>
              </w:rPr>
            </w:pPr>
          </w:p>
        </w:tc>
        <w:tc>
          <w:tcPr>
            <w:tcW w:w="741" w:type="dxa"/>
            <w:vMerge/>
            <w:tcBorders>
              <w:top w:val="nil"/>
              <w:left w:val="single" w:sz="8" w:space="0" w:color="000000"/>
              <w:bottom w:val="nil"/>
              <w:right w:val="single" w:sz="8" w:space="0" w:color="000000"/>
            </w:tcBorders>
          </w:tcPr>
          <w:p>
            <w:pPr>
              <w:rPr>
                <w:sz w:val="2"/>
                <w:szCs w:val="2"/>
              </w:rPr>
            </w:pPr>
          </w:p>
        </w:tc>
        <w:tc>
          <w:tcPr>
            <w:tcW w:w="738" w:type="dxa"/>
            <w:vMerge/>
            <w:tcBorders>
              <w:top w:val="nil"/>
              <w:left w:val="single" w:sz="8" w:space="0" w:color="000000"/>
              <w:bottom w:val="nil"/>
              <w:right w:val="single" w:sz="8" w:space="0" w:color="000000"/>
            </w:tcBorders>
          </w:tcPr>
          <w:p>
            <w:pPr>
              <w:rPr>
                <w:sz w:val="2"/>
                <w:szCs w:val="2"/>
              </w:rPr>
            </w:pPr>
          </w:p>
        </w:tc>
        <w:tc>
          <w:tcPr>
            <w:tcW w:w="745" w:type="dxa"/>
            <w:vMerge/>
            <w:tcBorders>
              <w:top w:val="nil"/>
              <w:left w:val="single" w:sz="8" w:space="0" w:color="000000"/>
              <w:bottom w:val="nil"/>
            </w:tcBorders>
          </w:tcPr>
          <w:p>
            <w:pPr>
              <w:rPr>
                <w:sz w:val="2"/>
                <w:szCs w:val="2"/>
              </w:rPr>
            </w:pPr>
          </w:p>
        </w:tc>
      </w:tr>
      <w:tr>
        <w:trPr>
          <w:trHeight w:val="415" w:hRule="atLeast"/>
        </w:trPr>
        <w:tc>
          <w:tcPr>
            <w:tcW w:w="941" w:type="dxa"/>
            <w:tcBorders>
              <w:top w:val="nil"/>
              <w:bottom w:val="nil"/>
            </w:tcBorders>
          </w:tcPr>
          <w:p>
            <w:pPr>
              <w:pStyle w:val="TableParagraph"/>
              <w:spacing w:before="74"/>
              <w:ind w:left="75"/>
              <w:rPr>
                <w:sz w:val="18"/>
              </w:rPr>
            </w:pPr>
            <w:r>
              <w:rPr>
                <w:sz w:val="18"/>
              </w:rPr>
              <w:t>CLDV8</w:t>
            </w:r>
          </w:p>
        </w:tc>
        <w:tc>
          <w:tcPr>
            <w:tcW w:w="735" w:type="dxa"/>
            <w:tcBorders>
              <w:top w:val="nil"/>
              <w:bottom w:val="nil"/>
              <w:right w:val="single" w:sz="8" w:space="0" w:color="000000"/>
            </w:tcBorders>
          </w:tcPr>
          <w:p>
            <w:pPr>
              <w:pStyle w:val="TableParagraph"/>
              <w:spacing w:before="126"/>
              <w:ind w:left="344"/>
              <w:rPr>
                <w:sz w:val="18"/>
              </w:rPr>
            </w:pPr>
            <w:r>
              <w:rPr>
                <w:sz w:val="18"/>
              </w:rPr>
              <w:t>.661</w:t>
            </w:r>
          </w:p>
        </w:tc>
        <w:tc>
          <w:tcPr>
            <w:tcW w:w="743" w:type="dxa"/>
            <w:tcBorders>
              <w:top w:val="nil"/>
              <w:left w:val="single" w:sz="8" w:space="0" w:color="000000"/>
              <w:bottom w:val="nil"/>
              <w:right w:val="single" w:sz="8" w:space="0" w:color="000000"/>
            </w:tcBorders>
          </w:tcPr>
          <w:p>
            <w:pPr>
              <w:pStyle w:val="TableParagraph"/>
              <w:rPr>
                <w:sz w:val="18"/>
              </w:rPr>
            </w:pPr>
          </w:p>
        </w:tc>
        <w:tc>
          <w:tcPr>
            <w:tcW w:w="740" w:type="dxa"/>
            <w:tcBorders>
              <w:top w:val="nil"/>
              <w:left w:val="single" w:sz="8" w:space="0" w:color="000000"/>
              <w:bottom w:val="nil"/>
              <w:right w:val="single" w:sz="8" w:space="0" w:color="000000"/>
            </w:tcBorders>
          </w:tcPr>
          <w:p>
            <w:pPr>
              <w:pStyle w:val="TableParagraph"/>
              <w:spacing w:before="126"/>
              <w:ind w:left="302"/>
              <w:rPr>
                <w:sz w:val="18"/>
              </w:rPr>
            </w:pPr>
            <w:r>
              <w:rPr>
                <w:sz w:val="18"/>
              </w:rPr>
              <w:t>-.544</w:t>
            </w:r>
          </w:p>
        </w:tc>
        <w:tc>
          <w:tcPr>
            <w:tcW w:w="740" w:type="dxa"/>
            <w:tcBorders>
              <w:top w:val="nil"/>
              <w:left w:val="single" w:sz="8" w:space="0" w:color="000000"/>
              <w:bottom w:val="nil"/>
              <w:right w:val="single" w:sz="8" w:space="0" w:color="000000"/>
            </w:tcBorders>
          </w:tcPr>
          <w:p>
            <w:pPr>
              <w:pStyle w:val="TableParagraph"/>
              <w:rPr>
                <w:sz w:val="18"/>
              </w:rPr>
            </w:pPr>
          </w:p>
        </w:tc>
        <w:tc>
          <w:tcPr>
            <w:tcW w:w="740" w:type="dxa"/>
            <w:tcBorders>
              <w:top w:val="nil"/>
              <w:left w:val="single" w:sz="8" w:space="0" w:color="000000"/>
              <w:bottom w:val="nil"/>
              <w:right w:val="single" w:sz="8" w:space="0" w:color="000000"/>
            </w:tcBorders>
          </w:tcPr>
          <w:p>
            <w:pPr>
              <w:pStyle w:val="TableParagraph"/>
              <w:rPr>
                <w:sz w:val="18"/>
              </w:rPr>
            </w:pPr>
          </w:p>
        </w:tc>
        <w:tc>
          <w:tcPr>
            <w:tcW w:w="740" w:type="dxa"/>
            <w:tcBorders>
              <w:top w:val="nil"/>
              <w:left w:val="single" w:sz="8" w:space="0" w:color="000000"/>
              <w:bottom w:val="nil"/>
              <w:right w:val="single" w:sz="8" w:space="0" w:color="000000"/>
            </w:tcBorders>
          </w:tcPr>
          <w:p>
            <w:pPr>
              <w:pStyle w:val="TableParagraph"/>
              <w:rPr>
                <w:sz w:val="18"/>
              </w:rPr>
            </w:pPr>
          </w:p>
        </w:tc>
        <w:tc>
          <w:tcPr>
            <w:tcW w:w="740" w:type="dxa"/>
            <w:vMerge/>
            <w:tcBorders>
              <w:top w:val="nil"/>
              <w:left w:val="single" w:sz="8" w:space="0" w:color="000000"/>
              <w:bottom w:val="nil"/>
              <w:right w:val="single" w:sz="8" w:space="0" w:color="000000"/>
            </w:tcBorders>
          </w:tcPr>
          <w:p>
            <w:pPr>
              <w:rPr>
                <w:sz w:val="2"/>
                <w:szCs w:val="2"/>
              </w:rPr>
            </w:pPr>
          </w:p>
        </w:tc>
        <w:tc>
          <w:tcPr>
            <w:tcW w:w="740" w:type="dxa"/>
            <w:vMerge/>
            <w:tcBorders>
              <w:top w:val="nil"/>
              <w:left w:val="single" w:sz="8" w:space="0" w:color="000000"/>
              <w:bottom w:val="nil"/>
              <w:right w:val="single" w:sz="8" w:space="0" w:color="000000"/>
            </w:tcBorders>
          </w:tcPr>
          <w:p>
            <w:pPr>
              <w:rPr>
                <w:sz w:val="2"/>
                <w:szCs w:val="2"/>
              </w:rPr>
            </w:pPr>
          </w:p>
        </w:tc>
        <w:tc>
          <w:tcPr>
            <w:tcW w:w="741" w:type="dxa"/>
            <w:vMerge/>
            <w:tcBorders>
              <w:top w:val="nil"/>
              <w:left w:val="single" w:sz="8" w:space="0" w:color="000000"/>
              <w:bottom w:val="nil"/>
              <w:right w:val="single" w:sz="8" w:space="0" w:color="000000"/>
            </w:tcBorders>
          </w:tcPr>
          <w:p>
            <w:pPr>
              <w:rPr>
                <w:sz w:val="2"/>
                <w:szCs w:val="2"/>
              </w:rPr>
            </w:pPr>
          </w:p>
        </w:tc>
        <w:tc>
          <w:tcPr>
            <w:tcW w:w="738" w:type="dxa"/>
            <w:vMerge/>
            <w:tcBorders>
              <w:top w:val="nil"/>
              <w:left w:val="single" w:sz="8" w:space="0" w:color="000000"/>
              <w:bottom w:val="nil"/>
              <w:right w:val="single" w:sz="8" w:space="0" w:color="000000"/>
            </w:tcBorders>
          </w:tcPr>
          <w:p>
            <w:pPr>
              <w:rPr>
                <w:sz w:val="2"/>
                <w:szCs w:val="2"/>
              </w:rPr>
            </w:pPr>
          </w:p>
        </w:tc>
        <w:tc>
          <w:tcPr>
            <w:tcW w:w="745" w:type="dxa"/>
            <w:vMerge/>
            <w:tcBorders>
              <w:top w:val="nil"/>
              <w:left w:val="single" w:sz="8" w:space="0" w:color="000000"/>
              <w:bottom w:val="nil"/>
            </w:tcBorders>
          </w:tcPr>
          <w:p>
            <w:pPr>
              <w:rPr>
                <w:sz w:val="2"/>
                <w:szCs w:val="2"/>
              </w:rPr>
            </w:pPr>
          </w:p>
        </w:tc>
      </w:tr>
      <w:tr>
        <w:trPr>
          <w:trHeight w:val="413" w:hRule="atLeast"/>
        </w:trPr>
        <w:tc>
          <w:tcPr>
            <w:tcW w:w="941" w:type="dxa"/>
            <w:tcBorders>
              <w:top w:val="nil"/>
              <w:bottom w:val="nil"/>
            </w:tcBorders>
          </w:tcPr>
          <w:p>
            <w:pPr>
              <w:pStyle w:val="TableParagraph"/>
              <w:spacing w:before="74"/>
              <w:ind w:left="75"/>
              <w:rPr>
                <w:sz w:val="18"/>
              </w:rPr>
            </w:pPr>
            <w:r>
              <w:rPr>
                <w:sz w:val="18"/>
              </w:rPr>
              <w:t>CLDV6</w:t>
            </w:r>
          </w:p>
        </w:tc>
        <w:tc>
          <w:tcPr>
            <w:tcW w:w="735" w:type="dxa"/>
            <w:tcBorders>
              <w:top w:val="nil"/>
              <w:bottom w:val="nil"/>
              <w:right w:val="single" w:sz="8" w:space="0" w:color="000000"/>
            </w:tcBorders>
          </w:tcPr>
          <w:p>
            <w:pPr>
              <w:pStyle w:val="TableParagraph"/>
              <w:spacing w:before="124"/>
              <w:ind w:left="344"/>
              <w:rPr>
                <w:sz w:val="18"/>
              </w:rPr>
            </w:pPr>
            <w:r>
              <w:rPr>
                <w:sz w:val="18"/>
              </w:rPr>
              <w:t>.611</w:t>
            </w:r>
          </w:p>
        </w:tc>
        <w:tc>
          <w:tcPr>
            <w:tcW w:w="743" w:type="dxa"/>
            <w:tcBorders>
              <w:top w:val="nil"/>
              <w:left w:val="single" w:sz="8" w:space="0" w:color="000000"/>
              <w:bottom w:val="nil"/>
              <w:right w:val="single" w:sz="8" w:space="0" w:color="000000"/>
            </w:tcBorders>
          </w:tcPr>
          <w:p>
            <w:pPr>
              <w:pStyle w:val="TableParagraph"/>
              <w:rPr>
                <w:sz w:val="18"/>
              </w:rPr>
            </w:pPr>
          </w:p>
        </w:tc>
        <w:tc>
          <w:tcPr>
            <w:tcW w:w="740" w:type="dxa"/>
            <w:tcBorders>
              <w:top w:val="nil"/>
              <w:left w:val="single" w:sz="8" w:space="0" w:color="000000"/>
              <w:bottom w:val="nil"/>
              <w:right w:val="single" w:sz="8" w:space="0" w:color="000000"/>
            </w:tcBorders>
          </w:tcPr>
          <w:p>
            <w:pPr>
              <w:pStyle w:val="TableParagraph"/>
              <w:spacing w:before="124"/>
              <w:ind w:left="302"/>
              <w:rPr>
                <w:sz w:val="18"/>
              </w:rPr>
            </w:pPr>
            <w:r>
              <w:rPr>
                <w:sz w:val="18"/>
              </w:rPr>
              <w:t>-.524</w:t>
            </w:r>
          </w:p>
        </w:tc>
        <w:tc>
          <w:tcPr>
            <w:tcW w:w="740" w:type="dxa"/>
            <w:tcBorders>
              <w:top w:val="nil"/>
              <w:left w:val="single" w:sz="8" w:space="0" w:color="000000"/>
              <w:bottom w:val="nil"/>
              <w:right w:val="single" w:sz="8" w:space="0" w:color="000000"/>
            </w:tcBorders>
          </w:tcPr>
          <w:p>
            <w:pPr>
              <w:pStyle w:val="TableParagraph"/>
              <w:rPr>
                <w:sz w:val="18"/>
              </w:rPr>
            </w:pPr>
          </w:p>
        </w:tc>
        <w:tc>
          <w:tcPr>
            <w:tcW w:w="740" w:type="dxa"/>
            <w:tcBorders>
              <w:top w:val="nil"/>
              <w:left w:val="single" w:sz="8" w:space="0" w:color="000000"/>
              <w:bottom w:val="nil"/>
              <w:right w:val="single" w:sz="8" w:space="0" w:color="000000"/>
            </w:tcBorders>
          </w:tcPr>
          <w:p>
            <w:pPr>
              <w:pStyle w:val="TableParagraph"/>
              <w:rPr>
                <w:sz w:val="18"/>
              </w:rPr>
            </w:pPr>
          </w:p>
        </w:tc>
        <w:tc>
          <w:tcPr>
            <w:tcW w:w="740" w:type="dxa"/>
            <w:tcBorders>
              <w:top w:val="nil"/>
              <w:left w:val="single" w:sz="8" w:space="0" w:color="000000"/>
              <w:bottom w:val="nil"/>
              <w:right w:val="single" w:sz="8" w:space="0" w:color="000000"/>
            </w:tcBorders>
          </w:tcPr>
          <w:p>
            <w:pPr>
              <w:pStyle w:val="TableParagraph"/>
              <w:rPr>
                <w:sz w:val="18"/>
              </w:rPr>
            </w:pPr>
          </w:p>
        </w:tc>
        <w:tc>
          <w:tcPr>
            <w:tcW w:w="740" w:type="dxa"/>
            <w:vMerge/>
            <w:tcBorders>
              <w:top w:val="nil"/>
              <w:left w:val="single" w:sz="8" w:space="0" w:color="000000"/>
              <w:bottom w:val="nil"/>
              <w:right w:val="single" w:sz="8" w:space="0" w:color="000000"/>
            </w:tcBorders>
          </w:tcPr>
          <w:p>
            <w:pPr>
              <w:rPr>
                <w:sz w:val="2"/>
                <w:szCs w:val="2"/>
              </w:rPr>
            </w:pPr>
          </w:p>
        </w:tc>
        <w:tc>
          <w:tcPr>
            <w:tcW w:w="740" w:type="dxa"/>
            <w:vMerge/>
            <w:tcBorders>
              <w:top w:val="nil"/>
              <w:left w:val="single" w:sz="8" w:space="0" w:color="000000"/>
              <w:bottom w:val="nil"/>
              <w:right w:val="single" w:sz="8" w:space="0" w:color="000000"/>
            </w:tcBorders>
          </w:tcPr>
          <w:p>
            <w:pPr>
              <w:rPr>
                <w:sz w:val="2"/>
                <w:szCs w:val="2"/>
              </w:rPr>
            </w:pPr>
          </w:p>
        </w:tc>
        <w:tc>
          <w:tcPr>
            <w:tcW w:w="741" w:type="dxa"/>
            <w:vMerge/>
            <w:tcBorders>
              <w:top w:val="nil"/>
              <w:left w:val="single" w:sz="8" w:space="0" w:color="000000"/>
              <w:bottom w:val="nil"/>
              <w:right w:val="single" w:sz="8" w:space="0" w:color="000000"/>
            </w:tcBorders>
          </w:tcPr>
          <w:p>
            <w:pPr>
              <w:rPr>
                <w:sz w:val="2"/>
                <w:szCs w:val="2"/>
              </w:rPr>
            </w:pPr>
          </w:p>
        </w:tc>
        <w:tc>
          <w:tcPr>
            <w:tcW w:w="738" w:type="dxa"/>
            <w:vMerge/>
            <w:tcBorders>
              <w:top w:val="nil"/>
              <w:left w:val="single" w:sz="8" w:space="0" w:color="000000"/>
              <w:bottom w:val="nil"/>
              <w:right w:val="single" w:sz="8" w:space="0" w:color="000000"/>
            </w:tcBorders>
          </w:tcPr>
          <w:p>
            <w:pPr>
              <w:rPr>
                <w:sz w:val="2"/>
                <w:szCs w:val="2"/>
              </w:rPr>
            </w:pPr>
          </w:p>
        </w:tc>
        <w:tc>
          <w:tcPr>
            <w:tcW w:w="745" w:type="dxa"/>
            <w:vMerge/>
            <w:tcBorders>
              <w:top w:val="nil"/>
              <w:left w:val="single" w:sz="8" w:space="0" w:color="000000"/>
              <w:bottom w:val="nil"/>
            </w:tcBorders>
          </w:tcPr>
          <w:p>
            <w:pPr>
              <w:rPr>
                <w:sz w:val="2"/>
                <w:szCs w:val="2"/>
              </w:rPr>
            </w:pPr>
          </w:p>
        </w:tc>
      </w:tr>
      <w:tr>
        <w:trPr>
          <w:trHeight w:val="415" w:hRule="atLeast"/>
        </w:trPr>
        <w:tc>
          <w:tcPr>
            <w:tcW w:w="941" w:type="dxa"/>
            <w:tcBorders>
              <w:top w:val="nil"/>
              <w:bottom w:val="nil"/>
            </w:tcBorders>
          </w:tcPr>
          <w:p>
            <w:pPr>
              <w:pStyle w:val="TableParagraph"/>
              <w:spacing w:before="74"/>
              <w:ind w:left="75"/>
              <w:rPr>
                <w:sz w:val="18"/>
              </w:rPr>
            </w:pPr>
            <w:r>
              <w:rPr>
                <w:sz w:val="18"/>
              </w:rPr>
              <w:t>ND3</w:t>
            </w:r>
          </w:p>
        </w:tc>
        <w:tc>
          <w:tcPr>
            <w:tcW w:w="735" w:type="dxa"/>
            <w:tcBorders>
              <w:top w:val="nil"/>
              <w:bottom w:val="nil"/>
              <w:right w:val="single" w:sz="8" w:space="0" w:color="000000"/>
            </w:tcBorders>
          </w:tcPr>
          <w:p>
            <w:pPr>
              <w:pStyle w:val="TableParagraph"/>
              <w:spacing w:before="126"/>
              <w:ind w:left="344"/>
              <w:rPr>
                <w:sz w:val="18"/>
              </w:rPr>
            </w:pPr>
            <w:r>
              <w:rPr>
                <w:sz w:val="18"/>
              </w:rPr>
              <w:t>.577</w:t>
            </w:r>
          </w:p>
        </w:tc>
        <w:tc>
          <w:tcPr>
            <w:tcW w:w="743" w:type="dxa"/>
            <w:tcBorders>
              <w:top w:val="nil"/>
              <w:left w:val="single" w:sz="8" w:space="0" w:color="000000"/>
              <w:bottom w:val="nil"/>
              <w:right w:val="single" w:sz="8" w:space="0" w:color="000000"/>
            </w:tcBorders>
          </w:tcPr>
          <w:p>
            <w:pPr>
              <w:pStyle w:val="TableParagraph"/>
              <w:rPr>
                <w:sz w:val="18"/>
              </w:rPr>
            </w:pPr>
          </w:p>
        </w:tc>
        <w:tc>
          <w:tcPr>
            <w:tcW w:w="740" w:type="dxa"/>
            <w:tcBorders>
              <w:top w:val="nil"/>
              <w:left w:val="single" w:sz="8" w:space="0" w:color="000000"/>
              <w:bottom w:val="nil"/>
              <w:right w:val="single" w:sz="8" w:space="0" w:color="000000"/>
            </w:tcBorders>
          </w:tcPr>
          <w:p>
            <w:pPr>
              <w:pStyle w:val="TableParagraph"/>
              <w:rPr>
                <w:sz w:val="18"/>
              </w:rPr>
            </w:pPr>
          </w:p>
        </w:tc>
        <w:tc>
          <w:tcPr>
            <w:tcW w:w="740" w:type="dxa"/>
            <w:tcBorders>
              <w:top w:val="nil"/>
              <w:left w:val="single" w:sz="8" w:space="0" w:color="000000"/>
              <w:bottom w:val="nil"/>
              <w:right w:val="single" w:sz="8" w:space="0" w:color="000000"/>
            </w:tcBorders>
          </w:tcPr>
          <w:p>
            <w:pPr>
              <w:pStyle w:val="TableParagraph"/>
              <w:rPr>
                <w:sz w:val="18"/>
              </w:rPr>
            </w:pPr>
          </w:p>
        </w:tc>
        <w:tc>
          <w:tcPr>
            <w:tcW w:w="740" w:type="dxa"/>
            <w:tcBorders>
              <w:top w:val="nil"/>
              <w:left w:val="single" w:sz="8" w:space="0" w:color="000000"/>
              <w:bottom w:val="nil"/>
              <w:right w:val="single" w:sz="8" w:space="0" w:color="000000"/>
            </w:tcBorders>
          </w:tcPr>
          <w:p>
            <w:pPr>
              <w:pStyle w:val="TableParagraph"/>
              <w:rPr>
                <w:sz w:val="18"/>
              </w:rPr>
            </w:pPr>
          </w:p>
        </w:tc>
        <w:tc>
          <w:tcPr>
            <w:tcW w:w="740" w:type="dxa"/>
            <w:tcBorders>
              <w:top w:val="nil"/>
              <w:left w:val="single" w:sz="8" w:space="0" w:color="000000"/>
              <w:bottom w:val="nil"/>
              <w:right w:val="single" w:sz="8" w:space="0" w:color="000000"/>
            </w:tcBorders>
          </w:tcPr>
          <w:p>
            <w:pPr>
              <w:pStyle w:val="TableParagraph"/>
              <w:spacing w:before="126"/>
              <w:ind w:left="300"/>
              <w:rPr>
                <w:sz w:val="18"/>
              </w:rPr>
            </w:pPr>
            <w:r>
              <w:rPr>
                <w:sz w:val="18"/>
              </w:rPr>
              <w:t>-.324</w:t>
            </w:r>
          </w:p>
        </w:tc>
        <w:tc>
          <w:tcPr>
            <w:tcW w:w="740" w:type="dxa"/>
            <w:vMerge/>
            <w:tcBorders>
              <w:top w:val="nil"/>
              <w:left w:val="single" w:sz="8" w:space="0" w:color="000000"/>
              <w:bottom w:val="nil"/>
              <w:right w:val="single" w:sz="8" w:space="0" w:color="000000"/>
            </w:tcBorders>
          </w:tcPr>
          <w:p>
            <w:pPr>
              <w:rPr>
                <w:sz w:val="2"/>
                <w:szCs w:val="2"/>
              </w:rPr>
            </w:pPr>
          </w:p>
        </w:tc>
        <w:tc>
          <w:tcPr>
            <w:tcW w:w="740" w:type="dxa"/>
            <w:vMerge/>
            <w:tcBorders>
              <w:top w:val="nil"/>
              <w:left w:val="single" w:sz="8" w:space="0" w:color="000000"/>
              <w:bottom w:val="nil"/>
              <w:right w:val="single" w:sz="8" w:space="0" w:color="000000"/>
            </w:tcBorders>
          </w:tcPr>
          <w:p>
            <w:pPr>
              <w:rPr>
                <w:sz w:val="2"/>
                <w:szCs w:val="2"/>
              </w:rPr>
            </w:pPr>
          </w:p>
        </w:tc>
        <w:tc>
          <w:tcPr>
            <w:tcW w:w="741" w:type="dxa"/>
            <w:vMerge/>
            <w:tcBorders>
              <w:top w:val="nil"/>
              <w:left w:val="single" w:sz="8" w:space="0" w:color="000000"/>
              <w:bottom w:val="nil"/>
              <w:right w:val="single" w:sz="8" w:space="0" w:color="000000"/>
            </w:tcBorders>
          </w:tcPr>
          <w:p>
            <w:pPr>
              <w:rPr>
                <w:sz w:val="2"/>
                <w:szCs w:val="2"/>
              </w:rPr>
            </w:pPr>
          </w:p>
        </w:tc>
        <w:tc>
          <w:tcPr>
            <w:tcW w:w="738" w:type="dxa"/>
            <w:vMerge/>
            <w:tcBorders>
              <w:top w:val="nil"/>
              <w:left w:val="single" w:sz="8" w:space="0" w:color="000000"/>
              <w:bottom w:val="nil"/>
              <w:right w:val="single" w:sz="8" w:space="0" w:color="000000"/>
            </w:tcBorders>
          </w:tcPr>
          <w:p>
            <w:pPr>
              <w:rPr>
                <w:sz w:val="2"/>
                <w:szCs w:val="2"/>
              </w:rPr>
            </w:pPr>
          </w:p>
        </w:tc>
        <w:tc>
          <w:tcPr>
            <w:tcW w:w="745" w:type="dxa"/>
            <w:vMerge/>
            <w:tcBorders>
              <w:top w:val="nil"/>
              <w:left w:val="single" w:sz="8" w:space="0" w:color="000000"/>
              <w:bottom w:val="nil"/>
            </w:tcBorders>
          </w:tcPr>
          <w:p>
            <w:pPr>
              <w:rPr>
                <w:sz w:val="2"/>
                <w:szCs w:val="2"/>
              </w:rPr>
            </w:pPr>
          </w:p>
        </w:tc>
      </w:tr>
      <w:tr>
        <w:trPr>
          <w:trHeight w:val="412" w:hRule="atLeast"/>
        </w:trPr>
        <w:tc>
          <w:tcPr>
            <w:tcW w:w="941" w:type="dxa"/>
            <w:tcBorders>
              <w:top w:val="nil"/>
              <w:bottom w:val="nil"/>
            </w:tcBorders>
          </w:tcPr>
          <w:p>
            <w:pPr>
              <w:pStyle w:val="TableParagraph"/>
              <w:spacing w:before="74"/>
              <w:ind w:left="75"/>
              <w:rPr>
                <w:sz w:val="18"/>
              </w:rPr>
            </w:pPr>
            <w:r>
              <w:rPr>
                <w:sz w:val="18"/>
              </w:rPr>
              <w:t>ND1</w:t>
            </w:r>
          </w:p>
        </w:tc>
        <w:tc>
          <w:tcPr>
            <w:tcW w:w="735" w:type="dxa"/>
            <w:tcBorders>
              <w:top w:val="nil"/>
              <w:bottom w:val="nil"/>
              <w:right w:val="single" w:sz="8" w:space="0" w:color="000000"/>
            </w:tcBorders>
          </w:tcPr>
          <w:p>
            <w:pPr>
              <w:pStyle w:val="TableParagraph"/>
              <w:spacing w:before="124"/>
              <w:ind w:left="344"/>
              <w:rPr>
                <w:sz w:val="18"/>
              </w:rPr>
            </w:pPr>
            <w:r>
              <w:rPr>
                <w:sz w:val="18"/>
              </w:rPr>
              <w:t>.535</w:t>
            </w:r>
          </w:p>
        </w:tc>
        <w:tc>
          <w:tcPr>
            <w:tcW w:w="743" w:type="dxa"/>
            <w:tcBorders>
              <w:top w:val="nil"/>
              <w:left w:val="single" w:sz="8" w:space="0" w:color="000000"/>
              <w:bottom w:val="nil"/>
              <w:right w:val="single" w:sz="8" w:space="0" w:color="000000"/>
            </w:tcBorders>
          </w:tcPr>
          <w:p>
            <w:pPr>
              <w:pStyle w:val="TableParagraph"/>
              <w:rPr>
                <w:sz w:val="18"/>
              </w:rPr>
            </w:pPr>
          </w:p>
        </w:tc>
        <w:tc>
          <w:tcPr>
            <w:tcW w:w="740" w:type="dxa"/>
            <w:tcBorders>
              <w:top w:val="nil"/>
              <w:left w:val="single" w:sz="8" w:space="0" w:color="000000"/>
              <w:bottom w:val="nil"/>
              <w:right w:val="single" w:sz="8" w:space="0" w:color="000000"/>
            </w:tcBorders>
          </w:tcPr>
          <w:p>
            <w:pPr>
              <w:pStyle w:val="TableParagraph"/>
              <w:rPr>
                <w:sz w:val="18"/>
              </w:rPr>
            </w:pPr>
          </w:p>
        </w:tc>
        <w:tc>
          <w:tcPr>
            <w:tcW w:w="740" w:type="dxa"/>
            <w:tcBorders>
              <w:top w:val="nil"/>
              <w:left w:val="single" w:sz="8" w:space="0" w:color="000000"/>
              <w:bottom w:val="nil"/>
              <w:right w:val="single" w:sz="8" w:space="0" w:color="000000"/>
            </w:tcBorders>
          </w:tcPr>
          <w:p>
            <w:pPr>
              <w:pStyle w:val="TableParagraph"/>
              <w:rPr>
                <w:sz w:val="18"/>
              </w:rPr>
            </w:pPr>
          </w:p>
        </w:tc>
        <w:tc>
          <w:tcPr>
            <w:tcW w:w="740" w:type="dxa"/>
            <w:tcBorders>
              <w:top w:val="nil"/>
              <w:left w:val="single" w:sz="8" w:space="0" w:color="000000"/>
              <w:bottom w:val="nil"/>
              <w:right w:val="single" w:sz="8" w:space="0" w:color="000000"/>
            </w:tcBorders>
          </w:tcPr>
          <w:p>
            <w:pPr>
              <w:pStyle w:val="TableParagraph"/>
              <w:rPr>
                <w:sz w:val="18"/>
              </w:rPr>
            </w:pPr>
          </w:p>
        </w:tc>
        <w:tc>
          <w:tcPr>
            <w:tcW w:w="740" w:type="dxa"/>
            <w:tcBorders>
              <w:top w:val="nil"/>
              <w:left w:val="single" w:sz="8" w:space="0" w:color="000000"/>
              <w:bottom w:val="nil"/>
              <w:right w:val="single" w:sz="8" w:space="0" w:color="000000"/>
            </w:tcBorders>
          </w:tcPr>
          <w:p>
            <w:pPr>
              <w:pStyle w:val="TableParagraph"/>
              <w:spacing w:before="124"/>
              <w:ind w:left="300"/>
              <w:rPr>
                <w:sz w:val="18"/>
              </w:rPr>
            </w:pPr>
            <w:r>
              <w:rPr>
                <w:sz w:val="18"/>
              </w:rPr>
              <w:t>-.441</w:t>
            </w:r>
          </w:p>
        </w:tc>
        <w:tc>
          <w:tcPr>
            <w:tcW w:w="740" w:type="dxa"/>
            <w:vMerge/>
            <w:tcBorders>
              <w:top w:val="nil"/>
              <w:left w:val="single" w:sz="8" w:space="0" w:color="000000"/>
              <w:bottom w:val="nil"/>
              <w:right w:val="single" w:sz="8" w:space="0" w:color="000000"/>
            </w:tcBorders>
          </w:tcPr>
          <w:p>
            <w:pPr>
              <w:rPr>
                <w:sz w:val="2"/>
                <w:szCs w:val="2"/>
              </w:rPr>
            </w:pPr>
          </w:p>
        </w:tc>
        <w:tc>
          <w:tcPr>
            <w:tcW w:w="740" w:type="dxa"/>
            <w:vMerge/>
            <w:tcBorders>
              <w:top w:val="nil"/>
              <w:left w:val="single" w:sz="8" w:space="0" w:color="000000"/>
              <w:bottom w:val="nil"/>
              <w:right w:val="single" w:sz="8" w:space="0" w:color="000000"/>
            </w:tcBorders>
          </w:tcPr>
          <w:p>
            <w:pPr>
              <w:rPr>
                <w:sz w:val="2"/>
                <w:szCs w:val="2"/>
              </w:rPr>
            </w:pPr>
          </w:p>
        </w:tc>
        <w:tc>
          <w:tcPr>
            <w:tcW w:w="741" w:type="dxa"/>
            <w:vMerge/>
            <w:tcBorders>
              <w:top w:val="nil"/>
              <w:left w:val="single" w:sz="8" w:space="0" w:color="000000"/>
              <w:bottom w:val="nil"/>
              <w:right w:val="single" w:sz="8" w:space="0" w:color="000000"/>
            </w:tcBorders>
          </w:tcPr>
          <w:p>
            <w:pPr>
              <w:rPr>
                <w:sz w:val="2"/>
                <w:szCs w:val="2"/>
              </w:rPr>
            </w:pPr>
          </w:p>
        </w:tc>
        <w:tc>
          <w:tcPr>
            <w:tcW w:w="738" w:type="dxa"/>
            <w:vMerge/>
            <w:tcBorders>
              <w:top w:val="nil"/>
              <w:left w:val="single" w:sz="8" w:space="0" w:color="000000"/>
              <w:bottom w:val="nil"/>
              <w:right w:val="single" w:sz="8" w:space="0" w:color="000000"/>
            </w:tcBorders>
          </w:tcPr>
          <w:p>
            <w:pPr>
              <w:rPr>
                <w:sz w:val="2"/>
                <w:szCs w:val="2"/>
              </w:rPr>
            </w:pPr>
          </w:p>
        </w:tc>
        <w:tc>
          <w:tcPr>
            <w:tcW w:w="745" w:type="dxa"/>
            <w:vMerge/>
            <w:tcBorders>
              <w:top w:val="nil"/>
              <w:left w:val="single" w:sz="8" w:space="0" w:color="000000"/>
              <w:bottom w:val="nil"/>
            </w:tcBorders>
          </w:tcPr>
          <w:p>
            <w:pPr>
              <w:rPr>
                <w:sz w:val="2"/>
                <w:szCs w:val="2"/>
              </w:rPr>
            </w:pPr>
          </w:p>
        </w:tc>
      </w:tr>
      <w:tr>
        <w:trPr>
          <w:trHeight w:val="415" w:hRule="atLeast"/>
        </w:trPr>
        <w:tc>
          <w:tcPr>
            <w:tcW w:w="941" w:type="dxa"/>
            <w:tcBorders>
              <w:top w:val="nil"/>
              <w:bottom w:val="nil"/>
            </w:tcBorders>
          </w:tcPr>
          <w:p>
            <w:pPr>
              <w:pStyle w:val="TableParagraph"/>
              <w:spacing w:before="74"/>
              <w:ind w:left="75"/>
              <w:rPr>
                <w:sz w:val="18"/>
              </w:rPr>
            </w:pPr>
            <w:r>
              <w:rPr>
                <w:sz w:val="18"/>
              </w:rPr>
              <w:t>ND4</w:t>
            </w:r>
          </w:p>
        </w:tc>
        <w:tc>
          <w:tcPr>
            <w:tcW w:w="735" w:type="dxa"/>
            <w:tcBorders>
              <w:top w:val="nil"/>
              <w:bottom w:val="nil"/>
              <w:right w:val="single" w:sz="8" w:space="0" w:color="000000"/>
            </w:tcBorders>
          </w:tcPr>
          <w:p>
            <w:pPr>
              <w:pStyle w:val="TableParagraph"/>
              <w:spacing w:before="126"/>
              <w:ind w:left="344"/>
              <w:rPr>
                <w:sz w:val="18"/>
              </w:rPr>
            </w:pPr>
            <w:r>
              <w:rPr>
                <w:sz w:val="18"/>
              </w:rPr>
              <w:t>.510</w:t>
            </w:r>
          </w:p>
        </w:tc>
        <w:tc>
          <w:tcPr>
            <w:tcW w:w="743" w:type="dxa"/>
            <w:tcBorders>
              <w:top w:val="nil"/>
              <w:left w:val="single" w:sz="8" w:space="0" w:color="000000"/>
              <w:bottom w:val="nil"/>
              <w:right w:val="single" w:sz="8" w:space="0" w:color="000000"/>
            </w:tcBorders>
          </w:tcPr>
          <w:p>
            <w:pPr>
              <w:pStyle w:val="TableParagraph"/>
              <w:rPr>
                <w:sz w:val="18"/>
              </w:rPr>
            </w:pPr>
          </w:p>
        </w:tc>
        <w:tc>
          <w:tcPr>
            <w:tcW w:w="740" w:type="dxa"/>
            <w:tcBorders>
              <w:top w:val="nil"/>
              <w:left w:val="single" w:sz="8" w:space="0" w:color="000000"/>
              <w:bottom w:val="nil"/>
              <w:right w:val="single" w:sz="8" w:space="0" w:color="000000"/>
            </w:tcBorders>
          </w:tcPr>
          <w:p>
            <w:pPr>
              <w:pStyle w:val="TableParagraph"/>
              <w:rPr>
                <w:sz w:val="18"/>
              </w:rPr>
            </w:pPr>
          </w:p>
        </w:tc>
        <w:tc>
          <w:tcPr>
            <w:tcW w:w="740" w:type="dxa"/>
            <w:tcBorders>
              <w:top w:val="nil"/>
              <w:left w:val="single" w:sz="8" w:space="0" w:color="000000"/>
              <w:bottom w:val="nil"/>
              <w:right w:val="single" w:sz="8" w:space="0" w:color="000000"/>
            </w:tcBorders>
          </w:tcPr>
          <w:p>
            <w:pPr>
              <w:pStyle w:val="TableParagraph"/>
              <w:rPr>
                <w:sz w:val="18"/>
              </w:rPr>
            </w:pPr>
          </w:p>
        </w:tc>
        <w:tc>
          <w:tcPr>
            <w:tcW w:w="740" w:type="dxa"/>
            <w:tcBorders>
              <w:top w:val="nil"/>
              <w:left w:val="single" w:sz="8" w:space="0" w:color="000000"/>
              <w:bottom w:val="nil"/>
              <w:right w:val="single" w:sz="8" w:space="0" w:color="000000"/>
            </w:tcBorders>
          </w:tcPr>
          <w:p>
            <w:pPr>
              <w:pStyle w:val="TableParagraph"/>
              <w:rPr>
                <w:sz w:val="18"/>
              </w:rPr>
            </w:pPr>
          </w:p>
        </w:tc>
        <w:tc>
          <w:tcPr>
            <w:tcW w:w="740" w:type="dxa"/>
            <w:tcBorders>
              <w:top w:val="nil"/>
              <w:left w:val="single" w:sz="8" w:space="0" w:color="000000"/>
              <w:bottom w:val="nil"/>
              <w:right w:val="single" w:sz="8" w:space="0" w:color="000000"/>
            </w:tcBorders>
          </w:tcPr>
          <w:p>
            <w:pPr>
              <w:pStyle w:val="TableParagraph"/>
              <w:spacing w:before="126"/>
              <w:ind w:left="300"/>
              <w:rPr>
                <w:sz w:val="18"/>
              </w:rPr>
            </w:pPr>
            <w:r>
              <w:rPr>
                <w:sz w:val="18"/>
              </w:rPr>
              <w:t>-.464</w:t>
            </w:r>
          </w:p>
        </w:tc>
        <w:tc>
          <w:tcPr>
            <w:tcW w:w="740" w:type="dxa"/>
            <w:vMerge/>
            <w:tcBorders>
              <w:top w:val="nil"/>
              <w:left w:val="single" w:sz="8" w:space="0" w:color="000000"/>
              <w:bottom w:val="nil"/>
              <w:right w:val="single" w:sz="8" w:space="0" w:color="000000"/>
            </w:tcBorders>
          </w:tcPr>
          <w:p>
            <w:pPr>
              <w:rPr>
                <w:sz w:val="2"/>
                <w:szCs w:val="2"/>
              </w:rPr>
            </w:pPr>
          </w:p>
        </w:tc>
        <w:tc>
          <w:tcPr>
            <w:tcW w:w="740" w:type="dxa"/>
            <w:vMerge/>
            <w:tcBorders>
              <w:top w:val="nil"/>
              <w:left w:val="single" w:sz="8" w:space="0" w:color="000000"/>
              <w:bottom w:val="nil"/>
              <w:right w:val="single" w:sz="8" w:space="0" w:color="000000"/>
            </w:tcBorders>
          </w:tcPr>
          <w:p>
            <w:pPr>
              <w:rPr>
                <w:sz w:val="2"/>
                <w:szCs w:val="2"/>
              </w:rPr>
            </w:pPr>
          </w:p>
        </w:tc>
        <w:tc>
          <w:tcPr>
            <w:tcW w:w="741" w:type="dxa"/>
            <w:vMerge/>
            <w:tcBorders>
              <w:top w:val="nil"/>
              <w:left w:val="single" w:sz="8" w:space="0" w:color="000000"/>
              <w:bottom w:val="nil"/>
              <w:right w:val="single" w:sz="8" w:space="0" w:color="000000"/>
            </w:tcBorders>
          </w:tcPr>
          <w:p>
            <w:pPr>
              <w:rPr>
                <w:sz w:val="2"/>
                <w:szCs w:val="2"/>
              </w:rPr>
            </w:pPr>
          </w:p>
        </w:tc>
        <w:tc>
          <w:tcPr>
            <w:tcW w:w="738" w:type="dxa"/>
            <w:vMerge/>
            <w:tcBorders>
              <w:top w:val="nil"/>
              <w:left w:val="single" w:sz="8" w:space="0" w:color="000000"/>
              <w:bottom w:val="nil"/>
              <w:right w:val="single" w:sz="8" w:space="0" w:color="000000"/>
            </w:tcBorders>
          </w:tcPr>
          <w:p>
            <w:pPr>
              <w:rPr>
                <w:sz w:val="2"/>
                <w:szCs w:val="2"/>
              </w:rPr>
            </w:pPr>
          </w:p>
        </w:tc>
        <w:tc>
          <w:tcPr>
            <w:tcW w:w="745" w:type="dxa"/>
            <w:vMerge/>
            <w:tcBorders>
              <w:top w:val="nil"/>
              <w:left w:val="single" w:sz="8" w:space="0" w:color="000000"/>
              <w:bottom w:val="nil"/>
            </w:tcBorders>
          </w:tcPr>
          <w:p>
            <w:pPr>
              <w:rPr>
                <w:sz w:val="2"/>
                <w:szCs w:val="2"/>
              </w:rPr>
            </w:pPr>
          </w:p>
        </w:tc>
      </w:tr>
      <w:tr>
        <w:trPr>
          <w:trHeight w:val="412" w:hRule="atLeast"/>
        </w:trPr>
        <w:tc>
          <w:tcPr>
            <w:tcW w:w="941" w:type="dxa"/>
            <w:tcBorders>
              <w:top w:val="nil"/>
              <w:bottom w:val="nil"/>
            </w:tcBorders>
          </w:tcPr>
          <w:p>
            <w:pPr>
              <w:pStyle w:val="TableParagraph"/>
              <w:spacing w:before="74"/>
              <w:ind w:left="75"/>
              <w:rPr>
                <w:sz w:val="18"/>
              </w:rPr>
            </w:pPr>
            <w:r>
              <w:rPr>
                <w:sz w:val="18"/>
              </w:rPr>
              <w:t>ND2</w:t>
            </w:r>
          </w:p>
        </w:tc>
        <w:tc>
          <w:tcPr>
            <w:tcW w:w="735" w:type="dxa"/>
            <w:tcBorders>
              <w:top w:val="nil"/>
              <w:bottom w:val="nil"/>
              <w:right w:val="single" w:sz="8" w:space="0" w:color="000000"/>
            </w:tcBorders>
          </w:tcPr>
          <w:p>
            <w:pPr>
              <w:pStyle w:val="TableParagraph"/>
              <w:spacing w:before="124"/>
              <w:ind w:left="344"/>
              <w:rPr>
                <w:sz w:val="18"/>
              </w:rPr>
            </w:pPr>
            <w:r>
              <w:rPr>
                <w:sz w:val="18"/>
              </w:rPr>
              <w:t>.503</w:t>
            </w:r>
          </w:p>
        </w:tc>
        <w:tc>
          <w:tcPr>
            <w:tcW w:w="743" w:type="dxa"/>
            <w:tcBorders>
              <w:top w:val="nil"/>
              <w:left w:val="single" w:sz="8" w:space="0" w:color="000000"/>
              <w:bottom w:val="nil"/>
              <w:right w:val="single" w:sz="8" w:space="0" w:color="000000"/>
            </w:tcBorders>
          </w:tcPr>
          <w:p>
            <w:pPr>
              <w:pStyle w:val="TableParagraph"/>
              <w:rPr>
                <w:sz w:val="18"/>
              </w:rPr>
            </w:pPr>
          </w:p>
        </w:tc>
        <w:tc>
          <w:tcPr>
            <w:tcW w:w="740" w:type="dxa"/>
            <w:tcBorders>
              <w:top w:val="nil"/>
              <w:left w:val="single" w:sz="8" w:space="0" w:color="000000"/>
              <w:bottom w:val="nil"/>
              <w:right w:val="single" w:sz="8" w:space="0" w:color="000000"/>
            </w:tcBorders>
          </w:tcPr>
          <w:p>
            <w:pPr>
              <w:pStyle w:val="TableParagraph"/>
              <w:rPr>
                <w:sz w:val="18"/>
              </w:rPr>
            </w:pPr>
          </w:p>
        </w:tc>
        <w:tc>
          <w:tcPr>
            <w:tcW w:w="740" w:type="dxa"/>
            <w:tcBorders>
              <w:top w:val="nil"/>
              <w:left w:val="single" w:sz="8" w:space="0" w:color="000000"/>
              <w:bottom w:val="nil"/>
              <w:right w:val="single" w:sz="8" w:space="0" w:color="000000"/>
            </w:tcBorders>
          </w:tcPr>
          <w:p>
            <w:pPr>
              <w:pStyle w:val="TableParagraph"/>
              <w:spacing w:before="124"/>
              <w:ind w:right="40"/>
              <w:jc w:val="right"/>
              <w:rPr>
                <w:sz w:val="18"/>
              </w:rPr>
            </w:pPr>
            <w:r>
              <w:rPr>
                <w:sz w:val="18"/>
              </w:rPr>
              <w:t>.357</w:t>
            </w:r>
          </w:p>
        </w:tc>
        <w:tc>
          <w:tcPr>
            <w:tcW w:w="740" w:type="dxa"/>
            <w:tcBorders>
              <w:top w:val="nil"/>
              <w:left w:val="single" w:sz="8" w:space="0" w:color="000000"/>
              <w:bottom w:val="nil"/>
              <w:right w:val="single" w:sz="8" w:space="0" w:color="000000"/>
            </w:tcBorders>
          </w:tcPr>
          <w:p>
            <w:pPr>
              <w:pStyle w:val="TableParagraph"/>
              <w:rPr>
                <w:sz w:val="18"/>
              </w:rPr>
            </w:pPr>
          </w:p>
        </w:tc>
        <w:tc>
          <w:tcPr>
            <w:tcW w:w="740" w:type="dxa"/>
            <w:tcBorders>
              <w:top w:val="nil"/>
              <w:left w:val="single" w:sz="8" w:space="0" w:color="000000"/>
              <w:bottom w:val="nil"/>
              <w:right w:val="single" w:sz="8" w:space="0" w:color="000000"/>
            </w:tcBorders>
          </w:tcPr>
          <w:p>
            <w:pPr>
              <w:pStyle w:val="TableParagraph"/>
              <w:spacing w:before="124"/>
              <w:ind w:left="300"/>
              <w:rPr>
                <w:sz w:val="18"/>
              </w:rPr>
            </w:pPr>
            <w:r>
              <w:rPr>
                <w:sz w:val="18"/>
              </w:rPr>
              <w:t>-.409</w:t>
            </w:r>
          </w:p>
        </w:tc>
        <w:tc>
          <w:tcPr>
            <w:tcW w:w="740" w:type="dxa"/>
            <w:vMerge/>
            <w:tcBorders>
              <w:top w:val="nil"/>
              <w:left w:val="single" w:sz="8" w:space="0" w:color="000000"/>
              <w:bottom w:val="nil"/>
              <w:right w:val="single" w:sz="8" w:space="0" w:color="000000"/>
            </w:tcBorders>
          </w:tcPr>
          <w:p>
            <w:pPr>
              <w:rPr>
                <w:sz w:val="2"/>
                <w:szCs w:val="2"/>
              </w:rPr>
            </w:pPr>
          </w:p>
        </w:tc>
        <w:tc>
          <w:tcPr>
            <w:tcW w:w="740" w:type="dxa"/>
            <w:vMerge/>
            <w:tcBorders>
              <w:top w:val="nil"/>
              <w:left w:val="single" w:sz="8" w:space="0" w:color="000000"/>
              <w:bottom w:val="nil"/>
              <w:right w:val="single" w:sz="8" w:space="0" w:color="000000"/>
            </w:tcBorders>
          </w:tcPr>
          <w:p>
            <w:pPr>
              <w:rPr>
                <w:sz w:val="2"/>
                <w:szCs w:val="2"/>
              </w:rPr>
            </w:pPr>
          </w:p>
        </w:tc>
        <w:tc>
          <w:tcPr>
            <w:tcW w:w="741" w:type="dxa"/>
            <w:vMerge/>
            <w:tcBorders>
              <w:top w:val="nil"/>
              <w:left w:val="single" w:sz="8" w:space="0" w:color="000000"/>
              <w:bottom w:val="nil"/>
              <w:right w:val="single" w:sz="8" w:space="0" w:color="000000"/>
            </w:tcBorders>
          </w:tcPr>
          <w:p>
            <w:pPr>
              <w:rPr>
                <w:sz w:val="2"/>
                <w:szCs w:val="2"/>
              </w:rPr>
            </w:pPr>
          </w:p>
        </w:tc>
        <w:tc>
          <w:tcPr>
            <w:tcW w:w="738" w:type="dxa"/>
            <w:vMerge/>
            <w:tcBorders>
              <w:top w:val="nil"/>
              <w:left w:val="single" w:sz="8" w:space="0" w:color="000000"/>
              <w:bottom w:val="nil"/>
              <w:right w:val="single" w:sz="8" w:space="0" w:color="000000"/>
            </w:tcBorders>
          </w:tcPr>
          <w:p>
            <w:pPr>
              <w:rPr>
                <w:sz w:val="2"/>
                <w:szCs w:val="2"/>
              </w:rPr>
            </w:pPr>
          </w:p>
        </w:tc>
        <w:tc>
          <w:tcPr>
            <w:tcW w:w="745" w:type="dxa"/>
            <w:vMerge/>
            <w:tcBorders>
              <w:top w:val="nil"/>
              <w:left w:val="single" w:sz="8" w:space="0" w:color="000000"/>
              <w:bottom w:val="nil"/>
            </w:tcBorders>
          </w:tcPr>
          <w:p>
            <w:pPr>
              <w:rPr>
                <w:sz w:val="2"/>
                <w:szCs w:val="2"/>
              </w:rPr>
            </w:pPr>
          </w:p>
        </w:tc>
      </w:tr>
      <w:tr>
        <w:trPr>
          <w:trHeight w:val="415" w:hRule="atLeast"/>
        </w:trPr>
        <w:tc>
          <w:tcPr>
            <w:tcW w:w="941" w:type="dxa"/>
            <w:tcBorders>
              <w:top w:val="nil"/>
              <w:bottom w:val="nil"/>
            </w:tcBorders>
          </w:tcPr>
          <w:p>
            <w:pPr>
              <w:pStyle w:val="TableParagraph"/>
              <w:spacing w:before="74"/>
              <w:ind w:left="75"/>
              <w:rPr>
                <w:sz w:val="18"/>
              </w:rPr>
            </w:pPr>
            <w:r>
              <w:rPr>
                <w:sz w:val="18"/>
              </w:rPr>
              <w:t>CP2</w:t>
            </w:r>
          </w:p>
        </w:tc>
        <w:tc>
          <w:tcPr>
            <w:tcW w:w="735" w:type="dxa"/>
            <w:tcBorders>
              <w:top w:val="nil"/>
              <w:bottom w:val="nil"/>
              <w:right w:val="single" w:sz="8" w:space="0" w:color="000000"/>
            </w:tcBorders>
          </w:tcPr>
          <w:p>
            <w:pPr>
              <w:pStyle w:val="TableParagraph"/>
              <w:spacing w:before="126"/>
              <w:ind w:left="344"/>
              <w:rPr>
                <w:sz w:val="18"/>
              </w:rPr>
            </w:pPr>
            <w:r>
              <w:rPr>
                <w:sz w:val="18"/>
              </w:rPr>
              <w:t>.501</w:t>
            </w:r>
          </w:p>
        </w:tc>
        <w:tc>
          <w:tcPr>
            <w:tcW w:w="743" w:type="dxa"/>
            <w:tcBorders>
              <w:top w:val="nil"/>
              <w:left w:val="single" w:sz="8" w:space="0" w:color="000000"/>
              <w:bottom w:val="nil"/>
              <w:right w:val="single" w:sz="8" w:space="0" w:color="000000"/>
            </w:tcBorders>
          </w:tcPr>
          <w:p>
            <w:pPr>
              <w:pStyle w:val="TableParagraph"/>
              <w:rPr>
                <w:sz w:val="18"/>
              </w:rPr>
            </w:pPr>
          </w:p>
        </w:tc>
        <w:tc>
          <w:tcPr>
            <w:tcW w:w="740" w:type="dxa"/>
            <w:tcBorders>
              <w:top w:val="nil"/>
              <w:left w:val="single" w:sz="8" w:space="0" w:color="000000"/>
              <w:bottom w:val="nil"/>
              <w:right w:val="single" w:sz="8" w:space="0" w:color="000000"/>
            </w:tcBorders>
          </w:tcPr>
          <w:p>
            <w:pPr>
              <w:pStyle w:val="TableParagraph"/>
              <w:rPr>
                <w:sz w:val="18"/>
              </w:rPr>
            </w:pPr>
          </w:p>
        </w:tc>
        <w:tc>
          <w:tcPr>
            <w:tcW w:w="740" w:type="dxa"/>
            <w:tcBorders>
              <w:top w:val="nil"/>
              <w:left w:val="single" w:sz="8" w:space="0" w:color="000000"/>
              <w:bottom w:val="nil"/>
              <w:right w:val="single" w:sz="8" w:space="0" w:color="000000"/>
            </w:tcBorders>
          </w:tcPr>
          <w:p>
            <w:pPr>
              <w:pStyle w:val="TableParagraph"/>
              <w:spacing w:before="126"/>
              <w:ind w:right="41"/>
              <w:jc w:val="right"/>
              <w:rPr>
                <w:sz w:val="18"/>
              </w:rPr>
            </w:pPr>
            <w:r>
              <w:rPr>
                <w:sz w:val="18"/>
              </w:rPr>
              <w:t>-.475</w:t>
            </w:r>
          </w:p>
        </w:tc>
        <w:tc>
          <w:tcPr>
            <w:tcW w:w="740" w:type="dxa"/>
            <w:tcBorders>
              <w:top w:val="nil"/>
              <w:left w:val="single" w:sz="8" w:space="0" w:color="000000"/>
              <w:bottom w:val="nil"/>
              <w:right w:val="single" w:sz="8" w:space="0" w:color="000000"/>
            </w:tcBorders>
          </w:tcPr>
          <w:p>
            <w:pPr>
              <w:pStyle w:val="TableParagraph"/>
              <w:rPr>
                <w:sz w:val="18"/>
              </w:rPr>
            </w:pPr>
          </w:p>
        </w:tc>
        <w:tc>
          <w:tcPr>
            <w:tcW w:w="740" w:type="dxa"/>
            <w:tcBorders>
              <w:top w:val="nil"/>
              <w:left w:val="single" w:sz="8" w:space="0" w:color="000000"/>
              <w:bottom w:val="nil"/>
              <w:right w:val="single" w:sz="8" w:space="0" w:color="000000"/>
            </w:tcBorders>
          </w:tcPr>
          <w:p>
            <w:pPr>
              <w:pStyle w:val="TableParagraph"/>
              <w:rPr>
                <w:sz w:val="18"/>
              </w:rPr>
            </w:pPr>
          </w:p>
        </w:tc>
        <w:tc>
          <w:tcPr>
            <w:tcW w:w="740" w:type="dxa"/>
            <w:vMerge/>
            <w:tcBorders>
              <w:top w:val="nil"/>
              <w:left w:val="single" w:sz="8" w:space="0" w:color="000000"/>
              <w:bottom w:val="nil"/>
              <w:right w:val="single" w:sz="8" w:space="0" w:color="000000"/>
            </w:tcBorders>
          </w:tcPr>
          <w:p>
            <w:pPr>
              <w:rPr>
                <w:sz w:val="2"/>
                <w:szCs w:val="2"/>
              </w:rPr>
            </w:pPr>
          </w:p>
        </w:tc>
        <w:tc>
          <w:tcPr>
            <w:tcW w:w="740" w:type="dxa"/>
            <w:vMerge/>
            <w:tcBorders>
              <w:top w:val="nil"/>
              <w:left w:val="single" w:sz="8" w:space="0" w:color="000000"/>
              <w:bottom w:val="nil"/>
              <w:right w:val="single" w:sz="8" w:space="0" w:color="000000"/>
            </w:tcBorders>
          </w:tcPr>
          <w:p>
            <w:pPr>
              <w:rPr>
                <w:sz w:val="2"/>
                <w:szCs w:val="2"/>
              </w:rPr>
            </w:pPr>
          </w:p>
        </w:tc>
        <w:tc>
          <w:tcPr>
            <w:tcW w:w="741" w:type="dxa"/>
            <w:vMerge/>
            <w:tcBorders>
              <w:top w:val="nil"/>
              <w:left w:val="single" w:sz="8" w:space="0" w:color="000000"/>
              <w:bottom w:val="nil"/>
              <w:right w:val="single" w:sz="8" w:space="0" w:color="000000"/>
            </w:tcBorders>
          </w:tcPr>
          <w:p>
            <w:pPr>
              <w:rPr>
                <w:sz w:val="2"/>
                <w:szCs w:val="2"/>
              </w:rPr>
            </w:pPr>
          </w:p>
        </w:tc>
        <w:tc>
          <w:tcPr>
            <w:tcW w:w="738" w:type="dxa"/>
            <w:vMerge/>
            <w:tcBorders>
              <w:top w:val="nil"/>
              <w:left w:val="single" w:sz="8" w:space="0" w:color="000000"/>
              <w:bottom w:val="nil"/>
              <w:right w:val="single" w:sz="8" w:space="0" w:color="000000"/>
            </w:tcBorders>
          </w:tcPr>
          <w:p>
            <w:pPr>
              <w:rPr>
                <w:sz w:val="2"/>
                <w:szCs w:val="2"/>
              </w:rPr>
            </w:pPr>
          </w:p>
        </w:tc>
        <w:tc>
          <w:tcPr>
            <w:tcW w:w="745" w:type="dxa"/>
            <w:vMerge/>
            <w:tcBorders>
              <w:top w:val="nil"/>
              <w:left w:val="single" w:sz="8" w:space="0" w:color="000000"/>
              <w:bottom w:val="nil"/>
            </w:tcBorders>
          </w:tcPr>
          <w:p>
            <w:pPr>
              <w:rPr>
                <w:sz w:val="2"/>
                <w:szCs w:val="2"/>
              </w:rPr>
            </w:pPr>
          </w:p>
        </w:tc>
      </w:tr>
      <w:tr>
        <w:trPr>
          <w:trHeight w:val="412" w:hRule="atLeast"/>
        </w:trPr>
        <w:tc>
          <w:tcPr>
            <w:tcW w:w="941" w:type="dxa"/>
            <w:tcBorders>
              <w:top w:val="nil"/>
              <w:bottom w:val="nil"/>
            </w:tcBorders>
          </w:tcPr>
          <w:p>
            <w:pPr>
              <w:pStyle w:val="TableParagraph"/>
              <w:spacing w:before="74"/>
              <w:ind w:left="75"/>
              <w:rPr>
                <w:sz w:val="18"/>
              </w:rPr>
            </w:pPr>
            <w:r>
              <w:rPr>
                <w:sz w:val="18"/>
              </w:rPr>
              <w:t>CP3</w:t>
            </w:r>
          </w:p>
        </w:tc>
        <w:tc>
          <w:tcPr>
            <w:tcW w:w="735" w:type="dxa"/>
            <w:tcBorders>
              <w:top w:val="nil"/>
              <w:bottom w:val="nil"/>
              <w:right w:val="single" w:sz="8" w:space="0" w:color="000000"/>
            </w:tcBorders>
          </w:tcPr>
          <w:p>
            <w:pPr>
              <w:pStyle w:val="TableParagraph"/>
              <w:spacing w:before="124"/>
              <w:ind w:left="344"/>
              <w:rPr>
                <w:sz w:val="18"/>
              </w:rPr>
            </w:pPr>
            <w:r>
              <w:rPr>
                <w:sz w:val="18"/>
              </w:rPr>
              <w:t>.488</w:t>
            </w:r>
          </w:p>
        </w:tc>
        <w:tc>
          <w:tcPr>
            <w:tcW w:w="743" w:type="dxa"/>
            <w:tcBorders>
              <w:top w:val="nil"/>
              <w:left w:val="single" w:sz="8" w:space="0" w:color="000000"/>
              <w:bottom w:val="nil"/>
              <w:right w:val="single" w:sz="8" w:space="0" w:color="000000"/>
            </w:tcBorders>
          </w:tcPr>
          <w:p>
            <w:pPr>
              <w:pStyle w:val="TableParagraph"/>
              <w:rPr>
                <w:sz w:val="18"/>
              </w:rPr>
            </w:pPr>
          </w:p>
        </w:tc>
        <w:tc>
          <w:tcPr>
            <w:tcW w:w="740" w:type="dxa"/>
            <w:tcBorders>
              <w:top w:val="nil"/>
              <w:left w:val="single" w:sz="8" w:space="0" w:color="000000"/>
              <w:bottom w:val="nil"/>
              <w:right w:val="single" w:sz="8" w:space="0" w:color="000000"/>
            </w:tcBorders>
          </w:tcPr>
          <w:p>
            <w:pPr>
              <w:pStyle w:val="TableParagraph"/>
              <w:spacing w:before="124"/>
              <w:ind w:left="362"/>
              <w:rPr>
                <w:sz w:val="18"/>
              </w:rPr>
            </w:pPr>
            <w:r>
              <w:rPr>
                <w:sz w:val="18"/>
              </w:rPr>
              <w:t>.378</w:t>
            </w:r>
          </w:p>
        </w:tc>
        <w:tc>
          <w:tcPr>
            <w:tcW w:w="740" w:type="dxa"/>
            <w:tcBorders>
              <w:top w:val="nil"/>
              <w:left w:val="single" w:sz="8" w:space="0" w:color="000000"/>
              <w:bottom w:val="nil"/>
              <w:right w:val="single" w:sz="8" w:space="0" w:color="000000"/>
            </w:tcBorders>
          </w:tcPr>
          <w:p>
            <w:pPr>
              <w:pStyle w:val="TableParagraph"/>
              <w:spacing w:before="124"/>
              <w:ind w:right="40"/>
              <w:jc w:val="right"/>
              <w:rPr>
                <w:sz w:val="18"/>
              </w:rPr>
            </w:pPr>
            <w:r>
              <w:rPr>
                <w:sz w:val="18"/>
              </w:rPr>
              <w:t>-.444</w:t>
            </w:r>
          </w:p>
        </w:tc>
        <w:tc>
          <w:tcPr>
            <w:tcW w:w="740" w:type="dxa"/>
            <w:tcBorders>
              <w:top w:val="nil"/>
              <w:left w:val="single" w:sz="8" w:space="0" w:color="000000"/>
              <w:bottom w:val="nil"/>
              <w:right w:val="single" w:sz="8" w:space="0" w:color="000000"/>
            </w:tcBorders>
          </w:tcPr>
          <w:p>
            <w:pPr>
              <w:pStyle w:val="TableParagraph"/>
              <w:rPr>
                <w:sz w:val="18"/>
              </w:rPr>
            </w:pPr>
          </w:p>
        </w:tc>
        <w:tc>
          <w:tcPr>
            <w:tcW w:w="740" w:type="dxa"/>
            <w:tcBorders>
              <w:top w:val="nil"/>
              <w:left w:val="single" w:sz="8" w:space="0" w:color="000000"/>
              <w:bottom w:val="nil"/>
              <w:right w:val="single" w:sz="8" w:space="0" w:color="000000"/>
            </w:tcBorders>
          </w:tcPr>
          <w:p>
            <w:pPr>
              <w:pStyle w:val="TableParagraph"/>
              <w:rPr>
                <w:sz w:val="18"/>
              </w:rPr>
            </w:pPr>
          </w:p>
        </w:tc>
        <w:tc>
          <w:tcPr>
            <w:tcW w:w="740" w:type="dxa"/>
            <w:vMerge/>
            <w:tcBorders>
              <w:top w:val="nil"/>
              <w:left w:val="single" w:sz="8" w:space="0" w:color="000000"/>
              <w:bottom w:val="nil"/>
              <w:right w:val="single" w:sz="8" w:space="0" w:color="000000"/>
            </w:tcBorders>
          </w:tcPr>
          <w:p>
            <w:pPr>
              <w:rPr>
                <w:sz w:val="2"/>
                <w:szCs w:val="2"/>
              </w:rPr>
            </w:pPr>
          </w:p>
        </w:tc>
        <w:tc>
          <w:tcPr>
            <w:tcW w:w="740" w:type="dxa"/>
            <w:vMerge/>
            <w:tcBorders>
              <w:top w:val="nil"/>
              <w:left w:val="single" w:sz="8" w:space="0" w:color="000000"/>
              <w:bottom w:val="nil"/>
              <w:right w:val="single" w:sz="8" w:space="0" w:color="000000"/>
            </w:tcBorders>
          </w:tcPr>
          <w:p>
            <w:pPr>
              <w:rPr>
                <w:sz w:val="2"/>
                <w:szCs w:val="2"/>
              </w:rPr>
            </w:pPr>
          </w:p>
        </w:tc>
        <w:tc>
          <w:tcPr>
            <w:tcW w:w="741" w:type="dxa"/>
            <w:vMerge/>
            <w:tcBorders>
              <w:top w:val="nil"/>
              <w:left w:val="single" w:sz="8" w:space="0" w:color="000000"/>
              <w:bottom w:val="nil"/>
              <w:right w:val="single" w:sz="8" w:space="0" w:color="000000"/>
            </w:tcBorders>
          </w:tcPr>
          <w:p>
            <w:pPr>
              <w:rPr>
                <w:sz w:val="2"/>
                <w:szCs w:val="2"/>
              </w:rPr>
            </w:pPr>
          </w:p>
        </w:tc>
        <w:tc>
          <w:tcPr>
            <w:tcW w:w="738" w:type="dxa"/>
            <w:vMerge/>
            <w:tcBorders>
              <w:top w:val="nil"/>
              <w:left w:val="single" w:sz="8" w:space="0" w:color="000000"/>
              <w:bottom w:val="nil"/>
              <w:right w:val="single" w:sz="8" w:space="0" w:color="000000"/>
            </w:tcBorders>
          </w:tcPr>
          <w:p>
            <w:pPr>
              <w:rPr>
                <w:sz w:val="2"/>
                <w:szCs w:val="2"/>
              </w:rPr>
            </w:pPr>
          </w:p>
        </w:tc>
        <w:tc>
          <w:tcPr>
            <w:tcW w:w="745" w:type="dxa"/>
            <w:vMerge/>
            <w:tcBorders>
              <w:top w:val="nil"/>
              <w:left w:val="single" w:sz="8" w:space="0" w:color="000000"/>
              <w:bottom w:val="nil"/>
            </w:tcBorders>
          </w:tcPr>
          <w:p>
            <w:pPr>
              <w:rPr>
                <w:sz w:val="2"/>
                <w:szCs w:val="2"/>
              </w:rPr>
            </w:pPr>
          </w:p>
        </w:tc>
      </w:tr>
      <w:tr>
        <w:trPr>
          <w:trHeight w:val="415" w:hRule="atLeast"/>
        </w:trPr>
        <w:tc>
          <w:tcPr>
            <w:tcW w:w="941" w:type="dxa"/>
            <w:tcBorders>
              <w:top w:val="nil"/>
              <w:bottom w:val="nil"/>
            </w:tcBorders>
          </w:tcPr>
          <w:p>
            <w:pPr>
              <w:pStyle w:val="TableParagraph"/>
              <w:spacing w:before="74"/>
              <w:ind w:left="75"/>
              <w:rPr>
                <w:sz w:val="18"/>
              </w:rPr>
            </w:pPr>
            <w:r>
              <w:rPr>
                <w:sz w:val="18"/>
              </w:rPr>
              <w:t>CP4</w:t>
            </w:r>
          </w:p>
        </w:tc>
        <w:tc>
          <w:tcPr>
            <w:tcW w:w="735" w:type="dxa"/>
            <w:tcBorders>
              <w:top w:val="nil"/>
              <w:bottom w:val="nil"/>
              <w:right w:val="single" w:sz="8" w:space="0" w:color="000000"/>
            </w:tcBorders>
          </w:tcPr>
          <w:p>
            <w:pPr>
              <w:pStyle w:val="TableParagraph"/>
              <w:spacing w:before="126"/>
              <w:ind w:left="344"/>
              <w:rPr>
                <w:sz w:val="18"/>
              </w:rPr>
            </w:pPr>
            <w:r>
              <w:rPr>
                <w:sz w:val="18"/>
              </w:rPr>
              <w:t>.487</w:t>
            </w:r>
          </w:p>
        </w:tc>
        <w:tc>
          <w:tcPr>
            <w:tcW w:w="743" w:type="dxa"/>
            <w:tcBorders>
              <w:top w:val="nil"/>
              <w:left w:val="single" w:sz="8" w:space="0" w:color="000000"/>
              <w:bottom w:val="nil"/>
              <w:right w:val="single" w:sz="8" w:space="0" w:color="000000"/>
            </w:tcBorders>
          </w:tcPr>
          <w:p>
            <w:pPr>
              <w:pStyle w:val="TableParagraph"/>
              <w:rPr>
                <w:sz w:val="18"/>
              </w:rPr>
            </w:pPr>
          </w:p>
        </w:tc>
        <w:tc>
          <w:tcPr>
            <w:tcW w:w="740" w:type="dxa"/>
            <w:tcBorders>
              <w:top w:val="nil"/>
              <w:left w:val="single" w:sz="8" w:space="0" w:color="000000"/>
              <w:bottom w:val="nil"/>
              <w:right w:val="single" w:sz="8" w:space="0" w:color="000000"/>
            </w:tcBorders>
          </w:tcPr>
          <w:p>
            <w:pPr>
              <w:pStyle w:val="TableParagraph"/>
              <w:spacing w:before="126"/>
              <w:ind w:left="362"/>
              <w:rPr>
                <w:sz w:val="18"/>
              </w:rPr>
            </w:pPr>
            <w:r>
              <w:rPr>
                <w:sz w:val="18"/>
              </w:rPr>
              <w:t>.380</w:t>
            </w:r>
          </w:p>
        </w:tc>
        <w:tc>
          <w:tcPr>
            <w:tcW w:w="740" w:type="dxa"/>
            <w:tcBorders>
              <w:top w:val="nil"/>
              <w:left w:val="single" w:sz="8" w:space="0" w:color="000000"/>
              <w:bottom w:val="nil"/>
              <w:right w:val="single" w:sz="8" w:space="0" w:color="000000"/>
            </w:tcBorders>
          </w:tcPr>
          <w:p>
            <w:pPr>
              <w:pStyle w:val="TableParagraph"/>
              <w:spacing w:before="126"/>
              <w:ind w:right="40"/>
              <w:jc w:val="right"/>
              <w:rPr>
                <w:sz w:val="18"/>
              </w:rPr>
            </w:pPr>
            <w:r>
              <w:rPr>
                <w:sz w:val="18"/>
              </w:rPr>
              <w:t>-.419</w:t>
            </w:r>
          </w:p>
        </w:tc>
        <w:tc>
          <w:tcPr>
            <w:tcW w:w="740" w:type="dxa"/>
            <w:tcBorders>
              <w:top w:val="nil"/>
              <w:left w:val="single" w:sz="8" w:space="0" w:color="000000"/>
              <w:bottom w:val="nil"/>
              <w:right w:val="single" w:sz="8" w:space="0" w:color="000000"/>
            </w:tcBorders>
          </w:tcPr>
          <w:p>
            <w:pPr>
              <w:pStyle w:val="TableParagraph"/>
              <w:rPr>
                <w:sz w:val="18"/>
              </w:rPr>
            </w:pPr>
          </w:p>
        </w:tc>
        <w:tc>
          <w:tcPr>
            <w:tcW w:w="740" w:type="dxa"/>
            <w:tcBorders>
              <w:top w:val="nil"/>
              <w:left w:val="single" w:sz="8" w:space="0" w:color="000000"/>
              <w:bottom w:val="nil"/>
              <w:right w:val="single" w:sz="8" w:space="0" w:color="000000"/>
            </w:tcBorders>
          </w:tcPr>
          <w:p>
            <w:pPr>
              <w:pStyle w:val="TableParagraph"/>
              <w:rPr>
                <w:sz w:val="18"/>
              </w:rPr>
            </w:pPr>
          </w:p>
        </w:tc>
        <w:tc>
          <w:tcPr>
            <w:tcW w:w="740" w:type="dxa"/>
            <w:vMerge/>
            <w:tcBorders>
              <w:top w:val="nil"/>
              <w:left w:val="single" w:sz="8" w:space="0" w:color="000000"/>
              <w:bottom w:val="nil"/>
              <w:right w:val="single" w:sz="8" w:space="0" w:color="000000"/>
            </w:tcBorders>
          </w:tcPr>
          <w:p>
            <w:pPr>
              <w:rPr>
                <w:sz w:val="2"/>
                <w:szCs w:val="2"/>
              </w:rPr>
            </w:pPr>
          </w:p>
        </w:tc>
        <w:tc>
          <w:tcPr>
            <w:tcW w:w="740" w:type="dxa"/>
            <w:vMerge/>
            <w:tcBorders>
              <w:top w:val="nil"/>
              <w:left w:val="single" w:sz="8" w:space="0" w:color="000000"/>
              <w:bottom w:val="nil"/>
              <w:right w:val="single" w:sz="8" w:space="0" w:color="000000"/>
            </w:tcBorders>
          </w:tcPr>
          <w:p>
            <w:pPr>
              <w:rPr>
                <w:sz w:val="2"/>
                <w:szCs w:val="2"/>
              </w:rPr>
            </w:pPr>
          </w:p>
        </w:tc>
        <w:tc>
          <w:tcPr>
            <w:tcW w:w="741" w:type="dxa"/>
            <w:vMerge/>
            <w:tcBorders>
              <w:top w:val="nil"/>
              <w:left w:val="single" w:sz="8" w:space="0" w:color="000000"/>
              <w:bottom w:val="nil"/>
              <w:right w:val="single" w:sz="8" w:space="0" w:color="000000"/>
            </w:tcBorders>
          </w:tcPr>
          <w:p>
            <w:pPr>
              <w:rPr>
                <w:sz w:val="2"/>
                <w:szCs w:val="2"/>
              </w:rPr>
            </w:pPr>
          </w:p>
        </w:tc>
        <w:tc>
          <w:tcPr>
            <w:tcW w:w="738" w:type="dxa"/>
            <w:vMerge/>
            <w:tcBorders>
              <w:top w:val="nil"/>
              <w:left w:val="single" w:sz="8" w:space="0" w:color="000000"/>
              <w:bottom w:val="nil"/>
              <w:right w:val="single" w:sz="8" w:space="0" w:color="000000"/>
            </w:tcBorders>
          </w:tcPr>
          <w:p>
            <w:pPr>
              <w:rPr>
                <w:sz w:val="2"/>
                <w:szCs w:val="2"/>
              </w:rPr>
            </w:pPr>
          </w:p>
        </w:tc>
        <w:tc>
          <w:tcPr>
            <w:tcW w:w="745" w:type="dxa"/>
            <w:vMerge/>
            <w:tcBorders>
              <w:top w:val="nil"/>
              <w:left w:val="single" w:sz="8" w:space="0" w:color="000000"/>
              <w:bottom w:val="nil"/>
            </w:tcBorders>
          </w:tcPr>
          <w:p>
            <w:pPr>
              <w:rPr>
                <w:sz w:val="2"/>
                <w:szCs w:val="2"/>
              </w:rPr>
            </w:pPr>
          </w:p>
        </w:tc>
      </w:tr>
      <w:tr>
        <w:trPr>
          <w:trHeight w:val="412" w:hRule="atLeast"/>
        </w:trPr>
        <w:tc>
          <w:tcPr>
            <w:tcW w:w="941" w:type="dxa"/>
            <w:tcBorders>
              <w:top w:val="nil"/>
              <w:bottom w:val="nil"/>
            </w:tcBorders>
          </w:tcPr>
          <w:p>
            <w:pPr>
              <w:pStyle w:val="TableParagraph"/>
              <w:spacing w:before="74"/>
              <w:ind w:left="75"/>
              <w:rPr>
                <w:sz w:val="18"/>
              </w:rPr>
            </w:pPr>
            <w:r>
              <w:rPr>
                <w:sz w:val="18"/>
              </w:rPr>
              <w:t>CP5</w:t>
            </w:r>
          </w:p>
        </w:tc>
        <w:tc>
          <w:tcPr>
            <w:tcW w:w="735" w:type="dxa"/>
            <w:tcBorders>
              <w:top w:val="nil"/>
              <w:bottom w:val="nil"/>
              <w:right w:val="single" w:sz="8" w:space="0" w:color="000000"/>
            </w:tcBorders>
          </w:tcPr>
          <w:p>
            <w:pPr>
              <w:pStyle w:val="TableParagraph"/>
              <w:spacing w:before="124"/>
              <w:ind w:left="344"/>
              <w:rPr>
                <w:sz w:val="18"/>
              </w:rPr>
            </w:pPr>
            <w:r>
              <w:rPr>
                <w:sz w:val="18"/>
              </w:rPr>
              <w:t>.480</w:t>
            </w:r>
          </w:p>
        </w:tc>
        <w:tc>
          <w:tcPr>
            <w:tcW w:w="743" w:type="dxa"/>
            <w:tcBorders>
              <w:top w:val="nil"/>
              <w:left w:val="single" w:sz="8" w:space="0" w:color="000000"/>
              <w:bottom w:val="nil"/>
              <w:right w:val="single" w:sz="8" w:space="0" w:color="000000"/>
            </w:tcBorders>
          </w:tcPr>
          <w:p>
            <w:pPr>
              <w:pStyle w:val="TableParagraph"/>
              <w:spacing w:before="124"/>
              <w:ind w:left="363"/>
              <w:rPr>
                <w:sz w:val="18"/>
              </w:rPr>
            </w:pPr>
            <w:r>
              <w:rPr>
                <w:sz w:val="18"/>
              </w:rPr>
              <w:t>.337</w:t>
            </w:r>
          </w:p>
        </w:tc>
        <w:tc>
          <w:tcPr>
            <w:tcW w:w="740" w:type="dxa"/>
            <w:tcBorders>
              <w:top w:val="nil"/>
              <w:left w:val="single" w:sz="8" w:space="0" w:color="000000"/>
              <w:bottom w:val="nil"/>
              <w:right w:val="single" w:sz="8" w:space="0" w:color="000000"/>
            </w:tcBorders>
          </w:tcPr>
          <w:p>
            <w:pPr>
              <w:pStyle w:val="TableParagraph"/>
              <w:spacing w:before="124"/>
              <w:ind w:left="362"/>
              <w:rPr>
                <w:sz w:val="18"/>
              </w:rPr>
            </w:pPr>
            <w:r>
              <w:rPr>
                <w:sz w:val="18"/>
              </w:rPr>
              <w:t>.330</w:t>
            </w:r>
          </w:p>
        </w:tc>
        <w:tc>
          <w:tcPr>
            <w:tcW w:w="740" w:type="dxa"/>
            <w:tcBorders>
              <w:top w:val="nil"/>
              <w:left w:val="single" w:sz="8" w:space="0" w:color="000000"/>
              <w:bottom w:val="nil"/>
              <w:right w:val="single" w:sz="8" w:space="0" w:color="000000"/>
            </w:tcBorders>
          </w:tcPr>
          <w:p>
            <w:pPr>
              <w:pStyle w:val="TableParagraph"/>
              <w:spacing w:before="124"/>
              <w:ind w:right="40"/>
              <w:jc w:val="right"/>
              <w:rPr>
                <w:sz w:val="18"/>
              </w:rPr>
            </w:pPr>
            <w:r>
              <w:rPr>
                <w:sz w:val="18"/>
              </w:rPr>
              <w:t>-.342</w:t>
            </w:r>
          </w:p>
        </w:tc>
        <w:tc>
          <w:tcPr>
            <w:tcW w:w="740" w:type="dxa"/>
            <w:tcBorders>
              <w:top w:val="nil"/>
              <w:left w:val="single" w:sz="8" w:space="0" w:color="000000"/>
              <w:bottom w:val="nil"/>
              <w:right w:val="single" w:sz="8" w:space="0" w:color="000000"/>
            </w:tcBorders>
          </w:tcPr>
          <w:p>
            <w:pPr>
              <w:pStyle w:val="TableParagraph"/>
              <w:rPr>
                <w:sz w:val="18"/>
              </w:rPr>
            </w:pPr>
          </w:p>
        </w:tc>
        <w:tc>
          <w:tcPr>
            <w:tcW w:w="740" w:type="dxa"/>
            <w:tcBorders>
              <w:top w:val="nil"/>
              <w:left w:val="single" w:sz="8" w:space="0" w:color="000000"/>
              <w:bottom w:val="nil"/>
              <w:right w:val="single" w:sz="8" w:space="0" w:color="000000"/>
            </w:tcBorders>
          </w:tcPr>
          <w:p>
            <w:pPr>
              <w:pStyle w:val="TableParagraph"/>
              <w:rPr>
                <w:sz w:val="18"/>
              </w:rPr>
            </w:pPr>
          </w:p>
        </w:tc>
        <w:tc>
          <w:tcPr>
            <w:tcW w:w="740" w:type="dxa"/>
            <w:vMerge/>
            <w:tcBorders>
              <w:top w:val="nil"/>
              <w:left w:val="single" w:sz="8" w:space="0" w:color="000000"/>
              <w:bottom w:val="nil"/>
              <w:right w:val="single" w:sz="8" w:space="0" w:color="000000"/>
            </w:tcBorders>
          </w:tcPr>
          <w:p>
            <w:pPr>
              <w:rPr>
                <w:sz w:val="2"/>
                <w:szCs w:val="2"/>
              </w:rPr>
            </w:pPr>
          </w:p>
        </w:tc>
        <w:tc>
          <w:tcPr>
            <w:tcW w:w="740" w:type="dxa"/>
            <w:vMerge/>
            <w:tcBorders>
              <w:top w:val="nil"/>
              <w:left w:val="single" w:sz="8" w:space="0" w:color="000000"/>
              <w:bottom w:val="nil"/>
              <w:right w:val="single" w:sz="8" w:space="0" w:color="000000"/>
            </w:tcBorders>
          </w:tcPr>
          <w:p>
            <w:pPr>
              <w:rPr>
                <w:sz w:val="2"/>
                <w:szCs w:val="2"/>
              </w:rPr>
            </w:pPr>
          </w:p>
        </w:tc>
        <w:tc>
          <w:tcPr>
            <w:tcW w:w="741" w:type="dxa"/>
            <w:vMerge/>
            <w:tcBorders>
              <w:top w:val="nil"/>
              <w:left w:val="single" w:sz="8" w:space="0" w:color="000000"/>
              <w:bottom w:val="nil"/>
              <w:right w:val="single" w:sz="8" w:space="0" w:color="000000"/>
            </w:tcBorders>
          </w:tcPr>
          <w:p>
            <w:pPr>
              <w:rPr>
                <w:sz w:val="2"/>
                <w:szCs w:val="2"/>
              </w:rPr>
            </w:pPr>
          </w:p>
        </w:tc>
        <w:tc>
          <w:tcPr>
            <w:tcW w:w="738" w:type="dxa"/>
            <w:vMerge/>
            <w:tcBorders>
              <w:top w:val="nil"/>
              <w:left w:val="single" w:sz="8" w:space="0" w:color="000000"/>
              <w:bottom w:val="nil"/>
              <w:right w:val="single" w:sz="8" w:space="0" w:color="000000"/>
            </w:tcBorders>
          </w:tcPr>
          <w:p>
            <w:pPr>
              <w:rPr>
                <w:sz w:val="2"/>
                <w:szCs w:val="2"/>
              </w:rPr>
            </w:pPr>
          </w:p>
        </w:tc>
        <w:tc>
          <w:tcPr>
            <w:tcW w:w="745" w:type="dxa"/>
            <w:vMerge/>
            <w:tcBorders>
              <w:top w:val="nil"/>
              <w:left w:val="single" w:sz="8" w:space="0" w:color="000000"/>
              <w:bottom w:val="nil"/>
            </w:tcBorders>
          </w:tcPr>
          <w:p>
            <w:pPr>
              <w:rPr>
                <w:sz w:val="2"/>
                <w:szCs w:val="2"/>
              </w:rPr>
            </w:pPr>
          </w:p>
        </w:tc>
      </w:tr>
      <w:tr>
        <w:trPr>
          <w:trHeight w:val="415" w:hRule="atLeast"/>
        </w:trPr>
        <w:tc>
          <w:tcPr>
            <w:tcW w:w="941" w:type="dxa"/>
            <w:tcBorders>
              <w:top w:val="nil"/>
              <w:bottom w:val="nil"/>
            </w:tcBorders>
          </w:tcPr>
          <w:p>
            <w:pPr>
              <w:pStyle w:val="TableParagraph"/>
              <w:spacing w:before="74"/>
              <w:ind w:left="75"/>
              <w:rPr>
                <w:sz w:val="18"/>
              </w:rPr>
            </w:pPr>
            <w:r>
              <w:rPr>
                <w:sz w:val="18"/>
              </w:rPr>
              <w:t>VT3</w:t>
            </w:r>
          </w:p>
        </w:tc>
        <w:tc>
          <w:tcPr>
            <w:tcW w:w="735" w:type="dxa"/>
            <w:tcBorders>
              <w:top w:val="nil"/>
              <w:bottom w:val="nil"/>
              <w:right w:val="single" w:sz="8" w:space="0" w:color="000000"/>
            </w:tcBorders>
          </w:tcPr>
          <w:p>
            <w:pPr>
              <w:pStyle w:val="TableParagraph"/>
              <w:spacing w:before="127"/>
              <w:ind w:left="344"/>
              <w:rPr>
                <w:sz w:val="18"/>
              </w:rPr>
            </w:pPr>
            <w:r>
              <w:rPr>
                <w:sz w:val="18"/>
              </w:rPr>
              <w:t>.439</w:t>
            </w:r>
          </w:p>
        </w:tc>
        <w:tc>
          <w:tcPr>
            <w:tcW w:w="743" w:type="dxa"/>
            <w:tcBorders>
              <w:top w:val="nil"/>
              <w:left w:val="single" w:sz="8" w:space="0" w:color="000000"/>
              <w:bottom w:val="nil"/>
              <w:right w:val="single" w:sz="8" w:space="0" w:color="000000"/>
            </w:tcBorders>
          </w:tcPr>
          <w:p>
            <w:pPr>
              <w:pStyle w:val="TableParagraph"/>
              <w:rPr>
                <w:sz w:val="18"/>
              </w:rPr>
            </w:pPr>
          </w:p>
        </w:tc>
        <w:tc>
          <w:tcPr>
            <w:tcW w:w="740" w:type="dxa"/>
            <w:tcBorders>
              <w:top w:val="nil"/>
              <w:left w:val="single" w:sz="8" w:space="0" w:color="000000"/>
              <w:bottom w:val="nil"/>
              <w:right w:val="single" w:sz="8" w:space="0" w:color="000000"/>
            </w:tcBorders>
          </w:tcPr>
          <w:p>
            <w:pPr>
              <w:pStyle w:val="TableParagraph"/>
              <w:rPr>
                <w:sz w:val="18"/>
              </w:rPr>
            </w:pPr>
          </w:p>
        </w:tc>
        <w:tc>
          <w:tcPr>
            <w:tcW w:w="740" w:type="dxa"/>
            <w:tcBorders>
              <w:top w:val="nil"/>
              <w:left w:val="single" w:sz="8" w:space="0" w:color="000000"/>
              <w:bottom w:val="nil"/>
              <w:right w:val="single" w:sz="8" w:space="0" w:color="000000"/>
            </w:tcBorders>
          </w:tcPr>
          <w:p>
            <w:pPr>
              <w:pStyle w:val="TableParagraph"/>
              <w:rPr>
                <w:sz w:val="18"/>
              </w:rPr>
            </w:pPr>
          </w:p>
        </w:tc>
        <w:tc>
          <w:tcPr>
            <w:tcW w:w="740" w:type="dxa"/>
            <w:tcBorders>
              <w:top w:val="nil"/>
              <w:left w:val="single" w:sz="8" w:space="0" w:color="000000"/>
              <w:bottom w:val="nil"/>
              <w:right w:val="single" w:sz="8" w:space="0" w:color="000000"/>
            </w:tcBorders>
          </w:tcPr>
          <w:p>
            <w:pPr>
              <w:pStyle w:val="TableParagraph"/>
              <w:spacing w:before="127"/>
              <w:ind w:left="361"/>
              <w:rPr>
                <w:sz w:val="18"/>
              </w:rPr>
            </w:pPr>
            <w:r>
              <w:rPr>
                <w:sz w:val="18"/>
              </w:rPr>
              <w:t>.323</w:t>
            </w:r>
          </w:p>
        </w:tc>
        <w:tc>
          <w:tcPr>
            <w:tcW w:w="740" w:type="dxa"/>
            <w:tcBorders>
              <w:top w:val="nil"/>
              <w:left w:val="single" w:sz="8" w:space="0" w:color="000000"/>
              <w:bottom w:val="nil"/>
              <w:right w:val="single" w:sz="8" w:space="0" w:color="000000"/>
            </w:tcBorders>
          </w:tcPr>
          <w:p>
            <w:pPr>
              <w:pStyle w:val="TableParagraph"/>
              <w:rPr>
                <w:sz w:val="18"/>
              </w:rPr>
            </w:pPr>
          </w:p>
        </w:tc>
        <w:tc>
          <w:tcPr>
            <w:tcW w:w="740" w:type="dxa"/>
            <w:vMerge/>
            <w:tcBorders>
              <w:top w:val="nil"/>
              <w:left w:val="single" w:sz="8" w:space="0" w:color="000000"/>
              <w:bottom w:val="nil"/>
              <w:right w:val="single" w:sz="8" w:space="0" w:color="000000"/>
            </w:tcBorders>
          </w:tcPr>
          <w:p>
            <w:pPr>
              <w:rPr>
                <w:sz w:val="2"/>
                <w:szCs w:val="2"/>
              </w:rPr>
            </w:pPr>
          </w:p>
        </w:tc>
        <w:tc>
          <w:tcPr>
            <w:tcW w:w="740" w:type="dxa"/>
            <w:vMerge/>
            <w:tcBorders>
              <w:top w:val="nil"/>
              <w:left w:val="single" w:sz="8" w:space="0" w:color="000000"/>
              <w:bottom w:val="nil"/>
              <w:right w:val="single" w:sz="8" w:space="0" w:color="000000"/>
            </w:tcBorders>
          </w:tcPr>
          <w:p>
            <w:pPr>
              <w:rPr>
                <w:sz w:val="2"/>
                <w:szCs w:val="2"/>
              </w:rPr>
            </w:pPr>
          </w:p>
        </w:tc>
        <w:tc>
          <w:tcPr>
            <w:tcW w:w="741" w:type="dxa"/>
            <w:vMerge/>
            <w:tcBorders>
              <w:top w:val="nil"/>
              <w:left w:val="single" w:sz="8" w:space="0" w:color="000000"/>
              <w:bottom w:val="nil"/>
              <w:right w:val="single" w:sz="8" w:space="0" w:color="000000"/>
            </w:tcBorders>
          </w:tcPr>
          <w:p>
            <w:pPr>
              <w:rPr>
                <w:sz w:val="2"/>
                <w:szCs w:val="2"/>
              </w:rPr>
            </w:pPr>
          </w:p>
        </w:tc>
        <w:tc>
          <w:tcPr>
            <w:tcW w:w="738" w:type="dxa"/>
            <w:vMerge/>
            <w:tcBorders>
              <w:top w:val="nil"/>
              <w:left w:val="single" w:sz="8" w:space="0" w:color="000000"/>
              <w:bottom w:val="nil"/>
              <w:right w:val="single" w:sz="8" w:space="0" w:color="000000"/>
            </w:tcBorders>
          </w:tcPr>
          <w:p>
            <w:pPr>
              <w:rPr>
                <w:sz w:val="2"/>
                <w:szCs w:val="2"/>
              </w:rPr>
            </w:pPr>
          </w:p>
        </w:tc>
        <w:tc>
          <w:tcPr>
            <w:tcW w:w="745" w:type="dxa"/>
            <w:vMerge/>
            <w:tcBorders>
              <w:top w:val="nil"/>
              <w:left w:val="single" w:sz="8" w:space="0" w:color="000000"/>
              <w:bottom w:val="nil"/>
            </w:tcBorders>
          </w:tcPr>
          <w:p>
            <w:pPr>
              <w:rPr>
                <w:sz w:val="2"/>
                <w:szCs w:val="2"/>
              </w:rPr>
            </w:pPr>
          </w:p>
        </w:tc>
      </w:tr>
      <w:tr>
        <w:trPr>
          <w:trHeight w:val="412" w:hRule="atLeast"/>
        </w:trPr>
        <w:tc>
          <w:tcPr>
            <w:tcW w:w="941" w:type="dxa"/>
            <w:tcBorders>
              <w:top w:val="nil"/>
              <w:bottom w:val="nil"/>
            </w:tcBorders>
          </w:tcPr>
          <w:p>
            <w:pPr>
              <w:pStyle w:val="TableParagraph"/>
              <w:spacing w:before="74"/>
              <w:ind w:left="75"/>
              <w:rPr>
                <w:sz w:val="18"/>
              </w:rPr>
            </w:pPr>
            <w:r>
              <w:rPr>
                <w:sz w:val="18"/>
              </w:rPr>
              <w:t>CP6</w:t>
            </w:r>
          </w:p>
        </w:tc>
        <w:tc>
          <w:tcPr>
            <w:tcW w:w="735" w:type="dxa"/>
            <w:tcBorders>
              <w:top w:val="nil"/>
              <w:bottom w:val="nil"/>
              <w:right w:val="single" w:sz="8" w:space="0" w:color="000000"/>
            </w:tcBorders>
          </w:tcPr>
          <w:p>
            <w:pPr>
              <w:pStyle w:val="TableParagraph"/>
              <w:spacing w:before="124"/>
              <w:ind w:left="344"/>
              <w:rPr>
                <w:sz w:val="18"/>
              </w:rPr>
            </w:pPr>
            <w:r>
              <w:rPr>
                <w:sz w:val="18"/>
              </w:rPr>
              <w:t>.416</w:t>
            </w:r>
          </w:p>
        </w:tc>
        <w:tc>
          <w:tcPr>
            <w:tcW w:w="743" w:type="dxa"/>
            <w:tcBorders>
              <w:top w:val="nil"/>
              <w:left w:val="single" w:sz="8" w:space="0" w:color="000000"/>
              <w:bottom w:val="nil"/>
              <w:right w:val="single" w:sz="8" w:space="0" w:color="000000"/>
            </w:tcBorders>
          </w:tcPr>
          <w:p>
            <w:pPr>
              <w:pStyle w:val="TableParagraph"/>
              <w:rPr>
                <w:sz w:val="18"/>
              </w:rPr>
            </w:pPr>
          </w:p>
        </w:tc>
        <w:tc>
          <w:tcPr>
            <w:tcW w:w="740" w:type="dxa"/>
            <w:tcBorders>
              <w:top w:val="nil"/>
              <w:left w:val="single" w:sz="8" w:space="0" w:color="000000"/>
              <w:bottom w:val="nil"/>
              <w:right w:val="single" w:sz="8" w:space="0" w:color="000000"/>
            </w:tcBorders>
          </w:tcPr>
          <w:p>
            <w:pPr>
              <w:pStyle w:val="TableParagraph"/>
              <w:spacing w:before="124"/>
              <w:ind w:left="362"/>
              <w:rPr>
                <w:sz w:val="18"/>
              </w:rPr>
            </w:pPr>
            <w:r>
              <w:rPr>
                <w:sz w:val="18"/>
              </w:rPr>
              <w:t>.379</w:t>
            </w:r>
          </w:p>
        </w:tc>
        <w:tc>
          <w:tcPr>
            <w:tcW w:w="740" w:type="dxa"/>
            <w:tcBorders>
              <w:top w:val="nil"/>
              <w:left w:val="single" w:sz="8" w:space="0" w:color="000000"/>
              <w:bottom w:val="nil"/>
              <w:right w:val="single" w:sz="8" w:space="0" w:color="000000"/>
            </w:tcBorders>
          </w:tcPr>
          <w:p>
            <w:pPr>
              <w:pStyle w:val="TableParagraph"/>
              <w:spacing w:before="124"/>
              <w:ind w:right="40"/>
              <w:jc w:val="right"/>
              <w:rPr>
                <w:sz w:val="18"/>
              </w:rPr>
            </w:pPr>
            <w:r>
              <w:rPr>
                <w:sz w:val="18"/>
              </w:rPr>
              <w:t>-.351</w:t>
            </w:r>
          </w:p>
        </w:tc>
        <w:tc>
          <w:tcPr>
            <w:tcW w:w="740" w:type="dxa"/>
            <w:tcBorders>
              <w:top w:val="nil"/>
              <w:left w:val="single" w:sz="8" w:space="0" w:color="000000"/>
              <w:bottom w:val="nil"/>
              <w:right w:val="single" w:sz="8" w:space="0" w:color="000000"/>
            </w:tcBorders>
          </w:tcPr>
          <w:p>
            <w:pPr>
              <w:pStyle w:val="TableParagraph"/>
              <w:rPr>
                <w:sz w:val="18"/>
              </w:rPr>
            </w:pPr>
          </w:p>
        </w:tc>
        <w:tc>
          <w:tcPr>
            <w:tcW w:w="740" w:type="dxa"/>
            <w:tcBorders>
              <w:top w:val="nil"/>
              <w:left w:val="single" w:sz="8" w:space="0" w:color="000000"/>
              <w:bottom w:val="nil"/>
              <w:right w:val="single" w:sz="8" w:space="0" w:color="000000"/>
            </w:tcBorders>
          </w:tcPr>
          <w:p>
            <w:pPr>
              <w:pStyle w:val="TableParagraph"/>
              <w:rPr>
                <w:sz w:val="18"/>
              </w:rPr>
            </w:pPr>
          </w:p>
        </w:tc>
        <w:tc>
          <w:tcPr>
            <w:tcW w:w="740" w:type="dxa"/>
            <w:vMerge/>
            <w:tcBorders>
              <w:top w:val="nil"/>
              <w:left w:val="single" w:sz="8" w:space="0" w:color="000000"/>
              <w:bottom w:val="nil"/>
              <w:right w:val="single" w:sz="8" w:space="0" w:color="000000"/>
            </w:tcBorders>
          </w:tcPr>
          <w:p>
            <w:pPr>
              <w:rPr>
                <w:sz w:val="2"/>
                <w:szCs w:val="2"/>
              </w:rPr>
            </w:pPr>
          </w:p>
        </w:tc>
        <w:tc>
          <w:tcPr>
            <w:tcW w:w="740" w:type="dxa"/>
            <w:vMerge/>
            <w:tcBorders>
              <w:top w:val="nil"/>
              <w:left w:val="single" w:sz="8" w:space="0" w:color="000000"/>
              <w:bottom w:val="nil"/>
              <w:right w:val="single" w:sz="8" w:space="0" w:color="000000"/>
            </w:tcBorders>
          </w:tcPr>
          <w:p>
            <w:pPr>
              <w:rPr>
                <w:sz w:val="2"/>
                <w:szCs w:val="2"/>
              </w:rPr>
            </w:pPr>
          </w:p>
        </w:tc>
        <w:tc>
          <w:tcPr>
            <w:tcW w:w="741" w:type="dxa"/>
            <w:vMerge/>
            <w:tcBorders>
              <w:top w:val="nil"/>
              <w:left w:val="single" w:sz="8" w:space="0" w:color="000000"/>
              <w:bottom w:val="nil"/>
              <w:right w:val="single" w:sz="8" w:space="0" w:color="000000"/>
            </w:tcBorders>
          </w:tcPr>
          <w:p>
            <w:pPr>
              <w:rPr>
                <w:sz w:val="2"/>
                <w:szCs w:val="2"/>
              </w:rPr>
            </w:pPr>
          </w:p>
        </w:tc>
        <w:tc>
          <w:tcPr>
            <w:tcW w:w="738" w:type="dxa"/>
            <w:vMerge/>
            <w:tcBorders>
              <w:top w:val="nil"/>
              <w:left w:val="single" w:sz="8" w:space="0" w:color="000000"/>
              <w:bottom w:val="nil"/>
              <w:right w:val="single" w:sz="8" w:space="0" w:color="000000"/>
            </w:tcBorders>
          </w:tcPr>
          <w:p>
            <w:pPr>
              <w:rPr>
                <w:sz w:val="2"/>
                <w:szCs w:val="2"/>
              </w:rPr>
            </w:pPr>
          </w:p>
        </w:tc>
        <w:tc>
          <w:tcPr>
            <w:tcW w:w="745" w:type="dxa"/>
            <w:vMerge/>
            <w:tcBorders>
              <w:top w:val="nil"/>
              <w:left w:val="single" w:sz="8" w:space="0" w:color="000000"/>
              <w:bottom w:val="nil"/>
            </w:tcBorders>
          </w:tcPr>
          <w:p>
            <w:pPr>
              <w:rPr>
                <w:sz w:val="2"/>
                <w:szCs w:val="2"/>
              </w:rPr>
            </w:pPr>
          </w:p>
        </w:tc>
      </w:tr>
      <w:tr>
        <w:trPr>
          <w:trHeight w:val="415" w:hRule="atLeast"/>
        </w:trPr>
        <w:tc>
          <w:tcPr>
            <w:tcW w:w="941" w:type="dxa"/>
            <w:tcBorders>
              <w:top w:val="nil"/>
              <w:bottom w:val="nil"/>
            </w:tcBorders>
          </w:tcPr>
          <w:p>
            <w:pPr>
              <w:pStyle w:val="TableParagraph"/>
              <w:spacing w:before="74"/>
              <w:ind w:left="75"/>
              <w:rPr>
                <w:sz w:val="18"/>
              </w:rPr>
            </w:pPr>
            <w:r>
              <w:rPr>
                <w:sz w:val="18"/>
              </w:rPr>
              <w:t>HT4</w:t>
            </w:r>
          </w:p>
        </w:tc>
        <w:tc>
          <w:tcPr>
            <w:tcW w:w="735" w:type="dxa"/>
            <w:tcBorders>
              <w:top w:val="nil"/>
              <w:bottom w:val="nil"/>
              <w:right w:val="single" w:sz="8" w:space="0" w:color="000000"/>
            </w:tcBorders>
          </w:tcPr>
          <w:p>
            <w:pPr>
              <w:pStyle w:val="TableParagraph"/>
              <w:rPr>
                <w:sz w:val="18"/>
              </w:rPr>
            </w:pPr>
          </w:p>
        </w:tc>
        <w:tc>
          <w:tcPr>
            <w:tcW w:w="743" w:type="dxa"/>
            <w:tcBorders>
              <w:top w:val="nil"/>
              <w:left w:val="single" w:sz="8" w:space="0" w:color="000000"/>
              <w:bottom w:val="nil"/>
              <w:right w:val="single" w:sz="8" w:space="0" w:color="000000"/>
            </w:tcBorders>
          </w:tcPr>
          <w:p>
            <w:pPr>
              <w:pStyle w:val="TableParagraph"/>
              <w:spacing w:before="126"/>
              <w:ind w:left="363"/>
              <w:rPr>
                <w:sz w:val="18"/>
              </w:rPr>
            </w:pPr>
            <w:r>
              <w:rPr>
                <w:sz w:val="18"/>
              </w:rPr>
              <w:t>.782</w:t>
            </w:r>
          </w:p>
        </w:tc>
        <w:tc>
          <w:tcPr>
            <w:tcW w:w="740" w:type="dxa"/>
            <w:tcBorders>
              <w:top w:val="nil"/>
              <w:left w:val="single" w:sz="8" w:space="0" w:color="000000"/>
              <w:bottom w:val="nil"/>
              <w:right w:val="single" w:sz="8" w:space="0" w:color="000000"/>
            </w:tcBorders>
          </w:tcPr>
          <w:p>
            <w:pPr>
              <w:pStyle w:val="TableParagraph"/>
              <w:rPr>
                <w:sz w:val="18"/>
              </w:rPr>
            </w:pPr>
          </w:p>
        </w:tc>
        <w:tc>
          <w:tcPr>
            <w:tcW w:w="740" w:type="dxa"/>
            <w:tcBorders>
              <w:top w:val="nil"/>
              <w:left w:val="single" w:sz="8" w:space="0" w:color="000000"/>
              <w:bottom w:val="nil"/>
              <w:right w:val="single" w:sz="8" w:space="0" w:color="000000"/>
            </w:tcBorders>
          </w:tcPr>
          <w:p>
            <w:pPr>
              <w:pStyle w:val="TableParagraph"/>
              <w:rPr>
                <w:sz w:val="18"/>
              </w:rPr>
            </w:pPr>
          </w:p>
        </w:tc>
        <w:tc>
          <w:tcPr>
            <w:tcW w:w="740" w:type="dxa"/>
            <w:tcBorders>
              <w:top w:val="nil"/>
              <w:left w:val="single" w:sz="8" w:space="0" w:color="000000"/>
              <w:bottom w:val="nil"/>
              <w:right w:val="single" w:sz="8" w:space="0" w:color="000000"/>
            </w:tcBorders>
          </w:tcPr>
          <w:p>
            <w:pPr>
              <w:pStyle w:val="TableParagraph"/>
              <w:rPr>
                <w:sz w:val="18"/>
              </w:rPr>
            </w:pPr>
          </w:p>
        </w:tc>
        <w:tc>
          <w:tcPr>
            <w:tcW w:w="740" w:type="dxa"/>
            <w:tcBorders>
              <w:top w:val="nil"/>
              <w:left w:val="single" w:sz="8" w:space="0" w:color="000000"/>
              <w:bottom w:val="nil"/>
              <w:right w:val="single" w:sz="8" w:space="0" w:color="000000"/>
            </w:tcBorders>
          </w:tcPr>
          <w:p>
            <w:pPr>
              <w:pStyle w:val="TableParagraph"/>
              <w:rPr>
                <w:sz w:val="18"/>
              </w:rPr>
            </w:pPr>
          </w:p>
        </w:tc>
        <w:tc>
          <w:tcPr>
            <w:tcW w:w="740" w:type="dxa"/>
            <w:vMerge/>
            <w:tcBorders>
              <w:top w:val="nil"/>
              <w:left w:val="single" w:sz="8" w:space="0" w:color="000000"/>
              <w:bottom w:val="nil"/>
              <w:right w:val="single" w:sz="8" w:space="0" w:color="000000"/>
            </w:tcBorders>
          </w:tcPr>
          <w:p>
            <w:pPr>
              <w:rPr>
                <w:sz w:val="2"/>
                <w:szCs w:val="2"/>
              </w:rPr>
            </w:pPr>
          </w:p>
        </w:tc>
        <w:tc>
          <w:tcPr>
            <w:tcW w:w="740" w:type="dxa"/>
            <w:vMerge/>
            <w:tcBorders>
              <w:top w:val="nil"/>
              <w:left w:val="single" w:sz="8" w:space="0" w:color="000000"/>
              <w:bottom w:val="nil"/>
              <w:right w:val="single" w:sz="8" w:space="0" w:color="000000"/>
            </w:tcBorders>
          </w:tcPr>
          <w:p>
            <w:pPr>
              <w:rPr>
                <w:sz w:val="2"/>
                <w:szCs w:val="2"/>
              </w:rPr>
            </w:pPr>
          </w:p>
        </w:tc>
        <w:tc>
          <w:tcPr>
            <w:tcW w:w="741" w:type="dxa"/>
            <w:vMerge/>
            <w:tcBorders>
              <w:top w:val="nil"/>
              <w:left w:val="single" w:sz="8" w:space="0" w:color="000000"/>
              <w:bottom w:val="nil"/>
              <w:right w:val="single" w:sz="8" w:space="0" w:color="000000"/>
            </w:tcBorders>
          </w:tcPr>
          <w:p>
            <w:pPr>
              <w:rPr>
                <w:sz w:val="2"/>
                <w:szCs w:val="2"/>
              </w:rPr>
            </w:pPr>
          </w:p>
        </w:tc>
        <w:tc>
          <w:tcPr>
            <w:tcW w:w="738" w:type="dxa"/>
            <w:vMerge/>
            <w:tcBorders>
              <w:top w:val="nil"/>
              <w:left w:val="single" w:sz="8" w:space="0" w:color="000000"/>
              <w:bottom w:val="nil"/>
              <w:right w:val="single" w:sz="8" w:space="0" w:color="000000"/>
            </w:tcBorders>
          </w:tcPr>
          <w:p>
            <w:pPr>
              <w:rPr>
                <w:sz w:val="2"/>
                <w:szCs w:val="2"/>
              </w:rPr>
            </w:pPr>
          </w:p>
        </w:tc>
        <w:tc>
          <w:tcPr>
            <w:tcW w:w="745" w:type="dxa"/>
            <w:vMerge/>
            <w:tcBorders>
              <w:top w:val="nil"/>
              <w:left w:val="single" w:sz="8" w:space="0" w:color="000000"/>
              <w:bottom w:val="nil"/>
            </w:tcBorders>
          </w:tcPr>
          <w:p>
            <w:pPr>
              <w:rPr>
                <w:sz w:val="2"/>
                <w:szCs w:val="2"/>
              </w:rPr>
            </w:pPr>
          </w:p>
        </w:tc>
      </w:tr>
      <w:tr>
        <w:trPr>
          <w:trHeight w:val="412" w:hRule="atLeast"/>
        </w:trPr>
        <w:tc>
          <w:tcPr>
            <w:tcW w:w="941" w:type="dxa"/>
            <w:tcBorders>
              <w:top w:val="nil"/>
              <w:bottom w:val="nil"/>
            </w:tcBorders>
          </w:tcPr>
          <w:p>
            <w:pPr>
              <w:pStyle w:val="TableParagraph"/>
              <w:spacing w:before="74"/>
              <w:ind w:left="75"/>
              <w:rPr>
                <w:sz w:val="18"/>
              </w:rPr>
            </w:pPr>
            <w:r>
              <w:rPr>
                <w:sz w:val="18"/>
              </w:rPr>
              <w:t>HT5</w:t>
            </w:r>
          </w:p>
        </w:tc>
        <w:tc>
          <w:tcPr>
            <w:tcW w:w="735" w:type="dxa"/>
            <w:tcBorders>
              <w:top w:val="nil"/>
              <w:bottom w:val="nil"/>
              <w:right w:val="single" w:sz="8" w:space="0" w:color="000000"/>
            </w:tcBorders>
          </w:tcPr>
          <w:p>
            <w:pPr>
              <w:pStyle w:val="TableParagraph"/>
              <w:rPr>
                <w:sz w:val="18"/>
              </w:rPr>
            </w:pPr>
          </w:p>
        </w:tc>
        <w:tc>
          <w:tcPr>
            <w:tcW w:w="743" w:type="dxa"/>
            <w:tcBorders>
              <w:top w:val="nil"/>
              <w:left w:val="single" w:sz="8" w:space="0" w:color="000000"/>
              <w:bottom w:val="nil"/>
              <w:right w:val="single" w:sz="8" w:space="0" w:color="000000"/>
            </w:tcBorders>
          </w:tcPr>
          <w:p>
            <w:pPr>
              <w:pStyle w:val="TableParagraph"/>
              <w:spacing w:before="124"/>
              <w:ind w:left="363"/>
              <w:rPr>
                <w:sz w:val="18"/>
              </w:rPr>
            </w:pPr>
            <w:r>
              <w:rPr>
                <w:sz w:val="18"/>
              </w:rPr>
              <w:t>.767</w:t>
            </w:r>
          </w:p>
        </w:tc>
        <w:tc>
          <w:tcPr>
            <w:tcW w:w="740" w:type="dxa"/>
            <w:tcBorders>
              <w:top w:val="nil"/>
              <w:left w:val="single" w:sz="8" w:space="0" w:color="000000"/>
              <w:bottom w:val="nil"/>
              <w:right w:val="single" w:sz="8" w:space="0" w:color="000000"/>
            </w:tcBorders>
          </w:tcPr>
          <w:p>
            <w:pPr>
              <w:pStyle w:val="TableParagraph"/>
              <w:rPr>
                <w:sz w:val="18"/>
              </w:rPr>
            </w:pPr>
          </w:p>
        </w:tc>
        <w:tc>
          <w:tcPr>
            <w:tcW w:w="740" w:type="dxa"/>
            <w:tcBorders>
              <w:top w:val="nil"/>
              <w:left w:val="single" w:sz="8" w:space="0" w:color="000000"/>
              <w:bottom w:val="nil"/>
              <w:right w:val="single" w:sz="8" w:space="0" w:color="000000"/>
            </w:tcBorders>
          </w:tcPr>
          <w:p>
            <w:pPr>
              <w:pStyle w:val="TableParagraph"/>
              <w:rPr>
                <w:sz w:val="18"/>
              </w:rPr>
            </w:pPr>
          </w:p>
        </w:tc>
        <w:tc>
          <w:tcPr>
            <w:tcW w:w="740" w:type="dxa"/>
            <w:tcBorders>
              <w:top w:val="nil"/>
              <w:left w:val="single" w:sz="8" w:space="0" w:color="000000"/>
              <w:bottom w:val="nil"/>
              <w:right w:val="single" w:sz="8" w:space="0" w:color="000000"/>
            </w:tcBorders>
          </w:tcPr>
          <w:p>
            <w:pPr>
              <w:pStyle w:val="TableParagraph"/>
              <w:rPr>
                <w:sz w:val="18"/>
              </w:rPr>
            </w:pPr>
          </w:p>
        </w:tc>
        <w:tc>
          <w:tcPr>
            <w:tcW w:w="740" w:type="dxa"/>
            <w:tcBorders>
              <w:top w:val="nil"/>
              <w:left w:val="single" w:sz="8" w:space="0" w:color="000000"/>
              <w:bottom w:val="nil"/>
              <w:right w:val="single" w:sz="8" w:space="0" w:color="000000"/>
            </w:tcBorders>
          </w:tcPr>
          <w:p>
            <w:pPr>
              <w:pStyle w:val="TableParagraph"/>
              <w:rPr>
                <w:sz w:val="18"/>
              </w:rPr>
            </w:pPr>
          </w:p>
        </w:tc>
        <w:tc>
          <w:tcPr>
            <w:tcW w:w="740" w:type="dxa"/>
            <w:vMerge/>
            <w:tcBorders>
              <w:top w:val="nil"/>
              <w:left w:val="single" w:sz="8" w:space="0" w:color="000000"/>
              <w:bottom w:val="nil"/>
              <w:right w:val="single" w:sz="8" w:space="0" w:color="000000"/>
            </w:tcBorders>
          </w:tcPr>
          <w:p>
            <w:pPr>
              <w:rPr>
                <w:sz w:val="2"/>
                <w:szCs w:val="2"/>
              </w:rPr>
            </w:pPr>
          </w:p>
        </w:tc>
        <w:tc>
          <w:tcPr>
            <w:tcW w:w="740" w:type="dxa"/>
            <w:vMerge/>
            <w:tcBorders>
              <w:top w:val="nil"/>
              <w:left w:val="single" w:sz="8" w:space="0" w:color="000000"/>
              <w:bottom w:val="nil"/>
              <w:right w:val="single" w:sz="8" w:space="0" w:color="000000"/>
            </w:tcBorders>
          </w:tcPr>
          <w:p>
            <w:pPr>
              <w:rPr>
                <w:sz w:val="2"/>
                <w:szCs w:val="2"/>
              </w:rPr>
            </w:pPr>
          </w:p>
        </w:tc>
        <w:tc>
          <w:tcPr>
            <w:tcW w:w="741" w:type="dxa"/>
            <w:vMerge/>
            <w:tcBorders>
              <w:top w:val="nil"/>
              <w:left w:val="single" w:sz="8" w:space="0" w:color="000000"/>
              <w:bottom w:val="nil"/>
              <w:right w:val="single" w:sz="8" w:space="0" w:color="000000"/>
            </w:tcBorders>
          </w:tcPr>
          <w:p>
            <w:pPr>
              <w:rPr>
                <w:sz w:val="2"/>
                <w:szCs w:val="2"/>
              </w:rPr>
            </w:pPr>
          </w:p>
        </w:tc>
        <w:tc>
          <w:tcPr>
            <w:tcW w:w="738" w:type="dxa"/>
            <w:vMerge/>
            <w:tcBorders>
              <w:top w:val="nil"/>
              <w:left w:val="single" w:sz="8" w:space="0" w:color="000000"/>
              <w:bottom w:val="nil"/>
              <w:right w:val="single" w:sz="8" w:space="0" w:color="000000"/>
            </w:tcBorders>
          </w:tcPr>
          <w:p>
            <w:pPr>
              <w:rPr>
                <w:sz w:val="2"/>
                <w:szCs w:val="2"/>
              </w:rPr>
            </w:pPr>
          </w:p>
        </w:tc>
        <w:tc>
          <w:tcPr>
            <w:tcW w:w="745" w:type="dxa"/>
            <w:vMerge/>
            <w:tcBorders>
              <w:top w:val="nil"/>
              <w:left w:val="single" w:sz="8" w:space="0" w:color="000000"/>
              <w:bottom w:val="nil"/>
            </w:tcBorders>
          </w:tcPr>
          <w:p>
            <w:pPr>
              <w:rPr>
                <w:sz w:val="2"/>
                <w:szCs w:val="2"/>
              </w:rPr>
            </w:pPr>
          </w:p>
        </w:tc>
      </w:tr>
      <w:tr>
        <w:trPr>
          <w:trHeight w:val="414" w:hRule="atLeast"/>
        </w:trPr>
        <w:tc>
          <w:tcPr>
            <w:tcW w:w="941" w:type="dxa"/>
            <w:tcBorders>
              <w:top w:val="nil"/>
              <w:bottom w:val="nil"/>
            </w:tcBorders>
          </w:tcPr>
          <w:p>
            <w:pPr>
              <w:pStyle w:val="TableParagraph"/>
              <w:spacing w:before="74"/>
              <w:ind w:left="75"/>
              <w:rPr>
                <w:sz w:val="18"/>
              </w:rPr>
            </w:pPr>
            <w:r>
              <w:rPr>
                <w:sz w:val="18"/>
              </w:rPr>
              <w:t>HT7</w:t>
            </w:r>
          </w:p>
        </w:tc>
        <w:tc>
          <w:tcPr>
            <w:tcW w:w="735" w:type="dxa"/>
            <w:tcBorders>
              <w:top w:val="nil"/>
              <w:bottom w:val="nil"/>
              <w:right w:val="single" w:sz="8" w:space="0" w:color="000000"/>
            </w:tcBorders>
          </w:tcPr>
          <w:p>
            <w:pPr>
              <w:pStyle w:val="TableParagraph"/>
              <w:rPr>
                <w:sz w:val="18"/>
              </w:rPr>
            </w:pPr>
          </w:p>
        </w:tc>
        <w:tc>
          <w:tcPr>
            <w:tcW w:w="743" w:type="dxa"/>
            <w:tcBorders>
              <w:top w:val="nil"/>
              <w:left w:val="single" w:sz="8" w:space="0" w:color="000000"/>
              <w:bottom w:val="nil"/>
              <w:right w:val="single" w:sz="8" w:space="0" w:color="000000"/>
            </w:tcBorders>
          </w:tcPr>
          <w:p>
            <w:pPr>
              <w:pStyle w:val="TableParagraph"/>
              <w:spacing w:before="126"/>
              <w:ind w:left="363"/>
              <w:rPr>
                <w:sz w:val="18"/>
              </w:rPr>
            </w:pPr>
            <w:r>
              <w:rPr>
                <w:sz w:val="18"/>
              </w:rPr>
              <w:t>.758</w:t>
            </w:r>
          </w:p>
        </w:tc>
        <w:tc>
          <w:tcPr>
            <w:tcW w:w="740" w:type="dxa"/>
            <w:tcBorders>
              <w:top w:val="nil"/>
              <w:left w:val="single" w:sz="8" w:space="0" w:color="000000"/>
              <w:bottom w:val="nil"/>
              <w:right w:val="single" w:sz="8" w:space="0" w:color="000000"/>
            </w:tcBorders>
          </w:tcPr>
          <w:p>
            <w:pPr>
              <w:pStyle w:val="TableParagraph"/>
              <w:rPr>
                <w:sz w:val="18"/>
              </w:rPr>
            </w:pPr>
          </w:p>
        </w:tc>
        <w:tc>
          <w:tcPr>
            <w:tcW w:w="740" w:type="dxa"/>
            <w:tcBorders>
              <w:top w:val="nil"/>
              <w:left w:val="single" w:sz="8" w:space="0" w:color="000000"/>
              <w:bottom w:val="nil"/>
              <w:right w:val="single" w:sz="8" w:space="0" w:color="000000"/>
            </w:tcBorders>
          </w:tcPr>
          <w:p>
            <w:pPr>
              <w:pStyle w:val="TableParagraph"/>
              <w:rPr>
                <w:sz w:val="18"/>
              </w:rPr>
            </w:pPr>
          </w:p>
        </w:tc>
        <w:tc>
          <w:tcPr>
            <w:tcW w:w="740" w:type="dxa"/>
            <w:tcBorders>
              <w:top w:val="nil"/>
              <w:left w:val="single" w:sz="8" w:space="0" w:color="000000"/>
              <w:bottom w:val="nil"/>
              <w:right w:val="single" w:sz="8" w:space="0" w:color="000000"/>
            </w:tcBorders>
          </w:tcPr>
          <w:p>
            <w:pPr>
              <w:pStyle w:val="TableParagraph"/>
              <w:rPr>
                <w:sz w:val="18"/>
              </w:rPr>
            </w:pPr>
          </w:p>
        </w:tc>
        <w:tc>
          <w:tcPr>
            <w:tcW w:w="740" w:type="dxa"/>
            <w:tcBorders>
              <w:top w:val="nil"/>
              <w:left w:val="single" w:sz="8" w:space="0" w:color="000000"/>
              <w:bottom w:val="nil"/>
              <w:right w:val="single" w:sz="8" w:space="0" w:color="000000"/>
            </w:tcBorders>
          </w:tcPr>
          <w:p>
            <w:pPr>
              <w:pStyle w:val="TableParagraph"/>
              <w:rPr>
                <w:sz w:val="18"/>
              </w:rPr>
            </w:pPr>
          </w:p>
        </w:tc>
        <w:tc>
          <w:tcPr>
            <w:tcW w:w="740" w:type="dxa"/>
            <w:vMerge/>
            <w:tcBorders>
              <w:top w:val="nil"/>
              <w:left w:val="single" w:sz="8" w:space="0" w:color="000000"/>
              <w:bottom w:val="nil"/>
              <w:right w:val="single" w:sz="8" w:space="0" w:color="000000"/>
            </w:tcBorders>
          </w:tcPr>
          <w:p>
            <w:pPr>
              <w:rPr>
                <w:sz w:val="2"/>
                <w:szCs w:val="2"/>
              </w:rPr>
            </w:pPr>
          </w:p>
        </w:tc>
        <w:tc>
          <w:tcPr>
            <w:tcW w:w="740" w:type="dxa"/>
            <w:vMerge/>
            <w:tcBorders>
              <w:top w:val="nil"/>
              <w:left w:val="single" w:sz="8" w:space="0" w:color="000000"/>
              <w:bottom w:val="nil"/>
              <w:right w:val="single" w:sz="8" w:space="0" w:color="000000"/>
            </w:tcBorders>
          </w:tcPr>
          <w:p>
            <w:pPr>
              <w:rPr>
                <w:sz w:val="2"/>
                <w:szCs w:val="2"/>
              </w:rPr>
            </w:pPr>
          </w:p>
        </w:tc>
        <w:tc>
          <w:tcPr>
            <w:tcW w:w="741" w:type="dxa"/>
            <w:vMerge/>
            <w:tcBorders>
              <w:top w:val="nil"/>
              <w:left w:val="single" w:sz="8" w:space="0" w:color="000000"/>
              <w:bottom w:val="nil"/>
              <w:right w:val="single" w:sz="8" w:space="0" w:color="000000"/>
            </w:tcBorders>
          </w:tcPr>
          <w:p>
            <w:pPr>
              <w:rPr>
                <w:sz w:val="2"/>
                <w:szCs w:val="2"/>
              </w:rPr>
            </w:pPr>
          </w:p>
        </w:tc>
        <w:tc>
          <w:tcPr>
            <w:tcW w:w="738" w:type="dxa"/>
            <w:vMerge/>
            <w:tcBorders>
              <w:top w:val="nil"/>
              <w:left w:val="single" w:sz="8" w:space="0" w:color="000000"/>
              <w:bottom w:val="nil"/>
              <w:right w:val="single" w:sz="8" w:space="0" w:color="000000"/>
            </w:tcBorders>
          </w:tcPr>
          <w:p>
            <w:pPr>
              <w:rPr>
                <w:sz w:val="2"/>
                <w:szCs w:val="2"/>
              </w:rPr>
            </w:pPr>
          </w:p>
        </w:tc>
        <w:tc>
          <w:tcPr>
            <w:tcW w:w="745" w:type="dxa"/>
            <w:vMerge/>
            <w:tcBorders>
              <w:top w:val="nil"/>
              <w:left w:val="single" w:sz="8" w:space="0" w:color="000000"/>
              <w:bottom w:val="nil"/>
            </w:tcBorders>
          </w:tcPr>
          <w:p>
            <w:pPr>
              <w:rPr>
                <w:sz w:val="2"/>
                <w:szCs w:val="2"/>
              </w:rPr>
            </w:pPr>
          </w:p>
        </w:tc>
      </w:tr>
      <w:tr>
        <w:trPr>
          <w:trHeight w:val="413" w:hRule="atLeast"/>
        </w:trPr>
        <w:tc>
          <w:tcPr>
            <w:tcW w:w="941" w:type="dxa"/>
            <w:tcBorders>
              <w:top w:val="nil"/>
              <w:bottom w:val="nil"/>
            </w:tcBorders>
          </w:tcPr>
          <w:p>
            <w:pPr>
              <w:pStyle w:val="TableParagraph"/>
              <w:spacing w:before="72"/>
              <w:ind w:left="75"/>
              <w:rPr>
                <w:sz w:val="18"/>
              </w:rPr>
            </w:pPr>
            <w:r>
              <w:rPr>
                <w:sz w:val="18"/>
              </w:rPr>
              <w:t>HT6</w:t>
            </w:r>
          </w:p>
        </w:tc>
        <w:tc>
          <w:tcPr>
            <w:tcW w:w="735" w:type="dxa"/>
            <w:tcBorders>
              <w:top w:val="nil"/>
              <w:bottom w:val="nil"/>
              <w:right w:val="single" w:sz="8" w:space="0" w:color="000000"/>
            </w:tcBorders>
          </w:tcPr>
          <w:p>
            <w:pPr>
              <w:pStyle w:val="TableParagraph"/>
              <w:spacing w:before="125"/>
              <w:ind w:left="344"/>
              <w:rPr>
                <w:sz w:val="18"/>
              </w:rPr>
            </w:pPr>
            <w:r>
              <w:rPr>
                <w:sz w:val="18"/>
              </w:rPr>
              <w:t>.308</w:t>
            </w:r>
          </w:p>
        </w:tc>
        <w:tc>
          <w:tcPr>
            <w:tcW w:w="743" w:type="dxa"/>
            <w:tcBorders>
              <w:top w:val="nil"/>
              <w:left w:val="single" w:sz="8" w:space="0" w:color="000000"/>
              <w:bottom w:val="nil"/>
              <w:right w:val="single" w:sz="8" w:space="0" w:color="000000"/>
            </w:tcBorders>
          </w:tcPr>
          <w:p>
            <w:pPr>
              <w:pStyle w:val="TableParagraph"/>
              <w:spacing w:before="125"/>
              <w:ind w:left="363"/>
              <w:rPr>
                <w:sz w:val="18"/>
              </w:rPr>
            </w:pPr>
            <w:r>
              <w:rPr>
                <w:sz w:val="18"/>
              </w:rPr>
              <w:t>.751</w:t>
            </w:r>
          </w:p>
        </w:tc>
        <w:tc>
          <w:tcPr>
            <w:tcW w:w="740" w:type="dxa"/>
            <w:tcBorders>
              <w:top w:val="nil"/>
              <w:left w:val="single" w:sz="8" w:space="0" w:color="000000"/>
              <w:bottom w:val="nil"/>
              <w:right w:val="single" w:sz="8" w:space="0" w:color="000000"/>
            </w:tcBorders>
          </w:tcPr>
          <w:p>
            <w:pPr>
              <w:pStyle w:val="TableParagraph"/>
              <w:rPr>
                <w:sz w:val="18"/>
              </w:rPr>
            </w:pPr>
          </w:p>
        </w:tc>
        <w:tc>
          <w:tcPr>
            <w:tcW w:w="740" w:type="dxa"/>
            <w:tcBorders>
              <w:top w:val="nil"/>
              <w:left w:val="single" w:sz="8" w:space="0" w:color="000000"/>
              <w:bottom w:val="nil"/>
              <w:right w:val="single" w:sz="8" w:space="0" w:color="000000"/>
            </w:tcBorders>
          </w:tcPr>
          <w:p>
            <w:pPr>
              <w:pStyle w:val="TableParagraph"/>
              <w:rPr>
                <w:sz w:val="18"/>
              </w:rPr>
            </w:pPr>
          </w:p>
        </w:tc>
        <w:tc>
          <w:tcPr>
            <w:tcW w:w="740" w:type="dxa"/>
            <w:tcBorders>
              <w:top w:val="nil"/>
              <w:left w:val="single" w:sz="8" w:space="0" w:color="000000"/>
              <w:bottom w:val="nil"/>
              <w:right w:val="single" w:sz="8" w:space="0" w:color="000000"/>
            </w:tcBorders>
          </w:tcPr>
          <w:p>
            <w:pPr>
              <w:pStyle w:val="TableParagraph"/>
              <w:rPr>
                <w:sz w:val="18"/>
              </w:rPr>
            </w:pPr>
          </w:p>
        </w:tc>
        <w:tc>
          <w:tcPr>
            <w:tcW w:w="740" w:type="dxa"/>
            <w:tcBorders>
              <w:top w:val="nil"/>
              <w:left w:val="single" w:sz="8" w:space="0" w:color="000000"/>
              <w:bottom w:val="nil"/>
              <w:right w:val="single" w:sz="8" w:space="0" w:color="000000"/>
            </w:tcBorders>
          </w:tcPr>
          <w:p>
            <w:pPr>
              <w:pStyle w:val="TableParagraph"/>
              <w:rPr>
                <w:sz w:val="18"/>
              </w:rPr>
            </w:pPr>
          </w:p>
        </w:tc>
        <w:tc>
          <w:tcPr>
            <w:tcW w:w="740" w:type="dxa"/>
            <w:vMerge/>
            <w:tcBorders>
              <w:top w:val="nil"/>
              <w:left w:val="single" w:sz="8" w:space="0" w:color="000000"/>
              <w:bottom w:val="nil"/>
              <w:right w:val="single" w:sz="8" w:space="0" w:color="000000"/>
            </w:tcBorders>
          </w:tcPr>
          <w:p>
            <w:pPr>
              <w:rPr>
                <w:sz w:val="2"/>
                <w:szCs w:val="2"/>
              </w:rPr>
            </w:pPr>
          </w:p>
        </w:tc>
        <w:tc>
          <w:tcPr>
            <w:tcW w:w="740" w:type="dxa"/>
            <w:vMerge/>
            <w:tcBorders>
              <w:top w:val="nil"/>
              <w:left w:val="single" w:sz="8" w:space="0" w:color="000000"/>
              <w:bottom w:val="nil"/>
              <w:right w:val="single" w:sz="8" w:space="0" w:color="000000"/>
            </w:tcBorders>
          </w:tcPr>
          <w:p>
            <w:pPr>
              <w:rPr>
                <w:sz w:val="2"/>
                <w:szCs w:val="2"/>
              </w:rPr>
            </w:pPr>
          </w:p>
        </w:tc>
        <w:tc>
          <w:tcPr>
            <w:tcW w:w="741" w:type="dxa"/>
            <w:vMerge/>
            <w:tcBorders>
              <w:top w:val="nil"/>
              <w:left w:val="single" w:sz="8" w:space="0" w:color="000000"/>
              <w:bottom w:val="nil"/>
              <w:right w:val="single" w:sz="8" w:space="0" w:color="000000"/>
            </w:tcBorders>
          </w:tcPr>
          <w:p>
            <w:pPr>
              <w:rPr>
                <w:sz w:val="2"/>
                <w:szCs w:val="2"/>
              </w:rPr>
            </w:pPr>
          </w:p>
        </w:tc>
        <w:tc>
          <w:tcPr>
            <w:tcW w:w="738" w:type="dxa"/>
            <w:vMerge/>
            <w:tcBorders>
              <w:top w:val="nil"/>
              <w:left w:val="single" w:sz="8" w:space="0" w:color="000000"/>
              <w:bottom w:val="nil"/>
              <w:right w:val="single" w:sz="8" w:space="0" w:color="000000"/>
            </w:tcBorders>
          </w:tcPr>
          <w:p>
            <w:pPr>
              <w:rPr>
                <w:sz w:val="2"/>
                <w:szCs w:val="2"/>
              </w:rPr>
            </w:pPr>
          </w:p>
        </w:tc>
        <w:tc>
          <w:tcPr>
            <w:tcW w:w="745" w:type="dxa"/>
            <w:vMerge/>
            <w:tcBorders>
              <w:top w:val="nil"/>
              <w:left w:val="single" w:sz="8" w:space="0" w:color="000000"/>
              <w:bottom w:val="nil"/>
            </w:tcBorders>
          </w:tcPr>
          <w:p>
            <w:pPr>
              <w:rPr>
                <w:sz w:val="2"/>
                <w:szCs w:val="2"/>
              </w:rPr>
            </w:pPr>
          </w:p>
        </w:tc>
      </w:tr>
      <w:tr>
        <w:trPr>
          <w:trHeight w:val="413" w:hRule="atLeast"/>
        </w:trPr>
        <w:tc>
          <w:tcPr>
            <w:tcW w:w="941" w:type="dxa"/>
            <w:tcBorders>
              <w:top w:val="nil"/>
              <w:bottom w:val="nil"/>
            </w:tcBorders>
          </w:tcPr>
          <w:p>
            <w:pPr>
              <w:pStyle w:val="TableParagraph"/>
              <w:spacing w:before="74"/>
              <w:ind w:left="75"/>
              <w:rPr>
                <w:sz w:val="18"/>
              </w:rPr>
            </w:pPr>
            <w:r>
              <w:rPr>
                <w:sz w:val="18"/>
              </w:rPr>
              <w:t>HT1</w:t>
            </w:r>
          </w:p>
        </w:tc>
        <w:tc>
          <w:tcPr>
            <w:tcW w:w="735" w:type="dxa"/>
            <w:tcBorders>
              <w:top w:val="nil"/>
              <w:bottom w:val="nil"/>
              <w:right w:val="single" w:sz="8" w:space="0" w:color="000000"/>
            </w:tcBorders>
          </w:tcPr>
          <w:p>
            <w:pPr>
              <w:pStyle w:val="TableParagraph"/>
              <w:spacing w:before="126"/>
              <w:ind w:left="344"/>
              <w:rPr>
                <w:sz w:val="18"/>
              </w:rPr>
            </w:pPr>
            <w:r>
              <w:rPr>
                <w:sz w:val="18"/>
              </w:rPr>
              <w:t>.320</w:t>
            </w:r>
          </w:p>
        </w:tc>
        <w:tc>
          <w:tcPr>
            <w:tcW w:w="743" w:type="dxa"/>
            <w:tcBorders>
              <w:top w:val="nil"/>
              <w:left w:val="single" w:sz="8" w:space="0" w:color="000000"/>
              <w:bottom w:val="nil"/>
              <w:right w:val="single" w:sz="8" w:space="0" w:color="000000"/>
            </w:tcBorders>
          </w:tcPr>
          <w:p>
            <w:pPr>
              <w:pStyle w:val="TableParagraph"/>
              <w:spacing w:before="126"/>
              <w:ind w:left="363"/>
              <w:rPr>
                <w:sz w:val="18"/>
              </w:rPr>
            </w:pPr>
            <w:r>
              <w:rPr>
                <w:sz w:val="18"/>
              </w:rPr>
              <w:t>.702</w:t>
            </w:r>
          </w:p>
        </w:tc>
        <w:tc>
          <w:tcPr>
            <w:tcW w:w="740" w:type="dxa"/>
            <w:tcBorders>
              <w:top w:val="nil"/>
              <w:left w:val="single" w:sz="8" w:space="0" w:color="000000"/>
              <w:bottom w:val="nil"/>
              <w:right w:val="single" w:sz="8" w:space="0" w:color="000000"/>
            </w:tcBorders>
          </w:tcPr>
          <w:p>
            <w:pPr>
              <w:pStyle w:val="TableParagraph"/>
              <w:rPr>
                <w:sz w:val="18"/>
              </w:rPr>
            </w:pPr>
          </w:p>
        </w:tc>
        <w:tc>
          <w:tcPr>
            <w:tcW w:w="740" w:type="dxa"/>
            <w:tcBorders>
              <w:top w:val="nil"/>
              <w:left w:val="single" w:sz="8" w:space="0" w:color="000000"/>
              <w:bottom w:val="nil"/>
              <w:right w:val="single" w:sz="8" w:space="0" w:color="000000"/>
            </w:tcBorders>
          </w:tcPr>
          <w:p>
            <w:pPr>
              <w:pStyle w:val="TableParagraph"/>
              <w:rPr>
                <w:sz w:val="18"/>
              </w:rPr>
            </w:pPr>
          </w:p>
        </w:tc>
        <w:tc>
          <w:tcPr>
            <w:tcW w:w="740" w:type="dxa"/>
            <w:tcBorders>
              <w:top w:val="nil"/>
              <w:left w:val="single" w:sz="8" w:space="0" w:color="000000"/>
              <w:bottom w:val="nil"/>
              <w:right w:val="single" w:sz="8" w:space="0" w:color="000000"/>
            </w:tcBorders>
          </w:tcPr>
          <w:p>
            <w:pPr>
              <w:pStyle w:val="TableParagraph"/>
              <w:rPr>
                <w:sz w:val="18"/>
              </w:rPr>
            </w:pPr>
          </w:p>
        </w:tc>
        <w:tc>
          <w:tcPr>
            <w:tcW w:w="740" w:type="dxa"/>
            <w:tcBorders>
              <w:top w:val="nil"/>
              <w:left w:val="single" w:sz="8" w:space="0" w:color="000000"/>
              <w:bottom w:val="nil"/>
              <w:right w:val="single" w:sz="8" w:space="0" w:color="000000"/>
            </w:tcBorders>
          </w:tcPr>
          <w:p>
            <w:pPr>
              <w:pStyle w:val="TableParagraph"/>
              <w:rPr>
                <w:sz w:val="18"/>
              </w:rPr>
            </w:pPr>
          </w:p>
        </w:tc>
        <w:tc>
          <w:tcPr>
            <w:tcW w:w="740" w:type="dxa"/>
            <w:vMerge/>
            <w:tcBorders>
              <w:top w:val="nil"/>
              <w:left w:val="single" w:sz="8" w:space="0" w:color="000000"/>
              <w:bottom w:val="nil"/>
              <w:right w:val="single" w:sz="8" w:space="0" w:color="000000"/>
            </w:tcBorders>
          </w:tcPr>
          <w:p>
            <w:pPr>
              <w:rPr>
                <w:sz w:val="2"/>
                <w:szCs w:val="2"/>
              </w:rPr>
            </w:pPr>
          </w:p>
        </w:tc>
        <w:tc>
          <w:tcPr>
            <w:tcW w:w="740" w:type="dxa"/>
            <w:vMerge/>
            <w:tcBorders>
              <w:top w:val="nil"/>
              <w:left w:val="single" w:sz="8" w:space="0" w:color="000000"/>
              <w:bottom w:val="nil"/>
              <w:right w:val="single" w:sz="8" w:space="0" w:color="000000"/>
            </w:tcBorders>
          </w:tcPr>
          <w:p>
            <w:pPr>
              <w:rPr>
                <w:sz w:val="2"/>
                <w:szCs w:val="2"/>
              </w:rPr>
            </w:pPr>
          </w:p>
        </w:tc>
        <w:tc>
          <w:tcPr>
            <w:tcW w:w="741" w:type="dxa"/>
            <w:vMerge/>
            <w:tcBorders>
              <w:top w:val="nil"/>
              <w:left w:val="single" w:sz="8" w:space="0" w:color="000000"/>
              <w:bottom w:val="nil"/>
              <w:right w:val="single" w:sz="8" w:space="0" w:color="000000"/>
            </w:tcBorders>
          </w:tcPr>
          <w:p>
            <w:pPr>
              <w:rPr>
                <w:sz w:val="2"/>
                <w:szCs w:val="2"/>
              </w:rPr>
            </w:pPr>
          </w:p>
        </w:tc>
        <w:tc>
          <w:tcPr>
            <w:tcW w:w="738" w:type="dxa"/>
            <w:vMerge/>
            <w:tcBorders>
              <w:top w:val="nil"/>
              <w:left w:val="single" w:sz="8" w:space="0" w:color="000000"/>
              <w:bottom w:val="nil"/>
              <w:right w:val="single" w:sz="8" w:space="0" w:color="000000"/>
            </w:tcBorders>
          </w:tcPr>
          <w:p>
            <w:pPr>
              <w:rPr>
                <w:sz w:val="2"/>
                <w:szCs w:val="2"/>
              </w:rPr>
            </w:pPr>
          </w:p>
        </w:tc>
        <w:tc>
          <w:tcPr>
            <w:tcW w:w="745" w:type="dxa"/>
            <w:vMerge/>
            <w:tcBorders>
              <w:top w:val="nil"/>
              <w:left w:val="single" w:sz="8" w:space="0" w:color="000000"/>
              <w:bottom w:val="nil"/>
            </w:tcBorders>
          </w:tcPr>
          <w:p>
            <w:pPr>
              <w:rPr>
                <w:sz w:val="2"/>
                <w:szCs w:val="2"/>
              </w:rPr>
            </w:pPr>
          </w:p>
        </w:tc>
      </w:tr>
      <w:tr>
        <w:trPr>
          <w:trHeight w:val="413" w:hRule="atLeast"/>
        </w:trPr>
        <w:tc>
          <w:tcPr>
            <w:tcW w:w="941" w:type="dxa"/>
            <w:tcBorders>
              <w:top w:val="nil"/>
              <w:bottom w:val="nil"/>
            </w:tcBorders>
          </w:tcPr>
          <w:p>
            <w:pPr>
              <w:pStyle w:val="TableParagraph"/>
              <w:spacing w:before="72"/>
              <w:ind w:left="75"/>
              <w:rPr>
                <w:sz w:val="18"/>
              </w:rPr>
            </w:pPr>
            <w:r>
              <w:rPr>
                <w:sz w:val="18"/>
              </w:rPr>
              <w:t>HT2</w:t>
            </w:r>
          </w:p>
        </w:tc>
        <w:tc>
          <w:tcPr>
            <w:tcW w:w="735" w:type="dxa"/>
            <w:tcBorders>
              <w:top w:val="nil"/>
              <w:bottom w:val="nil"/>
              <w:right w:val="single" w:sz="8" w:space="0" w:color="000000"/>
            </w:tcBorders>
          </w:tcPr>
          <w:p>
            <w:pPr>
              <w:pStyle w:val="TableParagraph"/>
              <w:rPr>
                <w:sz w:val="18"/>
              </w:rPr>
            </w:pPr>
          </w:p>
        </w:tc>
        <w:tc>
          <w:tcPr>
            <w:tcW w:w="743" w:type="dxa"/>
            <w:tcBorders>
              <w:top w:val="nil"/>
              <w:left w:val="single" w:sz="8" w:space="0" w:color="000000"/>
              <w:bottom w:val="nil"/>
              <w:right w:val="single" w:sz="8" w:space="0" w:color="000000"/>
            </w:tcBorders>
          </w:tcPr>
          <w:p>
            <w:pPr>
              <w:pStyle w:val="TableParagraph"/>
              <w:spacing w:before="125"/>
              <w:ind w:left="363"/>
              <w:rPr>
                <w:sz w:val="18"/>
              </w:rPr>
            </w:pPr>
            <w:r>
              <w:rPr>
                <w:sz w:val="18"/>
              </w:rPr>
              <w:t>.695</w:t>
            </w:r>
          </w:p>
        </w:tc>
        <w:tc>
          <w:tcPr>
            <w:tcW w:w="740" w:type="dxa"/>
            <w:tcBorders>
              <w:top w:val="nil"/>
              <w:left w:val="single" w:sz="8" w:space="0" w:color="000000"/>
              <w:bottom w:val="nil"/>
              <w:right w:val="single" w:sz="8" w:space="0" w:color="000000"/>
            </w:tcBorders>
          </w:tcPr>
          <w:p>
            <w:pPr>
              <w:pStyle w:val="TableParagraph"/>
              <w:rPr>
                <w:sz w:val="18"/>
              </w:rPr>
            </w:pPr>
          </w:p>
        </w:tc>
        <w:tc>
          <w:tcPr>
            <w:tcW w:w="740" w:type="dxa"/>
            <w:tcBorders>
              <w:top w:val="nil"/>
              <w:left w:val="single" w:sz="8" w:space="0" w:color="000000"/>
              <w:bottom w:val="nil"/>
              <w:right w:val="single" w:sz="8" w:space="0" w:color="000000"/>
            </w:tcBorders>
          </w:tcPr>
          <w:p>
            <w:pPr>
              <w:pStyle w:val="TableParagraph"/>
              <w:rPr>
                <w:sz w:val="18"/>
              </w:rPr>
            </w:pPr>
          </w:p>
        </w:tc>
        <w:tc>
          <w:tcPr>
            <w:tcW w:w="740" w:type="dxa"/>
            <w:tcBorders>
              <w:top w:val="nil"/>
              <w:left w:val="single" w:sz="8" w:space="0" w:color="000000"/>
              <w:bottom w:val="nil"/>
              <w:right w:val="single" w:sz="8" w:space="0" w:color="000000"/>
            </w:tcBorders>
          </w:tcPr>
          <w:p>
            <w:pPr>
              <w:pStyle w:val="TableParagraph"/>
              <w:rPr>
                <w:sz w:val="18"/>
              </w:rPr>
            </w:pPr>
          </w:p>
        </w:tc>
        <w:tc>
          <w:tcPr>
            <w:tcW w:w="740" w:type="dxa"/>
            <w:tcBorders>
              <w:top w:val="nil"/>
              <w:left w:val="single" w:sz="8" w:space="0" w:color="000000"/>
              <w:bottom w:val="nil"/>
              <w:right w:val="single" w:sz="8" w:space="0" w:color="000000"/>
            </w:tcBorders>
          </w:tcPr>
          <w:p>
            <w:pPr>
              <w:pStyle w:val="TableParagraph"/>
              <w:rPr>
                <w:sz w:val="18"/>
              </w:rPr>
            </w:pPr>
          </w:p>
        </w:tc>
        <w:tc>
          <w:tcPr>
            <w:tcW w:w="740" w:type="dxa"/>
            <w:vMerge/>
            <w:tcBorders>
              <w:top w:val="nil"/>
              <w:left w:val="single" w:sz="8" w:space="0" w:color="000000"/>
              <w:bottom w:val="nil"/>
              <w:right w:val="single" w:sz="8" w:space="0" w:color="000000"/>
            </w:tcBorders>
          </w:tcPr>
          <w:p>
            <w:pPr>
              <w:rPr>
                <w:sz w:val="2"/>
                <w:szCs w:val="2"/>
              </w:rPr>
            </w:pPr>
          </w:p>
        </w:tc>
        <w:tc>
          <w:tcPr>
            <w:tcW w:w="740" w:type="dxa"/>
            <w:vMerge/>
            <w:tcBorders>
              <w:top w:val="nil"/>
              <w:left w:val="single" w:sz="8" w:space="0" w:color="000000"/>
              <w:bottom w:val="nil"/>
              <w:right w:val="single" w:sz="8" w:space="0" w:color="000000"/>
            </w:tcBorders>
          </w:tcPr>
          <w:p>
            <w:pPr>
              <w:rPr>
                <w:sz w:val="2"/>
                <w:szCs w:val="2"/>
              </w:rPr>
            </w:pPr>
          </w:p>
        </w:tc>
        <w:tc>
          <w:tcPr>
            <w:tcW w:w="741" w:type="dxa"/>
            <w:vMerge/>
            <w:tcBorders>
              <w:top w:val="nil"/>
              <w:left w:val="single" w:sz="8" w:space="0" w:color="000000"/>
              <w:bottom w:val="nil"/>
              <w:right w:val="single" w:sz="8" w:space="0" w:color="000000"/>
            </w:tcBorders>
          </w:tcPr>
          <w:p>
            <w:pPr>
              <w:rPr>
                <w:sz w:val="2"/>
                <w:szCs w:val="2"/>
              </w:rPr>
            </w:pPr>
          </w:p>
        </w:tc>
        <w:tc>
          <w:tcPr>
            <w:tcW w:w="738" w:type="dxa"/>
            <w:vMerge/>
            <w:tcBorders>
              <w:top w:val="nil"/>
              <w:left w:val="single" w:sz="8" w:space="0" w:color="000000"/>
              <w:bottom w:val="nil"/>
              <w:right w:val="single" w:sz="8" w:space="0" w:color="000000"/>
            </w:tcBorders>
          </w:tcPr>
          <w:p>
            <w:pPr>
              <w:rPr>
                <w:sz w:val="2"/>
                <w:szCs w:val="2"/>
              </w:rPr>
            </w:pPr>
          </w:p>
        </w:tc>
        <w:tc>
          <w:tcPr>
            <w:tcW w:w="745" w:type="dxa"/>
            <w:vMerge/>
            <w:tcBorders>
              <w:top w:val="nil"/>
              <w:left w:val="single" w:sz="8" w:space="0" w:color="000000"/>
              <w:bottom w:val="nil"/>
            </w:tcBorders>
          </w:tcPr>
          <w:p>
            <w:pPr>
              <w:rPr>
                <w:sz w:val="2"/>
                <w:szCs w:val="2"/>
              </w:rPr>
            </w:pPr>
          </w:p>
        </w:tc>
      </w:tr>
      <w:tr>
        <w:trPr>
          <w:trHeight w:val="414" w:hRule="atLeast"/>
        </w:trPr>
        <w:tc>
          <w:tcPr>
            <w:tcW w:w="941" w:type="dxa"/>
            <w:tcBorders>
              <w:top w:val="nil"/>
              <w:bottom w:val="nil"/>
            </w:tcBorders>
          </w:tcPr>
          <w:p>
            <w:pPr>
              <w:pStyle w:val="TableParagraph"/>
              <w:spacing w:before="74"/>
              <w:ind w:left="75"/>
              <w:rPr>
                <w:sz w:val="18"/>
              </w:rPr>
            </w:pPr>
            <w:r>
              <w:rPr>
                <w:sz w:val="18"/>
              </w:rPr>
              <w:t>CP1</w:t>
            </w:r>
          </w:p>
        </w:tc>
        <w:tc>
          <w:tcPr>
            <w:tcW w:w="735" w:type="dxa"/>
            <w:tcBorders>
              <w:top w:val="nil"/>
              <w:bottom w:val="nil"/>
              <w:right w:val="single" w:sz="8" w:space="0" w:color="000000"/>
            </w:tcBorders>
          </w:tcPr>
          <w:p>
            <w:pPr>
              <w:pStyle w:val="TableParagraph"/>
              <w:spacing w:before="126"/>
              <w:ind w:left="344"/>
              <w:rPr>
                <w:sz w:val="18"/>
              </w:rPr>
            </w:pPr>
            <w:r>
              <w:rPr>
                <w:sz w:val="18"/>
              </w:rPr>
              <w:t>.472</w:t>
            </w:r>
          </w:p>
        </w:tc>
        <w:tc>
          <w:tcPr>
            <w:tcW w:w="743" w:type="dxa"/>
            <w:tcBorders>
              <w:top w:val="nil"/>
              <w:left w:val="single" w:sz="8" w:space="0" w:color="000000"/>
              <w:bottom w:val="nil"/>
              <w:right w:val="single" w:sz="8" w:space="0" w:color="000000"/>
            </w:tcBorders>
          </w:tcPr>
          <w:p>
            <w:pPr>
              <w:pStyle w:val="TableParagraph"/>
              <w:rPr>
                <w:sz w:val="18"/>
              </w:rPr>
            </w:pPr>
          </w:p>
        </w:tc>
        <w:tc>
          <w:tcPr>
            <w:tcW w:w="740" w:type="dxa"/>
            <w:tcBorders>
              <w:top w:val="nil"/>
              <w:left w:val="single" w:sz="8" w:space="0" w:color="000000"/>
              <w:bottom w:val="nil"/>
              <w:right w:val="single" w:sz="8" w:space="0" w:color="000000"/>
            </w:tcBorders>
          </w:tcPr>
          <w:p>
            <w:pPr>
              <w:pStyle w:val="TableParagraph"/>
              <w:spacing w:before="126"/>
              <w:ind w:left="362"/>
              <w:rPr>
                <w:sz w:val="18"/>
              </w:rPr>
            </w:pPr>
            <w:r>
              <w:rPr>
                <w:sz w:val="18"/>
              </w:rPr>
              <w:t>.504</w:t>
            </w:r>
          </w:p>
        </w:tc>
        <w:tc>
          <w:tcPr>
            <w:tcW w:w="740" w:type="dxa"/>
            <w:tcBorders>
              <w:top w:val="nil"/>
              <w:left w:val="single" w:sz="8" w:space="0" w:color="000000"/>
              <w:bottom w:val="nil"/>
              <w:right w:val="single" w:sz="8" w:space="0" w:color="000000"/>
            </w:tcBorders>
          </w:tcPr>
          <w:p>
            <w:pPr>
              <w:pStyle w:val="TableParagraph"/>
              <w:spacing w:before="126"/>
              <w:ind w:right="41"/>
              <w:jc w:val="right"/>
              <w:rPr>
                <w:sz w:val="18"/>
              </w:rPr>
            </w:pPr>
            <w:r>
              <w:rPr>
                <w:sz w:val="18"/>
              </w:rPr>
              <w:t>-.375</w:t>
            </w:r>
          </w:p>
        </w:tc>
        <w:tc>
          <w:tcPr>
            <w:tcW w:w="740" w:type="dxa"/>
            <w:tcBorders>
              <w:top w:val="nil"/>
              <w:left w:val="single" w:sz="8" w:space="0" w:color="000000"/>
              <w:bottom w:val="nil"/>
              <w:right w:val="single" w:sz="8" w:space="0" w:color="000000"/>
            </w:tcBorders>
          </w:tcPr>
          <w:p>
            <w:pPr>
              <w:pStyle w:val="TableParagraph"/>
              <w:rPr>
                <w:sz w:val="18"/>
              </w:rPr>
            </w:pPr>
          </w:p>
        </w:tc>
        <w:tc>
          <w:tcPr>
            <w:tcW w:w="740" w:type="dxa"/>
            <w:tcBorders>
              <w:top w:val="nil"/>
              <w:left w:val="single" w:sz="8" w:space="0" w:color="000000"/>
              <w:bottom w:val="nil"/>
              <w:right w:val="single" w:sz="8" w:space="0" w:color="000000"/>
            </w:tcBorders>
          </w:tcPr>
          <w:p>
            <w:pPr>
              <w:pStyle w:val="TableParagraph"/>
              <w:rPr>
                <w:sz w:val="18"/>
              </w:rPr>
            </w:pPr>
          </w:p>
        </w:tc>
        <w:tc>
          <w:tcPr>
            <w:tcW w:w="740" w:type="dxa"/>
            <w:vMerge/>
            <w:tcBorders>
              <w:top w:val="nil"/>
              <w:left w:val="single" w:sz="8" w:space="0" w:color="000000"/>
              <w:bottom w:val="nil"/>
              <w:right w:val="single" w:sz="8" w:space="0" w:color="000000"/>
            </w:tcBorders>
          </w:tcPr>
          <w:p>
            <w:pPr>
              <w:rPr>
                <w:sz w:val="2"/>
                <w:szCs w:val="2"/>
              </w:rPr>
            </w:pPr>
          </w:p>
        </w:tc>
        <w:tc>
          <w:tcPr>
            <w:tcW w:w="740" w:type="dxa"/>
            <w:vMerge/>
            <w:tcBorders>
              <w:top w:val="nil"/>
              <w:left w:val="single" w:sz="8" w:space="0" w:color="000000"/>
              <w:bottom w:val="nil"/>
              <w:right w:val="single" w:sz="8" w:space="0" w:color="000000"/>
            </w:tcBorders>
          </w:tcPr>
          <w:p>
            <w:pPr>
              <w:rPr>
                <w:sz w:val="2"/>
                <w:szCs w:val="2"/>
              </w:rPr>
            </w:pPr>
          </w:p>
        </w:tc>
        <w:tc>
          <w:tcPr>
            <w:tcW w:w="741" w:type="dxa"/>
            <w:vMerge/>
            <w:tcBorders>
              <w:top w:val="nil"/>
              <w:left w:val="single" w:sz="8" w:space="0" w:color="000000"/>
              <w:bottom w:val="nil"/>
              <w:right w:val="single" w:sz="8" w:space="0" w:color="000000"/>
            </w:tcBorders>
          </w:tcPr>
          <w:p>
            <w:pPr>
              <w:rPr>
                <w:sz w:val="2"/>
                <w:szCs w:val="2"/>
              </w:rPr>
            </w:pPr>
          </w:p>
        </w:tc>
        <w:tc>
          <w:tcPr>
            <w:tcW w:w="738" w:type="dxa"/>
            <w:vMerge/>
            <w:tcBorders>
              <w:top w:val="nil"/>
              <w:left w:val="single" w:sz="8" w:space="0" w:color="000000"/>
              <w:bottom w:val="nil"/>
              <w:right w:val="single" w:sz="8" w:space="0" w:color="000000"/>
            </w:tcBorders>
          </w:tcPr>
          <w:p>
            <w:pPr>
              <w:rPr>
                <w:sz w:val="2"/>
                <w:szCs w:val="2"/>
              </w:rPr>
            </w:pPr>
          </w:p>
        </w:tc>
        <w:tc>
          <w:tcPr>
            <w:tcW w:w="745" w:type="dxa"/>
            <w:vMerge/>
            <w:tcBorders>
              <w:top w:val="nil"/>
              <w:left w:val="single" w:sz="8" w:space="0" w:color="000000"/>
              <w:bottom w:val="nil"/>
            </w:tcBorders>
          </w:tcPr>
          <w:p>
            <w:pPr>
              <w:rPr>
                <w:sz w:val="2"/>
                <w:szCs w:val="2"/>
              </w:rPr>
            </w:pPr>
          </w:p>
        </w:tc>
      </w:tr>
      <w:tr>
        <w:trPr>
          <w:trHeight w:val="414" w:hRule="atLeast"/>
        </w:trPr>
        <w:tc>
          <w:tcPr>
            <w:tcW w:w="941" w:type="dxa"/>
            <w:tcBorders>
              <w:top w:val="nil"/>
              <w:bottom w:val="nil"/>
            </w:tcBorders>
          </w:tcPr>
          <w:p>
            <w:pPr>
              <w:pStyle w:val="TableParagraph"/>
              <w:spacing w:before="73"/>
              <w:ind w:left="75"/>
              <w:rPr>
                <w:sz w:val="18"/>
              </w:rPr>
            </w:pPr>
            <w:r>
              <w:rPr>
                <w:sz w:val="18"/>
              </w:rPr>
              <w:t>CLDV10</w:t>
            </w:r>
          </w:p>
        </w:tc>
        <w:tc>
          <w:tcPr>
            <w:tcW w:w="735" w:type="dxa"/>
            <w:tcBorders>
              <w:top w:val="nil"/>
              <w:bottom w:val="nil"/>
              <w:right w:val="single" w:sz="8" w:space="0" w:color="000000"/>
            </w:tcBorders>
          </w:tcPr>
          <w:p>
            <w:pPr>
              <w:pStyle w:val="TableParagraph"/>
              <w:spacing w:before="125"/>
              <w:ind w:left="344"/>
              <w:rPr>
                <w:sz w:val="18"/>
              </w:rPr>
            </w:pPr>
            <w:r>
              <w:rPr>
                <w:sz w:val="18"/>
              </w:rPr>
              <w:t>.384</w:t>
            </w:r>
          </w:p>
        </w:tc>
        <w:tc>
          <w:tcPr>
            <w:tcW w:w="743" w:type="dxa"/>
            <w:tcBorders>
              <w:top w:val="nil"/>
              <w:left w:val="single" w:sz="8" w:space="0" w:color="000000"/>
              <w:bottom w:val="nil"/>
              <w:right w:val="single" w:sz="8" w:space="0" w:color="000000"/>
            </w:tcBorders>
          </w:tcPr>
          <w:p>
            <w:pPr>
              <w:pStyle w:val="TableParagraph"/>
              <w:rPr>
                <w:sz w:val="18"/>
              </w:rPr>
            </w:pPr>
          </w:p>
        </w:tc>
        <w:tc>
          <w:tcPr>
            <w:tcW w:w="740" w:type="dxa"/>
            <w:tcBorders>
              <w:top w:val="nil"/>
              <w:left w:val="single" w:sz="8" w:space="0" w:color="000000"/>
              <w:bottom w:val="nil"/>
              <w:right w:val="single" w:sz="8" w:space="0" w:color="000000"/>
            </w:tcBorders>
          </w:tcPr>
          <w:p>
            <w:pPr>
              <w:pStyle w:val="TableParagraph"/>
              <w:spacing w:before="125"/>
              <w:ind w:left="302"/>
              <w:rPr>
                <w:sz w:val="18"/>
              </w:rPr>
            </w:pPr>
            <w:r>
              <w:rPr>
                <w:sz w:val="18"/>
              </w:rPr>
              <w:t>-.418</w:t>
            </w:r>
          </w:p>
        </w:tc>
        <w:tc>
          <w:tcPr>
            <w:tcW w:w="740" w:type="dxa"/>
            <w:tcBorders>
              <w:top w:val="nil"/>
              <w:left w:val="single" w:sz="8" w:space="0" w:color="000000"/>
              <w:bottom w:val="nil"/>
              <w:right w:val="single" w:sz="8" w:space="0" w:color="000000"/>
            </w:tcBorders>
          </w:tcPr>
          <w:p>
            <w:pPr>
              <w:pStyle w:val="TableParagraph"/>
              <w:rPr>
                <w:sz w:val="18"/>
              </w:rPr>
            </w:pPr>
          </w:p>
        </w:tc>
        <w:tc>
          <w:tcPr>
            <w:tcW w:w="740" w:type="dxa"/>
            <w:tcBorders>
              <w:top w:val="nil"/>
              <w:left w:val="single" w:sz="8" w:space="0" w:color="000000"/>
              <w:bottom w:val="nil"/>
              <w:right w:val="single" w:sz="8" w:space="0" w:color="000000"/>
            </w:tcBorders>
          </w:tcPr>
          <w:p>
            <w:pPr>
              <w:pStyle w:val="TableParagraph"/>
              <w:rPr>
                <w:sz w:val="18"/>
              </w:rPr>
            </w:pPr>
          </w:p>
        </w:tc>
        <w:tc>
          <w:tcPr>
            <w:tcW w:w="740" w:type="dxa"/>
            <w:tcBorders>
              <w:top w:val="nil"/>
              <w:left w:val="single" w:sz="8" w:space="0" w:color="000000"/>
              <w:bottom w:val="nil"/>
              <w:right w:val="single" w:sz="8" w:space="0" w:color="000000"/>
            </w:tcBorders>
          </w:tcPr>
          <w:p>
            <w:pPr>
              <w:pStyle w:val="TableParagraph"/>
              <w:rPr>
                <w:sz w:val="18"/>
              </w:rPr>
            </w:pPr>
          </w:p>
        </w:tc>
        <w:tc>
          <w:tcPr>
            <w:tcW w:w="740" w:type="dxa"/>
            <w:vMerge/>
            <w:tcBorders>
              <w:top w:val="nil"/>
              <w:left w:val="single" w:sz="8" w:space="0" w:color="000000"/>
              <w:bottom w:val="nil"/>
              <w:right w:val="single" w:sz="8" w:space="0" w:color="000000"/>
            </w:tcBorders>
          </w:tcPr>
          <w:p>
            <w:pPr>
              <w:rPr>
                <w:sz w:val="2"/>
                <w:szCs w:val="2"/>
              </w:rPr>
            </w:pPr>
          </w:p>
        </w:tc>
        <w:tc>
          <w:tcPr>
            <w:tcW w:w="740" w:type="dxa"/>
            <w:vMerge/>
            <w:tcBorders>
              <w:top w:val="nil"/>
              <w:left w:val="single" w:sz="8" w:space="0" w:color="000000"/>
              <w:bottom w:val="nil"/>
              <w:right w:val="single" w:sz="8" w:space="0" w:color="000000"/>
            </w:tcBorders>
          </w:tcPr>
          <w:p>
            <w:pPr>
              <w:rPr>
                <w:sz w:val="2"/>
                <w:szCs w:val="2"/>
              </w:rPr>
            </w:pPr>
          </w:p>
        </w:tc>
        <w:tc>
          <w:tcPr>
            <w:tcW w:w="741" w:type="dxa"/>
            <w:vMerge/>
            <w:tcBorders>
              <w:top w:val="nil"/>
              <w:left w:val="single" w:sz="8" w:space="0" w:color="000000"/>
              <w:bottom w:val="nil"/>
              <w:right w:val="single" w:sz="8" w:space="0" w:color="000000"/>
            </w:tcBorders>
          </w:tcPr>
          <w:p>
            <w:pPr>
              <w:rPr>
                <w:sz w:val="2"/>
                <w:szCs w:val="2"/>
              </w:rPr>
            </w:pPr>
          </w:p>
        </w:tc>
        <w:tc>
          <w:tcPr>
            <w:tcW w:w="738" w:type="dxa"/>
            <w:vMerge/>
            <w:tcBorders>
              <w:top w:val="nil"/>
              <w:left w:val="single" w:sz="8" w:space="0" w:color="000000"/>
              <w:bottom w:val="nil"/>
              <w:right w:val="single" w:sz="8" w:space="0" w:color="000000"/>
            </w:tcBorders>
          </w:tcPr>
          <w:p>
            <w:pPr>
              <w:rPr>
                <w:sz w:val="2"/>
                <w:szCs w:val="2"/>
              </w:rPr>
            </w:pPr>
          </w:p>
        </w:tc>
        <w:tc>
          <w:tcPr>
            <w:tcW w:w="745" w:type="dxa"/>
            <w:vMerge/>
            <w:tcBorders>
              <w:top w:val="nil"/>
              <w:left w:val="single" w:sz="8" w:space="0" w:color="000000"/>
              <w:bottom w:val="nil"/>
            </w:tcBorders>
          </w:tcPr>
          <w:p>
            <w:pPr>
              <w:rPr>
                <w:sz w:val="2"/>
                <w:szCs w:val="2"/>
              </w:rPr>
            </w:pPr>
          </w:p>
        </w:tc>
      </w:tr>
      <w:tr>
        <w:trPr>
          <w:trHeight w:val="412" w:hRule="atLeast"/>
        </w:trPr>
        <w:tc>
          <w:tcPr>
            <w:tcW w:w="941" w:type="dxa"/>
            <w:tcBorders>
              <w:top w:val="nil"/>
              <w:bottom w:val="nil"/>
            </w:tcBorders>
          </w:tcPr>
          <w:p>
            <w:pPr>
              <w:pStyle w:val="TableParagraph"/>
              <w:spacing w:before="74"/>
              <w:ind w:left="75"/>
              <w:rPr>
                <w:sz w:val="18"/>
              </w:rPr>
            </w:pPr>
            <w:r>
              <w:rPr>
                <w:sz w:val="18"/>
              </w:rPr>
              <w:t>TC2</w:t>
            </w:r>
          </w:p>
        </w:tc>
        <w:tc>
          <w:tcPr>
            <w:tcW w:w="735" w:type="dxa"/>
            <w:tcBorders>
              <w:top w:val="nil"/>
              <w:bottom w:val="nil"/>
              <w:right w:val="single" w:sz="8" w:space="0" w:color="000000"/>
            </w:tcBorders>
          </w:tcPr>
          <w:p>
            <w:pPr>
              <w:pStyle w:val="TableParagraph"/>
              <w:rPr>
                <w:sz w:val="18"/>
              </w:rPr>
            </w:pPr>
          </w:p>
        </w:tc>
        <w:tc>
          <w:tcPr>
            <w:tcW w:w="743" w:type="dxa"/>
            <w:tcBorders>
              <w:top w:val="nil"/>
              <w:left w:val="single" w:sz="8" w:space="0" w:color="000000"/>
              <w:bottom w:val="nil"/>
              <w:right w:val="single" w:sz="8" w:space="0" w:color="000000"/>
            </w:tcBorders>
          </w:tcPr>
          <w:p>
            <w:pPr>
              <w:pStyle w:val="TableParagraph"/>
              <w:rPr>
                <w:sz w:val="18"/>
              </w:rPr>
            </w:pPr>
          </w:p>
        </w:tc>
        <w:tc>
          <w:tcPr>
            <w:tcW w:w="740" w:type="dxa"/>
            <w:tcBorders>
              <w:top w:val="nil"/>
              <w:left w:val="single" w:sz="8" w:space="0" w:color="000000"/>
              <w:bottom w:val="nil"/>
              <w:right w:val="single" w:sz="8" w:space="0" w:color="000000"/>
            </w:tcBorders>
          </w:tcPr>
          <w:p>
            <w:pPr>
              <w:pStyle w:val="TableParagraph"/>
              <w:rPr>
                <w:sz w:val="18"/>
              </w:rPr>
            </w:pPr>
          </w:p>
        </w:tc>
        <w:tc>
          <w:tcPr>
            <w:tcW w:w="740" w:type="dxa"/>
            <w:tcBorders>
              <w:top w:val="nil"/>
              <w:left w:val="single" w:sz="8" w:space="0" w:color="000000"/>
              <w:bottom w:val="nil"/>
              <w:right w:val="single" w:sz="8" w:space="0" w:color="000000"/>
            </w:tcBorders>
          </w:tcPr>
          <w:p>
            <w:pPr>
              <w:pStyle w:val="TableParagraph"/>
              <w:spacing w:before="124"/>
              <w:ind w:right="40"/>
              <w:jc w:val="right"/>
              <w:rPr>
                <w:sz w:val="18"/>
              </w:rPr>
            </w:pPr>
            <w:r>
              <w:rPr>
                <w:sz w:val="18"/>
              </w:rPr>
              <w:t>.580</w:t>
            </w:r>
          </w:p>
        </w:tc>
        <w:tc>
          <w:tcPr>
            <w:tcW w:w="740" w:type="dxa"/>
            <w:tcBorders>
              <w:top w:val="nil"/>
              <w:left w:val="single" w:sz="8" w:space="0" w:color="000000"/>
              <w:bottom w:val="nil"/>
              <w:right w:val="single" w:sz="8" w:space="0" w:color="000000"/>
            </w:tcBorders>
          </w:tcPr>
          <w:p>
            <w:pPr>
              <w:pStyle w:val="TableParagraph"/>
              <w:spacing w:before="124"/>
              <w:ind w:left="301"/>
              <w:rPr>
                <w:sz w:val="18"/>
              </w:rPr>
            </w:pPr>
            <w:r>
              <w:rPr>
                <w:sz w:val="18"/>
              </w:rPr>
              <w:t>-.321</w:t>
            </w:r>
          </w:p>
        </w:tc>
        <w:tc>
          <w:tcPr>
            <w:tcW w:w="740" w:type="dxa"/>
            <w:tcBorders>
              <w:top w:val="nil"/>
              <w:left w:val="single" w:sz="8" w:space="0" w:color="000000"/>
              <w:bottom w:val="nil"/>
              <w:right w:val="single" w:sz="8" w:space="0" w:color="000000"/>
            </w:tcBorders>
          </w:tcPr>
          <w:p>
            <w:pPr>
              <w:pStyle w:val="TableParagraph"/>
              <w:spacing w:before="124"/>
              <w:ind w:left="360"/>
              <w:rPr>
                <w:sz w:val="18"/>
              </w:rPr>
            </w:pPr>
            <w:r>
              <w:rPr>
                <w:sz w:val="18"/>
              </w:rPr>
              <w:t>.307</w:t>
            </w:r>
          </w:p>
        </w:tc>
        <w:tc>
          <w:tcPr>
            <w:tcW w:w="740" w:type="dxa"/>
            <w:vMerge/>
            <w:tcBorders>
              <w:top w:val="nil"/>
              <w:left w:val="single" w:sz="8" w:space="0" w:color="000000"/>
              <w:bottom w:val="nil"/>
              <w:right w:val="single" w:sz="8" w:space="0" w:color="000000"/>
            </w:tcBorders>
          </w:tcPr>
          <w:p>
            <w:pPr>
              <w:rPr>
                <w:sz w:val="2"/>
                <w:szCs w:val="2"/>
              </w:rPr>
            </w:pPr>
          </w:p>
        </w:tc>
        <w:tc>
          <w:tcPr>
            <w:tcW w:w="740" w:type="dxa"/>
            <w:vMerge/>
            <w:tcBorders>
              <w:top w:val="nil"/>
              <w:left w:val="single" w:sz="8" w:space="0" w:color="000000"/>
              <w:bottom w:val="nil"/>
              <w:right w:val="single" w:sz="8" w:space="0" w:color="000000"/>
            </w:tcBorders>
          </w:tcPr>
          <w:p>
            <w:pPr>
              <w:rPr>
                <w:sz w:val="2"/>
                <w:szCs w:val="2"/>
              </w:rPr>
            </w:pPr>
          </w:p>
        </w:tc>
        <w:tc>
          <w:tcPr>
            <w:tcW w:w="741" w:type="dxa"/>
            <w:vMerge/>
            <w:tcBorders>
              <w:top w:val="nil"/>
              <w:left w:val="single" w:sz="8" w:space="0" w:color="000000"/>
              <w:bottom w:val="nil"/>
              <w:right w:val="single" w:sz="8" w:space="0" w:color="000000"/>
            </w:tcBorders>
          </w:tcPr>
          <w:p>
            <w:pPr>
              <w:rPr>
                <w:sz w:val="2"/>
                <w:szCs w:val="2"/>
              </w:rPr>
            </w:pPr>
          </w:p>
        </w:tc>
        <w:tc>
          <w:tcPr>
            <w:tcW w:w="738" w:type="dxa"/>
            <w:vMerge/>
            <w:tcBorders>
              <w:top w:val="nil"/>
              <w:left w:val="single" w:sz="8" w:space="0" w:color="000000"/>
              <w:bottom w:val="nil"/>
              <w:right w:val="single" w:sz="8" w:space="0" w:color="000000"/>
            </w:tcBorders>
          </w:tcPr>
          <w:p>
            <w:pPr>
              <w:rPr>
                <w:sz w:val="2"/>
                <w:szCs w:val="2"/>
              </w:rPr>
            </w:pPr>
          </w:p>
        </w:tc>
        <w:tc>
          <w:tcPr>
            <w:tcW w:w="745" w:type="dxa"/>
            <w:vMerge/>
            <w:tcBorders>
              <w:top w:val="nil"/>
              <w:left w:val="single" w:sz="8" w:space="0" w:color="000000"/>
              <w:bottom w:val="nil"/>
            </w:tcBorders>
          </w:tcPr>
          <w:p>
            <w:pPr>
              <w:rPr>
                <w:sz w:val="2"/>
                <w:szCs w:val="2"/>
              </w:rPr>
            </w:pPr>
          </w:p>
        </w:tc>
      </w:tr>
      <w:tr>
        <w:trPr>
          <w:trHeight w:val="415" w:hRule="atLeast"/>
        </w:trPr>
        <w:tc>
          <w:tcPr>
            <w:tcW w:w="941" w:type="dxa"/>
            <w:tcBorders>
              <w:top w:val="nil"/>
              <w:bottom w:val="nil"/>
            </w:tcBorders>
          </w:tcPr>
          <w:p>
            <w:pPr>
              <w:pStyle w:val="TableParagraph"/>
              <w:spacing w:before="74"/>
              <w:ind w:left="75"/>
              <w:rPr>
                <w:sz w:val="18"/>
              </w:rPr>
            </w:pPr>
            <w:r>
              <w:rPr>
                <w:sz w:val="18"/>
              </w:rPr>
              <w:t>TC4</w:t>
            </w:r>
          </w:p>
        </w:tc>
        <w:tc>
          <w:tcPr>
            <w:tcW w:w="735" w:type="dxa"/>
            <w:tcBorders>
              <w:top w:val="nil"/>
              <w:bottom w:val="nil"/>
              <w:right w:val="single" w:sz="8" w:space="0" w:color="000000"/>
            </w:tcBorders>
          </w:tcPr>
          <w:p>
            <w:pPr>
              <w:pStyle w:val="TableParagraph"/>
              <w:spacing w:before="126"/>
              <w:ind w:left="344"/>
              <w:rPr>
                <w:sz w:val="18"/>
              </w:rPr>
            </w:pPr>
            <w:r>
              <w:rPr>
                <w:sz w:val="18"/>
              </w:rPr>
              <w:t>.460</w:t>
            </w:r>
          </w:p>
        </w:tc>
        <w:tc>
          <w:tcPr>
            <w:tcW w:w="743" w:type="dxa"/>
            <w:tcBorders>
              <w:top w:val="nil"/>
              <w:left w:val="single" w:sz="8" w:space="0" w:color="000000"/>
              <w:bottom w:val="nil"/>
              <w:right w:val="single" w:sz="8" w:space="0" w:color="000000"/>
            </w:tcBorders>
          </w:tcPr>
          <w:p>
            <w:pPr>
              <w:pStyle w:val="TableParagraph"/>
              <w:rPr>
                <w:sz w:val="18"/>
              </w:rPr>
            </w:pPr>
          </w:p>
        </w:tc>
        <w:tc>
          <w:tcPr>
            <w:tcW w:w="740" w:type="dxa"/>
            <w:tcBorders>
              <w:top w:val="nil"/>
              <w:left w:val="single" w:sz="8" w:space="0" w:color="000000"/>
              <w:bottom w:val="nil"/>
              <w:right w:val="single" w:sz="8" w:space="0" w:color="000000"/>
            </w:tcBorders>
          </w:tcPr>
          <w:p>
            <w:pPr>
              <w:pStyle w:val="TableParagraph"/>
              <w:rPr>
                <w:sz w:val="18"/>
              </w:rPr>
            </w:pPr>
          </w:p>
        </w:tc>
        <w:tc>
          <w:tcPr>
            <w:tcW w:w="740" w:type="dxa"/>
            <w:tcBorders>
              <w:top w:val="nil"/>
              <w:left w:val="single" w:sz="8" w:space="0" w:color="000000"/>
              <w:bottom w:val="nil"/>
              <w:right w:val="single" w:sz="8" w:space="0" w:color="000000"/>
            </w:tcBorders>
          </w:tcPr>
          <w:p>
            <w:pPr>
              <w:pStyle w:val="TableParagraph"/>
              <w:spacing w:before="126"/>
              <w:ind w:right="40"/>
              <w:jc w:val="right"/>
              <w:rPr>
                <w:sz w:val="18"/>
              </w:rPr>
            </w:pPr>
            <w:r>
              <w:rPr>
                <w:sz w:val="18"/>
              </w:rPr>
              <w:t>.539</w:t>
            </w:r>
          </w:p>
        </w:tc>
        <w:tc>
          <w:tcPr>
            <w:tcW w:w="740" w:type="dxa"/>
            <w:tcBorders>
              <w:top w:val="nil"/>
              <w:left w:val="single" w:sz="8" w:space="0" w:color="000000"/>
              <w:bottom w:val="nil"/>
              <w:right w:val="single" w:sz="8" w:space="0" w:color="000000"/>
            </w:tcBorders>
          </w:tcPr>
          <w:p>
            <w:pPr>
              <w:pStyle w:val="TableParagraph"/>
              <w:spacing w:before="126"/>
              <w:ind w:left="301"/>
              <w:rPr>
                <w:sz w:val="18"/>
              </w:rPr>
            </w:pPr>
            <w:r>
              <w:rPr>
                <w:sz w:val="18"/>
              </w:rPr>
              <w:t>-.323</w:t>
            </w:r>
          </w:p>
        </w:tc>
        <w:tc>
          <w:tcPr>
            <w:tcW w:w="740" w:type="dxa"/>
            <w:tcBorders>
              <w:top w:val="nil"/>
              <w:left w:val="single" w:sz="8" w:space="0" w:color="000000"/>
              <w:bottom w:val="nil"/>
              <w:right w:val="single" w:sz="8" w:space="0" w:color="000000"/>
            </w:tcBorders>
          </w:tcPr>
          <w:p>
            <w:pPr>
              <w:pStyle w:val="TableParagraph"/>
              <w:spacing w:before="126"/>
              <w:ind w:left="360"/>
              <w:rPr>
                <w:sz w:val="18"/>
              </w:rPr>
            </w:pPr>
            <w:r>
              <w:rPr>
                <w:sz w:val="18"/>
              </w:rPr>
              <w:t>.311</w:t>
            </w:r>
          </w:p>
        </w:tc>
        <w:tc>
          <w:tcPr>
            <w:tcW w:w="740" w:type="dxa"/>
            <w:vMerge/>
            <w:tcBorders>
              <w:top w:val="nil"/>
              <w:left w:val="single" w:sz="8" w:space="0" w:color="000000"/>
              <w:bottom w:val="nil"/>
              <w:right w:val="single" w:sz="8" w:space="0" w:color="000000"/>
            </w:tcBorders>
          </w:tcPr>
          <w:p>
            <w:pPr>
              <w:rPr>
                <w:sz w:val="2"/>
                <w:szCs w:val="2"/>
              </w:rPr>
            </w:pPr>
          </w:p>
        </w:tc>
        <w:tc>
          <w:tcPr>
            <w:tcW w:w="740" w:type="dxa"/>
            <w:vMerge/>
            <w:tcBorders>
              <w:top w:val="nil"/>
              <w:left w:val="single" w:sz="8" w:space="0" w:color="000000"/>
              <w:bottom w:val="nil"/>
              <w:right w:val="single" w:sz="8" w:space="0" w:color="000000"/>
            </w:tcBorders>
          </w:tcPr>
          <w:p>
            <w:pPr>
              <w:rPr>
                <w:sz w:val="2"/>
                <w:szCs w:val="2"/>
              </w:rPr>
            </w:pPr>
          </w:p>
        </w:tc>
        <w:tc>
          <w:tcPr>
            <w:tcW w:w="741" w:type="dxa"/>
            <w:vMerge/>
            <w:tcBorders>
              <w:top w:val="nil"/>
              <w:left w:val="single" w:sz="8" w:space="0" w:color="000000"/>
              <w:bottom w:val="nil"/>
              <w:right w:val="single" w:sz="8" w:space="0" w:color="000000"/>
            </w:tcBorders>
          </w:tcPr>
          <w:p>
            <w:pPr>
              <w:rPr>
                <w:sz w:val="2"/>
                <w:szCs w:val="2"/>
              </w:rPr>
            </w:pPr>
          </w:p>
        </w:tc>
        <w:tc>
          <w:tcPr>
            <w:tcW w:w="738" w:type="dxa"/>
            <w:vMerge/>
            <w:tcBorders>
              <w:top w:val="nil"/>
              <w:left w:val="single" w:sz="8" w:space="0" w:color="000000"/>
              <w:bottom w:val="nil"/>
              <w:right w:val="single" w:sz="8" w:space="0" w:color="000000"/>
            </w:tcBorders>
          </w:tcPr>
          <w:p>
            <w:pPr>
              <w:rPr>
                <w:sz w:val="2"/>
                <w:szCs w:val="2"/>
              </w:rPr>
            </w:pPr>
          </w:p>
        </w:tc>
        <w:tc>
          <w:tcPr>
            <w:tcW w:w="745" w:type="dxa"/>
            <w:vMerge/>
            <w:tcBorders>
              <w:top w:val="nil"/>
              <w:left w:val="single" w:sz="8" w:space="0" w:color="000000"/>
              <w:bottom w:val="nil"/>
            </w:tcBorders>
          </w:tcPr>
          <w:p>
            <w:pPr>
              <w:rPr>
                <w:sz w:val="2"/>
                <w:szCs w:val="2"/>
              </w:rPr>
            </w:pPr>
          </w:p>
        </w:tc>
      </w:tr>
      <w:tr>
        <w:trPr>
          <w:trHeight w:val="412" w:hRule="atLeast"/>
        </w:trPr>
        <w:tc>
          <w:tcPr>
            <w:tcW w:w="941" w:type="dxa"/>
            <w:tcBorders>
              <w:top w:val="nil"/>
              <w:bottom w:val="nil"/>
            </w:tcBorders>
          </w:tcPr>
          <w:p>
            <w:pPr>
              <w:pStyle w:val="TableParagraph"/>
              <w:spacing w:before="74"/>
              <w:ind w:left="75"/>
              <w:rPr>
                <w:sz w:val="18"/>
              </w:rPr>
            </w:pPr>
            <w:r>
              <w:rPr>
                <w:sz w:val="18"/>
              </w:rPr>
              <w:t>TC1</w:t>
            </w:r>
          </w:p>
        </w:tc>
        <w:tc>
          <w:tcPr>
            <w:tcW w:w="735" w:type="dxa"/>
            <w:tcBorders>
              <w:top w:val="nil"/>
              <w:bottom w:val="nil"/>
              <w:right w:val="single" w:sz="8" w:space="0" w:color="000000"/>
            </w:tcBorders>
          </w:tcPr>
          <w:p>
            <w:pPr>
              <w:pStyle w:val="TableParagraph"/>
              <w:spacing w:before="124"/>
              <w:ind w:left="344"/>
              <w:rPr>
                <w:sz w:val="18"/>
              </w:rPr>
            </w:pPr>
            <w:r>
              <w:rPr>
                <w:sz w:val="18"/>
              </w:rPr>
              <w:t>.438</w:t>
            </w:r>
          </w:p>
        </w:tc>
        <w:tc>
          <w:tcPr>
            <w:tcW w:w="743" w:type="dxa"/>
            <w:tcBorders>
              <w:top w:val="nil"/>
              <w:left w:val="single" w:sz="8" w:space="0" w:color="000000"/>
              <w:bottom w:val="nil"/>
              <w:right w:val="single" w:sz="8" w:space="0" w:color="000000"/>
            </w:tcBorders>
          </w:tcPr>
          <w:p>
            <w:pPr>
              <w:pStyle w:val="TableParagraph"/>
              <w:rPr>
                <w:sz w:val="18"/>
              </w:rPr>
            </w:pPr>
          </w:p>
        </w:tc>
        <w:tc>
          <w:tcPr>
            <w:tcW w:w="740" w:type="dxa"/>
            <w:tcBorders>
              <w:top w:val="nil"/>
              <w:left w:val="single" w:sz="8" w:space="0" w:color="000000"/>
              <w:bottom w:val="nil"/>
              <w:right w:val="single" w:sz="8" w:space="0" w:color="000000"/>
            </w:tcBorders>
          </w:tcPr>
          <w:p>
            <w:pPr>
              <w:pStyle w:val="TableParagraph"/>
              <w:spacing w:before="124"/>
              <w:ind w:left="362"/>
              <w:rPr>
                <w:sz w:val="18"/>
              </w:rPr>
            </w:pPr>
            <w:r>
              <w:rPr>
                <w:sz w:val="18"/>
              </w:rPr>
              <w:t>.302</w:t>
            </w:r>
          </w:p>
        </w:tc>
        <w:tc>
          <w:tcPr>
            <w:tcW w:w="740" w:type="dxa"/>
            <w:tcBorders>
              <w:top w:val="nil"/>
              <w:left w:val="single" w:sz="8" w:space="0" w:color="000000"/>
              <w:bottom w:val="nil"/>
              <w:right w:val="single" w:sz="8" w:space="0" w:color="000000"/>
            </w:tcBorders>
          </w:tcPr>
          <w:p>
            <w:pPr>
              <w:pStyle w:val="TableParagraph"/>
              <w:spacing w:before="124"/>
              <w:ind w:right="40"/>
              <w:jc w:val="right"/>
              <w:rPr>
                <w:sz w:val="18"/>
              </w:rPr>
            </w:pPr>
            <w:r>
              <w:rPr>
                <w:sz w:val="18"/>
              </w:rPr>
              <w:t>.521</w:t>
            </w:r>
          </w:p>
        </w:tc>
        <w:tc>
          <w:tcPr>
            <w:tcW w:w="740" w:type="dxa"/>
            <w:tcBorders>
              <w:top w:val="nil"/>
              <w:left w:val="single" w:sz="8" w:space="0" w:color="000000"/>
              <w:bottom w:val="nil"/>
              <w:right w:val="single" w:sz="8" w:space="0" w:color="000000"/>
            </w:tcBorders>
          </w:tcPr>
          <w:p>
            <w:pPr>
              <w:pStyle w:val="TableParagraph"/>
              <w:rPr>
                <w:sz w:val="18"/>
              </w:rPr>
            </w:pPr>
          </w:p>
        </w:tc>
        <w:tc>
          <w:tcPr>
            <w:tcW w:w="740" w:type="dxa"/>
            <w:tcBorders>
              <w:top w:val="nil"/>
              <w:left w:val="single" w:sz="8" w:space="0" w:color="000000"/>
              <w:bottom w:val="nil"/>
              <w:right w:val="single" w:sz="8" w:space="0" w:color="000000"/>
            </w:tcBorders>
          </w:tcPr>
          <w:p>
            <w:pPr>
              <w:pStyle w:val="TableParagraph"/>
              <w:spacing w:before="124"/>
              <w:ind w:left="360"/>
              <w:rPr>
                <w:sz w:val="18"/>
              </w:rPr>
            </w:pPr>
            <w:r>
              <w:rPr>
                <w:sz w:val="18"/>
              </w:rPr>
              <w:t>.353</w:t>
            </w:r>
          </w:p>
        </w:tc>
        <w:tc>
          <w:tcPr>
            <w:tcW w:w="740" w:type="dxa"/>
            <w:vMerge/>
            <w:tcBorders>
              <w:top w:val="nil"/>
              <w:left w:val="single" w:sz="8" w:space="0" w:color="000000"/>
              <w:bottom w:val="nil"/>
              <w:right w:val="single" w:sz="8" w:space="0" w:color="000000"/>
            </w:tcBorders>
          </w:tcPr>
          <w:p>
            <w:pPr>
              <w:rPr>
                <w:sz w:val="2"/>
                <w:szCs w:val="2"/>
              </w:rPr>
            </w:pPr>
          </w:p>
        </w:tc>
        <w:tc>
          <w:tcPr>
            <w:tcW w:w="740" w:type="dxa"/>
            <w:vMerge/>
            <w:tcBorders>
              <w:top w:val="nil"/>
              <w:left w:val="single" w:sz="8" w:space="0" w:color="000000"/>
              <w:bottom w:val="nil"/>
              <w:right w:val="single" w:sz="8" w:space="0" w:color="000000"/>
            </w:tcBorders>
          </w:tcPr>
          <w:p>
            <w:pPr>
              <w:rPr>
                <w:sz w:val="2"/>
                <w:szCs w:val="2"/>
              </w:rPr>
            </w:pPr>
          </w:p>
        </w:tc>
        <w:tc>
          <w:tcPr>
            <w:tcW w:w="741" w:type="dxa"/>
            <w:vMerge/>
            <w:tcBorders>
              <w:top w:val="nil"/>
              <w:left w:val="single" w:sz="8" w:space="0" w:color="000000"/>
              <w:bottom w:val="nil"/>
              <w:right w:val="single" w:sz="8" w:space="0" w:color="000000"/>
            </w:tcBorders>
          </w:tcPr>
          <w:p>
            <w:pPr>
              <w:rPr>
                <w:sz w:val="2"/>
                <w:szCs w:val="2"/>
              </w:rPr>
            </w:pPr>
          </w:p>
        </w:tc>
        <w:tc>
          <w:tcPr>
            <w:tcW w:w="738" w:type="dxa"/>
            <w:vMerge/>
            <w:tcBorders>
              <w:top w:val="nil"/>
              <w:left w:val="single" w:sz="8" w:space="0" w:color="000000"/>
              <w:bottom w:val="nil"/>
              <w:right w:val="single" w:sz="8" w:space="0" w:color="000000"/>
            </w:tcBorders>
          </w:tcPr>
          <w:p>
            <w:pPr>
              <w:rPr>
                <w:sz w:val="2"/>
                <w:szCs w:val="2"/>
              </w:rPr>
            </w:pPr>
          </w:p>
        </w:tc>
        <w:tc>
          <w:tcPr>
            <w:tcW w:w="745" w:type="dxa"/>
            <w:vMerge/>
            <w:tcBorders>
              <w:top w:val="nil"/>
              <w:left w:val="single" w:sz="8" w:space="0" w:color="000000"/>
              <w:bottom w:val="nil"/>
            </w:tcBorders>
          </w:tcPr>
          <w:p>
            <w:pPr>
              <w:rPr>
                <w:sz w:val="2"/>
                <w:szCs w:val="2"/>
              </w:rPr>
            </w:pPr>
          </w:p>
        </w:tc>
      </w:tr>
      <w:tr>
        <w:trPr>
          <w:trHeight w:val="415" w:hRule="atLeast"/>
        </w:trPr>
        <w:tc>
          <w:tcPr>
            <w:tcW w:w="941" w:type="dxa"/>
            <w:tcBorders>
              <w:top w:val="nil"/>
              <w:bottom w:val="nil"/>
            </w:tcBorders>
          </w:tcPr>
          <w:p>
            <w:pPr>
              <w:pStyle w:val="TableParagraph"/>
              <w:spacing w:before="74"/>
              <w:ind w:left="75"/>
              <w:rPr>
                <w:sz w:val="18"/>
              </w:rPr>
            </w:pPr>
            <w:r>
              <w:rPr>
                <w:sz w:val="18"/>
              </w:rPr>
              <w:t>TC3</w:t>
            </w:r>
          </w:p>
        </w:tc>
        <w:tc>
          <w:tcPr>
            <w:tcW w:w="735" w:type="dxa"/>
            <w:tcBorders>
              <w:top w:val="nil"/>
              <w:bottom w:val="nil"/>
              <w:right w:val="single" w:sz="8" w:space="0" w:color="000000"/>
            </w:tcBorders>
          </w:tcPr>
          <w:p>
            <w:pPr>
              <w:pStyle w:val="TableParagraph"/>
              <w:spacing w:before="126"/>
              <w:ind w:left="344"/>
              <w:rPr>
                <w:sz w:val="18"/>
              </w:rPr>
            </w:pPr>
            <w:r>
              <w:rPr>
                <w:sz w:val="18"/>
              </w:rPr>
              <w:t>.409</w:t>
            </w:r>
          </w:p>
        </w:tc>
        <w:tc>
          <w:tcPr>
            <w:tcW w:w="743" w:type="dxa"/>
            <w:tcBorders>
              <w:top w:val="nil"/>
              <w:left w:val="single" w:sz="8" w:space="0" w:color="000000"/>
              <w:bottom w:val="nil"/>
              <w:right w:val="single" w:sz="8" w:space="0" w:color="000000"/>
            </w:tcBorders>
          </w:tcPr>
          <w:p>
            <w:pPr>
              <w:pStyle w:val="TableParagraph"/>
              <w:rPr>
                <w:sz w:val="18"/>
              </w:rPr>
            </w:pPr>
          </w:p>
        </w:tc>
        <w:tc>
          <w:tcPr>
            <w:tcW w:w="740" w:type="dxa"/>
            <w:tcBorders>
              <w:top w:val="nil"/>
              <w:left w:val="single" w:sz="8" w:space="0" w:color="000000"/>
              <w:bottom w:val="nil"/>
              <w:right w:val="single" w:sz="8" w:space="0" w:color="000000"/>
            </w:tcBorders>
          </w:tcPr>
          <w:p>
            <w:pPr>
              <w:pStyle w:val="TableParagraph"/>
              <w:spacing w:before="126"/>
              <w:ind w:left="362"/>
              <w:rPr>
                <w:sz w:val="18"/>
              </w:rPr>
            </w:pPr>
            <w:r>
              <w:rPr>
                <w:sz w:val="18"/>
              </w:rPr>
              <w:t>.324</w:t>
            </w:r>
          </w:p>
        </w:tc>
        <w:tc>
          <w:tcPr>
            <w:tcW w:w="740" w:type="dxa"/>
            <w:tcBorders>
              <w:top w:val="nil"/>
              <w:left w:val="single" w:sz="8" w:space="0" w:color="000000"/>
              <w:bottom w:val="nil"/>
              <w:right w:val="single" w:sz="8" w:space="0" w:color="000000"/>
            </w:tcBorders>
          </w:tcPr>
          <w:p>
            <w:pPr>
              <w:pStyle w:val="TableParagraph"/>
              <w:spacing w:before="126"/>
              <w:ind w:right="40"/>
              <w:jc w:val="right"/>
              <w:rPr>
                <w:sz w:val="18"/>
              </w:rPr>
            </w:pPr>
            <w:r>
              <w:rPr>
                <w:sz w:val="18"/>
              </w:rPr>
              <w:t>.476</w:t>
            </w:r>
          </w:p>
        </w:tc>
        <w:tc>
          <w:tcPr>
            <w:tcW w:w="740" w:type="dxa"/>
            <w:tcBorders>
              <w:top w:val="nil"/>
              <w:left w:val="single" w:sz="8" w:space="0" w:color="000000"/>
              <w:bottom w:val="nil"/>
              <w:right w:val="single" w:sz="8" w:space="0" w:color="000000"/>
            </w:tcBorders>
          </w:tcPr>
          <w:p>
            <w:pPr>
              <w:pStyle w:val="TableParagraph"/>
              <w:rPr>
                <w:sz w:val="18"/>
              </w:rPr>
            </w:pPr>
          </w:p>
        </w:tc>
        <w:tc>
          <w:tcPr>
            <w:tcW w:w="740" w:type="dxa"/>
            <w:tcBorders>
              <w:top w:val="nil"/>
              <w:left w:val="single" w:sz="8" w:space="0" w:color="000000"/>
              <w:bottom w:val="nil"/>
              <w:right w:val="single" w:sz="8" w:space="0" w:color="000000"/>
            </w:tcBorders>
          </w:tcPr>
          <w:p>
            <w:pPr>
              <w:pStyle w:val="TableParagraph"/>
              <w:spacing w:before="126"/>
              <w:ind w:left="360"/>
              <w:rPr>
                <w:sz w:val="18"/>
              </w:rPr>
            </w:pPr>
            <w:r>
              <w:rPr>
                <w:sz w:val="18"/>
              </w:rPr>
              <w:t>.321</w:t>
            </w:r>
          </w:p>
        </w:tc>
        <w:tc>
          <w:tcPr>
            <w:tcW w:w="740" w:type="dxa"/>
            <w:vMerge/>
            <w:tcBorders>
              <w:top w:val="nil"/>
              <w:left w:val="single" w:sz="8" w:space="0" w:color="000000"/>
              <w:bottom w:val="nil"/>
              <w:right w:val="single" w:sz="8" w:space="0" w:color="000000"/>
            </w:tcBorders>
          </w:tcPr>
          <w:p>
            <w:pPr>
              <w:rPr>
                <w:sz w:val="2"/>
                <w:szCs w:val="2"/>
              </w:rPr>
            </w:pPr>
          </w:p>
        </w:tc>
        <w:tc>
          <w:tcPr>
            <w:tcW w:w="740" w:type="dxa"/>
            <w:vMerge/>
            <w:tcBorders>
              <w:top w:val="nil"/>
              <w:left w:val="single" w:sz="8" w:space="0" w:color="000000"/>
              <w:bottom w:val="nil"/>
              <w:right w:val="single" w:sz="8" w:space="0" w:color="000000"/>
            </w:tcBorders>
          </w:tcPr>
          <w:p>
            <w:pPr>
              <w:rPr>
                <w:sz w:val="2"/>
                <w:szCs w:val="2"/>
              </w:rPr>
            </w:pPr>
          </w:p>
        </w:tc>
        <w:tc>
          <w:tcPr>
            <w:tcW w:w="741" w:type="dxa"/>
            <w:vMerge/>
            <w:tcBorders>
              <w:top w:val="nil"/>
              <w:left w:val="single" w:sz="8" w:space="0" w:color="000000"/>
              <w:bottom w:val="nil"/>
              <w:right w:val="single" w:sz="8" w:space="0" w:color="000000"/>
            </w:tcBorders>
          </w:tcPr>
          <w:p>
            <w:pPr>
              <w:rPr>
                <w:sz w:val="2"/>
                <w:szCs w:val="2"/>
              </w:rPr>
            </w:pPr>
          </w:p>
        </w:tc>
        <w:tc>
          <w:tcPr>
            <w:tcW w:w="738" w:type="dxa"/>
            <w:vMerge/>
            <w:tcBorders>
              <w:top w:val="nil"/>
              <w:left w:val="single" w:sz="8" w:space="0" w:color="000000"/>
              <w:bottom w:val="nil"/>
              <w:right w:val="single" w:sz="8" w:space="0" w:color="000000"/>
            </w:tcBorders>
          </w:tcPr>
          <w:p>
            <w:pPr>
              <w:rPr>
                <w:sz w:val="2"/>
                <w:szCs w:val="2"/>
              </w:rPr>
            </w:pPr>
          </w:p>
        </w:tc>
        <w:tc>
          <w:tcPr>
            <w:tcW w:w="745" w:type="dxa"/>
            <w:vMerge/>
            <w:tcBorders>
              <w:top w:val="nil"/>
              <w:left w:val="single" w:sz="8" w:space="0" w:color="000000"/>
              <w:bottom w:val="nil"/>
            </w:tcBorders>
          </w:tcPr>
          <w:p>
            <w:pPr>
              <w:rPr>
                <w:sz w:val="2"/>
                <w:szCs w:val="2"/>
              </w:rPr>
            </w:pPr>
          </w:p>
        </w:tc>
      </w:tr>
      <w:tr>
        <w:trPr>
          <w:trHeight w:val="412" w:hRule="atLeast"/>
        </w:trPr>
        <w:tc>
          <w:tcPr>
            <w:tcW w:w="941" w:type="dxa"/>
            <w:tcBorders>
              <w:top w:val="nil"/>
              <w:bottom w:val="nil"/>
            </w:tcBorders>
          </w:tcPr>
          <w:p>
            <w:pPr>
              <w:pStyle w:val="TableParagraph"/>
              <w:spacing w:before="74"/>
              <w:ind w:left="75"/>
              <w:rPr>
                <w:sz w:val="18"/>
              </w:rPr>
            </w:pPr>
            <w:r>
              <w:rPr>
                <w:sz w:val="18"/>
              </w:rPr>
              <w:t>VT7</w:t>
            </w:r>
          </w:p>
        </w:tc>
        <w:tc>
          <w:tcPr>
            <w:tcW w:w="735" w:type="dxa"/>
            <w:tcBorders>
              <w:top w:val="nil"/>
              <w:bottom w:val="nil"/>
              <w:right w:val="single" w:sz="8" w:space="0" w:color="000000"/>
            </w:tcBorders>
          </w:tcPr>
          <w:p>
            <w:pPr>
              <w:pStyle w:val="TableParagraph"/>
              <w:spacing w:before="124"/>
              <w:ind w:left="344"/>
              <w:rPr>
                <w:sz w:val="18"/>
              </w:rPr>
            </w:pPr>
            <w:r>
              <w:rPr>
                <w:sz w:val="18"/>
              </w:rPr>
              <w:t>.515</w:t>
            </w:r>
          </w:p>
        </w:tc>
        <w:tc>
          <w:tcPr>
            <w:tcW w:w="743" w:type="dxa"/>
            <w:tcBorders>
              <w:top w:val="nil"/>
              <w:left w:val="single" w:sz="8" w:space="0" w:color="000000"/>
              <w:bottom w:val="nil"/>
              <w:right w:val="single" w:sz="8" w:space="0" w:color="000000"/>
            </w:tcBorders>
          </w:tcPr>
          <w:p>
            <w:pPr>
              <w:pStyle w:val="TableParagraph"/>
              <w:spacing w:before="124"/>
              <w:ind w:left="303"/>
              <w:rPr>
                <w:sz w:val="18"/>
              </w:rPr>
            </w:pPr>
            <w:r>
              <w:rPr>
                <w:sz w:val="18"/>
              </w:rPr>
              <w:t>-.335</w:t>
            </w:r>
          </w:p>
        </w:tc>
        <w:tc>
          <w:tcPr>
            <w:tcW w:w="740" w:type="dxa"/>
            <w:tcBorders>
              <w:top w:val="nil"/>
              <w:left w:val="single" w:sz="8" w:space="0" w:color="000000"/>
              <w:bottom w:val="nil"/>
              <w:right w:val="single" w:sz="8" w:space="0" w:color="000000"/>
            </w:tcBorders>
          </w:tcPr>
          <w:p>
            <w:pPr>
              <w:pStyle w:val="TableParagraph"/>
              <w:rPr>
                <w:sz w:val="18"/>
              </w:rPr>
            </w:pPr>
          </w:p>
        </w:tc>
        <w:tc>
          <w:tcPr>
            <w:tcW w:w="740" w:type="dxa"/>
            <w:tcBorders>
              <w:top w:val="nil"/>
              <w:left w:val="single" w:sz="8" w:space="0" w:color="000000"/>
              <w:bottom w:val="nil"/>
              <w:right w:val="single" w:sz="8" w:space="0" w:color="000000"/>
            </w:tcBorders>
          </w:tcPr>
          <w:p>
            <w:pPr>
              <w:pStyle w:val="TableParagraph"/>
              <w:rPr>
                <w:sz w:val="18"/>
              </w:rPr>
            </w:pPr>
          </w:p>
        </w:tc>
        <w:tc>
          <w:tcPr>
            <w:tcW w:w="740" w:type="dxa"/>
            <w:tcBorders>
              <w:top w:val="nil"/>
              <w:left w:val="single" w:sz="8" w:space="0" w:color="000000"/>
              <w:bottom w:val="nil"/>
              <w:right w:val="single" w:sz="8" w:space="0" w:color="000000"/>
            </w:tcBorders>
          </w:tcPr>
          <w:p>
            <w:pPr>
              <w:pStyle w:val="TableParagraph"/>
              <w:spacing w:before="124"/>
              <w:ind w:left="361"/>
              <w:rPr>
                <w:sz w:val="18"/>
              </w:rPr>
            </w:pPr>
            <w:r>
              <w:rPr>
                <w:sz w:val="18"/>
              </w:rPr>
              <w:t>.532</w:t>
            </w:r>
          </w:p>
        </w:tc>
        <w:tc>
          <w:tcPr>
            <w:tcW w:w="740" w:type="dxa"/>
            <w:tcBorders>
              <w:top w:val="nil"/>
              <w:left w:val="single" w:sz="8" w:space="0" w:color="000000"/>
              <w:bottom w:val="nil"/>
              <w:right w:val="single" w:sz="8" w:space="0" w:color="000000"/>
            </w:tcBorders>
          </w:tcPr>
          <w:p>
            <w:pPr>
              <w:pStyle w:val="TableParagraph"/>
              <w:rPr>
                <w:sz w:val="18"/>
              </w:rPr>
            </w:pPr>
          </w:p>
        </w:tc>
        <w:tc>
          <w:tcPr>
            <w:tcW w:w="740" w:type="dxa"/>
            <w:vMerge/>
            <w:tcBorders>
              <w:top w:val="nil"/>
              <w:left w:val="single" w:sz="8" w:space="0" w:color="000000"/>
              <w:bottom w:val="nil"/>
              <w:right w:val="single" w:sz="8" w:space="0" w:color="000000"/>
            </w:tcBorders>
          </w:tcPr>
          <w:p>
            <w:pPr>
              <w:rPr>
                <w:sz w:val="2"/>
                <w:szCs w:val="2"/>
              </w:rPr>
            </w:pPr>
          </w:p>
        </w:tc>
        <w:tc>
          <w:tcPr>
            <w:tcW w:w="740" w:type="dxa"/>
            <w:vMerge/>
            <w:tcBorders>
              <w:top w:val="nil"/>
              <w:left w:val="single" w:sz="8" w:space="0" w:color="000000"/>
              <w:bottom w:val="nil"/>
              <w:right w:val="single" w:sz="8" w:space="0" w:color="000000"/>
            </w:tcBorders>
          </w:tcPr>
          <w:p>
            <w:pPr>
              <w:rPr>
                <w:sz w:val="2"/>
                <w:szCs w:val="2"/>
              </w:rPr>
            </w:pPr>
          </w:p>
        </w:tc>
        <w:tc>
          <w:tcPr>
            <w:tcW w:w="741" w:type="dxa"/>
            <w:vMerge/>
            <w:tcBorders>
              <w:top w:val="nil"/>
              <w:left w:val="single" w:sz="8" w:space="0" w:color="000000"/>
              <w:bottom w:val="nil"/>
              <w:right w:val="single" w:sz="8" w:space="0" w:color="000000"/>
            </w:tcBorders>
          </w:tcPr>
          <w:p>
            <w:pPr>
              <w:rPr>
                <w:sz w:val="2"/>
                <w:szCs w:val="2"/>
              </w:rPr>
            </w:pPr>
          </w:p>
        </w:tc>
        <w:tc>
          <w:tcPr>
            <w:tcW w:w="738" w:type="dxa"/>
            <w:vMerge/>
            <w:tcBorders>
              <w:top w:val="nil"/>
              <w:left w:val="single" w:sz="8" w:space="0" w:color="000000"/>
              <w:bottom w:val="nil"/>
              <w:right w:val="single" w:sz="8" w:space="0" w:color="000000"/>
            </w:tcBorders>
          </w:tcPr>
          <w:p>
            <w:pPr>
              <w:rPr>
                <w:sz w:val="2"/>
                <w:szCs w:val="2"/>
              </w:rPr>
            </w:pPr>
          </w:p>
        </w:tc>
        <w:tc>
          <w:tcPr>
            <w:tcW w:w="745" w:type="dxa"/>
            <w:vMerge/>
            <w:tcBorders>
              <w:top w:val="nil"/>
              <w:left w:val="single" w:sz="8" w:space="0" w:color="000000"/>
              <w:bottom w:val="nil"/>
            </w:tcBorders>
          </w:tcPr>
          <w:p>
            <w:pPr>
              <w:rPr>
                <w:sz w:val="2"/>
                <w:szCs w:val="2"/>
              </w:rPr>
            </w:pPr>
          </w:p>
        </w:tc>
      </w:tr>
      <w:tr>
        <w:trPr>
          <w:trHeight w:val="489" w:hRule="atLeast"/>
        </w:trPr>
        <w:tc>
          <w:tcPr>
            <w:tcW w:w="941" w:type="dxa"/>
            <w:tcBorders>
              <w:top w:val="nil"/>
              <w:bottom w:val="nil"/>
            </w:tcBorders>
          </w:tcPr>
          <w:p>
            <w:pPr>
              <w:pStyle w:val="TableParagraph"/>
              <w:spacing w:before="74"/>
              <w:ind w:left="75"/>
              <w:rPr>
                <w:sz w:val="18"/>
              </w:rPr>
            </w:pPr>
            <w:r>
              <w:rPr>
                <w:sz w:val="18"/>
              </w:rPr>
              <w:t>VT6</w:t>
            </w:r>
          </w:p>
        </w:tc>
        <w:tc>
          <w:tcPr>
            <w:tcW w:w="735" w:type="dxa"/>
            <w:tcBorders>
              <w:top w:val="nil"/>
              <w:bottom w:val="nil"/>
              <w:right w:val="single" w:sz="8" w:space="0" w:color="000000"/>
            </w:tcBorders>
          </w:tcPr>
          <w:p>
            <w:pPr>
              <w:pStyle w:val="TableParagraph"/>
              <w:spacing w:before="126"/>
              <w:ind w:left="344"/>
              <w:rPr>
                <w:sz w:val="18"/>
              </w:rPr>
            </w:pPr>
            <w:r>
              <w:rPr>
                <w:sz w:val="18"/>
              </w:rPr>
              <w:t>.405</w:t>
            </w:r>
          </w:p>
        </w:tc>
        <w:tc>
          <w:tcPr>
            <w:tcW w:w="743" w:type="dxa"/>
            <w:tcBorders>
              <w:top w:val="nil"/>
              <w:left w:val="single" w:sz="8" w:space="0" w:color="000000"/>
              <w:bottom w:val="nil"/>
              <w:right w:val="single" w:sz="8" w:space="0" w:color="000000"/>
            </w:tcBorders>
          </w:tcPr>
          <w:p>
            <w:pPr>
              <w:pStyle w:val="TableParagraph"/>
              <w:rPr>
                <w:sz w:val="18"/>
              </w:rPr>
            </w:pPr>
          </w:p>
        </w:tc>
        <w:tc>
          <w:tcPr>
            <w:tcW w:w="740" w:type="dxa"/>
            <w:tcBorders>
              <w:top w:val="nil"/>
              <w:left w:val="single" w:sz="8" w:space="0" w:color="000000"/>
              <w:bottom w:val="nil"/>
              <w:right w:val="single" w:sz="8" w:space="0" w:color="000000"/>
            </w:tcBorders>
          </w:tcPr>
          <w:p>
            <w:pPr>
              <w:pStyle w:val="TableParagraph"/>
              <w:rPr>
                <w:sz w:val="18"/>
              </w:rPr>
            </w:pPr>
          </w:p>
        </w:tc>
        <w:tc>
          <w:tcPr>
            <w:tcW w:w="740" w:type="dxa"/>
            <w:tcBorders>
              <w:top w:val="nil"/>
              <w:left w:val="single" w:sz="8" w:space="0" w:color="000000"/>
              <w:bottom w:val="nil"/>
              <w:right w:val="single" w:sz="8" w:space="0" w:color="000000"/>
            </w:tcBorders>
          </w:tcPr>
          <w:p>
            <w:pPr>
              <w:pStyle w:val="TableParagraph"/>
              <w:rPr>
                <w:sz w:val="18"/>
              </w:rPr>
            </w:pPr>
          </w:p>
        </w:tc>
        <w:tc>
          <w:tcPr>
            <w:tcW w:w="740" w:type="dxa"/>
            <w:tcBorders>
              <w:top w:val="nil"/>
              <w:left w:val="single" w:sz="8" w:space="0" w:color="000000"/>
              <w:bottom w:val="nil"/>
              <w:right w:val="single" w:sz="8" w:space="0" w:color="000000"/>
            </w:tcBorders>
          </w:tcPr>
          <w:p>
            <w:pPr>
              <w:pStyle w:val="TableParagraph"/>
              <w:spacing w:before="126"/>
              <w:ind w:left="361"/>
              <w:rPr>
                <w:sz w:val="18"/>
              </w:rPr>
            </w:pPr>
            <w:r>
              <w:rPr>
                <w:sz w:val="18"/>
              </w:rPr>
              <w:t>.518</w:t>
            </w:r>
          </w:p>
        </w:tc>
        <w:tc>
          <w:tcPr>
            <w:tcW w:w="740" w:type="dxa"/>
            <w:tcBorders>
              <w:top w:val="nil"/>
              <w:left w:val="single" w:sz="8" w:space="0" w:color="000000"/>
              <w:bottom w:val="nil"/>
              <w:right w:val="single" w:sz="8" w:space="0" w:color="000000"/>
            </w:tcBorders>
          </w:tcPr>
          <w:p>
            <w:pPr>
              <w:pStyle w:val="TableParagraph"/>
              <w:rPr>
                <w:sz w:val="18"/>
              </w:rPr>
            </w:pPr>
          </w:p>
        </w:tc>
        <w:tc>
          <w:tcPr>
            <w:tcW w:w="740" w:type="dxa"/>
            <w:vMerge/>
            <w:tcBorders>
              <w:top w:val="nil"/>
              <w:left w:val="single" w:sz="8" w:space="0" w:color="000000"/>
              <w:bottom w:val="nil"/>
              <w:right w:val="single" w:sz="8" w:space="0" w:color="000000"/>
            </w:tcBorders>
          </w:tcPr>
          <w:p>
            <w:pPr>
              <w:rPr>
                <w:sz w:val="2"/>
                <w:szCs w:val="2"/>
              </w:rPr>
            </w:pPr>
          </w:p>
        </w:tc>
        <w:tc>
          <w:tcPr>
            <w:tcW w:w="740" w:type="dxa"/>
            <w:vMerge/>
            <w:tcBorders>
              <w:top w:val="nil"/>
              <w:left w:val="single" w:sz="8" w:space="0" w:color="000000"/>
              <w:bottom w:val="nil"/>
              <w:right w:val="single" w:sz="8" w:space="0" w:color="000000"/>
            </w:tcBorders>
          </w:tcPr>
          <w:p>
            <w:pPr>
              <w:rPr>
                <w:sz w:val="2"/>
                <w:szCs w:val="2"/>
              </w:rPr>
            </w:pPr>
          </w:p>
        </w:tc>
        <w:tc>
          <w:tcPr>
            <w:tcW w:w="741" w:type="dxa"/>
            <w:vMerge/>
            <w:tcBorders>
              <w:top w:val="nil"/>
              <w:left w:val="single" w:sz="8" w:space="0" w:color="000000"/>
              <w:bottom w:val="nil"/>
              <w:right w:val="single" w:sz="8" w:space="0" w:color="000000"/>
            </w:tcBorders>
          </w:tcPr>
          <w:p>
            <w:pPr>
              <w:rPr>
                <w:sz w:val="2"/>
                <w:szCs w:val="2"/>
              </w:rPr>
            </w:pPr>
          </w:p>
        </w:tc>
        <w:tc>
          <w:tcPr>
            <w:tcW w:w="738" w:type="dxa"/>
            <w:vMerge/>
            <w:tcBorders>
              <w:top w:val="nil"/>
              <w:left w:val="single" w:sz="8" w:space="0" w:color="000000"/>
              <w:bottom w:val="nil"/>
              <w:right w:val="single" w:sz="8" w:space="0" w:color="000000"/>
            </w:tcBorders>
          </w:tcPr>
          <w:p>
            <w:pPr>
              <w:rPr>
                <w:sz w:val="2"/>
                <w:szCs w:val="2"/>
              </w:rPr>
            </w:pPr>
          </w:p>
        </w:tc>
        <w:tc>
          <w:tcPr>
            <w:tcW w:w="745" w:type="dxa"/>
            <w:vMerge/>
            <w:tcBorders>
              <w:top w:val="nil"/>
              <w:left w:val="single" w:sz="8" w:space="0" w:color="000000"/>
              <w:bottom w:val="nil"/>
            </w:tcBorders>
          </w:tcPr>
          <w:p>
            <w:pPr>
              <w:rPr>
                <w:sz w:val="2"/>
                <w:szCs w:val="2"/>
              </w:rPr>
            </w:pPr>
          </w:p>
        </w:tc>
      </w:tr>
    </w:tbl>
    <w:p>
      <w:pPr>
        <w:spacing w:after="0"/>
        <w:rPr>
          <w:sz w:val="2"/>
          <w:szCs w:val="2"/>
        </w:rPr>
        <w:sectPr>
          <w:pgSz w:w="11910" w:h="16850"/>
          <w:pgMar w:header="751" w:footer="0" w:top="960" w:bottom="280" w:left="820" w:right="240"/>
        </w:sectPr>
      </w:pPr>
    </w:p>
    <w:p>
      <w:pPr>
        <w:pStyle w:val="BodyText"/>
        <w:spacing w:before="9"/>
        <w:rPr>
          <w:b/>
          <w:sz w:val="23"/>
        </w:rPr>
      </w:pPr>
    </w:p>
    <w:tbl>
      <w:tblPr>
        <w:tblW w:w="0" w:type="auto"/>
        <w:jc w:val="left"/>
        <w:tblInd w:w="907" w:type="dxa"/>
        <w:tblBorders>
          <w:top w:val="single" w:sz="18" w:space="0" w:color="000000"/>
          <w:left w:val="single" w:sz="18" w:space="0" w:color="000000"/>
          <w:bottom w:val="single" w:sz="18" w:space="0" w:color="000000"/>
          <w:right w:val="single" w:sz="18" w:space="0" w:color="000000"/>
          <w:insideH w:val="single" w:sz="18" w:space="0" w:color="000000"/>
          <w:insideV w:val="single" w:sz="18" w:space="0" w:color="000000"/>
        </w:tblBorders>
        <w:tblLayout w:type="fixed"/>
        <w:tblCellMar>
          <w:top w:w="0" w:type="dxa"/>
          <w:left w:w="0" w:type="dxa"/>
          <w:bottom w:w="0" w:type="dxa"/>
          <w:right w:w="0" w:type="dxa"/>
        </w:tblCellMar>
        <w:tblLook w:val="01E0"/>
      </w:tblPr>
      <w:tblGrid>
        <w:gridCol w:w="931"/>
        <w:gridCol w:w="744"/>
        <w:gridCol w:w="742"/>
        <w:gridCol w:w="739"/>
        <w:gridCol w:w="739"/>
        <w:gridCol w:w="739"/>
        <w:gridCol w:w="739"/>
        <w:gridCol w:w="739"/>
        <w:gridCol w:w="739"/>
        <w:gridCol w:w="740"/>
        <w:gridCol w:w="737"/>
        <w:gridCol w:w="744"/>
      </w:tblGrid>
      <w:tr>
        <w:trPr>
          <w:trHeight w:val="318" w:hRule="atLeast"/>
        </w:trPr>
        <w:tc>
          <w:tcPr>
            <w:tcW w:w="931" w:type="dxa"/>
            <w:tcBorders>
              <w:top w:val="nil"/>
              <w:bottom w:val="nil"/>
            </w:tcBorders>
          </w:tcPr>
          <w:p>
            <w:pPr>
              <w:pStyle w:val="TableParagraph"/>
              <w:ind w:left="75"/>
              <w:rPr>
                <w:sz w:val="18"/>
              </w:rPr>
            </w:pPr>
            <w:r>
              <w:rPr>
                <w:sz w:val="18"/>
              </w:rPr>
              <w:t>VT5</w:t>
            </w:r>
          </w:p>
        </w:tc>
        <w:tc>
          <w:tcPr>
            <w:tcW w:w="744" w:type="dxa"/>
            <w:tcBorders>
              <w:top w:val="nil"/>
              <w:bottom w:val="nil"/>
              <w:right w:val="single" w:sz="8" w:space="0" w:color="000000"/>
            </w:tcBorders>
          </w:tcPr>
          <w:p>
            <w:pPr>
              <w:pStyle w:val="TableParagraph"/>
              <w:spacing w:before="52"/>
              <w:ind w:right="40"/>
              <w:jc w:val="right"/>
              <w:rPr>
                <w:sz w:val="18"/>
              </w:rPr>
            </w:pPr>
            <w:r>
              <w:rPr>
                <w:sz w:val="18"/>
              </w:rPr>
              <w:t>.397</w:t>
            </w:r>
          </w:p>
        </w:tc>
        <w:tc>
          <w:tcPr>
            <w:tcW w:w="742" w:type="dxa"/>
            <w:tcBorders>
              <w:top w:val="nil"/>
              <w:left w:val="single" w:sz="8" w:space="0" w:color="000000"/>
              <w:bottom w:val="nil"/>
              <w:right w:val="single" w:sz="8" w:space="0" w:color="000000"/>
            </w:tcBorders>
          </w:tcPr>
          <w:p>
            <w:pPr>
              <w:pStyle w:val="TableParagraph"/>
              <w:spacing w:before="52"/>
              <w:ind w:right="40"/>
              <w:jc w:val="right"/>
              <w:rPr>
                <w:sz w:val="18"/>
              </w:rPr>
            </w:pPr>
            <w:r>
              <w:rPr>
                <w:sz w:val="18"/>
              </w:rPr>
              <w:t>-.356</w:t>
            </w:r>
          </w:p>
        </w:tc>
        <w:tc>
          <w:tcPr>
            <w:tcW w:w="739" w:type="dxa"/>
            <w:vMerge w:val="restart"/>
            <w:tcBorders>
              <w:top w:val="nil"/>
              <w:left w:val="single" w:sz="8" w:space="0" w:color="000000"/>
              <w:right w:val="single" w:sz="8" w:space="0" w:color="000000"/>
            </w:tcBorders>
          </w:tcPr>
          <w:p>
            <w:pPr>
              <w:pStyle w:val="TableParagraph"/>
              <w:rPr>
                <w:sz w:val="18"/>
              </w:rPr>
            </w:pPr>
          </w:p>
        </w:tc>
        <w:tc>
          <w:tcPr>
            <w:tcW w:w="739" w:type="dxa"/>
            <w:vMerge w:val="restart"/>
            <w:tcBorders>
              <w:top w:val="nil"/>
              <w:left w:val="single" w:sz="8" w:space="0" w:color="000000"/>
              <w:right w:val="single" w:sz="8" w:space="0" w:color="000000"/>
            </w:tcBorders>
          </w:tcPr>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spacing w:before="6"/>
              <w:rPr>
                <w:b/>
                <w:sz w:val="20"/>
              </w:rPr>
            </w:pPr>
          </w:p>
          <w:p>
            <w:pPr>
              <w:pStyle w:val="TableParagraph"/>
              <w:spacing w:before="1"/>
              <w:ind w:left="364"/>
              <w:rPr>
                <w:sz w:val="18"/>
              </w:rPr>
            </w:pPr>
            <w:r>
              <w:rPr>
                <w:sz w:val="18"/>
              </w:rPr>
              <w:t>.363</w:t>
            </w:r>
          </w:p>
        </w:tc>
        <w:tc>
          <w:tcPr>
            <w:tcW w:w="739" w:type="dxa"/>
            <w:tcBorders>
              <w:top w:val="nil"/>
              <w:left w:val="single" w:sz="8" w:space="0" w:color="000000"/>
              <w:bottom w:val="nil"/>
              <w:right w:val="single" w:sz="8" w:space="0" w:color="000000"/>
            </w:tcBorders>
          </w:tcPr>
          <w:p>
            <w:pPr>
              <w:pStyle w:val="TableParagraph"/>
              <w:spacing w:before="52"/>
              <w:ind w:right="36"/>
              <w:jc w:val="right"/>
              <w:rPr>
                <w:sz w:val="18"/>
              </w:rPr>
            </w:pPr>
            <w:r>
              <w:rPr>
                <w:sz w:val="18"/>
              </w:rPr>
              <w:t>.517</w:t>
            </w:r>
          </w:p>
        </w:tc>
        <w:tc>
          <w:tcPr>
            <w:tcW w:w="739" w:type="dxa"/>
            <w:vMerge w:val="restart"/>
            <w:tcBorders>
              <w:top w:val="nil"/>
              <w:left w:val="single" w:sz="8" w:space="0" w:color="000000"/>
              <w:right w:val="single" w:sz="8" w:space="0" w:color="000000"/>
            </w:tcBorders>
          </w:tcPr>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spacing w:before="144"/>
              <w:ind w:left="305"/>
              <w:rPr>
                <w:sz w:val="18"/>
              </w:rPr>
            </w:pPr>
            <w:r>
              <w:rPr>
                <w:sz w:val="18"/>
              </w:rPr>
              <w:t>-.573</w:t>
            </w:r>
          </w:p>
        </w:tc>
        <w:tc>
          <w:tcPr>
            <w:tcW w:w="739" w:type="dxa"/>
            <w:tcBorders>
              <w:top w:val="nil"/>
              <w:left w:val="single" w:sz="8" w:space="0" w:color="000000"/>
              <w:bottom w:val="nil"/>
              <w:right w:val="single" w:sz="8" w:space="0" w:color="000000"/>
            </w:tcBorders>
          </w:tcPr>
          <w:p>
            <w:pPr>
              <w:pStyle w:val="TableParagraph"/>
              <w:rPr>
                <w:sz w:val="18"/>
              </w:rPr>
            </w:pPr>
          </w:p>
        </w:tc>
        <w:tc>
          <w:tcPr>
            <w:tcW w:w="739" w:type="dxa"/>
            <w:tcBorders>
              <w:top w:val="nil"/>
              <w:left w:val="single" w:sz="8" w:space="0" w:color="000000"/>
              <w:bottom w:val="nil"/>
              <w:right w:val="single" w:sz="8" w:space="0" w:color="000000"/>
            </w:tcBorders>
          </w:tcPr>
          <w:p>
            <w:pPr>
              <w:pStyle w:val="TableParagraph"/>
              <w:rPr>
                <w:sz w:val="18"/>
              </w:rPr>
            </w:pPr>
          </w:p>
        </w:tc>
        <w:tc>
          <w:tcPr>
            <w:tcW w:w="740" w:type="dxa"/>
            <w:tcBorders>
              <w:top w:val="nil"/>
              <w:left w:val="single" w:sz="8" w:space="0" w:color="000000"/>
              <w:bottom w:val="nil"/>
              <w:right w:val="single" w:sz="8" w:space="0" w:color="000000"/>
            </w:tcBorders>
          </w:tcPr>
          <w:p>
            <w:pPr>
              <w:pStyle w:val="TableParagraph"/>
              <w:rPr>
                <w:sz w:val="18"/>
              </w:rPr>
            </w:pPr>
          </w:p>
        </w:tc>
        <w:tc>
          <w:tcPr>
            <w:tcW w:w="737" w:type="dxa"/>
            <w:tcBorders>
              <w:top w:val="nil"/>
              <w:left w:val="single" w:sz="8" w:space="0" w:color="000000"/>
              <w:bottom w:val="nil"/>
              <w:right w:val="single" w:sz="8" w:space="0" w:color="000000"/>
            </w:tcBorders>
          </w:tcPr>
          <w:p>
            <w:pPr>
              <w:pStyle w:val="TableParagraph"/>
              <w:rPr>
                <w:sz w:val="18"/>
              </w:rPr>
            </w:pPr>
          </w:p>
        </w:tc>
        <w:tc>
          <w:tcPr>
            <w:tcW w:w="744" w:type="dxa"/>
            <w:tcBorders>
              <w:top w:val="nil"/>
              <w:left w:val="single" w:sz="8" w:space="0" w:color="000000"/>
              <w:bottom w:val="nil"/>
            </w:tcBorders>
          </w:tcPr>
          <w:p>
            <w:pPr>
              <w:pStyle w:val="TableParagraph"/>
              <w:rPr>
                <w:sz w:val="18"/>
              </w:rPr>
            </w:pPr>
          </w:p>
        </w:tc>
      </w:tr>
      <w:tr>
        <w:trPr>
          <w:trHeight w:val="368" w:hRule="atLeast"/>
        </w:trPr>
        <w:tc>
          <w:tcPr>
            <w:tcW w:w="931" w:type="dxa"/>
            <w:tcBorders>
              <w:top w:val="nil"/>
              <w:bottom w:val="nil"/>
            </w:tcBorders>
          </w:tcPr>
          <w:p>
            <w:pPr>
              <w:pStyle w:val="TableParagraph"/>
              <w:spacing w:before="51"/>
              <w:ind w:left="75"/>
              <w:rPr>
                <w:sz w:val="18"/>
              </w:rPr>
            </w:pPr>
            <w:r>
              <w:rPr>
                <w:sz w:val="18"/>
              </w:rPr>
              <w:t>VT2</w:t>
            </w:r>
          </w:p>
        </w:tc>
        <w:tc>
          <w:tcPr>
            <w:tcW w:w="744" w:type="dxa"/>
            <w:tcBorders>
              <w:top w:val="nil"/>
              <w:bottom w:val="nil"/>
              <w:right w:val="single" w:sz="8" w:space="0" w:color="000000"/>
            </w:tcBorders>
          </w:tcPr>
          <w:p>
            <w:pPr>
              <w:pStyle w:val="TableParagraph"/>
              <w:spacing w:before="102"/>
              <w:ind w:right="40"/>
              <w:jc w:val="right"/>
              <w:rPr>
                <w:sz w:val="18"/>
              </w:rPr>
            </w:pPr>
            <w:r>
              <w:rPr>
                <w:sz w:val="18"/>
              </w:rPr>
              <w:t>.425</w:t>
            </w:r>
          </w:p>
        </w:tc>
        <w:tc>
          <w:tcPr>
            <w:tcW w:w="742" w:type="dxa"/>
            <w:tcBorders>
              <w:top w:val="nil"/>
              <w:left w:val="single" w:sz="8" w:space="0" w:color="000000"/>
              <w:bottom w:val="nil"/>
              <w:right w:val="single" w:sz="8" w:space="0" w:color="000000"/>
            </w:tcBorders>
          </w:tcPr>
          <w:p>
            <w:pPr>
              <w:pStyle w:val="TableParagraph"/>
              <w:spacing w:before="102"/>
              <w:ind w:right="41"/>
              <w:jc w:val="right"/>
              <w:rPr>
                <w:sz w:val="18"/>
              </w:rPr>
            </w:pPr>
            <w:r>
              <w:rPr>
                <w:sz w:val="18"/>
              </w:rPr>
              <w:t>-.350</w:t>
            </w:r>
          </w:p>
        </w:tc>
        <w:tc>
          <w:tcPr>
            <w:tcW w:w="739" w:type="dxa"/>
            <w:vMerge/>
            <w:tcBorders>
              <w:top w:val="nil"/>
              <w:left w:val="single" w:sz="8" w:space="0" w:color="000000"/>
              <w:right w:val="single" w:sz="8" w:space="0" w:color="000000"/>
            </w:tcBorders>
          </w:tcPr>
          <w:p>
            <w:pPr>
              <w:rPr>
                <w:sz w:val="2"/>
                <w:szCs w:val="2"/>
              </w:rPr>
            </w:pPr>
          </w:p>
        </w:tc>
        <w:tc>
          <w:tcPr>
            <w:tcW w:w="739" w:type="dxa"/>
            <w:vMerge/>
            <w:tcBorders>
              <w:top w:val="nil"/>
              <w:left w:val="single" w:sz="8" w:space="0" w:color="000000"/>
              <w:right w:val="single" w:sz="8" w:space="0" w:color="000000"/>
            </w:tcBorders>
          </w:tcPr>
          <w:p>
            <w:pPr>
              <w:rPr>
                <w:sz w:val="2"/>
                <w:szCs w:val="2"/>
              </w:rPr>
            </w:pPr>
          </w:p>
        </w:tc>
        <w:tc>
          <w:tcPr>
            <w:tcW w:w="739" w:type="dxa"/>
            <w:tcBorders>
              <w:top w:val="nil"/>
              <w:left w:val="single" w:sz="8" w:space="0" w:color="000000"/>
              <w:bottom w:val="nil"/>
              <w:right w:val="single" w:sz="8" w:space="0" w:color="000000"/>
            </w:tcBorders>
          </w:tcPr>
          <w:p>
            <w:pPr>
              <w:pStyle w:val="TableParagraph"/>
              <w:spacing w:before="102"/>
              <w:ind w:right="36"/>
              <w:jc w:val="right"/>
              <w:rPr>
                <w:sz w:val="18"/>
              </w:rPr>
            </w:pPr>
            <w:r>
              <w:rPr>
                <w:sz w:val="18"/>
              </w:rPr>
              <w:t>.515</w:t>
            </w:r>
          </w:p>
        </w:tc>
        <w:tc>
          <w:tcPr>
            <w:tcW w:w="739" w:type="dxa"/>
            <w:vMerge/>
            <w:tcBorders>
              <w:top w:val="nil"/>
              <w:left w:val="single" w:sz="8" w:space="0" w:color="000000"/>
              <w:right w:val="single" w:sz="8" w:space="0" w:color="000000"/>
            </w:tcBorders>
          </w:tcPr>
          <w:p>
            <w:pPr>
              <w:rPr>
                <w:sz w:val="2"/>
                <w:szCs w:val="2"/>
              </w:rPr>
            </w:pPr>
          </w:p>
        </w:tc>
        <w:tc>
          <w:tcPr>
            <w:tcW w:w="739" w:type="dxa"/>
            <w:tcBorders>
              <w:top w:val="nil"/>
              <w:left w:val="single" w:sz="8" w:space="0" w:color="000000"/>
              <w:bottom w:val="nil"/>
              <w:right w:val="single" w:sz="8" w:space="0" w:color="000000"/>
            </w:tcBorders>
          </w:tcPr>
          <w:p>
            <w:pPr>
              <w:pStyle w:val="TableParagraph"/>
              <w:rPr>
                <w:sz w:val="18"/>
              </w:rPr>
            </w:pPr>
          </w:p>
        </w:tc>
        <w:tc>
          <w:tcPr>
            <w:tcW w:w="739" w:type="dxa"/>
            <w:tcBorders>
              <w:top w:val="nil"/>
              <w:left w:val="single" w:sz="8" w:space="0" w:color="000000"/>
              <w:bottom w:val="nil"/>
              <w:right w:val="single" w:sz="8" w:space="0" w:color="000000"/>
            </w:tcBorders>
          </w:tcPr>
          <w:p>
            <w:pPr>
              <w:pStyle w:val="TableParagraph"/>
              <w:rPr>
                <w:sz w:val="18"/>
              </w:rPr>
            </w:pPr>
          </w:p>
        </w:tc>
        <w:tc>
          <w:tcPr>
            <w:tcW w:w="740" w:type="dxa"/>
            <w:tcBorders>
              <w:top w:val="nil"/>
              <w:left w:val="single" w:sz="8" w:space="0" w:color="000000"/>
              <w:bottom w:val="nil"/>
              <w:right w:val="single" w:sz="8" w:space="0" w:color="000000"/>
            </w:tcBorders>
          </w:tcPr>
          <w:p>
            <w:pPr>
              <w:pStyle w:val="TableParagraph"/>
              <w:rPr>
                <w:sz w:val="18"/>
              </w:rPr>
            </w:pPr>
          </w:p>
        </w:tc>
        <w:tc>
          <w:tcPr>
            <w:tcW w:w="737" w:type="dxa"/>
            <w:tcBorders>
              <w:top w:val="nil"/>
              <w:left w:val="single" w:sz="8" w:space="0" w:color="000000"/>
              <w:bottom w:val="nil"/>
              <w:right w:val="single" w:sz="8" w:space="0" w:color="000000"/>
            </w:tcBorders>
          </w:tcPr>
          <w:p>
            <w:pPr>
              <w:pStyle w:val="TableParagraph"/>
              <w:rPr>
                <w:sz w:val="18"/>
              </w:rPr>
            </w:pPr>
          </w:p>
        </w:tc>
        <w:tc>
          <w:tcPr>
            <w:tcW w:w="744" w:type="dxa"/>
            <w:tcBorders>
              <w:top w:val="nil"/>
              <w:left w:val="single" w:sz="8" w:space="0" w:color="000000"/>
              <w:bottom w:val="nil"/>
            </w:tcBorders>
          </w:tcPr>
          <w:p>
            <w:pPr>
              <w:pStyle w:val="TableParagraph"/>
              <w:rPr>
                <w:sz w:val="18"/>
              </w:rPr>
            </w:pPr>
          </w:p>
        </w:tc>
      </w:tr>
      <w:tr>
        <w:trPr>
          <w:trHeight w:val="370" w:hRule="atLeast"/>
        </w:trPr>
        <w:tc>
          <w:tcPr>
            <w:tcW w:w="931" w:type="dxa"/>
            <w:tcBorders>
              <w:top w:val="nil"/>
              <w:bottom w:val="nil"/>
            </w:tcBorders>
          </w:tcPr>
          <w:p>
            <w:pPr>
              <w:pStyle w:val="TableParagraph"/>
              <w:spacing w:before="51"/>
              <w:ind w:left="75"/>
              <w:rPr>
                <w:sz w:val="18"/>
              </w:rPr>
            </w:pPr>
            <w:r>
              <w:rPr>
                <w:sz w:val="18"/>
              </w:rPr>
              <w:t>VT9</w:t>
            </w:r>
          </w:p>
        </w:tc>
        <w:tc>
          <w:tcPr>
            <w:tcW w:w="744" w:type="dxa"/>
            <w:tcBorders>
              <w:top w:val="nil"/>
              <w:bottom w:val="nil"/>
              <w:right w:val="single" w:sz="8" w:space="0" w:color="000000"/>
            </w:tcBorders>
          </w:tcPr>
          <w:p>
            <w:pPr>
              <w:pStyle w:val="TableParagraph"/>
              <w:spacing w:before="104"/>
              <w:ind w:right="39"/>
              <w:jc w:val="right"/>
              <w:rPr>
                <w:sz w:val="18"/>
              </w:rPr>
            </w:pPr>
            <w:r>
              <w:rPr>
                <w:sz w:val="18"/>
              </w:rPr>
              <w:t>.424</w:t>
            </w:r>
          </w:p>
        </w:tc>
        <w:tc>
          <w:tcPr>
            <w:tcW w:w="742" w:type="dxa"/>
            <w:tcBorders>
              <w:top w:val="nil"/>
              <w:left w:val="single" w:sz="8" w:space="0" w:color="000000"/>
              <w:bottom w:val="nil"/>
              <w:right w:val="single" w:sz="8" w:space="0" w:color="000000"/>
            </w:tcBorders>
          </w:tcPr>
          <w:p>
            <w:pPr>
              <w:pStyle w:val="TableParagraph"/>
              <w:spacing w:before="104"/>
              <w:ind w:right="40"/>
              <w:jc w:val="right"/>
              <w:rPr>
                <w:sz w:val="18"/>
              </w:rPr>
            </w:pPr>
            <w:r>
              <w:rPr>
                <w:sz w:val="18"/>
              </w:rPr>
              <w:t>-.369</w:t>
            </w:r>
          </w:p>
        </w:tc>
        <w:tc>
          <w:tcPr>
            <w:tcW w:w="739" w:type="dxa"/>
            <w:vMerge/>
            <w:tcBorders>
              <w:top w:val="nil"/>
              <w:left w:val="single" w:sz="8" w:space="0" w:color="000000"/>
              <w:right w:val="single" w:sz="8" w:space="0" w:color="000000"/>
            </w:tcBorders>
          </w:tcPr>
          <w:p>
            <w:pPr>
              <w:rPr>
                <w:sz w:val="2"/>
                <w:szCs w:val="2"/>
              </w:rPr>
            </w:pPr>
          </w:p>
        </w:tc>
        <w:tc>
          <w:tcPr>
            <w:tcW w:w="739" w:type="dxa"/>
            <w:vMerge/>
            <w:tcBorders>
              <w:top w:val="nil"/>
              <w:left w:val="single" w:sz="8" w:space="0" w:color="000000"/>
              <w:right w:val="single" w:sz="8" w:space="0" w:color="000000"/>
            </w:tcBorders>
          </w:tcPr>
          <w:p>
            <w:pPr>
              <w:rPr>
                <w:sz w:val="2"/>
                <w:szCs w:val="2"/>
              </w:rPr>
            </w:pPr>
          </w:p>
        </w:tc>
        <w:tc>
          <w:tcPr>
            <w:tcW w:w="739" w:type="dxa"/>
            <w:tcBorders>
              <w:top w:val="nil"/>
              <w:left w:val="single" w:sz="8" w:space="0" w:color="000000"/>
              <w:bottom w:val="nil"/>
              <w:right w:val="single" w:sz="8" w:space="0" w:color="000000"/>
            </w:tcBorders>
          </w:tcPr>
          <w:p>
            <w:pPr>
              <w:pStyle w:val="TableParagraph"/>
              <w:spacing w:before="104"/>
              <w:ind w:right="37"/>
              <w:jc w:val="right"/>
              <w:rPr>
                <w:sz w:val="18"/>
              </w:rPr>
            </w:pPr>
            <w:r>
              <w:rPr>
                <w:sz w:val="18"/>
              </w:rPr>
              <w:t>.453</w:t>
            </w:r>
          </w:p>
        </w:tc>
        <w:tc>
          <w:tcPr>
            <w:tcW w:w="739" w:type="dxa"/>
            <w:vMerge/>
            <w:tcBorders>
              <w:top w:val="nil"/>
              <w:left w:val="single" w:sz="8" w:space="0" w:color="000000"/>
              <w:right w:val="single" w:sz="8" w:space="0" w:color="000000"/>
            </w:tcBorders>
          </w:tcPr>
          <w:p>
            <w:pPr>
              <w:rPr>
                <w:sz w:val="2"/>
                <w:szCs w:val="2"/>
              </w:rPr>
            </w:pPr>
          </w:p>
        </w:tc>
        <w:tc>
          <w:tcPr>
            <w:tcW w:w="739" w:type="dxa"/>
            <w:tcBorders>
              <w:top w:val="nil"/>
              <w:left w:val="single" w:sz="8" w:space="0" w:color="000000"/>
              <w:bottom w:val="nil"/>
              <w:right w:val="single" w:sz="8" w:space="0" w:color="000000"/>
            </w:tcBorders>
          </w:tcPr>
          <w:p>
            <w:pPr>
              <w:pStyle w:val="TableParagraph"/>
              <w:rPr>
                <w:sz w:val="18"/>
              </w:rPr>
            </w:pPr>
          </w:p>
        </w:tc>
        <w:tc>
          <w:tcPr>
            <w:tcW w:w="739" w:type="dxa"/>
            <w:tcBorders>
              <w:top w:val="nil"/>
              <w:left w:val="single" w:sz="8" w:space="0" w:color="000000"/>
              <w:bottom w:val="nil"/>
              <w:right w:val="single" w:sz="8" w:space="0" w:color="000000"/>
            </w:tcBorders>
          </w:tcPr>
          <w:p>
            <w:pPr>
              <w:pStyle w:val="TableParagraph"/>
              <w:rPr>
                <w:sz w:val="18"/>
              </w:rPr>
            </w:pPr>
          </w:p>
        </w:tc>
        <w:tc>
          <w:tcPr>
            <w:tcW w:w="740" w:type="dxa"/>
            <w:tcBorders>
              <w:top w:val="nil"/>
              <w:left w:val="single" w:sz="8" w:space="0" w:color="000000"/>
              <w:bottom w:val="nil"/>
              <w:right w:val="single" w:sz="8" w:space="0" w:color="000000"/>
            </w:tcBorders>
          </w:tcPr>
          <w:p>
            <w:pPr>
              <w:pStyle w:val="TableParagraph"/>
              <w:rPr>
                <w:sz w:val="18"/>
              </w:rPr>
            </w:pPr>
          </w:p>
        </w:tc>
        <w:tc>
          <w:tcPr>
            <w:tcW w:w="737" w:type="dxa"/>
            <w:tcBorders>
              <w:top w:val="nil"/>
              <w:left w:val="single" w:sz="8" w:space="0" w:color="000000"/>
              <w:bottom w:val="nil"/>
              <w:right w:val="single" w:sz="8" w:space="0" w:color="000000"/>
            </w:tcBorders>
          </w:tcPr>
          <w:p>
            <w:pPr>
              <w:pStyle w:val="TableParagraph"/>
              <w:rPr>
                <w:sz w:val="18"/>
              </w:rPr>
            </w:pPr>
          </w:p>
        </w:tc>
        <w:tc>
          <w:tcPr>
            <w:tcW w:w="744" w:type="dxa"/>
            <w:tcBorders>
              <w:top w:val="nil"/>
              <w:left w:val="single" w:sz="8" w:space="0" w:color="000000"/>
              <w:bottom w:val="nil"/>
            </w:tcBorders>
          </w:tcPr>
          <w:p>
            <w:pPr>
              <w:pStyle w:val="TableParagraph"/>
              <w:rPr>
                <w:sz w:val="18"/>
              </w:rPr>
            </w:pPr>
          </w:p>
        </w:tc>
      </w:tr>
      <w:tr>
        <w:trPr>
          <w:trHeight w:val="342" w:hRule="atLeast"/>
        </w:trPr>
        <w:tc>
          <w:tcPr>
            <w:tcW w:w="931" w:type="dxa"/>
            <w:tcBorders>
              <w:top w:val="nil"/>
              <w:bottom w:val="nil"/>
            </w:tcBorders>
          </w:tcPr>
          <w:p>
            <w:pPr>
              <w:pStyle w:val="TableParagraph"/>
              <w:spacing w:before="51"/>
              <w:ind w:left="75"/>
              <w:rPr>
                <w:sz w:val="18"/>
              </w:rPr>
            </w:pPr>
            <w:r>
              <w:rPr>
                <w:sz w:val="18"/>
              </w:rPr>
              <w:t>ND5</w:t>
            </w:r>
          </w:p>
        </w:tc>
        <w:tc>
          <w:tcPr>
            <w:tcW w:w="744" w:type="dxa"/>
            <w:tcBorders>
              <w:top w:val="nil"/>
              <w:bottom w:val="nil"/>
              <w:right w:val="single" w:sz="8" w:space="0" w:color="000000"/>
            </w:tcBorders>
          </w:tcPr>
          <w:p>
            <w:pPr>
              <w:pStyle w:val="TableParagraph"/>
              <w:spacing w:before="101"/>
              <w:ind w:right="39"/>
              <w:jc w:val="right"/>
              <w:rPr>
                <w:sz w:val="18"/>
              </w:rPr>
            </w:pPr>
            <w:r>
              <w:rPr>
                <w:sz w:val="18"/>
              </w:rPr>
              <w:t>.532</w:t>
            </w:r>
          </w:p>
        </w:tc>
        <w:tc>
          <w:tcPr>
            <w:tcW w:w="742" w:type="dxa"/>
            <w:tcBorders>
              <w:top w:val="nil"/>
              <w:left w:val="single" w:sz="8" w:space="0" w:color="000000"/>
              <w:bottom w:val="nil"/>
              <w:right w:val="single" w:sz="8" w:space="0" w:color="000000"/>
            </w:tcBorders>
          </w:tcPr>
          <w:p>
            <w:pPr>
              <w:pStyle w:val="TableParagraph"/>
              <w:rPr>
                <w:sz w:val="18"/>
              </w:rPr>
            </w:pPr>
          </w:p>
        </w:tc>
        <w:tc>
          <w:tcPr>
            <w:tcW w:w="739" w:type="dxa"/>
            <w:vMerge/>
            <w:tcBorders>
              <w:top w:val="nil"/>
              <w:left w:val="single" w:sz="8" w:space="0" w:color="000000"/>
              <w:right w:val="single" w:sz="8" w:space="0" w:color="000000"/>
            </w:tcBorders>
          </w:tcPr>
          <w:p>
            <w:pPr>
              <w:rPr>
                <w:sz w:val="2"/>
                <w:szCs w:val="2"/>
              </w:rPr>
            </w:pPr>
          </w:p>
        </w:tc>
        <w:tc>
          <w:tcPr>
            <w:tcW w:w="739" w:type="dxa"/>
            <w:vMerge/>
            <w:tcBorders>
              <w:top w:val="nil"/>
              <w:left w:val="single" w:sz="8" w:space="0" w:color="000000"/>
              <w:right w:val="single" w:sz="8" w:space="0" w:color="000000"/>
            </w:tcBorders>
          </w:tcPr>
          <w:p>
            <w:pPr>
              <w:rPr>
                <w:sz w:val="2"/>
                <w:szCs w:val="2"/>
              </w:rPr>
            </w:pPr>
          </w:p>
        </w:tc>
        <w:tc>
          <w:tcPr>
            <w:tcW w:w="739" w:type="dxa"/>
            <w:tcBorders>
              <w:top w:val="nil"/>
              <w:left w:val="single" w:sz="8" w:space="0" w:color="000000"/>
              <w:bottom w:val="nil"/>
              <w:right w:val="single" w:sz="8" w:space="0" w:color="000000"/>
            </w:tcBorders>
          </w:tcPr>
          <w:p>
            <w:pPr>
              <w:pStyle w:val="TableParagraph"/>
              <w:rPr>
                <w:sz w:val="18"/>
              </w:rPr>
            </w:pPr>
          </w:p>
        </w:tc>
        <w:tc>
          <w:tcPr>
            <w:tcW w:w="739" w:type="dxa"/>
            <w:vMerge/>
            <w:tcBorders>
              <w:top w:val="nil"/>
              <w:left w:val="single" w:sz="8" w:space="0" w:color="000000"/>
              <w:right w:val="single" w:sz="8" w:space="0" w:color="000000"/>
            </w:tcBorders>
          </w:tcPr>
          <w:p>
            <w:pPr>
              <w:rPr>
                <w:sz w:val="2"/>
                <w:szCs w:val="2"/>
              </w:rPr>
            </w:pPr>
          </w:p>
        </w:tc>
        <w:tc>
          <w:tcPr>
            <w:tcW w:w="739" w:type="dxa"/>
            <w:tcBorders>
              <w:top w:val="nil"/>
              <w:left w:val="single" w:sz="8" w:space="0" w:color="000000"/>
              <w:bottom w:val="nil"/>
              <w:right w:val="single" w:sz="8" w:space="0" w:color="000000"/>
            </w:tcBorders>
          </w:tcPr>
          <w:p>
            <w:pPr>
              <w:pStyle w:val="TableParagraph"/>
              <w:rPr>
                <w:sz w:val="18"/>
              </w:rPr>
            </w:pPr>
          </w:p>
        </w:tc>
        <w:tc>
          <w:tcPr>
            <w:tcW w:w="739" w:type="dxa"/>
            <w:tcBorders>
              <w:top w:val="nil"/>
              <w:left w:val="single" w:sz="8" w:space="0" w:color="000000"/>
              <w:bottom w:val="nil"/>
              <w:right w:val="single" w:sz="8" w:space="0" w:color="000000"/>
            </w:tcBorders>
          </w:tcPr>
          <w:p>
            <w:pPr>
              <w:pStyle w:val="TableParagraph"/>
              <w:rPr>
                <w:sz w:val="18"/>
              </w:rPr>
            </w:pPr>
          </w:p>
        </w:tc>
        <w:tc>
          <w:tcPr>
            <w:tcW w:w="740" w:type="dxa"/>
            <w:tcBorders>
              <w:top w:val="nil"/>
              <w:left w:val="single" w:sz="8" w:space="0" w:color="000000"/>
              <w:bottom w:val="nil"/>
              <w:right w:val="single" w:sz="8" w:space="0" w:color="000000"/>
            </w:tcBorders>
          </w:tcPr>
          <w:p>
            <w:pPr>
              <w:pStyle w:val="TableParagraph"/>
              <w:rPr>
                <w:sz w:val="18"/>
              </w:rPr>
            </w:pPr>
          </w:p>
        </w:tc>
        <w:tc>
          <w:tcPr>
            <w:tcW w:w="737" w:type="dxa"/>
            <w:tcBorders>
              <w:top w:val="nil"/>
              <w:left w:val="single" w:sz="8" w:space="0" w:color="000000"/>
              <w:bottom w:val="nil"/>
              <w:right w:val="single" w:sz="8" w:space="0" w:color="000000"/>
            </w:tcBorders>
          </w:tcPr>
          <w:p>
            <w:pPr>
              <w:pStyle w:val="TableParagraph"/>
              <w:rPr>
                <w:sz w:val="18"/>
              </w:rPr>
            </w:pPr>
          </w:p>
        </w:tc>
        <w:tc>
          <w:tcPr>
            <w:tcW w:w="744" w:type="dxa"/>
            <w:tcBorders>
              <w:top w:val="nil"/>
              <w:left w:val="single" w:sz="8" w:space="0" w:color="000000"/>
              <w:bottom w:val="nil"/>
            </w:tcBorders>
          </w:tcPr>
          <w:p>
            <w:pPr>
              <w:pStyle w:val="TableParagraph"/>
              <w:rPr>
                <w:sz w:val="18"/>
              </w:rPr>
            </w:pPr>
          </w:p>
        </w:tc>
      </w:tr>
      <w:tr>
        <w:trPr>
          <w:trHeight w:val="395" w:hRule="atLeast"/>
        </w:trPr>
        <w:tc>
          <w:tcPr>
            <w:tcW w:w="931" w:type="dxa"/>
            <w:tcBorders>
              <w:top w:val="nil"/>
              <w:bottom w:val="nil"/>
            </w:tcBorders>
          </w:tcPr>
          <w:p>
            <w:pPr>
              <w:pStyle w:val="TableParagraph"/>
              <w:spacing w:before="76"/>
              <w:ind w:left="75"/>
              <w:rPr>
                <w:sz w:val="18"/>
              </w:rPr>
            </w:pPr>
            <w:r>
              <w:rPr>
                <w:sz w:val="18"/>
              </w:rPr>
              <w:t>CLDV2</w:t>
            </w:r>
          </w:p>
        </w:tc>
        <w:tc>
          <w:tcPr>
            <w:tcW w:w="744" w:type="dxa"/>
            <w:tcBorders>
              <w:top w:val="nil"/>
              <w:bottom w:val="nil"/>
              <w:right w:val="single" w:sz="8" w:space="0" w:color="000000"/>
            </w:tcBorders>
          </w:tcPr>
          <w:p>
            <w:pPr>
              <w:pStyle w:val="TableParagraph"/>
              <w:rPr>
                <w:sz w:val="18"/>
              </w:rPr>
            </w:pPr>
          </w:p>
        </w:tc>
        <w:tc>
          <w:tcPr>
            <w:tcW w:w="742" w:type="dxa"/>
            <w:tcBorders>
              <w:top w:val="nil"/>
              <w:left w:val="single" w:sz="8" w:space="0" w:color="000000"/>
              <w:bottom w:val="nil"/>
              <w:right w:val="single" w:sz="8" w:space="0" w:color="000000"/>
            </w:tcBorders>
          </w:tcPr>
          <w:p>
            <w:pPr>
              <w:pStyle w:val="TableParagraph"/>
              <w:rPr>
                <w:sz w:val="18"/>
              </w:rPr>
            </w:pPr>
          </w:p>
        </w:tc>
        <w:tc>
          <w:tcPr>
            <w:tcW w:w="739" w:type="dxa"/>
            <w:vMerge/>
            <w:tcBorders>
              <w:top w:val="nil"/>
              <w:left w:val="single" w:sz="8" w:space="0" w:color="000000"/>
              <w:right w:val="single" w:sz="8" w:space="0" w:color="000000"/>
            </w:tcBorders>
          </w:tcPr>
          <w:p>
            <w:pPr>
              <w:rPr>
                <w:sz w:val="2"/>
                <w:szCs w:val="2"/>
              </w:rPr>
            </w:pPr>
          </w:p>
        </w:tc>
        <w:tc>
          <w:tcPr>
            <w:tcW w:w="739" w:type="dxa"/>
            <w:vMerge/>
            <w:tcBorders>
              <w:top w:val="nil"/>
              <w:left w:val="single" w:sz="8" w:space="0" w:color="000000"/>
              <w:right w:val="single" w:sz="8" w:space="0" w:color="000000"/>
            </w:tcBorders>
          </w:tcPr>
          <w:p>
            <w:pPr>
              <w:rPr>
                <w:sz w:val="2"/>
                <w:szCs w:val="2"/>
              </w:rPr>
            </w:pPr>
          </w:p>
        </w:tc>
        <w:tc>
          <w:tcPr>
            <w:tcW w:w="739" w:type="dxa"/>
            <w:tcBorders>
              <w:top w:val="nil"/>
              <w:left w:val="single" w:sz="8" w:space="0" w:color="000000"/>
              <w:bottom w:val="nil"/>
              <w:right w:val="single" w:sz="8" w:space="0" w:color="000000"/>
            </w:tcBorders>
          </w:tcPr>
          <w:p>
            <w:pPr>
              <w:pStyle w:val="TableParagraph"/>
              <w:rPr>
                <w:sz w:val="18"/>
              </w:rPr>
            </w:pPr>
          </w:p>
        </w:tc>
        <w:tc>
          <w:tcPr>
            <w:tcW w:w="739" w:type="dxa"/>
            <w:vMerge/>
            <w:tcBorders>
              <w:top w:val="nil"/>
              <w:left w:val="single" w:sz="8" w:space="0" w:color="000000"/>
              <w:right w:val="single" w:sz="8" w:space="0" w:color="000000"/>
            </w:tcBorders>
          </w:tcPr>
          <w:p>
            <w:pPr>
              <w:rPr>
                <w:sz w:val="2"/>
                <w:szCs w:val="2"/>
              </w:rPr>
            </w:pPr>
          </w:p>
        </w:tc>
        <w:tc>
          <w:tcPr>
            <w:tcW w:w="739" w:type="dxa"/>
            <w:tcBorders>
              <w:top w:val="nil"/>
              <w:left w:val="single" w:sz="8" w:space="0" w:color="000000"/>
              <w:bottom w:val="nil"/>
              <w:right w:val="single" w:sz="8" w:space="0" w:color="000000"/>
            </w:tcBorders>
          </w:tcPr>
          <w:p>
            <w:pPr>
              <w:pStyle w:val="TableParagraph"/>
              <w:spacing w:before="129"/>
              <w:ind w:right="35"/>
              <w:jc w:val="right"/>
              <w:rPr>
                <w:sz w:val="18"/>
              </w:rPr>
            </w:pPr>
            <w:r>
              <w:rPr>
                <w:sz w:val="18"/>
              </w:rPr>
              <w:t>.789</w:t>
            </w:r>
          </w:p>
        </w:tc>
        <w:tc>
          <w:tcPr>
            <w:tcW w:w="739" w:type="dxa"/>
            <w:tcBorders>
              <w:top w:val="nil"/>
              <w:left w:val="single" w:sz="8" w:space="0" w:color="000000"/>
              <w:bottom w:val="nil"/>
              <w:right w:val="single" w:sz="8" w:space="0" w:color="000000"/>
            </w:tcBorders>
          </w:tcPr>
          <w:p>
            <w:pPr>
              <w:pStyle w:val="TableParagraph"/>
              <w:rPr>
                <w:sz w:val="18"/>
              </w:rPr>
            </w:pPr>
          </w:p>
        </w:tc>
        <w:tc>
          <w:tcPr>
            <w:tcW w:w="740" w:type="dxa"/>
            <w:tcBorders>
              <w:top w:val="nil"/>
              <w:left w:val="single" w:sz="8" w:space="0" w:color="000000"/>
              <w:bottom w:val="nil"/>
              <w:right w:val="single" w:sz="8" w:space="0" w:color="000000"/>
            </w:tcBorders>
          </w:tcPr>
          <w:p>
            <w:pPr>
              <w:pStyle w:val="TableParagraph"/>
              <w:rPr>
                <w:sz w:val="18"/>
              </w:rPr>
            </w:pPr>
          </w:p>
        </w:tc>
        <w:tc>
          <w:tcPr>
            <w:tcW w:w="737" w:type="dxa"/>
            <w:tcBorders>
              <w:top w:val="nil"/>
              <w:left w:val="single" w:sz="8" w:space="0" w:color="000000"/>
              <w:bottom w:val="nil"/>
              <w:right w:val="single" w:sz="8" w:space="0" w:color="000000"/>
            </w:tcBorders>
          </w:tcPr>
          <w:p>
            <w:pPr>
              <w:pStyle w:val="TableParagraph"/>
              <w:rPr>
                <w:sz w:val="18"/>
              </w:rPr>
            </w:pPr>
          </w:p>
        </w:tc>
        <w:tc>
          <w:tcPr>
            <w:tcW w:w="744" w:type="dxa"/>
            <w:tcBorders>
              <w:top w:val="nil"/>
              <w:left w:val="single" w:sz="8" w:space="0" w:color="000000"/>
              <w:bottom w:val="nil"/>
            </w:tcBorders>
          </w:tcPr>
          <w:p>
            <w:pPr>
              <w:pStyle w:val="TableParagraph"/>
              <w:rPr>
                <w:sz w:val="18"/>
              </w:rPr>
            </w:pPr>
          </w:p>
        </w:tc>
      </w:tr>
      <w:tr>
        <w:trPr>
          <w:trHeight w:val="367" w:hRule="atLeast"/>
        </w:trPr>
        <w:tc>
          <w:tcPr>
            <w:tcW w:w="931" w:type="dxa"/>
            <w:tcBorders>
              <w:top w:val="nil"/>
              <w:bottom w:val="nil"/>
            </w:tcBorders>
          </w:tcPr>
          <w:p>
            <w:pPr>
              <w:pStyle w:val="TableParagraph"/>
              <w:spacing w:before="51"/>
              <w:ind w:left="75"/>
              <w:rPr>
                <w:sz w:val="18"/>
              </w:rPr>
            </w:pPr>
            <w:r>
              <w:rPr>
                <w:sz w:val="18"/>
              </w:rPr>
              <w:t>CLDV5</w:t>
            </w:r>
          </w:p>
        </w:tc>
        <w:tc>
          <w:tcPr>
            <w:tcW w:w="744" w:type="dxa"/>
            <w:tcBorders>
              <w:top w:val="nil"/>
              <w:bottom w:val="nil"/>
              <w:right w:val="single" w:sz="8" w:space="0" w:color="000000"/>
            </w:tcBorders>
          </w:tcPr>
          <w:p>
            <w:pPr>
              <w:pStyle w:val="TableParagraph"/>
              <w:rPr>
                <w:sz w:val="18"/>
              </w:rPr>
            </w:pPr>
          </w:p>
        </w:tc>
        <w:tc>
          <w:tcPr>
            <w:tcW w:w="742" w:type="dxa"/>
            <w:tcBorders>
              <w:top w:val="nil"/>
              <w:left w:val="single" w:sz="8" w:space="0" w:color="000000"/>
              <w:bottom w:val="nil"/>
              <w:right w:val="single" w:sz="8" w:space="0" w:color="000000"/>
            </w:tcBorders>
          </w:tcPr>
          <w:p>
            <w:pPr>
              <w:pStyle w:val="TableParagraph"/>
              <w:rPr>
                <w:sz w:val="18"/>
              </w:rPr>
            </w:pPr>
          </w:p>
        </w:tc>
        <w:tc>
          <w:tcPr>
            <w:tcW w:w="739" w:type="dxa"/>
            <w:vMerge/>
            <w:tcBorders>
              <w:top w:val="nil"/>
              <w:left w:val="single" w:sz="8" w:space="0" w:color="000000"/>
              <w:right w:val="single" w:sz="8" w:space="0" w:color="000000"/>
            </w:tcBorders>
          </w:tcPr>
          <w:p>
            <w:pPr>
              <w:rPr>
                <w:sz w:val="2"/>
                <w:szCs w:val="2"/>
              </w:rPr>
            </w:pPr>
          </w:p>
        </w:tc>
        <w:tc>
          <w:tcPr>
            <w:tcW w:w="739" w:type="dxa"/>
            <w:vMerge/>
            <w:tcBorders>
              <w:top w:val="nil"/>
              <w:left w:val="single" w:sz="8" w:space="0" w:color="000000"/>
              <w:right w:val="single" w:sz="8" w:space="0" w:color="000000"/>
            </w:tcBorders>
          </w:tcPr>
          <w:p>
            <w:pPr>
              <w:rPr>
                <w:sz w:val="2"/>
                <w:szCs w:val="2"/>
              </w:rPr>
            </w:pPr>
          </w:p>
        </w:tc>
        <w:tc>
          <w:tcPr>
            <w:tcW w:w="739" w:type="dxa"/>
            <w:tcBorders>
              <w:top w:val="nil"/>
              <w:left w:val="single" w:sz="8" w:space="0" w:color="000000"/>
              <w:bottom w:val="nil"/>
              <w:right w:val="single" w:sz="8" w:space="0" w:color="000000"/>
            </w:tcBorders>
          </w:tcPr>
          <w:p>
            <w:pPr>
              <w:pStyle w:val="TableParagraph"/>
              <w:rPr>
                <w:sz w:val="18"/>
              </w:rPr>
            </w:pPr>
          </w:p>
        </w:tc>
        <w:tc>
          <w:tcPr>
            <w:tcW w:w="739" w:type="dxa"/>
            <w:vMerge/>
            <w:tcBorders>
              <w:top w:val="nil"/>
              <w:left w:val="single" w:sz="8" w:space="0" w:color="000000"/>
              <w:right w:val="single" w:sz="8" w:space="0" w:color="000000"/>
            </w:tcBorders>
          </w:tcPr>
          <w:p>
            <w:pPr>
              <w:rPr>
                <w:sz w:val="2"/>
                <w:szCs w:val="2"/>
              </w:rPr>
            </w:pPr>
          </w:p>
        </w:tc>
        <w:tc>
          <w:tcPr>
            <w:tcW w:w="739" w:type="dxa"/>
            <w:tcBorders>
              <w:top w:val="nil"/>
              <w:left w:val="single" w:sz="8" w:space="0" w:color="000000"/>
              <w:bottom w:val="nil"/>
              <w:right w:val="single" w:sz="8" w:space="0" w:color="000000"/>
            </w:tcBorders>
          </w:tcPr>
          <w:p>
            <w:pPr>
              <w:pStyle w:val="TableParagraph"/>
              <w:spacing w:before="101"/>
              <w:ind w:right="35"/>
              <w:jc w:val="right"/>
              <w:rPr>
                <w:sz w:val="18"/>
              </w:rPr>
            </w:pPr>
            <w:r>
              <w:rPr>
                <w:sz w:val="18"/>
              </w:rPr>
              <w:t>.705</w:t>
            </w:r>
          </w:p>
        </w:tc>
        <w:tc>
          <w:tcPr>
            <w:tcW w:w="739" w:type="dxa"/>
            <w:tcBorders>
              <w:top w:val="nil"/>
              <w:left w:val="single" w:sz="8" w:space="0" w:color="000000"/>
              <w:bottom w:val="nil"/>
              <w:right w:val="single" w:sz="8" w:space="0" w:color="000000"/>
            </w:tcBorders>
          </w:tcPr>
          <w:p>
            <w:pPr>
              <w:pStyle w:val="TableParagraph"/>
              <w:rPr>
                <w:sz w:val="18"/>
              </w:rPr>
            </w:pPr>
          </w:p>
        </w:tc>
        <w:tc>
          <w:tcPr>
            <w:tcW w:w="740" w:type="dxa"/>
            <w:tcBorders>
              <w:top w:val="nil"/>
              <w:left w:val="single" w:sz="8" w:space="0" w:color="000000"/>
              <w:bottom w:val="nil"/>
              <w:right w:val="single" w:sz="8" w:space="0" w:color="000000"/>
            </w:tcBorders>
          </w:tcPr>
          <w:p>
            <w:pPr>
              <w:pStyle w:val="TableParagraph"/>
              <w:rPr>
                <w:sz w:val="18"/>
              </w:rPr>
            </w:pPr>
          </w:p>
        </w:tc>
        <w:tc>
          <w:tcPr>
            <w:tcW w:w="737" w:type="dxa"/>
            <w:tcBorders>
              <w:top w:val="nil"/>
              <w:left w:val="single" w:sz="8" w:space="0" w:color="000000"/>
              <w:bottom w:val="nil"/>
              <w:right w:val="single" w:sz="8" w:space="0" w:color="000000"/>
            </w:tcBorders>
          </w:tcPr>
          <w:p>
            <w:pPr>
              <w:pStyle w:val="TableParagraph"/>
              <w:rPr>
                <w:sz w:val="18"/>
              </w:rPr>
            </w:pPr>
          </w:p>
        </w:tc>
        <w:tc>
          <w:tcPr>
            <w:tcW w:w="744" w:type="dxa"/>
            <w:tcBorders>
              <w:top w:val="nil"/>
              <w:left w:val="single" w:sz="8" w:space="0" w:color="000000"/>
              <w:bottom w:val="nil"/>
            </w:tcBorders>
          </w:tcPr>
          <w:p>
            <w:pPr>
              <w:pStyle w:val="TableParagraph"/>
              <w:rPr>
                <w:sz w:val="18"/>
              </w:rPr>
            </w:pPr>
          </w:p>
        </w:tc>
      </w:tr>
      <w:tr>
        <w:trPr>
          <w:trHeight w:val="370" w:hRule="atLeast"/>
        </w:trPr>
        <w:tc>
          <w:tcPr>
            <w:tcW w:w="931" w:type="dxa"/>
            <w:tcBorders>
              <w:top w:val="nil"/>
              <w:bottom w:val="nil"/>
            </w:tcBorders>
          </w:tcPr>
          <w:p>
            <w:pPr>
              <w:pStyle w:val="TableParagraph"/>
              <w:spacing w:before="51"/>
              <w:ind w:left="75"/>
              <w:rPr>
                <w:sz w:val="18"/>
              </w:rPr>
            </w:pPr>
            <w:r>
              <w:rPr>
                <w:sz w:val="18"/>
              </w:rPr>
              <w:t>TC5</w:t>
            </w:r>
          </w:p>
        </w:tc>
        <w:tc>
          <w:tcPr>
            <w:tcW w:w="744" w:type="dxa"/>
            <w:tcBorders>
              <w:top w:val="nil"/>
              <w:bottom w:val="nil"/>
              <w:right w:val="single" w:sz="8" w:space="0" w:color="000000"/>
            </w:tcBorders>
          </w:tcPr>
          <w:p>
            <w:pPr>
              <w:pStyle w:val="TableParagraph"/>
              <w:rPr>
                <w:sz w:val="18"/>
              </w:rPr>
            </w:pPr>
          </w:p>
        </w:tc>
        <w:tc>
          <w:tcPr>
            <w:tcW w:w="742" w:type="dxa"/>
            <w:tcBorders>
              <w:top w:val="nil"/>
              <w:left w:val="single" w:sz="8" w:space="0" w:color="000000"/>
              <w:bottom w:val="nil"/>
              <w:right w:val="single" w:sz="8" w:space="0" w:color="000000"/>
            </w:tcBorders>
          </w:tcPr>
          <w:p>
            <w:pPr>
              <w:pStyle w:val="TableParagraph"/>
              <w:rPr>
                <w:sz w:val="18"/>
              </w:rPr>
            </w:pPr>
          </w:p>
        </w:tc>
        <w:tc>
          <w:tcPr>
            <w:tcW w:w="739" w:type="dxa"/>
            <w:vMerge/>
            <w:tcBorders>
              <w:top w:val="nil"/>
              <w:left w:val="single" w:sz="8" w:space="0" w:color="000000"/>
              <w:right w:val="single" w:sz="8" w:space="0" w:color="000000"/>
            </w:tcBorders>
          </w:tcPr>
          <w:p>
            <w:pPr>
              <w:rPr>
                <w:sz w:val="2"/>
                <w:szCs w:val="2"/>
              </w:rPr>
            </w:pPr>
          </w:p>
        </w:tc>
        <w:tc>
          <w:tcPr>
            <w:tcW w:w="739" w:type="dxa"/>
            <w:vMerge/>
            <w:tcBorders>
              <w:top w:val="nil"/>
              <w:left w:val="single" w:sz="8" w:space="0" w:color="000000"/>
              <w:right w:val="single" w:sz="8" w:space="0" w:color="000000"/>
            </w:tcBorders>
          </w:tcPr>
          <w:p>
            <w:pPr>
              <w:rPr>
                <w:sz w:val="2"/>
                <w:szCs w:val="2"/>
              </w:rPr>
            </w:pPr>
          </w:p>
        </w:tc>
        <w:tc>
          <w:tcPr>
            <w:tcW w:w="739" w:type="dxa"/>
            <w:tcBorders>
              <w:top w:val="nil"/>
              <w:left w:val="single" w:sz="8" w:space="0" w:color="000000"/>
              <w:bottom w:val="nil"/>
              <w:right w:val="single" w:sz="8" w:space="0" w:color="000000"/>
            </w:tcBorders>
          </w:tcPr>
          <w:p>
            <w:pPr>
              <w:pStyle w:val="TableParagraph"/>
              <w:rPr>
                <w:sz w:val="18"/>
              </w:rPr>
            </w:pPr>
          </w:p>
        </w:tc>
        <w:tc>
          <w:tcPr>
            <w:tcW w:w="739" w:type="dxa"/>
            <w:vMerge/>
            <w:tcBorders>
              <w:top w:val="nil"/>
              <w:left w:val="single" w:sz="8" w:space="0" w:color="000000"/>
              <w:right w:val="single" w:sz="8" w:space="0" w:color="000000"/>
            </w:tcBorders>
          </w:tcPr>
          <w:p>
            <w:pPr>
              <w:rPr>
                <w:sz w:val="2"/>
                <w:szCs w:val="2"/>
              </w:rPr>
            </w:pPr>
          </w:p>
        </w:tc>
        <w:tc>
          <w:tcPr>
            <w:tcW w:w="739" w:type="dxa"/>
            <w:tcBorders>
              <w:top w:val="nil"/>
              <w:left w:val="single" w:sz="8" w:space="0" w:color="000000"/>
              <w:bottom w:val="nil"/>
              <w:right w:val="single" w:sz="8" w:space="0" w:color="000000"/>
            </w:tcBorders>
          </w:tcPr>
          <w:p>
            <w:pPr>
              <w:pStyle w:val="TableParagraph"/>
              <w:rPr>
                <w:sz w:val="18"/>
              </w:rPr>
            </w:pPr>
          </w:p>
        </w:tc>
        <w:tc>
          <w:tcPr>
            <w:tcW w:w="739" w:type="dxa"/>
            <w:tcBorders>
              <w:top w:val="nil"/>
              <w:left w:val="single" w:sz="8" w:space="0" w:color="000000"/>
              <w:bottom w:val="nil"/>
              <w:right w:val="single" w:sz="8" w:space="0" w:color="000000"/>
            </w:tcBorders>
          </w:tcPr>
          <w:p>
            <w:pPr>
              <w:pStyle w:val="TableParagraph"/>
              <w:spacing w:before="104"/>
              <w:ind w:right="35"/>
              <w:jc w:val="right"/>
              <w:rPr>
                <w:sz w:val="18"/>
              </w:rPr>
            </w:pPr>
            <w:r>
              <w:rPr>
                <w:sz w:val="18"/>
              </w:rPr>
              <w:t>.694</w:t>
            </w:r>
          </w:p>
        </w:tc>
        <w:tc>
          <w:tcPr>
            <w:tcW w:w="740" w:type="dxa"/>
            <w:tcBorders>
              <w:top w:val="nil"/>
              <w:left w:val="single" w:sz="8" w:space="0" w:color="000000"/>
              <w:bottom w:val="nil"/>
              <w:right w:val="single" w:sz="8" w:space="0" w:color="000000"/>
            </w:tcBorders>
          </w:tcPr>
          <w:p>
            <w:pPr>
              <w:pStyle w:val="TableParagraph"/>
              <w:spacing w:before="104"/>
              <w:ind w:right="37"/>
              <w:jc w:val="right"/>
              <w:rPr>
                <w:sz w:val="18"/>
              </w:rPr>
            </w:pPr>
            <w:r>
              <w:rPr>
                <w:sz w:val="18"/>
              </w:rPr>
              <w:t>-.300</w:t>
            </w:r>
          </w:p>
        </w:tc>
        <w:tc>
          <w:tcPr>
            <w:tcW w:w="737" w:type="dxa"/>
            <w:tcBorders>
              <w:top w:val="nil"/>
              <w:left w:val="single" w:sz="8" w:space="0" w:color="000000"/>
              <w:bottom w:val="nil"/>
              <w:right w:val="single" w:sz="8" w:space="0" w:color="000000"/>
            </w:tcBorders>
          </w:tcPr>
          <w:p>
            <w:pPr>
              <w:pStyle w:val="TableParagraph"/>
              <w:rPr>
                <w:sz w:val="18"/>
              </w:rPr>
            </w:pPr>
          </w:p>
        </w:tc>
        <w:tc>
          <w:tcPr>
            <w:tcW w:w="744" w:type="dxa"/>
            <w:tcBorders>
              <w:top w:val="nil"/>
              <w:left w:val="single" w:sz="8" w:space="0" w:color="000000"/>
              <w:bottom w:val="nil"/>
            </w:tcBorders>
          </w:tcPr>
          <w:p>
            <w:pPr>
              <w:pStyle w:val="TableParagraph"/>
              <w:rPr>
                <w:sz w:val="18"/>
              </w:rPr>
            </w:pPr>
          </w:p>
        </w:tc>
      </w:tr>
      <w:tr>
        <w:trPr>
          <w:trHeight w:val="367" w:hRule="atLeast"/>
        </w:trPr>
        <w:tc>
          <w:tcPr>
            <w:tcW w:w="931" w:type="dxa"/>
            <w:tcBorders>
              <w:top w:val="nil"/>
              <w:bottom w:val="nil"/>
            </w:tcBorders>
          </w:tcPr>
          <w:p>
            <w:pPr>
              <w:pStyle w:val="TableParagraph"/>
              <w:spacing w:before="51"/>
              <w:ind w:left="75"/>
              <w:rPr>
                <w:sz w:val="18"/>
              </w:rPr>
            </w:pPr>
            <w:r>
              <w:rPr>
                <w:sz w:val="18"/>
              </w:rPr>
              <w:t>CLDV9</w:t>
            </w:r>
          </w:p>
        </w:tc>
        <w:tc>
          <w:tcPr>
            <w:tcW w:w="744" w:type="dxa"/>
            <w:tcBorders>
              <w:top w:val="nil"/>
              <w:bottom w:val="nil"/>
              <w:right w:val="single" w:sz="8" w:space="0" w:color="000000"/>
            </w:tcBorders>
          </w:tcPr>
          <w:p>
            <w:pPr>
              <w:pStyle w:val="TableParagraph"/>
              <w:rPr>
                <w:sz w:val="18"/>
              </w:rPr>
            </w:pPr>
          </w:p>
        </w:tc>
        <w:tc>
          <w:tcPr>
            <w:tcW w:w="742" w:type="dxa"/>
            <w:tcBorders>
              <w:top w:val="nil"/>
              <w:left w:val="single" w:sz="8" w:space="0" w:color="000000"/>
              <w:bottom w:val="nil"/>
              <w:right w:val="single" w:sz="8" w:space="0" w:color="000000"/>
            </w:tcBorders>
          </w:tcPr>
          <w:p>
            <w:pPr>
              <w:pStyle w:val="TableParagraph"/>
              <w:rPr>
                <w:sz w:val="18"/>
              </w:rPr>
            </w:pPr>
          </w:p>
        </w:tc>
        <w:tc>
          <w:tcPr>
            <w:tcW w:w="739" w:type="dxa"/>
            <w:vMerge/>
            <w:tcBorders>
              <w:top w:val="nil"/>
              <w:left w:val="single" w:sz="8" w:space="0" w:color="000000"/>
              <w:right w:val="single" w:sz="8" w:space="0" w:color="000000"/>
            </w:tcBorders>
          </w:tcPr>
          <w:p>
            <w:pPr>
              <w:rPr>
                <w:sz w:val="2"/>
                <w:szCs w:val="2"/>
              </w:rPr>
            </w:pPr>
          </w:p>
        </w:tc>
        <w:tc>
          <w:tcPr>
            <w:tcW w:w="739" w:type="dxa"/>
            <w:vMerge/>
            <w:tcBorders>
              <w:top w:val="nil"/>
              <w:left w:val="single" w:sz="8" w:space="0" w:color="000000"/>
              <w:right w:val="single" w:sz="8" w:space="0" w:color="000000"/>
            </w:tcBorders>
          </w:tcPr>
          <w:p>
            <w:pPr>
              <w:rPr>
                <w:sz w:val="2"/>
                <w:szCs w:val="2"/>
              </w:rPr>
            </w:pPr>
          </w:p>
        </w:tc>
        <w:tc>
          <w:tcPr>
            <w:tcW w:w="739" w:type="dxa"/>
            <w:tcBorders>
              <w:top w:val="nil"/>
              <w:left w:val="single" w:sz="8" w:space="0" w:color="000000"/>
              <w:bottom w:val="nil"/>
              <w:right w:val="single" w:sz="8" w:space="0" w:color="000000"/>
            </w:tcBorders>
          </w:tcPr>
          <w:p>
            <w:pPr>
              <w:pStyle w:val="TableParagraph"/>
              <w:rPr>
                <w:sz w:val="18"/>
              </w:rPr>
            </w:pPr>
          </w:p>
        </w:tc>
        <w:tc>
          <w:tcPr>
            <w:tcW w:w="739" w:type="dxa"/>
            <w:vMerge/>
            <w:tcBorders>
              <w:top w:val="nil"/>
              <w:left w:val="single" w:sz="8" w:space="0" w:color="000000"/>
              <w:right w:val="single" w:sz="8" w:space="0" w:color="000000"/>
            </w:tcBorders>
          </w:tcPr>
          <w:p>
            <w:pPr>
              <w:rPr>
                <w:sz w:val="2"/>
                <w:szCs w:val="2"/>
              </w:rPr>
            </w:pPr>
          </w:p>
        </w:tc>
        <w:tc>
          <w:tcPr>
            <w:tcW w:w="739" w:type="dxa"/>
            <w:tcBorders>
              <w:top w:val="nil"/>
              <w:left w:val="single" w:sz="8" w:space="0" w:color="000000"/>
              <w:bottom w:val="nil"/>
              <w:right w:val="single" w:sz="8" w:space="0" w:color="000000"/>
            </w:tcBorders>
          </w:tcPr>
          <w:p>
            <w:pPr>
              <w:pStyle w:val="TableParagraph"/>
              <w:rPr>
                <w:sz w:val="18"/>
              </w:rPr>
            </w:pPr>
          </w:p>
        </w:tc>
        <w:tc>
          <w:tcPr>
            <w:tcW w:w="739" w:type="dxa"/>
            <w:tcBorders>
              <w:top w:val="nil"/>
              <w:left w:val="single" w:sz="8" w:space="0" w:color="000000"/>
              <w:bottom w:val="nil"/>
              <w:right w:val="single" w:sz="8" w:space="0" w:color="000000"/>
            </w:tcBorders>
          </w:tcPr>
          <w:p>
            <w:pPr>
              <w:pStyle w:val="TableParagraph"/>
              <w:spacing w:before="101"/>
              <w:ind w:right="35"/>
              <w:jc w:val="right"/>
              <w:rPr>
                <w:sz w:val="18"/>
              </w:rPr>
            </w:pPr>
            <w:r>
              <w:rPr>
                <w:sz w:val="18"/>
              </w:rPr>
              <w:t>-.590</w:t>
            </w:r>
          </w:p>
        </w:tc>
        <w:tc>
          <w:tcPr>
            <w:tcW w:w="740" w:type="dxa"/>
            <w:tcBorders>
              <w:top w:val="nil"/>
              <w:left w:val="single" w:sz="8" w:space="0" w:color="000000"/>
              <w:bottom w:val="nil"/>
              <w:right w:val="single" w:sz="8" w:space="0" w:color="000000"/>
            </w:tcBorders>
          </w:tcPr>
          <w:p>
            <w:pPr>
              <w:pStyle w:val="TableParagraph"/>
              <w:rPr>
                <w:sz w:val="18"/>
              </w:rPr>
            </w:pPr>
          </w:p>
        </w:tc>
        <w:tc>
          <w:tcPr>
            <w:tcW w:w="737" w:type="dxa"/>
            <w:tcBorders>
              <w:top w:val="nil"/>
              <w:left w:val="single" w:sz="8" w:space="0" w:color="000000"/>
              <w:bottom w:val="nil"/>
              <w:right w:val="single" w:sz="8" w:space="0" w:color="000000"/>
            </w:tcBorders>
          </w:tcPr>
          <w:p>
            <w:pPr>
              <w:pStyle w:val="TableParagraph"/>
              <w:rPr>
                <w:sz w:val="18"/>
              </w:rPr>
            </w:pPr>
          </w:p>
        </w:tc>
        <w:tc>
          <w:tcPr>
            <w:tcW w:w="744" w:type="dxa"/>
            <w:tcBorders>
              <w:top w:val="nil"/>
              <w:left w:val="single" w:sz="8" w:space="0" w:color="000000"/>
              <w:bottom w:val="nil"/>
            </w:tcBorders>
          </w:tcPr>
          <w:p>
            <w:pPr>
              <w:pStyle w:val="TableParagraph"/>
              <w:rPr>
                <w:sz w:val="18"/>
              </w:rPr>
            </w:pPr>
          </w:p>
        </w:tc>
      </w:tr>
      <w:tr>
        <w:trPr>
          <w:trHeight w:val="370" w:hRule="atLeast"/>
        </w:trPr>
        <w:tc>
          <w:tcPr>
            <w:tcW w:w="931" w:type="dxa"/>
            <w:tcBorders>
              <w:top w:val="nil"/>
              <w:bottom w:val="nil"/>
            </w:tcBorders>
          </w:tcPr>
          <w:p>
            <w:pPr>
              <w:pStyle w:val="TableParagraph"/>
              <w:spacing w:before="51"/>
              <w:ind w:left="75"/>
              <w:rPr>
                <w:sz w:val="18"/>
              </w:rPr>
            </w:pPr>
            <w:r>
              <w:rPr>
                <w:sz w:val="18"/>
              </w:rPr>
              <w:t>VT1</w:t>
            </w:r>
          </w:p>
        </w:tc>
        <w:tc>
          <w:tcPr>
            <w:tcW w:w="744" w:type="dxa"/>
            <w:tcBorders>
              <w:top w:val="nil"/>
              <w:bottom w:val="nil"/>
              <w:right w:val="single" w:sz="8" w:space="0" w:color="000000"/>
            </w:tcBorders>
          </w:tcPr>
          <w:p>
            <w:pPr>
              <w:pStyle w:val="TableParagraph"/>
              <w:rPr>
                <w:sz w:val="18"/>
              </w:rPr>
            </w:pPr>
          </w:p>
        </w:tc>
        <w:tc>
          <w:tcPr>
            <w:tcW w:w="742" w:type="dxa"/>
            <w:tcBorders>
              <w:top w:val="nil"/>
              <w:left w:val="single" w:sz="8" w:space="0" w:color="000000"/>
              <w:bottom w:val="nil"/>
              <w:right w:val="single" w:sz="8" w:space="0" w:color="000000"/>
            </w:tcBorders>
          </w:tcPr>
          <w:p>
            <w:pPr>
              <w:pStyle w:val="TableParagraph"/>
              <w:rPr>
                <w:sz w:val="18"/>
              </w:rPr>
            </w:pPr>
          </w:p>
        </w:tc>
        <w:tc>
          <w:tcPr>
            <w:tcW w:w="739" w:type="dxa"/>
            <w:vMerge/>
            <w:tcBorders>
              <w:top w:val="nil"/>
              <w:left w:val="single" w:sz="8" w:space="0" w:color="000000"/>
              <w:right w:val="single" w:sz="8" w:space="0" w:color="000000"/>
            </w:tcBorders>
          </w:tcPr>
          <w:p>
            <w:pPr>
              <w:rPr>
                <w:sz w:val="2"/>
                <w:szCs w:val="2"/>
              </w:rPr>
            </w:pPr>
          </w:p>
        </w:tc>
        <w:tc>
          <w:tcPr>
            <w:tcW w:w="739" w:type="dxa"/>
            <w:vMerge/>
            <w:tcBorders>
              <w:top w:val="nil"/>
              <w:left w:val="single" w:sz="8" w:space="0" w:color="000000"/>
              <w:right w:val="single" w:sz="8" w:space="0" w:color="000000"/>
            </w:tcBorders>
          </w:tcPr>
          <w:p>
            <w:pPr>
              <w:rPr>
                <w:sz w:val="2"/>
                <w:szCs w:val="2"/>
              </w:rPr>
            </w:pPr>
          </w:p>
        </w:tc>
        <w:tc>
          <w:tcPr>
            <w:tcW w:w="739" w:type="dxa"/>
            <w:tcBorders>
              <w:top w:val="nil"/>
              <w:left w:val="single" w:sz="8" w:space="0" w:color="000000"/>
              <w:bottom w:val="nil"/>
              <w:right w:val="single" w:sz="8" w:space="0" w:color="000000"/>
            </w:tcBorders>
          </w:tcPr>
          <w:p>
            <w:pPr>
              <w:pStyle w:val="TableParagraph"/>
              <w:rPr>
                <w:sz w:val="18"/>
              </w:rPr>
            </w:pPr>
          </w:p>
        </w:tc>
        <w:tc>
          <w:tcPr>
            <w:tcW w:w="739" w:type="dxa"/>
            <w:vMerge/>
            <w:tcBorders>
              <w:top w:val="nil"/>
              <w:left w:val="single" w:sz="8" w:space="0" w:color="000000"/>
              <w:right w:val="single" w:sz="8" w:space="0" w:color="000000"/>
            </w:tcBorders>
          </w:tcPr>
          <w:p>
            <w:pPr>
              <w:rPr>
                <w:sz w:val="2"/>
                <w:szCs w:val="2"/>
              </w:rPr>
            </w:pPr>
          </w:p>
        </w:tc>
        <w:tc>
          <w:tcPr>
            <w:tcW w:w="739" w:type="dxa"/>
            <w:tcBorders>
              <w:top w:val="nil"/>
              <w:left w:val="single" w:sz="8" w:space="0" w:color="000000"/>
              <w:bottom w:val="nil"/>
              <w:right w:val="single" w:sz="8" w:space="0" w:color="000000"/>
            </w:tcBorders>
          </w:tcPr>
          <w:p>
            <w:pPr>
              <w:pStyle w:val="TableParagraph"/>
              <w:rPr>
                <w:sz w:val="18"/>
              </w:rPr>
            </w:pPr>
          </w:p>
        </w:tc>
        <w:tc>
          <w:tcPr>
            <w:tcW w:w="739" w:type="dxa"/>
            <w:tcBorders>
              <w:top w:val="nil"/>
              <w:left w:val="single" w:sz="8" w:space="0" w:color="000000"/>
              <w:bottom w:val="nil"/>
              <w:right w:val="single" w:sz="8" w:space="0" w:color="000000"/>
            </w:tcBorders>
          </w:tcPr>
          <w:p>
            <w:pPr>
              <w:pStyle w:val="TableParagraph"/>
              <w:rPr>
                <w:sz w:val="18"/>
              </w:rPr>
            </w:pPr>
          </w:p>
        </w:tc>
        <w:tc>
          <w:tcPr>
            <w:tcW w:w="740" w:type="dxa"/>
            <w:tcBorders>
              <w:top w:val="nil"/>
              <w:left w:val="single" w:sz="8" w:space="0" w:color="000000"/>
              <w:bottom w:val="nil"/>
              <w:right w:val="single" w:sz="8" w:space="0" w:color="000000"/>
            </w:tcBorders>
          </w:tcPr>
          <w:p>
            <w:pPr>
              <w:pStyle w:val="TableParagraph"/>
              <w:spacing w:before="104"/>
              <w:ind w:right="36"/>
              <w:jc w:val="right"/>
              <w:rPr>
                <w:sz w:val="18"/>
              </w:rPr>
            </w:pPr>
            <w:r>
              <w:rPr>
                <w:sz w:val="18"/>
              </w:rPr>
              <w:t>.792</w:t>
            </w:r>
          </w:p>
        </w:tc>
        <w:tc>
          <w:tcPr>
            <w:tcW w:w="737" w:type="dxa"/>
            <w:tcBorders>
              <w:top w:val="nil"/>
              <w:left w:val="single" w:sz="8" w:space="0" w:color="000000"/>
              <w:bottom w:val="nil"/>
              <w:right w:val="single" w:sz="8" w:space="0" w:color="000000"/>
            </w:tcBorders>
          </w:tcPr>
          <w:p>
            <w:pPr>
              <w:pStyle w:val="TableParagraph"/>
              <w:rPr>
                <w:sz w:val="18"/>
              </w:rPr>
            </w:pPr>
          </w:p>
        </w:tc>
        <w:tc>
          <w:tcPr>
            <w:tcW w:w="744" w:type="dxa"/>
            <w:tcBorders>
              <w:top w:val="nil"/>
              <w:left w:val="single" w:sz="8" w:space="0" w:color="000000"/>
              <w:bottom w:val="nil"/>
            </w:tcBorders>
          </w:tcPr>
          <w:p>
            <w:pPr>
              <w:pStyle w:val="TableParagraph"/>
              <w:rPr>
                <w:sz w:val="18"/>
              </w:rPr>
            </w:pPr>
          </w:p>
        </w:tc>
      </w:tr>
      <w:tr>
        <w:trPr>
          <w:trHeight w:val="368" w:hRule="atLeast"/>
        </w:trPr>
        <w:tc>
          <w:tcPr>
            <w:tcW w:w="931" w:type="dxa"/>
            <w:tcBorders>
              <w:top w:val="nil"/>
              <w:bottom w:val="nil"/>
            </w:tcBorders>
          </w:tcPr>
          <w:p>
            <w:pPr>
              <w:pStyle w:val="TableParagraph"/>
              <w:spacing w:before="51"/>
              <w:ind w:left="75"/>
              <w:rPr>
                <w:sz w:val="18"/>
              </w:rPr>
            </w:pPr>
            <w:r>
              <w:rPr>
                <w:sz w:val="18"/>
              </w:rPr>
              <w:t>VT4</w:t>
            </w:r>
          </w:p>
        </w:tc>
        <w:tc>
          <w:tcPr>
            <w:tcW w:w="744" w:type="dxa"/>
            <w:tcBorders>
              <w:top w:val="nil"/>
              <w:bottom w:val="nil"/>
              <w:right w:val="single" w:sz="8" w:space="0" w:color="000000"/>
            </w:tcBorders>
          </w:tcPr>
          <w:p>
            <w:pPr>
              <w:pStyle w:val="TableParagraph"/>
              <w:rPr>
                <w:sz w:val="18"/>
              </w:rPr>
            </w:pPr>
          </w:p>
        </w:tc>
        <w:tc>
          <w:tcPr>
            <w:tcW w:w="742" w:type="dxa"/>
            <w:tcBorders>
              <w:top w:val="nil"/>
              <w:left w:val="single" w:sz="8" w:space="0" w:color="000000"/>
              <w:bottom w:val="nil"/>
              <w:right w:val="single" w:sz="8" w:space="0" w:color="000000"/>
            </w:tcBorders>
          </w:tcPr>
          <w:p>
            <w:pPr>
              <w:pStyle w:val="TableParagraph"/>
              <w:rPr>
                <w:sz w:val="18"/>
              </w:rPr>
            </w:pPr>
          </w:p>
        </w:tc>
        <w:tc>
          <w:tcPr>
            <w:tcW w:w="739" w:type="dxa"/>
            <w:vMerge/>
            <w:tcBorders>
              <w:top w:val="nil"/>
              <w:left w:val="single" w:sz="8" w:space="0" w:color="000000"/>
              <w:right w:val="single" w:sz="8" w:space="0" w:color="000000"/>
            </w:tcBorders>
          </w:tcPr>
          <w:p>
            <w:pPr>
              <w:rPr>
                <w:sz w:val="2"/>
                <w:szCs w:val="2"/>
              </w:rPr>
            </w:pPr>
          </w:p>
        </w:tc>
        <w:tc>
          <w:tcPr>
            <w:tcW w:w="739" w:type="dxa"/>
            <w:vMerge/>
            <w:tcBorders>
              <w:top w:val="nil"/>
              <w:left w:val="single" w:sz="8" w:space="0" w:color="000000"/>
              <w:right w:val="single" w:sz="8" w:space="0" w:color="000000"/>
            </w:tcBorders>
          </w:tcPr>
          <w:p>
            <w:pPr>
              <w:rPr>
                <w:sz w:val="2"/>
                <w:szCs w:val="2"/>
              </w:rPr>
            </w:pPr>
          </w:p>
        </w:tc>
        <w:tc>
          <w:tcPr>
            <w:tcW w:w="739" w:type="dxa"/>
            <w:tcBorders>
              <w:top w:val="nil"/>
              <w:left w:val="single" w:sz="8" w:space="0" w:color="000000"/>
              <w:bottom w:val="nil"/>
              <w:right w:val="single" w:sz="8" w:space="0" w:color="000000"/>
            </w:tcBorders>
          </w:tcPr>
          <w:p>
            <w:pPr>
              <w:pStyle w:val="TableParagraph"/>
              <w:rPr>
                <w:sz w:val="18"/>
              </w:rPr>
            </w:pPr>
          </w:p>
        </w:tc>
        <w:tc>
          <w:tcPr>
            <w:tcW w:w="739" w:type="dxa"/>
            <w:vMerge/>
            <w:tcBorders>
              <w:top w:val="nil"/>
              <w:left w:val="single" w:sz="8" w:space="0" w:color="000000"/>
              <w:right w:val="single" w:sz="8" w:space="0" w:color="000000"/>
            </w:tcBorders>
          </w:tcPr>
          <w:p>
            <w:pPr>
              <w:rPr>
                <w:sz w:val="2"/>
                <w:szCs w:val="2"/>
              </w:rPr>
            </w:pPr>
          </w:p>
        </w:tc>
        <w:tc>
          <w:tcPr>
            <w:tcW w:w="739" w:type="dxa"/>
            <w:tcBorders>
              <w:top w:val="nil"/>
              <w:left w:val="single" w:sz="8" w:space="0" w:color="000000"/>
              <w:bottom w:val="nil"/>
              <w:right w:val="single" w:sz="8" w:space="0" w:color="000000"/>
            </w:tcBorders>
          </w:tcPr>
          <w:p>
            <w:pPr>
              <w:pStyle w:val="TableParagraph"/>
              <w:rPr>
                <w:sz w:val="18"/>
              </w:rPr>
            </w:pPr>
          </w:p>
        </w:tc>
        <w:tc>
          <w:tcPr>
            <w:tcW w:w="739" w:type="dxa"/>
            <w:tcBorders>
              <w:top w:val="nil"/>
              <w:left w:val="single" w:sz="8" w:space="0" w:color="000000"/>
              <w:bottom w:val="nil"/>
              <w:right w:val="single" w:sz="8" w:space="0" w:color="000000"/>
            </w:tcBorders>
          </w:tcPr>
          <w:p>
            <w:pPr>
              <w:pStyle w:val="TableParagraph"/>
              <w:rPr>
                <w:sz w:val="18"/>
              </w:rPr>
            </w:pPr>
          </w:p>
        </w:tc>
        <w:tc>
          <w:tcPr>
            <w:tcW w:w="740" w:type="dxa"/>
            <w:tcBorders>
              <w:top w:val="nil"/>
              <w:left w:val="single" w:sz="8" w:space="0" w:color="000000"/>
              <w:bottom w:val="nil"/>
              <w:right w:val="single" w:sz="8" w:space="0" w:color="000000"/>
            </w:tcBorders>
          </w:tcPr>
          <w:p>
            <w:pPr>
              <w:pStyle w:val="TableParagraph"/>
              <w:rPr>
                <w:sz w:val="18"/>
              </w:rPr>
            </w:pPr>
          </w:p>
        </w:tc>
        <w:tc>
          <w:tcPr>
            <w:tcW w:w="737" w:type="dxa"/>
            <w:tcBorders>
              <w:top w:val="nil"/>
              <w:left w:val="single" w:sz="8" w:space="0" w:color="000000"/>
              <w:bottom w:val="nil"/>
              <w:right w:val="single" w:sz="8" w:space="0" w:color="000000"/>
            </w:tcBorders>
          </w:tcPr>
          <w:p>
            <w:pPr>
              <w:pStyle w:val="TableParagraph"/>
              <w:spacing w:before="101"/>
              <w:ind w:right="35"/>
              <w:jc w:val="right"/>
              <w:rPr>
                <w:sz w:val="18"/>
              </w:rPr>
            </w:pPr>
            <w:r>
              <w:rPr>
                <w:sz w:val="18"/>
              </w:rPr>
              <w:t>.814</w:t>
            </w:r>
          </w:p>
        </w:tc>
        <w:tc>
          <w:tcPr>
            <w:tcW w:w="744" w:type="dxa"/>
            <w:tcBorders>
              <w:top w:val="nil"/>
              <w:left w:val="single" w:sz="8" w:space="0" w:color="000000"/>
              <w:bottom w:val="nil"/>
            </w:tcBorders>
          </w:tcPr>
          <w:p>
            <w:pPr>
              <w:pStyle w:val="TableParagraph"/>
              <w:spacing w:before="101"/>
              <w:ind w:right="36"/>
              <w:jc w:val="right"/>
              <w:rPr>
                <w:sz w:val="18"/>
              </w:rPr>
            </w:pPr>
            <w:r>
              <w:rPr>
                <w:sz w:val="18"/>
              </w:rPr>
              <w:t>-.307</w:t>
            </w:r>
          </w:p>
        </w:tc>
      </w:tr>
      <w:tr>
        <w:trPr>
          <w:trHeight w:val="370" w:hRule="atLeast"/>
        </w:trPr>
        <w:tc>
          <w:tcPr>
            <w:tcW w:w="931" w:type="dxa"/>
            <w:tcBorders>
              <w:top w:val="nil"/>
              <w:bottom w:val="nil"/>
            </w:tcBorders>
          </w:tcPr>
          <w:p>
            <w:pPr>
              <w:pStyle w:val="TableParagraph"/>
              <w:spacing w:before="51"/>
              <w:ind w:left="75"/>
              <w:rPr>
                <w:sz w:val="18"/>
              </w:rPr>
            </w:pPr>
            <w:r>
              <w:rPr>
                <w:sz w:val="18"/>
              </w:rPr>
              <w:t>VT8</w:t>
            </w:r>
          </w:p>
        </w:tc>
        <w:tc>
          <w:tcPr>
            <w:tcW w:w="744" w:type="dxa"/>
            <w:tcBorders>
              <w:top w:val="nil"/>
              <w:bottom w:val="nil"/>
              <w:right w:val="single" w:sz="8" w:space="0" w:color="000000"/>
            </w:tcBorders>
          </w:tcPr>
          <w:p>
            <w:pPr>
              <w:pStyle w:val="TableParagraph"/>
              <w:rPr>
                <w:sz w:val="18"/>
              </w:rPr>
            </w:pPr>
          </w:p>
        </w:tc>
        <w:tc>
          <w:tcPr>
            <w:tcW w:w="742" w:type="dxa"/>
            <w:tcBorders>
              <w:top w:val="nil"/>
              <w:left w:val="single" w:sz="8" w:space="0" w:color="000000"/>
              <w:bottom w:val="nil"/>
              <w:right w:val="single" w:sz="8" w:space="0" w:color="000000"/>
            </w:tcBorders>
          </w:tcPr>
          <w:p>
            <w:pPr>
              <w:pStyle w:val="TableParagraph"/>
              <w:rPr>
                <w:sz w:val="18"/>
              </w:rPr>
            </w:pPr>
          </w:p>
        </w:tc>
        <w:tc>
          <w:tcPr>
            <w:tcW w:w="739" w:type="dxa"/>
            <w:vMerge/>
            <w:tcBorders>
              <w:top w:val="nil"/>
              <w:left w:val="single" w:sz="8" w:space="0" w:color="000000"/>
              <w:right w:val="single" w:sz="8" w:space="0" w:color="000000"/>
            </w:tcBorders>
          </w:tcPr>
          <w:p>
            <w:pPr>
              <w:rPr>
                <w:sz w:val="2"/>
                <w:szCs w:val="2"/>
              </w:rPr>
            </w:pPr>
          </w:p>
        </w:tc>
        <w:tc>
          <w:tcPr>
            <w:tcW w:w="739" w:type="dxa"/>
            <w:vMerge/>
            <w:tcBorders>
              <w:top w:val="nil"/>
              <w:left w:val="single" w:sz="8" w:space="0" w:color="000000"/>
              <w:right w:val="single" w:sz="8" w:space="0" w:color="000000"/>
            </w:tcBorders>
          </w:tcPr>
          <w:p>
            <w:pPr>
              <w:rPr>
                <w:sz w:val="2"/>
                <w:szCs w:val="2"/>
              </w:rPr>
            </w:pPr>
          </w:p>
        </w:tc>
        <w:tc>
          <w:tcPr>
            <w:tcW w:w="739" w:type="dxa"/>
            <w:tcBorders>
              <w:top w:val="nil"/>
              <w:left w:val="single" w:sz="8" w:space="0" w:color="000000"/>
              <w:bottom w:val="nil"/>
              <w:right w:val="single" w:sz="8" w:space="0" w:color="000000"/>
            </w:tcBorders>
          </w:tcPr>
          <w:p>
            <w:pPr>
              <w:pStyle w:val="TableParagraph"/>
              <w:rPr>
                <w:sz w:val="18"/>
              </w:rPr>
            </w:pPr>
          </w:p>
        </w:tc>
        <w:tc>
          <w:tcPr>
            <w:tcW w:w="739" w:type="dxa"/>
            <w:vMerge/>
            <w:tcBorders>
              <w:top w:val="nil"/>
              <w:left w:val="single" w:sz="8" w:space="0" w:color="000000"/>
              <w:right w:val="single" w:sz="8" w:space="0" w:color="000000"/>
            </w:tcBorders>
          </w:tcPr>
          <w:p>
            <w:pPr>
              <w:rPr>
                <w:sz w:val="2"/>
                <w:szCs w:val="2"/>
              </w:rPr>
            </w:pPr>
          </w:p>
        </w:tc>
        <w:tc>
          <w:tcPr>
            <w:tcW w:w="739" w:type="dxa"/>
            <w:tcBorders>
              <w:top w:val="nil"/>
              <w:left w:val="single" w:sz="8" w:space="0" w:color="000000"/>
              <w:bottom w:val="nil"/>
              <w:right w:val="single" w:sz="8" w:space="0" w:color="000000"/>
            </w:tcBorders>
          </w:tcPr>
          <w:p>
            <w:pPr>
              <w:pStyle w:val="TableParagraph"/>
              <w:rPr>
                <w:sz w:val="18"/>
              </w:rPr>
            </w:pPr>
          </w:p>
        </w:tc>
        <w:tc>
          <w:tcPr>
            <w:tcW w:w="739" w:type="dxa"/>
            <w:tcBorders>
              <w:top w:val="nil"/>
              <w:left w:val="single" w:sz="8" w:space="0" w:color="000000"/>
              <w:bottom w:val="nil"/>
              <w:right w:val="single" w:sz="8" w:space="0" w:color="000000"/>
            </w:tcBorders>
          </w:tcPr>
          <w:p>
            <w:pPr>
              <w:pStyle w:val="TableParagraph"/>
              <w:spacing w:before="104"/>
              <w:ind w:right="35"/>
              <w:jc w:val="right"/>
              <w:rPr>
                <w:sz w:val="18"/>
              </w:rPr>
            </w:pPr>
            <w:r>
              <w:rPr>
                <w:sz w:val="18"/>
              </w:rPr>
              <w:t>.352</w:t>
            </w:r>
          </w:p>
        </w:tc>
        <w:tc>
          <w:tcPr>
            <w:tcW w:w="740" w:type="dxa"/>
            <w:tcBorders>
              <w:top w:val="nil"/>
              <w:left w:val="single" w:sz="8" w:space="0" w:color="000000"/>
              <w:bottom w:val="nil"/>
              <w:right w:val="single" w:sz="8" w:space="0" w:color="000000"/>
            </w:tcBorders>
          </w:tcPr>
          <w:p>
            <w:pPr>
              <w:pStyle w:val="TableParagraph"/>
              <w:spacing w:before="104"/>
              <w:ind w:right="37"/>
              <w:jc w:val="right"/>
              <w:rPr>
                <w:sz w:val="18"/>
              </w:rPr>
            </w:pPr>
            <w:r>
              <w:rPr>
                <w:sz w:val="18"/>
              </w:rPr>
              <w:t>.337</w:t>
            </w:r>
          </w:p>
        </w:tc>
        <w:tc>
          <w:tcPr>
            <w:tcW w:w="737" w:type="dxa"/>
            <w:tcBorders>
              <w:top w:val="nil"/>
              <w:left w:val="single" w:sz="8" w:space="0" w:color="000000"/>
              <w:bottom w:val="nil"/>
              <w:right w:val="single" w:sz="8" w:space="0" w:color="000000"/>
            </w:tcBorders>
          </w:tcPr>
          <w:p>
            <w:pPr>
              <w:pStyle w:val="TableParagraph"/>
              <w:rPr>
                <w:sz w:val="18"/>
              </w:rPr>
            </w:pPr>
          </w:p>
        </w:tc>
        <w:tc>
          <w:tcPr>
            <w:tcW w:w="744" w:type="dxa"/>
            <w:tcBorders>
              <w:top w:val="nil"/>
              <w:left w:val="single" w:sz="8" w:space="0" w:color="000000"/>
              <w:bottom w:val="nil"/>
            </w:tcBorders>
          </w:tcPr>
          <w:p>
            <w:pPr>
              <w:pStyle w:val="TableParagraph"/>
              <w:spacing w:before="104"/>
              <w:ind w:right="35"/>
              <w:jc w:val="right"/>
              <w:rPr>
                <w:sz w:val="18"/>
              </w:rPr>
            </w:pPr>
            <w:r>
              <w:rPr>
                <w:sz w:val="18"/>
              </w:rPr>
              <w:t>.609</w:t>
            </w:r>
          </w:p>
        </w:tc>
      </w:tr>
      <w:tr>
        <w:trPr>
          <w:trHeight w:val="460" w:hRule="atLeast"/>
        </w:trPr>
        <w:tc>
          <w:tcPr>
            <w:tcW w:w="931" w:type="dxa"/>
            <w:tcBorders>
              <w:top w:val="nil"/>
            </w:tcBorders>
          </w:tcPr>
          <w:p>
            <w:pPr>
              <w:pStyle w:val="TableParagraph"/>
              <w:spacing w:before="51"/>
              <w:ind w:left="75"/>
              <w:rPr>
                <w:sz w:val="18"/>
              </w:rPr>
            </w:pPr>
            <w:r>
              <w:rPr>
                <w:sz w:val="18"/>
              </w:rPr>
              <w:t>HT3</w:t>
            </w:r>
          </w:p>
        </w:tc>
        <w:tc>
          <w:tcPr>
            <w:tcW w:w="744" w:type="dxa"/>
            <w:tcBorders>
              <w:top w:val="nil"/>
              <w:right w:val="single" w:sz="8" w:space="0" w:color="000000"/>
            </w:tcBorders>
          </w:tcPr>
          <w:p>
            <w:pPr>
              <w:pStyle w:val="TableParagraph"/>
              <w:rPr>
                <w:sz w:val="18"/>
              </w:rPr>
            </w:pPr>
          </w:p>
        </w:tc>
        <w:tc>
          <w:tcPr>
            <w:tcW w:w="742" w:type="dxa"/>
            <w:tcBorders>
              <w:top w:val="nil"/>
              <w:left w:val="single" w:sz="8" w:space="0" w:color="000000"/>
              <w:right w:val="single" w:sz="8" w:space="0" w:color="000000"/>
            </w:tcBorders>
          </w:tcPr>
          <w:p>
            <w:pPr>
              <w:pStyle w:val="TableParagraph"/>
              <w:rPr>
                <w:sz w:val="18"/>
              </w:rPr>
            </w:pPr>
          </w:p>
        </w:tc>
        <w:tc>
          <w:tcPr>
            <w:tcW w:w="739" w:type="dxa"/>
            <w:vMerge/>
            <w:tcBorders>
              <w:top w:val="nil"/>
              <w:left w:val="single" w:sz="8" w:space="0" w:color="000000"/>
              <w:right w:val="single" w:sz="8" w:space="0" w:color="000000"/>
            </w:tcBorders>
          </w:tcPr>
          <w:p>
            <w:pPr>
              <w:rPr>
                <w:sz w:val="2"/>
                <w:szCs w:val="2"/>
              </w:rPr>
            </w:pPr>
          </w:p>
        </w:tc>
        <w:tc>
          <w:tcPr>
            <w:tcW w:w="739" w:type="dxa"/>
            <w:vMerge/>
            <w:tcBorders>
              <w:top w:val="nil"/>
              <w:left w:val="single" w:sz="8" w:space="0" w:color="000000"/>
              <w:right w:val="single" w:sz="8" w:space="0" w:color="000000"/>
            </w:tcBorders>
          </w:tcPr>
          <w:p>
            <w:pPr>
              <w:rPr>
                <w:sz w:val="2"/>
                <w:szCs w:val="2"/>
              </w:rPr>
            </w:pPr>
          </w:p>
        </w:tc>
        <w:tc>
          <w:tcPr>
            <w:tcW w:w="739" w:type="dxa"/>
            <w:tcBorders>
              <w:top w:val="nil"/>
              <w:left w:val="single" w:sz="8" w:space="0" w:color="000000"/>
              <w:right w:val="single" w:sz="8" w:space="0" w:color="000000"/>
            </w:tcBorders>
          </w:tcPr>
          <w:p>
            <w:pPr>
              <w:pStyle w:val="TableParagraph"/>
              <w:rPr>
                <w:sz w:val="18"/>
              </w:rPr>
            </w:pPr>
          </w:p>
        </w:tc>
        <w:tc>
          <w:tcPr>
            <w:tcW w:w="739" w:type="dxa"/>
            <w:vMerge/>
            <w:tcBorders>
              <w:top w:val="nil"/>
              <w:left w:val="single" w:sz="8" w:space="0" w:color="000000"/>
              <w:right w:val="single" w:sz="8" w:space="0" w:color="000000"/>
            </w:tcBorders>
          </w:tcPr>
          <w:p>
            <w:pPr>
              <w:rPr>
                <w:sz w:val="2"/>
                <w:szCs w:val="2"/>
              </w:rPr>
            </w:pPr>
          </w:p>
        </w:tc>
        <w:tc>
          <w:tcPr>
            <w:tcW w:w="739" w:type="dxa"/>
            <w:tcBorders>
              <w:top w:val="nil"/>
              <w:left w:val="single" w:sz="8" w:space="0" w:color="000000"/>
              <w:right w:val="single" w:sz="8" w:space="0" w:color="000000"/>
            </w:tcBorders>
          </w:tcPr>
          <w:p>
            <w:pPr>
              <w:pStyle w:val="TableParagraph"/>
              <w:spacing w:before="101"/>
              <w:ind w:right="35"/>
              <w:jc w:val="right"/>
              <w:rPr>
                <w:sz w:val="18"/>
              </w:rPr>
            </w:pPr>
            <w:r>
              <w:rPr>
                <w:sz w:val="18"/>
              </w:rPr>
              <w:t>.353</w:t>
            </w:r>
          </w:p>
        </w:tc>
        <w:tc>
          <w:tcPr>
            <w:tcW w:w="739" w:type="dxa"/>
            <w:tcBorders>
              <w:top w:val="nil"/>
              <w:left w:val="single" w:sz="8" w:space="0" w:color="000000"/>
              <w:right w:val="single" w:sz="8" w:space="0" w:color="000000"/>
            </w:tcBorders>
          </w:tcPr>
          <w:p>
            <w:pPr>
              <w:pStyle w:val="TableParagraph"/>
              <w:rPr>
                <w:sz w:val="18"/>
              </w:rPr>
            </w:pPr>
          </w:p>
        </w:tc>
        <w:tc>
          <w:tcPr>
            <w:tcW w:w="740" w:type="dxa"/>
            <w:tcBorders>
              <w:top w:val="nil"/>
              <w:left w:val="single" w:sz="8" w:space="0" w:color="000000"/>
              <w:right w:val="single" w:sz="8" w:space="0" w:color="000000"/>
            </w:tcBorders>
          </w:tcPr>
          <w:p>
            <w:pPr>
              <w:pStyle w:val="TableParagraph"/>
              <w:rPr>
                <w:sz w:val="18"/>
              </w:rPr>
            </w:pPr>
          </w:p>
        </w:tc>
        <w:tc>
          <w:tcPr>
            <w:tcW w:w="737" w:type="dxa"/>
            <w:tcBorders>
              <w:top w:val="nil"/>
              <w:left w:val="single" w:sz="8" w:space="0" w:color="000000"/>
              <w:right w:val="single" w:sz="8" w:space="0" w:color="000000"/>
            </w:tcBorders>
          </w:tcPr>
          <w:p>
            <w:pPr>
              <w:pStyle w:val="TableParagraph"/>
              <w:spacing w:before="101"/>
              <w:ind w:right="36"/>
              <w:jc w:val="right"/>
              <w:rPr>
                <w:sz w:val="18"/>
              </w:rPr>
            </w:pPr>
            <w:r>
              <w:rPr>
                <w:sz w:val="18"/>
              </w:rPr>
              <w:t>-.327</w:t>
            </w:r>
          </w:p>
        </w:tc>
        <w:tc>
          <w:tcPr>
            <w:tcW w:w="744" w:type="dxa"/>
            <w:tcBorders>
              <w:top w:val="nil"/>
              <w:left w:val="single" w:sz="8" w:space="0" w:color="000000"/>
            </w:tcBorders>
          </w:tcPr>
          <w:p>
            <w:pPr>
              <w:pStyle w:val="TableParagraph"/>
              <w:spacing w:before="101"/>
              <w:ind w:right="35"/>
              <w:jc w:val="right"/>
              <w:rPr>
                <w:sz w:val="18"/>
              </w:rPr>
            </w:pPr>
            <w:r>
              <w:rPr>
                <w:sz w:val="18"/>
              </w:rPr>
              <w:t>-.396</w:t>
            </w:r>
          </w:p>
        </w:tc>
      </w:tr>
    </w:tbl>
    <w:p>
      <w:pPr>
        <w:spacing w:before="2"/>
        <w:ind w:left="942" w:right="0" w:firstLine="0"/>
        <w:jc w:val="left"/>
        <w:rPr>
          <w:sz w:val="18"/>
        </w:rPr>
      </w:pPr>
      <w:r>
        <w:rPr>
          <w:sz w:val="18"/>
        </w:rPr>
        <w:t>Extraction Method: Principal Component Analysis.</w:t>
      </w:r>
    </w:p>
    <w:p>
      <w:pPr>
        <w:pStyle w:val="ListParagraph"/>
        <w:numPr>
          <w:ilvl w:val="1"/>
          <w:numId w:val="45"/>
        </w:numPr>
        <w:tabs>
          <w:tab w:pos="1113" w:val="left" w:leader="none"/>
        </w:tabs>
        <w:spacing w:line="240" w:lineRule="auto" w:before="103" w:after="0"/>
        <w:ind w:left="1112" w:right="0" w:hanging="171"/>
        <w:jc w:val="left"/>
        <w:rPr>
          <w:sz w:val="18"/>
        </w:rPr>
      </w:pPr>
      <w:r>
        <w:rPr>
          <w:sz w:val="18"/>
        </w:rPr>
        <w:t>11 components extracted.</w:t>
      </w:r>
    </w:p>
    <w:p>
      <w:pPr>
        <w:pStyle w:val="BodyText"/>
        <w:rPr>
          <w:sz w:val="20"/>
        </w:rPr>
      </w:pPr>
    </w:p>
    <w:p>
      <w:pPr>
        <w:pStyle w:val="BodyText"/>
        <w:spacing w:before="11"/>
        <w:rPr>
          <w:sz w:val="24"/>
        </w:rPr>
      </w:pPr>
    </w:p>
    <w:p>
      <w:pPr>
        <w:pStyle w:val="ListParagraph"/>
        <w:numPr>
          <w:ilvl w:val="0"/>
          <w:numId w:val="45"/>
        </w:numPr>
        <w:tabs>
          <w:tab w:pos="1190" w:val="left" w:leader="none"/>
        </w:tabs>
        <w:spacing w:line="360" w:lineRule="auto" w:before="0" w:after="0"/>
        <w:ind w:left="882" w:right="2948" w:firstLine="0"/>
        <w:jc w:val="left"/>
        <w:rPr>
          <w:b/>
          <w:i/>
          <w:sz w:val="24"/>
        </w:rPr>
      </w:pPr>
      <w:r>
        <w:rPr>
          <w:b/>
          <w:i/>
          <w:sz w:val="24"/>
          <w:u w:val="thick"/>
        </w:rPr>
        <w:t>Kiểm định độ tin cậy của các thang đo trong định lượng chính thức </w:t>
      </w:r>
      <w:r>
        <w:rPr>
          <w:b/>
          <w:i/>
          <w:sz w:val="24"/>
          <w:u w:val="thick"/>
        </w:rPr>
        <w:t>II.1 Thang đo cơ sở hạ</w:t>
      </w:r>
      <w:r>
        <w:rPr>
          <w:b/>
          <w:i/>
          <w:spacing w:val="-4"/>
          <w:sz w:val="24"/>
          <w:u w:val="thick"/>
        </w:rPr>
        <w:t> </w:t>
      </w:r>
      <w:r>
        <w:rPr>
          <w:b/>
          <w:i/>
          <w:sz w:val="24"/>
          <w:u w:val="thick"/>
        </w:rPr>
        <w:t>tầng</w:t>
      </w:r>
    </w:p>
    <w:p>
      <w:pPr>
        <w:pStyle w:val="BodyText"/>
        <w:spacing w:before="10"/>
        <w:rPr>
          <w:b/>
          <w:i/>
          <w:sz w:val="27"/>
        </w:rPr>
      </w:pPr>
    </w:p>
    <w:p>
      <w:pPr>
        <w:spacing w:before="93"/>
        <w:ind w:left="1856" w:right="0" w:firstLine="0"/>
        <w:jc w:val="left"/>
        <w:rPr>
          <w:b/>
          <w:sz w:val="18"/>
        </w:rPr>
      </w:pPr>
      <w:r>
        <w:rPr/>
        <w:pict>
          <v:shape style="position:absolute;margin-left:84.143997pt;margin-top:20.252329pt;width:202.5pt;height:72.05pt;mso-position-horizontal-relative:page;mso-position-vertical-relative:paragraph;z-index:15797248" type="#_x0000_t202" filled="false" stroked="false">
            <v:textbox inset="0,0,0,0">
              <w:txbxContent>
                <w:tbl>
                  <w:tblPr>
                    <w:tblW w:w="0" w:type="auto"/>
                    <w:jc w:val="left"/>
                    <w:tblInd w:w="22" w:type="dxa"/>
                    <w:tblBorders>
                      <w:top w:val="single" w:sz="18" w:space="0" w:color="000000"/>
                      <w:left w:val="single" w:sz="18" w:space="0" w:color="000000"/>
                      <w:bottom w:val="single" w:sz="18" w:space="0" w:color="000000"/>
                      <w:right w:val="single" w:sz="18" w:space="0" w:color="000000"/>
                      <w:insideH w:val="single" w:sz="18" w:space="0" w:color="000000"/>
                      <w:insideV w:val="single" w:sz="18" w:space="0" w:color="000000"/>
                    </w:tblBorders>
                    <w:tblLayout w:type="fixed"/>
                    <w:tblCellMar>
                      <w:top w:w="0" w:type="dxa"/>
                      <w:left w:w="0" w:type="dxa"/>
                      <w:bottom w:w="0" w:type="dxa"/>
                      <w:right w:w="0" w:type="dxa"/>
                    </w:tblCellMar>
                    <w:tblLook w:val="01E0"/>
                  </w:tblPr>
                  <w:tblGrid>
                    <w:gridCol w:w="698"/>
                    <w:gridCol w:w="1274"/>
                    <w:gridCol w:w="1010"/>
                    <w:gridCol w:w="1007"/>
                  </w:tblGrid>
                  <w:tr>
                    <w:trPr>
                      <w:trHeight w:val="305" w:hRule="atLeast"/>
                    </w:trPr>
                    <w:tc>
                      <w:tcPr>
                        <w:tcW w:w="1972" w:type="dxa"/>
                        <w:gridSpan w:val="2"/>
                      </w:tcPr>
                      <w:p>
                        <w:pPr>
                          <w:pStyle w:val="TableParagraph"/>
                          <w:rPr>
                            <w:sz w:val="18"/>
                          </w:rPr>
                        </w:pPr>
                      </w:p>
                    </w:tc>
                    <w:tc>
                      <w:tcPr>
                        <w:tcW w:w="1010" w:type="dxa"/>
                        <w:tcBorders>
                          <w:right w:val="single" w:sz="8" w:space="0" w:color="000000"/>
                        </w:tcBorders>
                      </w:tcPr>
                      <w:p>
                        <w:pPr>
                          <w:pStyle w:val="TableParagraph"/>
                          <w:spacing w:line="204" w:lineRule="exact"/>
                          <w:ind w:left="36"/>
                          <w:jc w:val="center"/>
                          <w:rPr>
                            <w:sz w:val="18"/>
                          </w:rPr>
                        </w:pPr>
                        <w:r>
                          <w:rPr>
                            <w:w w:val="99"/>
                            <w:sz w:val="18"/>
                          </w:rPr>
                          <w:t>N</w:t>
                        </w:r>
                      </w:p>
                    </w:tc>
                    <w:tc>
                      <w:tcPr>
                        <w:tcW w:w="1007" w:type="dxa"/>
                        <w:tcBorders>
                          <w:left w:val="single" w:sz="8" w:space="0" w:color="000000"/>
                        </w:tcBorders>
                      </w:tcPr>
                      <w:p>
                        <w:pPr>
                          <w:pStyle w:val="TableParagraph"/>
                          <w:spacing w:line="204" w:lineRule="exact"/>
                          <w:ind w:left="42"/>
                          <w:jc w:val="center"/>
                          <w:rPr>
                            <w:sz w:val="18"/>
                          </w:rPr>
                        </w:pPr>
                        <w:r>
                          <w:rPr>
                            <w:w w:val="99"/>
                            <w:sz w:val="18"/>
                          </w:rPr>
                          <w:t>%</w:t>
                        </w:r>
                      </w:p>
                    </w:tc>
                  </w:tr>
                  <w:tr>
                    <w:trPr>
                      <w:trHeight w:val="275" w:hRule="atLeast"/>
                    </w:trPr>
                    <w:tc>
                      <w:tcPr>
                        <w:tcW w:w="698" w:type="dxa"/>
                        <w:tcBorders>
                          <w:bottom w:val="nil"/>
                          <w:right w:val="nil"/>
                        </w:tcBorders>
                      </w:tcPr>
                      <w:p>
                        <w:pPr>
                          <w:pStyle w:val="TableParagraph"/>
                          <w:rPr>
                            <w:sz w:val="18"/>
                          </w:rPr>
                        </w:pPr>
                      </w:p>
                    </w:tc>
                    <w:tc>
                      <w:tcPr>
                        <w:tcW w:w="1274" w:type="dxa"/>
                        <w:tcBorders>
                          <w:left w:val="nil"/>
                          <w:bottom w:val="nil"/>
                        </w:tcBorders>
                      </w:tcPr>
                      <w:p>
                        <w:pPr>
                          <w:pStyle w:val="TableParagraph"/>
                          <w:spacing w:line="204" w:lineRule="exact"/>
                          <w:ind w:left="221"/>
                          <w:rPr>
                            <w:sz w:val="18"/>
                          </w:rPr>
                        </w:pPr>
                        <w:r>
                          <w:rPr>
                            <w:sz w:val="18"/>
                          </w:rPr>
                          <w:t>Valid</w:t>
                        </w:r>
                      </w:p>
                    </w:tc>
                    <w:tc>
                      <w:tcPr>
                        <w:tcW w:w="1010" w:type="dxa"/>
                        <w:tcBorders>
                          <w:bottom w:val="nil"/>
                          <w:right w:val="single" w:sz="8" w:space="0" w:color="000000"/>
                        </w:tcBorders>
                      </w:tcPr>
                      <w:p>
                        <w:pPr>
                          <w:pStyle w:val="TableParagraph"/>
                          <w:spacing w:line="204" w:lineRule="exact"/>
                          <w:ind w:right="36"/>
                          <w:jc w:val="right"/>
                          <w:rPr>
                            <w:sz w:val="18"/>
                          </w:rPr>
                        </w:pPr>
                        <w:r>
                          <w:rPr>
                            <w:sz w:val="18"/>
                          </w:rPr>
                          <w:t>516</w:t>
                        </w:r>
                      </w:p>
                    </w:tc>
                    <w:tc>
                      <w:tcPr>
                        <w:tcW w:w="1007" w:type="dxa"/>
                        <w:tcBorders>
                          <w:left w:val="single" w:sz="8" w:space="0" w:color="000000"/>
                          <w:bottom w:val="nil"/>
                        </w:tcBorders>
                      </w:tcPr>
                      <w:p>
                        <w:pPr>
                          <w:pStyle w:val="TableParagraph"/>
                          <w:spacing w:line="204" w:lineRule="exact"/>
                          <w:ind w:right="33"/>
                          <w:jc w:val="right"/>
                          <w:rPr>
                            <w:sz w:val="18"/>
                          </w:rPr>
                        </w:pPr>
                        <w:r>
                          <w:rPr>
                            <w:sz w:val="18"/>
                          </w:rPr>
                          <w:t>100.0</w:t>
                        </w:r>
                      </w:p>
                    </w:tc>
                  </w:tr>
                  <w:tr>
                    <w:trPr>
                      <w:trHeight w:val="353" w:hRule="atLeast"/>
                    </w:trPr>
                    <w:tc>
                      <w:tcPr>
                        <w:tcW w:w="698" w:type="dxa"/>
                        <w:tcBorders>
                          <w:top w:val="nil"/>
                          <w:bottom w:val="nil"/>
                          <w:right w:val="nil"/>
                        </w:tcBorders>
                      </w:tcPr>
                      <w:p>
                        <w:pPr>
                          <w:pStyle w:val="TableParagraph"/>
                          <w:spacing w:before="71"/>
                          <w:ind w:left="75"/>
                          <w:rPr>
                            <w:sz w:val="18"/>
                          </w:rPr>
                        </w:pPr>
                        <w:r>
                          <w:rPr>
                            <w:sz w:val="18"/>
                          </w:rPr>
                          <w:t>Cases</w:t>
                        </w:r>
                      </w:p>
                    </w:tc>
                    <w:tc>
                      <w:tcPr>
                        <w:tcW w:w="1274" w:type="dxa"/>
                        <w:tcBorders>
                          <w:top w:val="nil"/>
                          <w:left w:val="nil"/>
                          <w:bottom w:val="nil"/>
                        </w:tcBorders>
                      </w:tcPr>
                      <w:p>
                        <w:pPr>
                          <w:pStyle w:val="TableParagraph"/>
                          <w:spacing w:before="71"/>
                          <w:ind w:left="221"/>
                          <w:rPr>
                            <w:sz w:val="18"/>
                          </w:rPr>
                        </w:pPr>
                        <w:r>
                          <w:rPr>
                            <w:sz w:val="18"/>
                          </w:rPr>
                          <w:t>Excluded</w:t>
                        </w:r>
                        <w:r>
                          <w:rPr>
                            <w:sz w:val="18"/>
                            <w:vertAlign w:val="superscript"/>
                          </w:rPr>
                          <w:t>a</w:t>
                        </w:r>
                      </w:p>
                    </w:tc>
                    <w:tc>
                      <w:tcPr>
                        <w:tcW w:w="1010" w:type="dxa"/>
                        <w:tcBorders>
                          <w:top w:val="nil"/>
                          <w:bottom w:val="nil"/>
                          <w:right w:val="single" w:sz="8" w:space="0" w:color="000000"/>
                        </w:tcBorders>
                      </w:tcPr>
                      <w:p>
                        <w:pPr>
                          <w:pStyle w:val="TableParagraph"/>
                          <w:spacing w:before="71"/>
                          <w:ind w:right="40"/>
                          <w:jc w:val="right"/>
                          <w:rPr>
                            <w:sz w:val="18"/>
                          </w:rPr>
                        </w:pPr>
                        <w:r>
                          <w:rPr>
                            <w:sz w:val="18"/>
                          </w:rPr>
                          <w:t>0</w:t>
                        </w:r>
                      </w:p>
                    </w:tc>
                    <w:tc>
                      <w:tcPr>
                        <w:tcW w:w="1007" w:type="dxa"/>
                        <w:tcBorders>
                          <w:top w:val="nil"/>
                          <w:left w:val="single" w:sz="8" w:space="0" w:color="000000"/>
                          <w:bottom w:val="nil"/>
                        </w:tcBorders>
                      </w:tcPr>
                      <w:p>
                        <w:pPr>
                          <w:pStyle w:val="TableParagraph"/>
                          <w:spacing w:before="71"/>
                          <w:ind w:right="33"/>
                          <w:jc w:val="right"/>
                          <w:rPr>
                            <w:sz w:val="18"/>
                          </w:rPr>
                        </w:pPr>
                        <w:r>
                          <w:rPr>
                            <w:sz w:val="18"/>
                          </w:rPr>
                          <w:t>.0</w:t>
                        </w:r>
                      </w:p>
                    </w:tc>
                  </w:tr>
                  <w:tr>
                    <w:trPr>
                      <w:trHeight w:val="376" w:hRule="atLeast"/>
                    </w:trPr>
                    <w:tc>
                      <w:tcPr>
                        <w:tcW w:w="698" w:type="dxa"/>
                        <w:tcBorders>
                          <w:top w:val="nil"/>
                          <w:right w:val="nil"/>
                        </w:tcBorders>
                      </w:tcPr>
                      <w:p>
                        <w:pPr>
                          <w:pStyle w:val="TableParagraph"/>
                          <w:rPr>
                            <w:sz w:val="18"/>
                          </w:rPr>
                        </w:pPr>
                      </w:p>
                    </w:tc>
                    <w:tc>
                      <w:tcPr>
                        <w:tcW w:w="1274" w:type="dxa"/>
                        <w:tcBorders>
                          <w:top w:val="nil"/>
                          <w:left w:val="nil"/>
                        </w:tcBorders>
                      </w:tcPr>
                      <w:p>
                        <w:pPr>
                          <w:pStyle w:val="TableParagraph"/>
                          <w:spacing w:before="68"/>
                          <w:ind w:left="221"/>
                          <w:rPr>
                            <w:sz w:val="18"/>
                          </w:rPr>
                        </w:pPr>
                        <w:r>
                          <w:rPr>
                            <w:sz w:val="18"/>
                          </w:rPr>
                          <w:t>Total</w:t>
                        </w:r>
                      </w:p>
                    </w:tc>
                    <w:tc>
                      <w:tcPr>
                        <w:tcW w:w="1010" w:type="dxa"/>
                        <w:tcBorders>
                          <w:top w:val="nil"/>
                          <w:right w:val="single" w:sz="8" w:space="0" w:color="000000"/>
                        </w:tcBorders>
                      </w:tcPr>
                      <w:p>
                        <w:pPr>
                          <w:pStyle w:val="TableParagraph"/>
                          <w:spacing w:before="68"/>
                          <w:ind w:right="37"/>
                          <w:jc w:val="right"/>
                          <w:rPr>
                            <w:sz w:val="18"/>
                          </w:rPr>
                        </w:pPr>
                        <w:r>
                          <w:rPr>
                            <w:sz w:val="18"/>
                          </w:rPr>
                          <w:t>516</w:t>
                        </w:r>
                      </w:p>
                    </w:tc>
                    <w:tc>
                      <w:tcPr>
                        <w:tcW w:w="1007" w:type="dxa"/>
                        <w:tcBorders>
                          <w:top w:val="nil"/>
                          <w:left w:val="single" w:sz="8" w:space="0" w:color="000000"/>
                        </w:tcBorders>
                      </w:tcPr>
                      <w:p>
                        <w:pPr>
                          <w:pStyle w:val="TableParagraph"/>
                          <w:spacing w:before="68"/>
                          <w:ind w:right="33"/>
                          <w:jc w:val="right"/>
                          <w:rPr>
                            <w:sz w:val="18"/>
                          </w:rPr>
                        </w:pPr>
                        <w:r>
                          <w:rPr>
                            <w:sz w:val="18"/>
                          </w:rPr>
                          <w:t>100.0</w:t>
                        </w:r>
                      </w:p>
                    </w:tc>
                  </w:tr>
                </w:tbl>
                <w:p>
                  <w:pPr>
                    <w:pStyle w:val="BodyText"/>
                  </w:pPr>
                </w:p>
              </w:txbxContent>
            </v:textbox>
            <w10:wrap type="none"/>
          </v:shape>
        </w:pict>
      </w:r>
      <w:r>
        <w:rPr>
          <w:b/>
          <w:sz w:val="18"/>
        </w:rPr>
        <w:t>Case Processing Summary</w:t>
      </w:r>
    </w:p>
    <w:p>
      <w:pPr>
        <w:pStyle w:val="BodyText"/>
        <w:rPr>
          <w:b/>
          <w:sz w:val="20"/>
        </w:rPr>
      </w:pPr>
    </w:p>
    <w:p>
      <w:pPr>
        <w:pStyle w:val="BodyText"/>
        <w:rPr>
          <w:b/>
          <w:sz w:val="20"/>
        </w:rPr>
      </w:pPr>
    </w:p>
    <w:p>
      <w:pPr>
        <w:pStyle w:val="BodyText"/>
        <w:rPr>
          <w:b/>
          <w:sz w:val="20"/>
        </w:rPr>
      </w:pPr>
    </w:p>
    <w:p>
      <w:pPr>
        <w:pStyle w:val="BodyText"/>
        <w:spacing w:before="8"/>
        <w:rPr>
          <w:b/>
        </w:rPr>
      </w:pPr>
    </w:p>
    <w:p>
      <w:pPr>
        <w:spacing w:after="0"/>
        <w:sectPr>
          <w:pgSz w:w="11910" w:h="16850"/>
          <w:pgMar w:header="751" w:footer="0" w:top="960" w:bottom="280" w:left="820" w:right="240"/>
        </w:sectPr>
      </w:pPr>
    </w:p>
    <w:p>
      <w:pPr>
        <w:pStyle w:val="BodyText"/>
        <w:rPr>
          <w:b/>
          <w:sz w:val="20"/>
        </w:rPr>
      </w:pPr>
    </w:p>
    <w:p>
      <w:pPr>
        <w:pStyle w:val="BodyText"/>
        <w:spacing w:before="10"/>
        <w:rPr>
          <w:b/>
          <w:sz w:val="27"/>
        </w:rPr>
      </w:pPr>
    </w:p>
    <w:p>
      <w:pPr>
        <w:pStyle w:val="ListParagraph"/>
        <w:numPr>
          <w:ilvl w:val="1"/>
          <w:numId w:val="45"/>
        </w:numPr>
        <w:tabs>
          <w:tab w:pos="1113" w:val="left" w:leader="none"/>
        </w:tabs>
        <w:spacing w:line="360" w:lineRule="auto" w:before="0" w:after="0"/>
        <w:ind w:left="942" w:right="38" w:firstLine="0"/>
        <w:jc w:val="left"/>
        <w:rPr>
          <w:sz w:val="18"/>
        </w:rPr>
      </w:pPr>
      <w:r>
        <w:rPr>
          <w:sz w:val="18"/>
        </w:rPr>
        <w:t>Listwise deletion based on all variables in the procedure.</w:t>
      </w:r>
    </w:p>
    <w:p>
      <w:pPr>
        <w:spacing w:before="92"/>
        <w:ind w:left="926" w:right="1846" w:firstLine="0"/>
        <w:jc w:val="center"/>
        <w:rPr>
          <w:b/>
          <w:sz w:val="18"/>
        </w:rPr>
      </w:pPr>
      <w:r>
        <w:rPr/>
        <w:br w:type="column"/>
      </w:r>
      <w:r>
        <w:rPr>
          <w:b/>
          <w:sz w:val="18"/>
        </w:rPr>
        <w:t>Reliability Statistics</w:t>
      </w:r>
    </w:p>
    <w:p>
      <w:pPr>
        <w:pStyle w:val="BodyText"/>
        <w:spacing w:before="11"/>
        <w:rPr>
          <w:b/>
          <w:sz w:val="8"/>
        </w:rPr>
      </w:pPr>
    </w:p>
    <w:tbl>
      <w:tblPr>
        <w:tblW w:w="0" w:type="auto"/>
        <w:jc w:val="left"/>
        <w:tblInd w:w="399" w:type="dxa"/>
        <w:tblBorders>
          <w:top w:val="single" w:sz="18" w:space="0" w:color="000000"/>
          <w:left w:val="single" w:sz="18" w:space="0" w:color="000000"/>
          <w:bottom w:val="single" w:sz="18" w:space="0" w:color="000000"/>
          <w:right w:val="single" w:sz="18" w:space="0" w:color="000000"/>
          <w:insideH w:val="single" w:sz="18" w:space="0" w:color="000000"/>
          <w:insideV w:val="single" w:sz="18" w:space="0" w:color="000000"/>
        </w:tblBorders>
        <w:tblLayout w:type="fixed"/>
        <w:tblCellMar>
          <w:top w:w="0" w:type="dxa"/>
          <w:left w:w="0" w:type="dxa"/>
          <w:bottom w:w="0" w:type="dxa"/>
          <w:right w:w="0" w:type="dxa"/>
        </w:tblCellMar>
        <w:tblLook w:val="01E0"/>
      </w:tblPr>
      <w:tblGrid>
        <w:gridCol w:w="1512"/>
        <w:gridCol w:w="1165"/>
      </w:tblGrid>
      <w:tr>
        <w:trPr>
          <w:trHeight w:val="305" w:hRule="atLeast"/>
        </w:trPr>
        <w:tc>
          <w:tcPr>
            <w:tcW w:w="1512" w:type="dxa"/>
            <w:tcBorders>
              <w:right w:val="single" w:sz="8" w:space="0" w:color="000000"/>
            </w:tcBorders>
          </w:tcPr>
          <w:p>
            <w:pPr>
              <w:pStyle w:val="TableParagraph"/>
              <w:spacing w:line="206" w:lineRule="exact"/>
              <w:ind w:right="71"/>
              <w:jc w:val="right"/>
              <w:rPr>
                <w:sz w:val="18"/>
              </w:rPr>
            </w:pPr>
            <w:r>
              <w:rPr>
                <w:sz w:val="18"/>
              </w:rPr>
              <w:t>Cronbach's Alpha</w:t>
            </w:r>
          </w:p>
        </w:tc>
        <w:tc>
          <w:tcPr>
            <w:tcW w:w="1165" w:type="dxa"/>
            <w:tcBorders>
              <w:left w:val="single" w:sz="8" w:space="0" w:color="000000"/>
            </w:tcBorders>
          </w:tcPr>
          <w:p>
            <w:pPr>
              <w:pStyle w:val="TableParagraph"/>
              <w:spacing w:line="206" w:lineRule="exact"/>
              <w:ind w:left="201"/>
              <w:rPr>
                <w:sz w:val="18"/>
              </w:rPr>
            </w:pPr>
            <w:r>
              <w:rPr>
                <w:sz w:val="18"/>
              </w:rPr>
              <w:t>N of Items</w:t>
            </w:r>
          </w:p>
        </w:tc>
      </w:tr>
      <w:tr>
        <w:trPr>
          <w:trHeight w:val="307" w:hRule="atLeast"/>
        </w:trPr>
        <w:tc>
          <w:tcPr>
            <w:tcW w:w="1512" w:type="dxa"/>
            <w:tcBorders>
              <w:right w:val="single" w:sz="8" w:space="0" w:color="000000"/>
            </w:tcBorders>
          </w:tcPr>
          <w:p>
            <w:pPr>
              <w:pStyle w:val="TableParagraph"/>
              <w:spacing w:line="206" w:lineRule="exact"/>
              <w:ind w:right="34"/>
              <w:jc w:val="right"/>
              <w:rPr>
                <w:sz w:val="18"/>
              </w:rPr>
            </w:pPr>
            <w:r>
              <w:rPr>
                <w:sz w:val="18"/>
              </w:rPr>
              <w:t>.784</w:t>
            </w:r>
          </w:p>
        </w:tc>
        <w:tc>
          <w:tcPr>
            <w:tcW w:w="1165" w:type="dxa"/>
            <w:tcBorders>
              <w:left w:val="single" w:sz="8" w:space="0" w:color="000000"/>
            </w:tcBorders>
          </w:tcPr>
          <w:p>
            <w:pPr>
              <w:pStyle w:val="TableParagraph"/>
              <w:spacing w:line="206" w:lineRule="exact"/>
              <w:ind w:right="37"/>
              <w:jc w:val="right"/>
              <w:rPr>
                <w:sz w:val="18"/>
              </w:rPr>
            </w:pPr>
            <w:r>
              <w:rPr>
                <w:sz w:val="18"/>
              </w:rPr>
              <w:t>7</w:t>
            </w:r>
          </w:p>
        </w:tc>
      </w:tr>
    </w:tbl>
    <w:p>
      <w:pPr>
        <w:spacing w:before="28"/>
        <w:ind w:left="926" w:right="1787" w:firstLine="0"/>
        <w:jc w:val="center"/>
        <w:rPr>
          <w:b/>
          <w:sz w:val="18"/>
        </w:rPr>
      </w:pPr>
      <w:r>
        <w:rPr>
          <w:b/>
          <w:sz w:val="18"/>
        </w:rPr>
        <w:t>Scale Statistics</w:t>
      </w:r>
    </w:p>
    <w:p>
      <w:pPr>
        <w:spacing w:after="0"/>
        <w:jc w:val="center"/>
        <w:rPr>
          <w:sz w:val="18"/>
        </w:rPr>
        <w:sectPr>
          <w:type w:val="continuous"/>
          <w:pgSz w:w="11910" w:h="16850"/>
          <w:pgMar w:top="1840" w:bottom="280" w:left="820" w:right="240"/>
          <w:cols w:num="2" w:equalWidth="0">
            <w:col w:w="4439" w:space="2063"/>
            <w:col w:w="4348"/>
          </w:cols>
        </w:sectPr>
      </w:pPr>
    </w:p>
    <w:p>
      <w:pPr>
        <w:pStyle w:val="BodyText"/>
        <w:spacing w:before="8"/>
        <w:rPr>
          <w:b/>
          <w:sz w:val="16"/>
        </w:rPr>
      </w:pPr>
    </w:p>
    <w:p>
      <w:pPr>
        <w:spacing w:before="0"/>
        <w:ind w:left="2552" w:right="0" w:firstLine="0"/>
        <w:jc w:val="left"/>
        <w:rPr>
          <w:b/>
          <w:sz w:val="18"/>
        </w:rPr>
      </w:pPr>
      <w:r>
        <w:rPr/>
        <w:pict>
          <v:shape style="position:absolute;margin-left:335.950012pt;margin-top:-4.437661pt;width:235.5pt;height:37.1pt;mso-position-horizontal-relative:page;mso-position-vertical-relative:paragraph;z-index:15797760" type="#_x0000_t202" filled="false" stroked="false">
            <v:textbox inset="0,0,0,0">
              <w:txbxContent>
                <w:tbl>
                  <w:tblPr>
                    <w:tblW w:w="0" w:type="auto"/>
                    <w:jc w:val="left"/>
                    <w:tblInd w:w="22" w:type="dxa"/>
                    <w:tblBorders>
                      <w:top w:val="single" w:sz="18" w:space="0" w:color="000000"/>
                      <w:left w:val="single" w:sz="18" w:space="0" w:color="000000"/>
                      <w:bottom w:val="single" w:sz="18" w:space="0" w:color="000000"/>
                      <w:right w:val="single" w:sz="18" w:space="0" w:color="000000"/>
                      <w:insideH w:val="single" w:sz="18" w:space="0" w:color="000000"/>
                      <w:insideV w:val="single" w:sz="18" w:space="0" w:color="000000"/>
                    </w:tblBorders>
                    <w:tblLayout w:type="fixed"/>
                    <w:tblCellMar>
                      <w:top w:w="0" w:type="dxa"/>
                      <w:left w:w="0" w:type="dxa"/>
                      <w:bottom w:w="0" w:type="dxa"/>
                      <w:right w:w="0" w:type="dxa"/>
                    </w:tblCellMar>
                    <w:tblLook w:val="01E0"/>
                  </w:tblPr>
                  <w:tblGrid>
                    <w:gridCol w:w="1027"/>
                    <w:gridCol w:w="1025"/>
                    <w:gridCol w:w="1448"/>
                    <w:gridCol w:w="1152"/>
                  </w:tblGrid>
                  <w:tr>
                    <w:trPr>
                      <w:trHeight w:val="305" w:hRule="atLeast"/>
                    </w:trPr>
                    <w:tc>
                      <w:tcPr>
                        <w:tcW w:w="1027" w:type="dxa"/>
                        <w:tcBorders>
                          <w:right w:val="single" w:sz="8" w:space="0" w:color="000000"/>
                        </w:tcBorders>
                      </w:tcPr>
                      <w:p>
                        <w:pPr>
                          <w:pStyle w:val="TableParagraph"/>
                          <w:spacing w:line="206" w:lineRule="exact"/>
                          <w:ind w:left="311"/>
                          <w:rPr>
                            <w:sz w:val="18"/>
                          </w:rPr>
                        </w:pPr>
                        <w:r>
                          <w:rPr>
                            <w:sz w:val="18"/>
                          </w:rPr>
                          <w:t>Mean</w:t>
                        </w:r>
                      </w:p>
                    </w:tc>
                    <w:tc>
                      <w:tcPr>
                        <w:tcW w:w="1025" w:type="dxa"/>
                        <w:tcBorders>
                          <w:left w:val="single" w:sz="8" w:space="0" w:color="000000"/>
                          <w:right w:val="single" w:sz="8" w:space="0" w:color="000000"/>
                        </w:tcBorders>
                      </w:tcPr>
                      <w:p>
                        <w:pPr>
                          <w:pStyle w:val="TableParagraph"/>
                          <w:spacing w:line="206" w:lineRule="exact"/>
                          <w:ind w:left="199"/>
                          <w:rPr>
                            <w:sz w:val="18"/>
                          </w:rPr>
                        </w:pPr>
                        <w:r>
                          <w:rPr>
                            <w:sz w:val="18"/>
                          </w:rPr>
                          <w:t>Variance</w:t>
                        </w:r>
                      </w:p>
                    </w:tc>
                    <w:tc>
                      <w:tcPr>
                        <w:tcW w:w="1448" w:type="dxa"/>
                        <w:tcBorders>
                          <w:left w:val="single" w:sz="8" w:space="0" w:color="000000"/>
                          <w:right w:val="single" w:sz="8" w:space="0" w:color="000000"/>
                        </w:tcBorders>
                      </w:tcPr>
                      <w:p>
                        <w:pPr>
                          <w:pStyle w:val="TableParagraph"/>
                          <w:spacing w:line="206" w:lineRule="exact"/>
                          <w:ind w:left="215"/>
                          <w:rPr>
                            <w:sz w:val="18"/>
                          </w:rPr>
                        </w:pPr>
                        <w:r>
                          <w:rPr>
                            <w:sz w:val="18"/>
                          </w:rPr>
                          <w:t>Std. Deviation</w:t>
                        </w:r>
                      </w:p>
                    </w:tc>
                    <w:tc>
                      <w:tcPr>
                        <w:tcW w:w="1152" w:type="dxa"/>
                        <w:tcBorders>
                          <w:left w:val="single" w:sz="8" w:space="0" w:color="000000"/>
                        </w:tcBorders>
                      </w:tcPr>
                      <w:p>
                        <w:pPr>
                          <w:pStyle w:val="TableParagraph"/>
                          <w:spacing w:line="206" w:lineRule="exact"/>
                          <w:ind w:left="196"/>
                          <w:rPr>
                            <w:sz w:val="18"/>
                          </w:rPr>
                        </w:pPr>
                        <w:r>
                          <w:rPr>
                            <w:sz w:val="18"/>
                          </w:rPr>
                          <w:t>N of Items</w:t>
                        </w:r>
                      </w:p>
                    </w:tc>
                  </w:tr>
                  <w:tr>
                    <w:trPr>
                      <w:trHeight w:val="307" w:hRule="atLeast"/>
                    </w:trPr>
                    <w:tc>
                      <w:tcPr>
                        <w:tcW w:w="1027" w:type="dxa"/>
                        <w:tcBorders>
                          <w:right w:val="single" w:sz="8" w:space="0" w:color="000000"/>
                        </w:tcBorders>
                      </w:tcPr>
                      <w:p>
                        <w:pPr>
                          <w:pStyle w:val="TableParagraph"/>
                          <w:spacing w:line="206" w:lineRule="exact"/>
                          <w:ind w:left="548"/>
                          <w:rPr>
                            <w:sz w:val="18"/>
                          </w:rPr>
                        </w:pPr>
                        <w:r>
                          <w:rPr>
                            <w:sz w:val="18"/>
                          </w:rPr>
                          <w:t>23.06</w:t>
                        </w:r>
                      </w:p>
                    </w:tc>
                    <w:tc>
                      <w:tcPr>
                        <w:tcW w:w="1025" w:type="dxa"/>
                        <w:tcBorders>
                          <w:left w:val="single" w:sz="8" w:space="0" w:color="000000"/>
                          <w:right w:val="single" w:sz="8" w:space="0" w:color="000000"/>
                        </w:tcBorders>
                      </w:tcPr>
                      <w:p>
                        <w:pPr>
                          <w:pStyle w:val="TableParagraph"/>
                          <w:spacing w:line="206" w:lineRule="exact"/>
                          <w:ind w:left="472"/>
                          <w:rPr>
                            <w:sz w:val="18"/>
                          </w:rPr>
                        </w:pPr>
                        <w:r>
                          <w:rPr>
                            <w:sz w:val="18"/>
                          </w:rPr>
                          <w:t>30.672</w:t>
                        </w:r>
                      </w:p>
                    </w:tc>
                    <w:tc>
                      <w:tcPr>
                        <w:tcW w:w="1448" w:type="dxa"/>
                        <w:tcBorders>
                          <w:left w:val="single" w:sz="8" w:space="0" w:color="000000"/>
                          <w:right w:val="single" w:sz="8" w:space="0" w:color="000000"/>
                        </w:tcBorders>
                      </w:tcPr>
                      <w:p>
                        <w:pPr>
                          <w:pStyle w:val="TableParagraph"/>
                          <w:spacing w:line="206" w:lineRule="exact"/>
                          <w:ind w:right="36"/>
                          <w:jc w:val="right"/>
                          <w:rPr>
                            <w:sz w:val="18"/>
                          </w:rPr>
                        </w:pPr>
                        <w:r>
                          <w:rPr>
                            <w:sz w:val="18"/>
                          </w:rPr>
                          <w:t>5.538</w:t>
                        </w:r>
                      </w:p>
                    </w:tc>
                    <w:tc>
                      <w:tcPr>
                        <w:tcW w:w="1152" w:type="dxa"/>
                        <w:tcBorders>
                          <w:left w:val="single" w:sz="8" w:space="0" w:color="000000"/>
                        </w:tcBorders>
                      </w:tcPr>
                      <w:p>
                        <w:pPr>
                          <w:pStyle w:val="TableParagraph"/>
                          <w:spacing w:line="206" w:lineRule="exact"/>
                          <w:ind w:right="36"/>
                          <w:jc w:val="right"/>
                          <w:rPr>
                            <w:sz w:val="18"/>
                          </w:rPr>
                        </w:pPr>
                        <w:r>
                          <w:rPr>
                            <w:sz w:val="18"/>
                          </w:rPr>
                          <w:t>7</w:t>
                        </w:r>
                      </w:p>
                    </w:tc>
                  </w:tr>
                </w:tbl>
                <w:p>
                  <w:pPr>
                    <w:pStyle w:val="BodyText"/>
                  </w:pPr>
                </w:p>
              </w:txbxContent>
            </v:textbox>
            <w10:wrap type="none"/>
          </v:shape>
        </w:pict>
      </w:r>
      <w:r>
        <w:rPr>
          <w:b/>
          <w:sz w:val="18"/>
        </w:rPr>
        <w:t>Item Statistics</w:t>
      </w:r>
    </w:p>
    <w:p>
      <w:pPr>
        <w:pStyle w:val="BodyText"/>
        <w:spacing w:before="10" w:after="1"/>
        <w:rPr>
          <w:b/>
          <w:sz w:val="8"/>
        </w:rPr>
      </w:pPr>
    </w:p>
    <w:tbl>
      <w:tblPr>
        <w:tblW w:w="0" w:type="auto"/>
        <w:jc w:val="left"/>
        <w:tblInd w:w="907" w:type="dxa"/>
        <w:tblBorders>
          <w:top w:val="single" w:sz="18" w:space="0" w:color="000000"/>
          <w:left w:val="single" w:sz="18" w:space="0" w:color="000000"/>
          <w:bottom w:val="single" w:sz="18" w:space="0" w:color="000000"/>
          <w:right w:val="single" w:sz="18" w:space="0" w:color="000000"/>
          <w:insideH w:val="single" w:sz="18" w:space="0" w:color="000000"/>
          <w:insideV w:val="single" w:sz="18" w:space="0" w:color="000000"/>
        </w:tblBorders>
        <w:tblLayout w:type="fixed"/>
        <w:tblCellMar>
          <w:top w:w="0" w:type="dxa"/>
          <w:left w:w="0" w:type="dxa"/>
          <w:bottom w:w="0" w:type="dxa"/>
          <w:right w:w="0" w:type="dxa"/>
        </w:tblCellMar>
        <w:tblLook w:val="01E0"/>
      </w:tblPr>
      <w:tblGrid>
        <w:gridCol w:w="996"/>
        <w:gridCol w:w="1008"/>
        <w:gridCol w:w="1424"/>
        <w:gridCol w:w="1008"/>
      </w:tblGrid>
      <w:tr>
        <w:trPr>
          <w:trHeight w:val="307" w:hRule="atLeast"/>
        </w:trPr>
        <w:tc>
          <w:tcPr>
            <w:tcW w:w="996" w:type="dxa"/>
          </w:tcPr>
          <w:p>
            <w:pPr>
              <w:pStyle w:val="TableParagraph"/>
              <w:rPr>
                <w:sz w:val="18"/>
              </w:rPr>
            </w:pPr>
          </w:p>
        </w:tc>
        <w:tc>
          <w:tcPr>
            <w:tcW w:w="1008" w:type="dxa"/>
            <w:tcBorders>
              <w:right w:val="single" w:sz="8" w:space="0" w:color="000000"/>
            </w:tcBorders>
          </w:tcPr>
          <w:p>
            <w:pPr>
              <w:pStyle w:val="TableParagraph"/>
              <w:spacing w:line="206" w:lineRule="exact"/>
              <w:ind w:left="299"/>
              <w:rPr>
                <w:sz w:val="18"/>
              </w:rPr>
            </w:pPr>
            <w:r>
              <w:rPr>
                <w:sz w:val="18"/>
              </w:rPr>
              <w:t>Mean</w:t>
            </w:r>
          </w:p>
        </w:tc>
        <w:tc>
          <w:tcPr>
            <w:tcW w:w="1424" w:type="dxa"/>
            <w:tcBorders>
              <w:left w:val="single" w:sz="8" w:space="0" w:color="000000"/>
              <w:right w:val="single" w:sz="8" w:space="0" w:color="000000"/>
            </w:tcBorders>
          </w:tcPr>
          <w:p>
            <w:pPr>
              <w:pStyle w:val="TableParagraph"/>
              <w:spacing w:line="206" w:lineRule="exact"/>
              <w:ind w:left="201"/>
              <w:rPr>
                <w:sz w:val="18"/>
              </w:rPr>
            </w:pPr>
            <w:r>
              <w:rPr>
                <w:sz w:val="18"/>
              </w:rPr>
              <w:t>Std. Deviation</w:t>
            </w:r>
          </w:p>
        </w:tc>
        <w:tc>
          <w:tcPr>
            <w:tcW w:w="1008" w:type="dxa"/>
            <w:tcBorders>
              <w:left w:val="single" w:sz="8" w:space="0" w:color="000000"/>
            </w:tcBorders>
          </w:tcPr>
          <w:p>
            <w:pPr>
              <w:pStyle w:val="TableParagraph"/>
              <w:spacing w:line="206" w:lineRule="exact"/>
              <w:ind w:left="41"/>
              <w:jc w:val="center"/>
              <w:rPr>
                <w:sz w:val="18"/>
              </w:rPr>
            </w:pPr>
            <w:r>
              <w:rPr>
                <w:w w:val="99"/>
                <w:sz w:val="18"/>
              </w:rPr>
              <w:t>N</w:t>
            </w:r>
          </w:p>
        </w:tc>
      </w:tr>
      <w:tr>
        <w:trPr>
          <w:trHeight w:val="260" w:hRule="atLeast"/>
        </w:trPr>
        <w:tc>
          <w:tcPr>
            <w:tcW w:w="996" w:type="dxa"/>
            <w:tcBorders>
              <w:bottom w:val="nil"/>
            </w:tcBorders>
          </w:tcPr>
          <w:p>
            <w:pPr>
              <w:pStyle w:val="TableParagraph"/>
              <w:spacing w:line="204" w:lineRule="exact"/>
              <w:ind w:left="75"/>
              <w:rPr>
                <w:sz w:val="18"/>
              </w:rPr>
            </w:pPr>
            <w:r>
              <w:rPr>
                <w:sz w:val="18"/>
              </w:rPr>
              <w:t>HT1</w:t>
            </w:r>
          </w:p>
        </w:tc>
        <w:tc>
          <w:tcPr>
            <w:tcW w:w="1008" w:type="dxa"/>
            <w:tcBorders>
              <w:bottom w:val="nil"/>
              <w:right w:val="single" w:sz="8" w:space="0" w:color="000000"/>
            </w:tcBorders>
          </w:tcPr>
          <w:p>
            <w:pPr>
              <w:pStyle w:val="TableParagraph"/>
              <w:spacing w:line="204" w:lineRule="exact"/>
              <w:ind w:right="37"/>
              <w:jc w:val="right"/>
              <w:rPr>
                <w:sz w:val="18"/>
              </w:rPr>
            </w:pPr>
            <w:r>
              <w:rPr>
                <w:sz w:val="18"/>
              </w:rPr>
              <w:t>3.85</w:t>
            </w:r>
          </w:p>
        </w:tc>
        <w:tc>
          <w:tcPr>
            <w:tcW w:w="1424" w:type="dxa"/>
            <w:tcBorders>
              <w:left w:val="single" w:sz="8" w:space="0" w:color="000000"/>
              <w:bottom w:val="nil"/>
              <w:right w:val="single" w:sz="8" w:space="0" w:color="000000"/>
            </w:tcBorders>
          </w:tcPr>
          <w:p>
            <w:pPr>
              <w:pStyle w:val="TableParagraph"/>
              <w:spacing w:line="204" w:lineRule="exact"/>
              <w:ind w:right="37"/>
              <w:jc w:val="right"/>
              <w:rPr>
                <w:sz w:val="18"/>
              </w:rPr>
            </w:pPr>
            <w:r>
              <w:rPr>
                <w:sz w:val="18"/>
              </w:rPr>
              <w:t>1.173</w:t>
            </w:r>
          </w:p>
        </w:tc>
        <w:tc>
          <w:tcPr>
            <w:tcW w:w="1008" w:type="dxa"/>
            <w:tcBorders>
              <w:left w:val="single" w:sz="8" w:space="0" w:color="000000"/>
              <w:bottom w:val="nil"/>
            </w:tcBorders>
          </w:tcPr>
          <w:p>
            <w:pPr>
              <w:pStyle w:val="TableParagraph"/>
              <w:spacing w:line="204" w:lineRule="exact"/>
              <w:ind w:right="33"/>
              <w:jc w:val="right"/>
              <w:rPr>
                <w:sz w:val="18"/>
              </w:rPr>
            </w:pPr>
            <w:r>
              <w:rPr>
                <w:sz w:val="18"/>
              </w:rPr>
              <w:t>516</w:t>
            </w:r>
          </w:p>
        </w:tc>
      </w:tr>
      <w:tr>
        <w:trPr>
          <w:trHeight w:val="311" w:hRule="atLeast"/>
        </w:trPr>
        <w:tc>
          <w:tcPr>
            <w:tcW w:w="996" w:type="dxa"/>
            <w:tcBorders>
              <w:top w:val="nil"/>
              <w:bottom w:val="nil"/>
            </w:tcBorders>
          </w:tcPr>
          <w:p>
            <w:pPr>
              <w:pStyle w:val="TableParagraph"/>
              <w:spacing w:before="49"/>
              <w:ind w:left="75"/>
              <w:rPr>
                <w:sz w:val="18"/>
              </w:rPr>
            </w:pPr>
            <w:r>
              <w:rPr>
                <w:sz w:val="18"/>
              </w:rPr>
              <w:t>HT2</w:t>
            </w:r>
          </w:p>
        </w:tc>
        <w:tc>
          <w:tcPr>
            <w:tcW w:w="1008" w:type="dxa"/>
            <w:tcBorders>
              <w:top w:val="nil"/>
              <w:bottom w:val="nil"/>
              <w:right w:val="single" w:sz="8" w:space="0" w:color="000000"/>
            </w:tcBorders>
          </w:tcPr>
          <w:p>
            <w:pPr>
              <w:pStyle w:val="TableParagraph"/>
              <w:spacing w:before="49"/>
              <w:ind w:right="38"/>
              <w:jc w:val="right"/>
              <w:rPr>
                <w:sz w:val="18"/>
              </w:rPr>
            </w:pPr>
            <w:r>
              <w:rPr>
                <w:sz w:val="18"/>
              </w:rPr>
              <w:t>3.80</w:t>
            </w:r>
          </w:p>
        </w:tc>
        <w:tc>
          <w:tcPr>
            <w:tcW w:w="1424" w:type="dxa"/>
            <w:tcBorders>
              <w:top w:val="nil"/>
              <w:left w:val="single" w:sz="8" w:space="0" w:color="000000"/>
              <w:bottom w:val="nil"/>
              <w:right w:val="single" w:sz="8" w:space="0" w:color="000000"/>
            </w:tcBorders>
          </w:tcPr>
          <w:p>
            <w:pPr>
              <w:pStyle w:val="TableParagraph"/>
              <w:spacing w:before="49"/>
              <w:ind w:right="37"/>
              <w:jc w:val="right"/>
              <w:rPr>
                <w:sz w:val="18"/>
              </w:rPr>
            </w:pPr>
            <w:r>
              <w:rPr>
                <w:sz w:val="18"/>
              </w:rPr>
              <w:t>1.227</w:t>
            </w:r>
          </w:p>
        </w:tc>
        <w:tc>
          <w:tcPr>
            <w:tcW w:w="1008" w:type="dxa"/>
            <w:tcBorders>
              <w:top w:val="nil"/>
              <w:left w:val="single" w:sz="8" w:space="0" w:color="000000"/>
              <w:bottom w:val="nil"/>
            </w:tcBorders>
          </w:tcPr>
          <w:p>
            <w:pPr>
              <w:pStyle w:val="TableParagraph"/>
              <w:spacing w:before="49"/>
              <w:ind w:right="33"/>
              <w:jc w:val="right"/>
              <w:rPr>
                <w:sz w:val="18"/>
              </w:rPr>
            </w:pPr>
            <w:r>
              <w:rPr>
                <w:sz w:val="18"/>
              </w:rPr>
              <w:t>516</w:t>
            </w:r>
          </w:p>
        </w:tc>
      </w:tr>
      <w:tr>
        <w:trPr>
          <w:trHeight w:val="309" w:hRule="atLeast"/>
        </w:trPr>
        <w:tc>
          <w:tcPr>
            <w:tcW w:w="996" w:type="dxa"/>
            <w:tcBorders>
              <w:top w:val="nil"/>
              <w:bottom w:val="nil"/>
            </w:tcBorders>
          </w:tcPr>
          <w:p>
            <w:pPr>
              <w:pStyle w:val="TableParagraph"/>
              <w:spacing w:before="47"/>
              <w:ind w:left="75"/>
              <w:rPr>
                <w:sz w:val="18"/>
              </w:rPr>
            </w:pPr>
            <w:r>
              <w:rPr>
                <w:sz w:val="18"/>
              </w:rPr>
              <w:t>HT3</w:t>
            </w:r>
          </w:p>
        </w:tc>
        <w:tc>
          <w:tcPr>
            <w:tcW w:w="1008" w:type="dxa"/>
            <w:tcBorders>
              <w:top w:val="nil"/>
              <w:bottom w:val="nil"/>
              <w:right w:val="single" w:sz="8" w:space="0" w:color="000000"/>
            </w:tcBorders>
          </w:tcPr>
          <w:p>
            <w:pPr>
              <w:pStyle w:val="TableParagraph"/>
              <w:spacing w:before="47"/>
              <w:ind w:right="38"/>
              <w:jc w:val="right"/>
              <w:rPr>
                <w:sz w:val="18"/>
              </w:rPr>
            </w:pPr>
            <w:r>
              <w:rPr>
                <w:sz w:val="18"/>
              </w:rPr>
              <w:t>2.32</w:t>
            </w:r>
          </w:p>
        </w:tc>
        <w:tc>
          <w:tcPr>
            <w:tcW w:w="1424" w:type="dxa"/>
            <w:tcBorders>
              <w:top w:val="nil"/>
              <w:left w:val="single" w:sz="8" w:space="0" w:color="000000"/>
              <w:bottom w:val="nil"/>
              <w:right w:val="single" w:sz="8" w:space="0" w:color="000000"/>
            </w:tcBorders>
          </w:tcPr>
          <w:p>
            <w:pPr>
              <w:pStyle w:val="TableParagraph"/>
              <w:spacing w:before="47"/>
              <w:ind w:right="37"/>
              <w:jc w:val="right"/>
              <w:rPr>
                <w:sz w:val="18"/>
              </w:rPr>
            </w:pPr>
            <w:r>
              <w:rPr>
                <w:sz w:val="18"/>
              </w:rPr>
              <w:t>1.192</w:t>
            </w:r>
          </w:p>
        </w:tc>
        <w:tc>
          <w:tcPr>
            <w:tcW w:w="1008" w:type="dxa"/>
            <w:tcBorders>
              <w:top w:val="nil"/>
              <w:left w:val="single" w:sz="8" w:space="0" w:color="000000"/>
              <w:bottom w:val="nil"/>
            </w:tcBorders>
          </w:tcPr>
          <w:p>
            <w:pPr>
              <w:pStyle w:val="TableParagraph"/>
              <w:spacing w:before="47"/>
              <w:ind w:right="33"/>
              <w:jc w:val="right"/>
              <w:rPr>
                <w:sz w:val="18"/>
              </w:rPr>
            </w:pPr>
            <w:r>
              <w:rPr>
                <w:sz w:val="18"/>
              </w:rPr>
              <w:t>516</w:t>
            </w:r>
          </w:p>
        </w:tc>
      </w:tr>
      <w:tr>
        <w:trPr>
          <w:trHeight w:val="310" w:hRule="atLeast"/>
        </w:trPr>
        <w:tc>
          <w:tcPr>
            <w:tcW w:w="996" w:type="dxa"/>
            <w:tcBorders>
              <w:top w:val="nil"/>
              <w:bottom w:val="nil"/>
            </w:tcBorders>
          </w:tcPr>
          <w:p>
            <w:pPr>
              <w:pStyle w:val="TableParagraph"/>
              <w:spacing w:before="47"/>
              <w:ind w:left="75"/>
              <w:rPr>
                <w:sz w:val="18"/>
              </w:rPr>
            </w:pPr>
            <w:r>
              <w:rPr>
                <w:sz w:val="18"/>
              </w:rPr>
              <w:t>HT4</w:t>
            </w:r>
          </w:p>
        </w:tc>
        <w:tc>
          <w:tcPr>
            <w:tcW w:w="1008" w:type="dxa"/>
            <w:tcBorders>
              <w:top w:val="nil"/>
              <w:bottom w:val="nil"/>
              <w:right w:val="single" w:sz="8" w:space="0" w:color="000000"/>
            </w:tcBorders>
          </w:tcPr>
          <w:p>
            <w:pPr>
              <w:pStyle w:val="TableParagraph"/>
              <w:spacing w:before="47"/>
              <w:ind w:right="38"/>
              <w:jc w:val="right"/>
              <w:rPr>
                <w:sz w:val="18"/>
              </w:rPr>
            </w:pPr>
            <w:r>
              <w:rPr>
                <w:sz w:val="18"/>
              </w:rPr>
              <w:t>3.10</w:t>
            </w:r>
          </w:p>
        </w:tc>
        <w:tc>
          <w:tcPr>
            <w:tcW w:w="1424" w:type="dxa"/>
            <w:tcBorders>
              <w:top w:val="nil"/>
              <w:left w:val="single" w:sz="8" w:space="0" w:color="000000"/>
              <w:bottom w:val="nil"/>
              <w:right w:val="single" w:sz="8" w:space="0" w:color="000000"/>
            </w:tcBorders>
          </w:tcPr>
          <w:p>
            <w:pPr>
              <w:pStyle w:val="TableParagraph"/>
              <w:spacing w:before="47"/>
              <w:ind w:right="37"/>
              <w:jc w:val="right"/>
              <w:rPr>
                <w:sz w:val="18"/>
              </w:rPr>
            </w:pPr>
            <w:r>
              <w:rPr>
                <w:sz w:val="18"/>
              </w:rPr>
              <w:t>1.225</w:t>
            </w:r>
          </w:p>
        </w:tc>
        <w:tc>
          <w:tcPr>
            <w:tcW w:w="1008" w:type="dxa"/>
            <w:tcBorders>
              <w:top w:val="nil"/>
              <w:left w:val="single" w:sz="8" w:space="0" w:color="000000"/>
              <w:bottom w:val="nil"/>
            </w:tcBorders>
          </w:tcPr>
          <w:p>
            <w:pPr>
              <w:pStyle w:val="TableParagraph"/>
              <w:spacing w:before="47"/>
              <w:ind w:right="34"/>
              <w:jc w:val="right"/>
              <w:rPr>
                <w:sz w:val="18"/>
              </w:rPr>
            </w:pPr>
            <w:r>
              <w:rPr>
                <w:sz w:val="18"/>
              </w:rPr>
              <w:t>516</w:t>
            </w:r>
          </w:p>
        </w:tc>
      </w:tr>
      <w:tr>
        <w:trPr>
          <w:trHeight w:val="310" w:hRule="atLeast"/>
        </w:trPr>
        <w:tc>
          <w:tcPr>
            <w:tcW w:w="996" w:type="dxa"/>
            <w:tcBorders>
              <w:top w:val="nil"/>
              <w:bottom w:val="nil"/>
            </w:tcBorders>
          </w:tcPr>
          <w:p>
            <w:pPr>
              <w:pStyle w:val="TableParagraph"/>
              <w:spacing w:before="48"/>
              <w:ind w:left="75"/>
              <w:rPr>
                <w:sz w:val="18"/>
              </w:rPr>
            </w:pPr>
            <w:r>
              <w:rPr>
                <w:sz w:val="18"/>
              </w:rPr>
              <w:t>HT5</w:t>
            </w:r>
          </w:p>
        </w:tc>
        <w:tc>
          <w:tcPr>
            <w:tcW w:w="1008" w:type="dxa"/>
            <w:tcBorders>
              <w:top w:val="nil"/>
              <w:bottom w:val="nil"/>
              <w:right w:val="single" w:sz="8" w:space="0" w:color="000000"/>
            </w:tcBorders>
          </w:tcPr>
          <w:p>
            <w:pPr>
              <w:pStyle w:val="TableParagraph"/>
              <w:spacing w:before="48"/>
              <w:ind w:right="37"/>
              <w:jc w:val="right"/>
              <w:rPr>
                <w:sz w:val="18"/>
              </w:rPr>
            </w:pPr>
            <w:r>
              <w:rPr>
                <w:sz w:val="18"/>
              </w:rPr>
              <w:t>3.15</w:t>
            </w:r>
          </w:p>
        </w:tc>
        <w:tc>
          <w:tcPr>
            <w:tcW w:w="1424" w:type="dxa"/>
            <w:tcBorders>
              <w:top w:val="nil"/>
              <w:left w:val="single" w:sz="8" w:space="0" w:color="000000"/>
              <w:bottom w:val="nil"/>
              <w:right w:val="single" w:sz="8" w:space="0" w:color="000000"/>
            </w:tcBorders>
          </w:tcPr>
          <w:p>
            <w:pPr>
              <w:pStyle w:val="TableParagraph"/>
              <w:spacing w:before="48"/>
              <w:ind w:right="37"/>
              <w:jc w:val="right"/>
              <w:rPr>
                <w:sz w:val="18"/>
              </w:rPr>
            </w:pPr>
            <w:r>
              <w:rPr>
                <w:sz w:val="18"/>
              </w:rPr>
              <w:t>1.222</w:t>
            </w:r>
          </w:p>
        </w:tc>
        <w:tc>
          <w:tcPr>
            <w:tcW w:w="1008" w:type="dxa"/>
            <w:tcBorders>
              <w:top w:val="nil"/>
              <w:left w:val="single" w:sz="8" w:space="0" w:color="000000"/>
              <w:bottom w:val="nil"/>
            </w:tcBorders>
          </w:tcPr>
          <w:p>
            <w:pPr>
              <w:pStyle w:val="TableParagraph"/>
              <w:spacing w:before="48"/>
              <w:ind w:right="33"/>
              <w:jc w:val="right"/>
              <w:rPr>
                <w:sz w:val="18"/>
              </w:rPr>
            </w:pPr>
            <w:r>
              <w:rPr>
                <w:sz w:val="18"/>
              </w:rPr>
              <w:t>516</w:t>
            </w:r>
          </w:p>
        </w:tc>
      </w:tr>
      <w:tr>
        <w:trPr>
          <w:trHeight w:val="309" w:hRule="atLeast"/>
        </w:trPr>
        <w:tc>
          <w:tcPr>
            <w:tcW w:w="996" w:type="dxa"/>
            <w:tcBorders>
              <w:top w:val="nil"/>
              <w:bottom w:val="nil"/>
            </w:tcBorders>
          </w:tcPr>
          <w:p>
            <w:pPr>
              <w:pStyle w:val="TableParagraph"/>
              <w:spacing w:before="47"/>
              <w:ind w:left="75"/>
              <w:rPr>
                <w:sz w:val="18"/>
              </w:rPr>
            </w:pPr>
            <w:r>
              <w:rPr>
                <w:sz w:val="18"/>
              </w:rPr>
              <w:t>HT6</w:t>
            </w:r>
          </w:p>
        </w:tc>
        <w:tc>
          <w:tcPr>
            <w:tcW w:w="1008" w:type="dxa"/>
            <w:tcBorders>
              <w:top w:val="nil"/>
              <w:bottom w:val="nil"/>
              <w:right w:val="single" w:sz="8" w:space="0" w:color="000000"/>
            </w:tcBorders>
          </w:tcPr>
          <w:p>
            <w:pPr>
              <w:pStyle w:val="TableParagraph"/>
              <w:spacing w:before="47"/>
              <w:ind w:right="38"/>
              <w:jc w:val="right"/>
              <w:rPr>
                <w:sz w:val="18"/>
              </w:rPr>
            </w:pPr>
            <w:r>
              <w:rPr>
                <w:sz w:val="18"/>
              </w:rPr>
              <w:t>2.97</w:t>
            </w:r>
          </w:p>
        </w:tc>
        <w:tc>
          <w:tcPr>
            <w:tcW w:w="1424" w:type="dxa"/>
            <w:tcBorders>
              <w:top w:val="nil"/>
              <w:left w:val="single" w:sz="8" w:space="0" w:color="000000"/>
              <w:bottom w:val="nil"/>
              <w:right w:val="single" w:sz="8" w:space="0" w:color="000000"/>
            </w:tcBorders>
          </w:tcPr>
          <w:p>
            <w:pPr>
              <w:pStyle w:val="TableParagraph"/>
              <w:spacing w:before="47"/>
              <w:ind w:right="37"/>
              <w:jc w:val="right"/>
              <w:rPr>
                <w:sz w:val="18"/>
              </w:rPr>
            </w:pPr>
            <w:r>
              <w:rPr>
                <w:sz w:val="18"/>
              </w:rPr>
              <w:t>1.144</w:t>
            </w:r>
          </w:p>
        </w:tc>
        <w:tc>
          <w:tcPr>
            <w:tcW w:w="1008" w:type="dxa"/>
            <w:tcBorders>
              <w:top w:val="nil"/>
              <w:left w:val="single" w:sz="8" w:space="0" w:color="000000"/>
              <w:bottom w:val="nil"/>
            </w:tcBorders>
          </w:tcPr>
          <w:p>
            <w:pPr>
              <w:pStyle w:val="TableParagraph"/>
              <w:spacing w:before="47"/>
              <w:ind w:right="34"/>
              <w:jc w:val="right"/>
              <w:rPr>
                <w:sz w:val="18"/>
              </w:rPr>
            </w:pPr>
            <w:r>
              <w:rPr>
                <w:sz w:val="18"/>
              </w:rPr>
              <w:t>516</w:t>
            </w:r>
          </w:p>
        </w:tc>
      </w:tr>
      <w:tr>
        <w:trPr>
          <w:trHeight w:val="356" w:hRule="atLeast"/>
        </w:trPr>
        <w:tc>
          <w:tcPr>
            <w:tcW w:w="996" w:type="dxa"/>
            <w:tcBorders>
              <w:top w:val="nil"/>
            </w:tcBorders>
          </w:tcPr>
          <w:p>
            <w:pPr>
              <w:pStyle w:val="TableParagraph"/>
              <w:spacing w:before="47"/>
              <w:ind w:left="75"/>
              <w:rPr>
                <w:sz w:val="18"/>
              </w:rPr>
            </w:pPr>
            <w:r>
              <w:rPr>
                <w:sz w:val="18"/>
              </w:rPr>
              <w:t>HT7</w:t>
            </w:r>
          </w:p>
        </w:tc>
        <w:tc>
          <w:tcPr>
            <w:tcW w:w="1008" w:type="dxa"/>
            <w:tcBorders>
              <w:top w:val="nil"/>
              <w:right w:val="single" w:sz="8" w:space="0" w:color="000000"/>
            </w:tcBorders>
          </w:tcPr>
          <w:p>
            <w:pPr>
              <w:pStyle w:val="TableParagraph"/>
              <w:spacing w:before="47"/>
              <w:ind w:right="38"/>
              <w:jc w:val="right"/>
              <w:rPr>
                <w:sz w:val="18"/>
              </w:rPr>
            </w:pPr>
            <w:r>
              <w:rPr>
                <w:sz w:val="18"/>
              </w:rPr>
              <w:t>3.88</w:t>
            </w:r>
          </w:p>
        </w:tc>
        <w:tc>
          <w:tcPr>
            <w:tcW w:w="1424" w:type="dxa"/>
            <w:tcBorders>
              <w:top w:val="nil"/>
              <w:left w:val="single" w:sz="8" w:space="0" w:color="000000"/>
              <w:right w:val="single" w:sz="8" w:space="0" w:color="000000"/>
            </w:tcBorders>
          </w:tcPr>
          <w:p>
            <w:pPr>
              <w:pStyle w:val="TableParagraph"/>
              <w:spacing w:before="47"/>
              <w:ind w:right="37"/>
              <w:jc w:val="right"/>
              <w:rPr>
                <w:sz w:val="18"/>
              </w:rPr>
            </w:pPr>
            <w:r>
              <w:rPr>
                <w:sz w:val="18"/>
              </w:rPr>
              <w:t>1.209</w:t>
            </w:r>
          </w:p>
        </w:tc>
        <w:tc>
          <w:tcPr>
            <w:tcW w:w="1008" w:type="dxa"/>
            <w:tcBorders>
              <w:top w:val="nil"/>
              <w:left w:val="single" w:sz="8" w:space="0" w:color="000000"/>
            </w:tcBorders>
          </w:tcPr>
          <w:p>
            <w:pPr>
              <w:pStyle w:val="TableParagraph"/>
              <w:spacing w:before="47"/>
              <w:ind w:right="33"/>
              <w:jc w:val="right"/>
              <w:rPr>
                <w:sz w:val="18"/>
              </w:rPr>
            </w:pPr>
            <w:r>
              <w:rPr>
                <w:sz w:val="18"/>
              </w:rPr>
              <w:t>516</w:t>
            </w:r>
          </w:p>
        </w:tc>
      </w:tr>
    </w:tbl>
    <w:p>
      <w:pPr>
        <w:spacing w:after="0"/>
        <w:jc w:val="right"/>
        <w:rPr>
          <w:sz w:val="18"/>
        </w:rPr>
        <w:sectPr>
          <w:type w:val="continuous"/>
          <w:pgSz w:w="11910" w:h="16850"/>
          <w:pgMar w:top="1840" w:bottom="280" w:left="820" w:right="240"/>
        </w:sectPr>
      </w:pPr>
    </w:p>
    <w:p>
      <w:pPr>
        <w:pStyle w:val="BodyText"/>
        <w:spacing w:before="8"/>
        <w:rPr>
          <w:b/>
          <w:sz w:val="15"/>
        </w:rPr>
      </w:pPr>
    </w:p>
    <w:p>
      <w:pPr>
        <w:spacing w:before="93"/>
        <w:ind w:left="3534" w:right="0" w:firstLine="0"/>
        <w:jc w:val="left"/>
        <w:rPr>
          <w:b/>
          <w:sz w:val="18"/>
        </w:rPr>
      </w:pPr>
      <w:r>
        <w:rPr>
          <w:b/>
          <w:sz w:val="18"/>
        </w:rPr>
        <w:t>Item-Total Statistics</w:t>
      </w:r>
    </w:p>
    <w:p>
      <w:pPr>
        <w:pStyle w:val="BodyText"/>
        <w:spacing w:before="1"/>
        <w:rPr>
          <w:b/>
          <w:sz w:val="9"/>
        </w:rPr>
      </w:pPr>
    </w:p>
    <w:tbl>
      <w:tblPr>
        <w:tblW w:w="0" w:type="auto"/>
        <w:jc w:val="left"/>
        <w:tblInd w:w="907" w:type="dxa"/>
        <w:tblBorders>
          <w:top w:val="single" w:sz="18" w:space="0" w:color="000000"/>
          <w:left w:val="single" w:sz="18" w:space="0" w:color="000000"/>
          <w:bottom w:val="single" w:sz="18" w:space="0" w:color="000000"/>
          <w:right w:val="single" w:sz="18" w:space="0" w:color="000000"/>
          <w:insideH w:val="single" w:sz="18" w:space="0" w:color="000000"/>
          <w:insideV w:val="single" w:sz="18" w:space="0" w:color="000000"/>
        </w:tblBorders>
        <w:tblLayout w:type="fixed"/>
        <w:tblCellMar>
          <w:top w:w="0" w:type="dxa"/>
          <w:left w:w="0" w:type="dxa"/>
          <w:bottom w:w="0" w:type="dxa"/>
          <w:right w:w="0" w:type="dxa"/>
        </w:tblCellMar>
        <w:tblLook w:val="01E0"/>
      </w:tblPr>
      <w:tblGrid>
        <w:gridCol w:w="996"/>
        <w:gridCol w:w="1469"/>
        <w:gridCol w:w="1466"/>
        <w:gridCol w:w="1469"/>
        <w:gridCol w:w="1469"/>
      </w:tblGrid>
      <w:tr>
        <w:trPr>
          <w:trHeight w:val="615" w:hRule="atLeast"/>
        </w:trPr>
        <w:tc>
          <w:tcPr>
            <w:tcW w:w="996" w:type="dxa"/>
          </w:tcPr>
          <w:p>
            <w:pPr>
              <w:pStyle w:val="TableParagraph"/>
              <w:rPr>
                <w:sz w:val="18"/>
              </w:rPr>
            </w:pPr>
          </w:p>
        </w:tc>
        <w:tc>
          <w:tcPr>
            <w:tcW w:w="1469" w:type="dxa"/>
            <w:tcBorders>
              <w:right w:val="single" w:sz="8" w:space="0" w:color="000000"/>
            </w:tcBorders>
          </w:tcPr>
          <w:p>
            <w:pPr>
              <w:pStyle w:val="TableParagraph"/>
              <w:spacing w:line="204" w:lineRule="exact"/>
              <w:ind w:left="234"/>
              <w:rPr>
                <w:sz w:val="18"/>
              </w:rPr>
            </w:pPr>
            <w:r>
              <w:rPr>
                <w:sz w:val="18"/>
              </w:rPr>
              <w:t>Scale Mean</w:t>
            </w:r>
            <w:r>
              <w:rPr>
                <w:spacing w:val="-4"/>
                <w:sz w:val="18"/>
              </w:rPr>
              <w:t> </w:t>
            </w:r>
            <w:r>
              <w:rPr>
                <w:sz w:val="18"/>
              </w:rPr>
              <w:t>if</w:t>
            </w:r>
          </w:p>
          <w:p>
            <w:pPr>
              <w:pStyle w:val="TableParagraph"/>
              <w:spacing w:before="105"/>
              <w:ind w:left="267"/>
              <w:rPr>
                <w:sz w:val="18"/>
              </w:rPr>
            </w:pPr>
            <w:r>
              <w:rPr>
                <w:sz w:val="18"/>
              </w:rPr>
              <w:t>Item</w:t>
            </w:r>
            <w:r>
              <w:rPr>
                <w:spacing w:val="-2"/>
                <w:sz w:val="18"/>
              </w:rPr>
              <w:t> </w:t>
            </w:r>
            <w:r>
              <w:rPr>
                <w:sz w:val="18"/>
              </w:rPr>
              <w:t>Deleted</w:t>
            </w:r>
          </w:p>
        </w:tc>
        <w:tc>
          <w:tcPr>
            <w:tcW w:w="1466" w:type="dxa"/>
            <w:tcBorders>
              <w:left w:val="single" w:sz="8" w:space="0" w:color="000000"/>
              <w:right w:val="single" w:sz="8" w:space="0" w:color="000000"/>
            </w:tcBorders>
          </w:tcPr>
          <w:p>
            <w:pPr>
              <w:pStyle w:val="TableParagraph"/>
              <w:spacing w:line="204" w:lineRule="exact"/>
              <w:ind w:left="101" w:right="65"/>
              <w:jc w:val="center"/>
              <w:rPr>
                <w:sz w:val="18"/>
              </w:rPr>
            </w:pPr>
            <w:r>
              <w:rPr>
                <w:sz w:val="18"/>
              </w:rPr>
              <w:t>Scale Variance if</w:t>
            </w:r>
          </w:p>
          <w:p>
            <w:pPr>
              <w:pStyle w:val="TableParagraph"/>
              <w:spacing w:before="105"/>
              <w:ind w:left="101" w:right="61"/>
              <w:jc w:val="center"/>
              <w:rPr>
                <w:sz w:val="18"/>
              </w:rPr>
            </w:pPr>
            <w:r>
              <w:rPr>
                <w:sz w:val="18"/>
              </w:rPr>
              <w:t>Item Deleted</w:t>
            </w:r>
          </w:p>
        </w:tc>
        <w:tc>
          <w:tcPr>
            <w:tcW w:w="1469" w:type="dxa"/>
            <w:tcBorders>
              <w:left w:val="single" w:sz="8" w:space="0" w:color="000000"/>
              <w:right w:val="single" w:sz="8" w:space="0" w:color="000000"/>
            </w:tcBorders>
          </w:tcPr>
          <w:p>
            <w:pPr>
              <w:pStyle w:val="TableParagraph"/>
              <w:spacing w:line="204" w:lineRule="exact"/>
              <w:ind w:left="170"/>
              <w:rPr>
                <w:sz w:val="18"/>
              </w:rPr>
            </w:pPr>
            <w:r>
              <w:rPr>
                <w:sz w:val="18"/>
              </w:rPr>
              <w:t>Corrected Item-</w:t>
            </w:r>
          </w:p>
          <w:p>
            <w:pPr>
              <w:pStyle w:val="TableParagraph"/>
              <w:spacing w:before="105"/>
              <w:ind w:left="120"/>
              <w:rPr>
                <w:sz w:val="18"/>
              </w:rPr>
            </w:pPr>
            <w:r>
              <w:rPr>
                <w:sz w:val="18"/>
              </w:rPr>
              <w:t>Total Correlation</w:t>
            </w:r>
          </w:p>
        </w:tc>
        <w:tc>
          <w:tcPr>
            <w:tcW w:w="1469" w:type="dxa"/>
            <w:tcBorders>
              <w:left w:val="single" w:sz="8" w:space="0" w:color="000000"/>
            </w:tcBorders>
          </w:tcPr>
          <w:p>
            <w:pPr>
              <w:pStyle w:val="TableParagraph"/>
              <w:spacing w:line="204" w:lineRule="exact"/>
              <w:ind w:left="94"/>
              <w:rPr>
                <w:sz w:val="18"/>
              </w:rPr>
            </w:pPr>
            <w:r>
              <w:rPr>
                <w:sz w:val="18"/>
              </w:rPr>
              <w:t>Cronbach's Alpha</w:t>
            </w:r>
          </w:p>
          <w:p>
            <w:pPr>
              <w:pStyle w:val="TableParagraph"/>
              <w:spacing w:before="105"/>
              <w:ind w:left="192"/>
              <w:rPr>
                <w:sz w:val="18"/>
              </w:rPr>
            </w:pPr>
            <w:r>
              <w:rPr>
                <w:sz w:val="18"/>
              </w:rPr>
              <w:t>if Item Deleted</w:t>
            </w:r>
          </w:p>
        </w:tc>
      </w:tr>
      <w:tr>
        <w:trPr>
          <w:trHeight w:val="261" w:hRule="atLeast"/>
        </w:trPr>
        <w:tc>
          <w:tcPr>
            <w:tcW w:w="996" w:type="dxa"/>
            <w:tcBorders>
              <w:bottom w:val="nil"/>
            </w:tcBorders>
          </w:tcPr>
          <w:p>
            <w:pPr>
              <w:pStyle w:val="TableParagraph"/>
              <w:spacing w:line="206" w:lineRule="exact"/>
              <w:ind w:left="75"/>
              <w:rPr>
                <w:sz w:val="18"/>
              </w:rPr>
            </w:pPr>
            <w:r>
              <w:rPr>
                <w:sz w:val="18"/>
              </w:rPr>
              <w:t>HT1</w:t>
            </w:r>
          </w:p>
        </w:tc>
        <w:tc>
          <w:tcPr>
            <w:tcW w:w="1469" w:type="dxa"/>
            <w:tcBorders>
              <w:bottom w:val="nil"/>
              <w:right w:val="single" w:sz="8" w:space="0" w:color="000000"/>
            </w:tcBorders>
          </w:tcPr>
          <w:p>
            <w:pPr>
              <w:pStyle w:val="TableParagraph"/>
              <w:spacing w:line="206" w:lineRule="exact"/>
              <w:ind w:right="36"/>
              <w:jc w:val="right"/>
              <w:rPr>
                <w:sz w:val="18"/>
              </w:rPr>
            </w:pPr>
            <w:r>
              <w:rPr>
                <w:sz w:val="18"/>
              </w:rPr>
              <w:t>19.22</w:t>
            </w:r>
          </w:p>
        </w:tc>
        <w:tc>
          <w:tcPr>
            <w:tcW w:w="1466" w:type="dxa"/>
            <w:tcBorders>
              <w:left w:val="single" w:sz="8" w:space="0" w:color="000000"/>
              <w:bottom w:val="nil"/>
              <w:right w:val="single" w:sz="8" w:space="0" w:color="000000"/>
            </w:tcBorders>
          </w:tcPr>
          <w:p>
            <w:pPr>
              <w:pStyle w:val="TableParagraph"/>
              <w:spacing w:line="206" w:lineRule="exact"/>
              <w:ind w:right="36"/>
              <w:jc w:val="right"/>
              <w:rPr>
                <w:sz w:val="18"/>
              </w:rPr>
            </w:pPr>
            <w:r>
              <w:rPr>
                <w:sz w:val="18"/>
              </w:rPr>
              <w:t>23.474</w:t>
            </w:r>
          </w:p>
        </w:tc>
        <w:tc>
          <w:tcPr>
            <w:tcW w:w="1469" w:type="dxa"/>
            <w:tcBorders>
              <w:left w:val="single" w:sz="8" w:space="0" w:color="000000"/>
              <w:bottom w:val="nil"/>
              <w:right w:val="single" w:sz="8" w:space="0" w:color="000000"/>
            </w:tcBorders>
          </w:tcPr>
          <w:p>
            <w:pPr>
              <w:pStyle w:val="TableParagraph"/>
              <w:spacing w:line="206" w:lineRule="exact"/>
              <w:ind w:right="39"/>
              <w:jc w:val="right"/>
              <w:rPr>
                <w:sz w:val="18"/>
              </w:rPr>
            </w:pPr>
            <w:r>
              <w:rPr>
                <w:sz w:val="18"/>
              </w:rPr>
              <w:t>.512</w:t>
            </w:r>
          </w:p>
        </w:tc>
        <w:tc>
          <w:tcPr>
            <w:tcW w:w="1469" w:type="dxa"/>
            <w:tcBorders>
              <w:left w:val="single" w:sz="8" w:space="0" w:color="000000"/>
              <w:bottom w:val="nil"/>
            </w:tcBorders>
          </w:tcPr>
          <w:p>
            <w:pPr>
              <w:pStyle w:val="TableParagraph"/>
              <w:spacing w:line="206" w:lineRule="exact"/>
              <w:ind w:right="35"/>
              <w:jc w:val="right"/>
              <w:rPr>
                <w:sz w:val="18"/>
              </w:rPr>
            </w:pPr>
            <w:r>
              <w:rPr>
                <w:sz w:val="18"/>
              </w:rPr>
              <w:t>.756</w:t>
            </w:r>
          </w:p>
        </w:tc>
      </w:tr>
      <w:tr>
        <w:trPr>
          <w:trHeight w:val="309" w:hRule="atLeast"/>
        </w:trPr>
        <w:tc>
          <w:tcPr>
            <w:tcW w:w="996" w:type="dxa"/>
            <w:tcBorders>
              <w:top w:val="nil"/>
              <w:bottom w:val="nil"/>
            </w:tcBorders>
          </w:tcPr>
          <w:p>
            <w:pPr>
              <w:pStyle w:val="TableParagraph"/>
              <w:spacing w:before="47"/>
              <w:ind w:left="75"/>
              <w:rPr>
                <w:sz w:val="18"/>
              </w:rPr>
            </w:pPr>
            <w:r>
              <w:rPr>
                <w:sz w:val="18"/>
              </w:rPr>
              <w:t>HT2</w:t>
            </w:r>
          </w:p>
        </w:tc>
        <w:tc>
          <w:tcPr>
            <w:tcW w:w="1469" w:type="dxa"/>
            <w:tcBorders>
              <w:top w:val="nil"/>
              <w:bottom w:val="nil"/>
              <w:right w:val="single" w:sz="8" w:space="0" w:color="000000"/>
            </w:tcBorders>
          </w:tcPr>
          <w:p>
            <w:pPr>
              <w:pStyle w:val="TableParagraph"/>
              <w:spacing w:before="47"/>
              <w:ind w:right="36"/>
              <w:jc w:val="right"/>
              <w:rPr>
                <w:sz w:val="18"/>
              </w:rPr>
            </w:pPr>
            <w:r>
              <w:rPr>
                <w:sz w:val="18"/>
              </w:rPr>
              <w:t>19.26</w:t>
            </w:r>
          </w:p>
        </w:tc>
        <w:tc>
          <w:tcPr>
            <w:tcW w:w="1466" w:type="dxa"/>
            <w:tcBorders>
              <w:top w:val="nil"/>
              <w:left w:val="single" w:sz="8" w:space="0" w:color="000000"/>
              <w:bottom w:val="nil"/>
              <w:right w:val="single" w:sz="8" w:space="0" w:color="000000"/>
            </w:tcBorders>
          </w:tcPr>
          <w:p>
            <w:pPr>
              <w:pStyle w:val="TableParagraph"/>
              <w:spacing w:before="47"/>
              <w:ind w:right="36"/>
              <w:jc w:val="right"/>
              <w:rPr>
                <w:sz w:val="18"/>
              </w:rPr>
            </w:pPr>
            <w:r>
              <w:rPr>
                <w:sz w:val="18"/>
              </w:rPr>
              <w:t>23.274</w:t>
            </w:r>
          </w:p>
        </w:tc>
        <w:tc>
          <w:tcPr>
            <w:tcW w:w="1469" w:type="dxa"/>
            <w:tcBorders>
              <w:top w:val="nil"/>
              <w:left w:val="single" w:sz="8" w:space="0" w:color="000000"/>
              <w:bottom w:val="nil"/>
              <w:right w:val="single" w:sz="8" w:space="0" w:color="000000"/>
            </w:tcBorders>
          </w:tcPr>
          <w:p>
            <w:pPr>
              <w:pStyle w:val="TableParagraph"/>
              <w:spacing w:before="47"/>
              <w:ind w:right="39"/>
              <w:jc w:val="right"/>
              <w:rPr>
                <w:sz w:val="18"/>
              </w:rPr>
            </w:pPr>
            <w:r>
              <w:rPr>
                <w:sz w:val="18"/>
              </w:rPr>
              <w:t>.498</w:t>
            </w:r>
          </w:p>
        </w:tc>
        <w:tc>
          <w:tcPr>
            <w:tcW w:w="1469" w:type="dxa"/>
            <w:tcBorders>
              <w:top w:val="nil"/>
              <w:left w:val="single" w:sz="8" w:space="0" w:color="000000"/>
              <w:bottom w:val="nil"/>
            </w:tcBorders>
          </w:tcPr>
          <w:p>
            <w:pPr>
              <w:pStyle w:val="TableParagraph"/>
              <w:spacing w:before="47"/>
              <w:ind w:right="36"/>
              <w:jc w:val="right"/>
              <w:rPr>
                <w:sz w:val="18"/>
              </w:rPr>
            </w:pPr>
            <w:r>
              <w:rPr>
                <w:sz w:val="18"/>
              </w:rPr>
              <w:t>.759</w:t>
            </w:r>
          </w:p>
        </w:tc>
      </w:tr>
      <w:tr>
        <w:trPr>
          <w:trHeight w:val="310" w:hRule="atLeast"/>
        </w:trPr>
        <w:tc>
          <w:tcPr>
            <w:tcW w:w="996" w:type="dxa"/>
            <w:tcBorders>
              <w:top w:val="nil"/>
              <w:bottom w:val="nil"/>
            </w:tcBorders>
          </w:tcPr>
          <w:p>
            <w:pPr>
              <w:pStyle w:val="TableParagraph"/>
              <w:spacing w:before="47"/>
              <w:ind w:left="75"/>
              <w:rPr>
                <w:sz w:val="18"/>
              </w:rPr>
            </w:pPr>
            <w:r>
              <w:rPr>
                <w:sz w:val="18"/>
              </w:rPr>
              <w:t>HT3</w:t>
            </w:r>
          </w:p>
        </w:tc>
        <w:tc>
          <w:tcPr>
            <w:tcW w:w="1469" w:type="dxa"/>
            <w:tcBorders>
              <w:top w:val="nil"/>
              <w:bottom w:val="nil"/>
              <w:right w:val="single" w:sz="8" w:space="0" w:color="000000"/>
            </w:tcBorders>
          </w:tcPr>
          <w:p>
            <w:pPr>
              <w:pStyle w:val="TableParagraph"/>
              <w:spacing w:before="47"/>
              <w:ind w:right="36"/>
              <w:jc w:val="right"/>
              <w:rPr>
                <w:sz w:val="18"/>
              </w:rPr>
            </w:pPr>
            <w:r>
              <w:rPr>
                <w:sz w:val="18"/>
              </w:rPr>
              <w:t>20.75</w:t>
            </w:r>
          </w:p>
        </w:tc>
        <w:tc>
          <w:tcPr>
            <w:tcW w:w="1466" w:type="dxa"/>
            <w:tcBorders>
              <w:top w:val="nil"/>
              <w:left w:val="single" w:sz="8" w:space="0" w:color="000000"/>
              <w:bottom w:val="nil"/>
              <w:right w:val="single" w:sz="8" w:space="0" w:color="000000"/>
            </w:tcBorders>
          </w:tcPr>
          <w:p>
            <w:pPr>
              <w:pStyle w:val="TableParagraph"/>
              <w:spacing w:before="47"/>
              <w:ind w:right="36"/>
              <w:jc w:val="right"/>
              <w:rPr>
                <w:sz w:val="18"/>
              </w:rPr>
            </w:pPr>
            <w:r>
              <w:rPr>
                <w:sz w:val="18"/>
              </w:rPr>
              <w:t>28.178</w:t>
            </w:r>
          </w:p>
        </w:tc>
        <w:tc>
          <w:tcPr>
            <w:tcW w:w="1469" w:type="dxa"/>
            <w:tcBorders>
              <w:top w:val="nil"/>
              <w:left w:val="single" w:sz="8" w:space="0" w:color="000000"/>
              <w:bottom w:val="nil"/>
              <w:right w:val="single" w:sz="8" w:space="0" w:color="000000"/>
            </w:tcBorders>
          </w:tcPr>
          <w:p>
            <w:pPr>
              <w:pStyle w:val="TableParagraph"/>
              <w:spacing w:before="47"/>
              <w:ind w:right="38"/>
              <w:jc w:val="right"/>
              <w:rPr>
                <w:sz w:val="18"/>
              </w:rPr>
            </w:pPr>
            <w:r>
              <w:rPr>
                <w:sz w:val="18"/>
              </w:rPr>
              <w:t>.085</w:t>
            </w:r>
          </w:p>
        </w:tc>
        <w:tc>
          <w:tcPr>
            <w:tcW w:w="1469" w:type="dxa"/>
            <w:tcBorders>
              <w:top w:val="nil"/>
              <w:left w:val="single" w:sz="8" w:space="0" w:color="000000"/>
              <w:bottom w:val="nil"/>
            </w:tcBorders>
          </w:tcPr>
          <w:p>
            <w:pPr>
              <w:pStyle w:val="TableParagraph"/>
              <w:spacing w:before="47"/>
              <w:ind w:right="36"/>
              <w:jc w:val="right"/>
              <w:rPr>
                <w:sz w:val="18"/>
              </w:rPr>
            </w:pPr>
            <w:r>
              <w:rPr>
                <w:sz w:val="18"/>
              </w:rPr>
              <w:t>.832</w:t>
            </w:r>
          </w:p>
        </w:tc>
      </w:tr>
      <w:tr>
        <w:trPr>
          <w:trHeight w:val="310" w:hRule="atLeast"/>
        </w:trPr>
        <w:tc>
          <w:tcPr>
            <w:tcW w:w="996" w:type="dxa"/>
            <w:tcBorders>
              <w:top w:val="nil"/>
              <w:bottom w:val="nil"/>
            </w:tcBorders>
          </w:tcPr>
          <w:p>
            <w:pPr>
              <w:pStyle w:val="TableParagraph"/>
              <w:spacing w:before="48"/>
              <w:ind w:left="75"/>
              <w:rPr>
                <w:sz w:val="18"/>
              </w:rPr>
            </w:pPr>
            <w:r>
              <w:rPr>
                <w:sz w:val="18"/>
              </w:rPr>
              <w:t>HT4</w:t>
            </w:r>
          </w:p>
        </w:tc>
        <w:tc>
          <w:tcPr>
            <w:tcW w:w="1469" w:type="dxa"/>
            <w:tcBorders>
              <w:top w:val="nil"/>
              <w:bottom w:val="nil"/>
              <w:right w:val="single" w:sz="8" w:space="0" w:color="000000"/>
            </w:tcBorders>
          </w:tcPr>
          <w:p>
            <w:pPr>
              <w:pStyle w:val="TableParagraph"/>
              <w:spacing w:before="48"/>
              <w:ind w:right="36"/>
              <w:jc w:val="right"/>
              <w:rPr>
                <w:sz w:val="18"/>
              </w:rPr>
            </w:pPr>
            <w:r>
              <w:rPr>
                <w:sz w:val="18"/>
              </w:rPr>
              <w:t>19.96</w:t>
            </w:r>
          </w:p>
        </w:tc>
        <w:tc>
          <w:tcPr>
            <w:tcW w:w="1466" w:type="dxa"/>
            <w:tcBorders>
              <w:top w:val="nil"/>
              <w:left w:val="single" w:sz="8" w:space="0" w:color="000000"/>
              <w:bottom w:val="nil"/>
              <w:right w:val="single" w:sz="8" w:space="0" w:color="000000"/>
            </w:tcBorders>
          </w:tcPr>
          <w:p>
            <w:pPr>
              <w:pStyle w:val="TableParagraph"/>
              <w:spacing w:before="48"/>
              <w:ind w:right="36"/>
              <w:jc w:val="right"/>
              <w:rPr>
                <w:sz w:val="18"/>
              </w:rPr>
            </w:pPr>
            <w:r>
              <w:rPr>
                <w:sz w:val="18"/>
              </w:rPr>
              <w:t>21.047</w:t>
            </w:r>
          </w:p>
        </w:tc>
        <w:tc>
          <w:tcPr>
            <w:tcW w:w="1469" w:type="dxa"/>
            <w:tcBorders>
              <w:top w:val="nil"/>
              <w:left w:val="single" w:sz="8" w:space="0" w:color="000000"/>
              <w:bottom w:val="nil"/>
              <w:right w:val="single" w:sz="8" w:space="0" w:color="000000"/>
            </w:tcBorders>
          </w:tcPr>
          <w:p>
            <w:pPr>
              <w:pStyle w:val="TableParagraph"/>
              <w:spacing w:before="48"/>
              <w:ind w:right="39"/>
              <w:jc w:val="right"/>
              <w:rPr>
                <w:sz w:val="18"/>
              </w:rPr>
            </w:pPr>
            <w:r>
              <w:rPr>
                <w:sz w:val="18"/>
              </w:rPr>
              <w:t>.723</w:t>
            </w:r>
          </w:p>
        </w:tc>
        <w:tc>
          <w:tcPr>
            <w:tcW w:w="1469" w:type="dxa"/>
            <w:tcBorders>
              <w:top w:val="nil"/>
              <w:left w:val="single" w:sz="8" w:space="0" w:color="000000"/>
              <w:bottom w:val="nil"/>
            </w:tcBorders>
          </w:tcPr>
          <w:p>
            <w:pPr>
              <w:pStyle w:val="TableParagraph"/>
              <w:spacing w:before="48"/>
              <w:ind w:right="36"/>
              <w:jc w:val="right"/>
              <w:rPr>
                <w:sz w:val="18"/>
              </w:rPr>
            </w:pPr>
            <w:r>
              <w:rPr>
                <w:sz w:val="18"/>
              </w:rPr>
              <w:t>.712</w:t>
            </w:r>
          </w:p>
        </w:tc>
      </w:tr>
      <w:tr>
        <w:trPr>
          <w:trHeight w:val="309" w:hRule="atLeast"/>
        </w:trPr>
        <w:tc>
          <w:tcPr>
            <w:tcW w:w="996" w:type="dxa"/>
            <w:tcBorders>
              <w:top w:val="nil"/>
              <w:bottom w:val="nil"/>
            </w:tcBorders>
          </w:tcPr>
          <w:p>
            <w:pPr>
              <w:pStyle w:val="TableParagraph"/>
              <w:spacing w:before="47"/>
              <w:ind w:left="75"/>
              <w:rPr>
                <w:sz w:val="18"/>
              </w:rPr>
            </w:pPr>
            <w:r>
              <w:rPr>
                <w:sz w:val="18"/>
              </w:rPr>
              <w:t>HT5</w:t>
            </w:r>
          </w:p>
        </w:tc>
        <w:tc>
          <w:tcPr>
            <w:tcW w:w="1469" w:type="dxa"/>
            <w:tcBorders>
              <w:top w:val="nil"/>
              <w:bottom w:val="nil"/>
              <w:right w:val="single" w:sz="8" w:space="0" w:color="000000"/>
            </w:tcBorders>
          </w:tcPr>
          <w:p>
            <w:pPr>
              <w:pStyle w:val="TableParagraph"/>
              <w:spacing w:before="47"/>
              <w:ind w:right="36"/>
              <w:jc w:val="right"/>
              <w:rPr>
                <w:sz w:val="18"/>
              </w:rPr>
            </w:pPr>
            <w:r>
              <w:rPr>
                <w:sz w:val="18"/>
              </w:rPr>
              <w:t>19.91</w:t>
            </w:r>
          </w:p>
        </w:tc>
        <w:tc>
          <w:tcPr>
            <w:tcW w:w="1466" w:type="dxa"/>
            <w:tcBorders>
              <w:top w:val="nil"/>
              <w:left w:val="single" w:sz="8" w:space="0" w:color="000000"/>
              <w:bottom w:val="nil"/>
              <w:right w:val="single" w:sz="8" w:space="0" w:color="000000"/>
            </w:tcBorders>
          </w:tcPr>
          <w:p>
            <w:pPr>
              <w:pStyle w:val="TableParagraph"/>
              <w:spacing w:before="47"/>
              <w:ind w:right="36"/>
              <w:jc w:val="right"/>
              <w:rPr>
                <w:sz w:val="18"/>
              </w:rPr>
            </w:pPr>
            <w:r>
              <w:rPr>
                <w:sz w:val="18"/>
              </w:rPr>
              <w:t>21.055</w:t>
            </w:r>
          </w:p>
        </w:tc>
        <w:tc>
          <w:tcPr>
            <w:tcW w:w="1469" w:type="dxa"/>
            <w:tcBorders>
              <w:top w:val="nil"/>
              <w:left w:val="single" w:sz="8" w:space="0" w:color="000000"/>
              <w:bottom w:val="nil"/>
              <w:right w:val="single" w:sz="8" w:space="0" w:color="000000"/>
            </w:tcBorders>
          </w:tcPr>
          <w:p>
            <w:pPr>
              <w:pStyle w:val="TableParagraph"/>
              <w:spacing w:before="47"/>
              <w:ind w:right="38"/>
              <w:jc w:val="right"/>
              <w:rPr>
                <w:sz w:val="18"/>
              </w:rPr>
            </w:pPr>
            <w:r>
              <w:rPr>
                <w:sz w:val="18"/>
              </w:rPr>
              <w:t>.724</w:t>
            </w:r>
          </w:p>
        </w:tc>
        <w:tc>
          <w:tcPr>
            <w:tcW w:w="1469" w:type="dxa"/>
            <w:tcBorders>
              <w:top w:val="nil"/>
              <w:left w:val="single" w:sz="8" w:space="0" w:color="000000"/>
              <w:bottom w:val="nil"/>
            </w:tcBorders>
          </w:tcPr>
          <w:p>
            <w:pPr>
              <w:pStyle w:val="TableParagraph"/>
              <w:spacing w:before="47"/>
              <w:ind w:right="36"/>
              <w:jc w:val="right"/>
              <w:rPr>
                <w:sz w:val="18"/>
              </w:rPr>
            </w:pPr>
            <w:r>
              <w:rPr>
                <w:sz w:val="18"/>
              </w:rPr>
              <w:t>.711</w:t>
            </w:r>
          </w:p>
        </w:tc>
      </w:tr>
      <w:tr>
        <w:trPr>
          <w:trHeight w:val="310" w:hRule="atLeast"/>
        </w:trPr>
        <w:tc>
          <w:tcPr>
            <w:tcW w:w="996" w:type="dxa"/>
            <w:tcBorders>
              <w:top w:val="nil"/>
              <w:bottom w:val="nil"/>
            </w:tcBorders>
          </w:tcPr>
          <w:p>
            <w:pPr>
              <w:pStyle w:val="TableParagraph"/>
              <w:spacing w:before="47"/>
              <w:ind w:left="75"/>
              <w:rPr>
                <w:sz w:val="18"/>
              </w:rPr>
            </w:pPr>
            <w:r>
              <w:rPr>
                <w:sz w:val="18"/>
              </w:rPr>
              <w:t>HT6</w:t>
            </w:r>
          </w:p>
        </w:tc>
        <w:tc>
          <w:tcPr>
            <w:tcW w:w="1469" w:type="dxa"/>
            <w:tcBorders>
              <w:top w:val="nil"/>
              <w:bottom w:val="nil"/>
              <w:right w:val="single" w:sz="8" w:space="0" w:color="000000"/>
            </w:tcBorders>
          </w:tcPr>
          <w:p>
            <w:pPr>
              <w:pStyle w:val="TableParagraph"/>
              <w:spacing w:before="47"/>
              <w:ind w:right="36"/>
              <w:jc w:val="right"/>
              <w:rPr>
                <w:sz w:val="18"/>
              </w:rPr>
            </w:pPr>
            <w:r>
              <w:rPr>
                <w:sz w:val="18"/>
              </w:rPr>
              <w:t>20.09</w:t>
            </w:r>
          </w:p>
        </w:tc>
        <w:tc>
          <w:tcPr>
            <w:tcW w:w="1466" w:type="dxa"/>
            <w:tcBorders>
              <w:top w:val="nil"/>
              <w:left w:val="single" w:sz="8" w:space="0" w:color="000000"/>
              <w:bottom w:val="nil"/>
              <w:right w:val="single" w:sz="8" w:space="0" w:color="000000"/>
            </w:tcBorders>
          </w:tcPr>
          <w:p>
            <w:pPr>
              <w:pStyle w:val="TableParagraph"/>
              <w:spacing w:before="47"/>
              <w:ind w:right="36"/>
              <w:jc w:val="right"/>
              <w:rPr>
                <w:sz w:val="18"/>
              </w:rPr>
            </w:pPr>
            <w:r>
              <w:rPr>
                <w:sz w:val="18"/>
              </w:rPr>
              <w:t>22.584</w:t>
            </w:r>
          </w:p>
        </w:tc>
        <w:tc>
          <w:tcPr>
            <w:tcW w:w="1469" w:type="dxa"/>
            <w:tcBorders>
              <w:top w:val="nil"/>
              <w:left w:val="single" w:sz="8" w:space="0" w:color="000000"/>
              <w:bottom w:val="nil"/>
              <w:right w:val="single" w:sz="8" w:space="0" w:color="000000"/>
            </w:tcBorders>
          </w:tcPr>
          <w:p>
            <w:pPr>
              <w:pStyle w:val="TableParagraph"/>
              <w:spacing w:before="47"/>
              <w:ind w:right="39"/>
              <w:jc w:val="right"/>
              <w:rPr>
                <w:sz w:val="18"/>
              </w:rPr>
            </w:pPr>
            <w:r>
              <w:rPr>
                <w:sz w:val="18"/>
              </w:rPr>
              <w:t>.623</w:t>
            </w:r>
          </w:p>
        </w:tc>
        <w:tc>
          <w:tcPr>
            <w:tcW w:w="1469" w:type="dxa"/>
            <w:tcBorders>
              <w:top w:val="nil"/>
              <w:left w:val="single" w:sz="8" w:space="0" w:color="000000"/>
              <w:bottom w:val="nil"/>
            </w:tcBorders>
          </w:tcPr>
          <w:p>
            <w:pPr>
              <w:pStyle w:val="TableParagraph"/>
              <w:spacing w:before="47"/>
              <w:ind w:right="36"/>
              <w:jc w:val="right"/>
              <w:rPr>
                <w:sz w:val="18"/>
              </w:rPr>
            </w:pPr>
            <w:r>
              <w:rPr>
                <w:sz w:val="18"/>
              </w:rPr>
              <w:t>.735</w:t>
            </w:r>
          </w:p>
        </w:tc>
      </w:tr>
      <w:tr>
        <w:trPr>
          <w:trHeight w:val="357" w:hRule="atLeast"/>
        </w:trPr>
        <w:tc>
          <w:tcPr>
            <w:tcW w:w="996" w:type="dxa"/>
            <w:tcBorders>
              <w:top w:val="nil"/>
            </w:tcBorders>
          </w:tcPr>
          <w:p>
            <w:pPr>
              <w:pStyle w:val="TableParagraph"/>
              <w:spacing w:before="48"/>
              <w:ind w:left="75"/>
              <w:rPr>
                <w:sz w:val="18"/>
              </w:rPr>
            </w:pPr>
            <w:r>
              <w:rPr>
                <w:sz w:val="18"/>
              </w:rPr>
              <w:t>HT7</w:t>
            </w:r>
          </w:p>
        </w:tc>
        <w:tc>
          <w:tcPr>
            <w:tcW w:w="1469" w:type="dxa"/>
            <w:tcBorders>
              <w:top w:val="nil"/>
              <w:right w:val="single" w:sz="8" w:space="0" w:color="000000"/>
            </w:tcBorders>
          </w:tcPr>
          <w:p>
            <w:pPr>
              <w:pStyle w:val="TableParagraph"/>
              <w:spacing w:before="48"/>
              <w:ind w:right="36"/>
              <w:jc w:val="right"/>
              <w:rPr>
                <w:sz w:val="18"/>
              </w:rPr>
            </w:pPr>
            <w:r>
              <w:rPr>
                <w:sz w:val="18"/>
              </w:rPr>
              <w:t>19.18</w:t>
            </w:r>
          </w:p>
        </w:tc>
        <w:tc>
          <w:tcPr>
            <w:tcW w:w="1466" w:type="dxa"/>
            <w:tcBorders>
              <w:top w:val="nil"/>
              <w:left w:val="single" w:sz="8" w:space="0" w:color="000000"/>
              <w:right w:val="single" w:sz="8" w:space="0" w:color="000000"/>
            </w:tcBorders>
          </w:tcPr>
          <w:p>
            <w:pPr>
              <w:pStyle w:val="TableParagraph"/>
              <w:spacing w:before="48"/>
              <w:ind w:right="36"/>
              <w:jc w:val="right"/>
              <w:rPr>
                <w:sz w:val="18"/>
              </w:rPr>
            </w:pPr>
            <w:r>
              <w:rPr>
                <w:sz w:val="18"/>
              </w:rPr>
              <w:t>23.815</w:t>
            </w:r>
          </w:p>
        </w:tc>
        <w:tc>
          <w:tcPr>
            <w:tcW w:w="1469" w:type="dxa"/>
            <w:tcBorders>
              <w:top w:val="nil"/>
              <w:left w:val="single" w:sz="8" w:space="0" w:color="000000"/>
              <w:right w:val="single" w:sz="8" w:space="0" w:color="000000"/>
            </w:tcBorders>
          </w:tcPr>
          <w:p>
            <w:pPr>
              <w:pStyle w:val="TableParagraph"/>
              <w:spacing w:before="48"/>
              <w:ind w:right="38"/>
              <w:jc w:val="right"/>
              <w:rPr>
                <w:sz w:val="18"/>
              </w:rPr>
            </w:pPr>
            <w:r>
              <w:rPr>
                <w:sz w:val="18"/>
              </w:rPr>
              <w:t>.457</w:t>
            </w:r>
          </w:p>
        </w:tc>
        <w:tc>
          <w:tcPr>
            <w:tcW w:w="1469" w:type="dxa"/>
            <w:tcBorders>
              <w:top w:val="nil"/>
              <w:left w:val="single" w:sz="8" w:space="0" w:color="000000"/>
            </w:tcBorders>
          </w:tcPr>
          <w:p>
            <w:pPr>
              <w:pStyle w:val="TableParagraph"/>
              <w:spacing w:before="48"/>
              <w:ind w:right="37"/>
              <w:jc w:val="right"/>
              <w:rPr>
                <w:sz w:val="18"/>
              </w:rPr>
            </w:pPr>
            <w:r>
              <w:rPr>
                <w:sz w:val="18"/>
              </w:rPr>
              <w:t>.766</w:t>
            </w:r>
          </w:p>
        </w:tc>
      </w:tr>
    </w:tbl>
    <w:p>
      <w:pPr>
        <w:pStyle w:val="BodyText"/>
        <w:rPr>
          <w:b/>
          <w:sz w:val="20"/>
        </w:rPr>
      </w:pPr>
    </w:p>
    <w:p>
      <w:pPr>
        <w:pStyle w:val="BodyText"/>
        <w:rPr>
          <w:b/>
          <w:sz w:val="20"/>
        </w:rPr>
      </w:pPr>
    </w:p>
    <w:p>
      <w:pPr>
        <w:pStyle w:val="BodyText"/>
        <w:rPr>
          <w:b/>
          <w:sz w:val="20"/>
        </w:rPr>
      </w:pPr>
    </w:p>
    <w:p>
      <w:pPr>
        <w:spacing w:before="138"/>
        <w:ind w:left="1450" w:right="0" w:firstLine="0"/>
        <w:jc w:val="left"/>
        <w:rPr>
          <w:b/>
          <w:sz w:val="18"/>
        </w:rPr>
      </w:pPr>
      <w:r>
        <w:rPr>
          <w:b/>
          <w:sz w:val="18"/>
        </w:rPr>
        <w:t>Reliability Statistics</w:t>
      </w:r>
    </w:p>
    <w:p>
      <w:pPr>
        <w:pStyle w:val="BodyText"/>
        <w:spacing w:before="11"/>
        <w:rPr>
          <w:b/>
          <w:sz w:val="8"/>
        </w:rPr>
      </w:pPr>
    </w:p>
    <w:tbl>
      <w:tblPr>
        <w:tblW w:w="0" w:type="auto"/>
        <w:jc w:val="left"/>
        <w:tblInd w:w="907" w:type="dxa"/>
        <w:tblBorders>
          <w:top w:val="single" w:sz="18" w:space="0" w:color="000000"/>
          <w:left w:val="single" w:sz="18" w:space="0" w:color="000000"/>
          <w:bottom w:val="single" w:sz="18" w:space="0" w:color="000000"/>
          <w:right w:val="single" w:sz="18" w:space="0" w:color="000000"/>
          <w:insideH w:val="single" w:sz="18" w:space="0" w:color="000000"/>
          <w:insideV w:val="single" w:sz="18" w:space="0" w:color="000000"/>
        </w:tblBorders>
        <w:tblLayout w:type="fixed"/>
        <w:tblCellMar>
          <w:top w:w="0" w:type="dxa"/>
          <w:left w:w="0" w:type="dxa"/>
          <w:bottom w:w="0" w:type="dxa"/>
          <w:right w:w="0" w:type="dxa"/>
        </w:tblCellMar>
        <w:tblLook w:val="01E0"/>
      </w:tblPr>
      <w:tblGrid>
        <w:gridCol w:w="1512"/>
        <w:gridCol w:w="1165"/>
      </w:tblGrid>
      <w:tr>
        <w:trPr>
          <w:trHeight w:val="305" w:hRule="atLeast"/>
        </w:trPr>
        <w:tc>
          <w:tcPr>
            <w:tcW w:w="1512" w:type="dxa"/>
            <w:tcBorders>
              <w:right w:val="single" w:sz="8" w:space="0" w:color="000000"/>
            </w:tcBorders>
          </w:tcPr>
          <w:p>
            <w:pPr>
              <w:pStyle w:val="TableParagraph"/>
              <w:spacing w:line="206" w:lineRule="exact"/>
              <w:ind w:right="73"/>
              <w:jc w:val="right"/>
              <w:rPr>
                <w:sz w:val="18"/>
              </w:rPr>
            </w:pPr>
            <w:r>
              <w:rPr>
                <w:sz w:val="18"/>
              </w:rPr>
              <w:t>Cronbach's Alpha</w:t>
            </w:r>
          </w:p>
        </w:tc>
        <w:tc>
          <w:tcPr>
            <w:tcW w:w="1165" w:type="dxa"/>
            <w:tcBorders>
              <w:left w:val="single" w:sz="8" w:space="0" w:color="000000"/>
            </w:tcBorders>
          </w:tcPr>
          <w:p>
            <w:pPr>
              <w:pStyle w:val="TableParagraph"/>
              <w:spacing w:line="206" w:lineRule="exact"/>
              <w:ind w:left="201"/>
              <w:rPr>
                <w:sz w:val="18"/>
              </w:rPr>
            </w:pPr>
            <w:r>
              <w:rPr>
                <w:sz w:val="18"/>
              </w:rPr>
              <w:t>N of Items</w:t>
            </w:r>
          </w:p>
        </w:tc>
      </w:tr>
      <w:tr>
        <w:trPr>
          <w:trHeight w:val="307" w:hRule="atLeast"/>
        </w:trPr>
        <w:tc>
          <w:tcPr>
            <w:tcW w:w="1512" w:type="dxa"/>
            <w:tcBorders>
              <w:right w:val="single" w:sz="8" w:space="0" w:color="000000"/>
            </w:tcBorders>
          </w:tcPr>
          <w:p>
            <w:pPr>
              <w:pStyle w:val="TableParagraph"/>
              <w:spacing w:line="206" w:lineRule="exact"/>
              <w:ind w:right="37"/>
              <w:jc w:val="right"/>
              <w:rPr>
                <w:sz w:val="18"/>
              </w:rPr>
            </w:pPr>
            <w:r>
              <w:rPr>
                <w:sz w:val="18"/>
              </w:rPr>
              <w:t>.832</w:t>
            </w:r>
          </w:p>
        </w:tc>
        <w:tc>
          <w:tcPr>
            <w:tcW w:w="1165" w:type="dxa"/>
            <w:tcBorders>
              <w:left w:val="single" w:sz="8" w:space="0" w:color="000000"/>
            </w:tcBorders>
          </w:tcPr>
          <w:p>
            <w:pPr>
              <w:pStyle w:val="TableParagraph"/>
              <w:spacing w:line="206" w:lineRule="exact"/>
              <w:ind w:right="37"/>
              <w:jc w:val="right"/>
              <w:rPr>
                <w:sz w:val="18"/>
              </w:rPr>
            </w:pPr>
            <w:r>
              <w:rPr>
                <w:sz w:val="18"/>
              </w:rPr>
              <w:t>6</w:t>
            </w:r>
          </w:p>
        </w:tc>
      </w:tr>
    </w:tbl>
    <w:p>
      <w:pPr>
        <w:pStyle w:val="BodyText"/>
        <w:rPr>
          <w:b/>
          <w:sz w:val="20"/>
        </w:rPr>
      </w:pPr>
    </w:p>
    <w:p>
      <w:pPr>
        <w:pStyle w:val="BodyText"/>
        <w:spacing w:before="10"/>
        <w:rPr>
          <w:b/>
          <w:sz w:val="15"/>
        </w:rPr>
      </w:pPr>
    </w:p>
    <w:p>
      <w:pPr>
        <w:spacing w:before="0"/>
        <w:ind w:left="2552" w:right="0" w:firstLine="0"/>
        <w:jc w:val="left"/>
        <w:rPr>
          <w:b/>
          <w:sz w:val="18"/>
        </w:rPr>
      </w:pPr>
      <w:r>
        <w:rPr>
          <w:b/>
          <w:sz w:val="18"/>
        </w:rPr>
        <w:t>Item Statistics</w:t>
      </w:r>
    </w:p>
    <w:p>
      <w:pPr>
        <w:pStyle w:val="BodyText"/>
        <w:spacing w:before="1" w:after="1"/>
        <w:rPr>
          <w:b/>
          <w:sz w:val="9"/>
        </w:rPr>
      </w:pPr>
    </w:p>
    <w:tbl>
      <w:tblPr>
        <w:tblW w:w="0" w:type="auto"/>
        <w:jc w:val="left"/>
        <w:tblInd w:w="907" w:type="dxa"/>
        <w:tblBorders>
          <w:top w:val="single" w:sz="18" w:space="0" w:color="000000"/>
          <w:left w:val="single" w:sz="18" w:space="0" w:color="000000"/>
          <w:bottom w:val="single" w:sz="18" w:space="0" w:color="000000"/>
          <w:right w:val="single" w:sz="18" w:space="0" w:color="000000"/>
          <w:insideH w:val="single" w:sz="18" w:space="0" w:color="000000"/>
          <w:insideV w:val="single" w:sz="18" w:space="0" w:color="000000"/>
        </w:tblBorders>
        <w:tblLayout w:type="fixed"/>
        <w:tblCellMar>
          <w:top w:w="0" w:type="dxa"/>
          <w:left w:w="0" w:type="dxa"/>
          <w:bottom w:w="0" w:type="dxa"/>
          <w:right w:w="0" w:type="dxa"/>
        </w:tblCellMar>
        <w:tblLook w:val="01E0"/>
      </w:tblPr>
      <w:tblGrid>
        <w:gridCol w:w="996"/>
        <w:gridCol w:w="1008"/>
        <w:gridCol w:w="1424"/>
        <w:gridCol w:w="1008"/>
      </w:tblGrid>
      <w:tr>
        <w:trPr>
          <w:trHeight w:val="305" w:hRule="atLeast"/>
        </w:trPr>
        <w:tc>
          <w:tcPr>
            <w:tcW w:w="996" w:type="dxa"/>
          </w:tcPr>
          <w:p>
            <w:pPr>
              <w:pStyle w:val="TableParagraph"/>
              <w:rPr>
                <w:sz w:val="18"/>
              </w:rPr>
            </w:pPr>
          </w:p>
        </w:tc>
        <w:tc>
          <w:tcPr>
            <w:tcW w:w="1008" w:type="dxa"/>
            <w:tcBorders>
              <w:right w:val="single" w:sz="8" w:space="0" w:color="000000"/>
            </w:tcBorders>
          </w:tcPr>
          <w:p>
            <w:pPr>
              <w:pStyle w:val="TableParagraph"/>
              <w:spacing w:line="204" w:lineRule="exact"/>
              <w:ind w:left="299"/>
              <w:rPr>
                <w:sz w:val="18"/>
              </w:rPr>
            </w:pPr>
            <w:r>
              <w:rPr>
                <w:sz w:val="18"/>
              </w:rPr>
              <w:t>Mean</w:t>
            </w:r>
          </w:p>
        </w:tc>
        <w:tc>
          <w:tcPr>
            <w:tcW w:w="1424" w:type="dxa"/>
            <w:tcBorders>
              <w:left w:val="single" w:sz="8" w:space="0" w:color="000000"/>
              <w:right w:val="single" w:sz="8" w:space="0" w:color="000000"/>
            </w:tcBorders>
          </w:tcPr>
          <w:p>
            <w:pPr>
              <w:pStyle w:val="TableParagraph"/>
              <w:spacing w:line="204" w:lineRule="exact"/>
              <w:ind w:left="201"/>
              <w:rPr>
                <w:sz w:val="18"/>
              </w:rPr>
            </w:pPr>
            <w:r>
              <w:rPr>
                <w:sz w:val="18"/>
              </w:rPr>
              <w:t>Std. Deviation</w:t>
            </w:r>
          </w:p>
        </w:tc>
        <w:tc>
          <w:tcPr>
            <w:tcW w:w="1008" w:type="dxa"/>
            <w:tcBorders>
              <w:left w:val="single" w:sz="8" w:space="0" w:color="000000"/>
            </w:tcBorders>
          </w:tcPr>
          <w:p>
            <w:pPr>
              <w:pStyle w:val="TableParagraph"/>
              <w:spacing w:line="204" w:lineRule="exact"/>
              <w:ind w:left="41"/>
              <w:jc w:val="center"/>
              <w:rPr>
                <w:sz w:val="18"/>
              </w:rPr>
            </w:pPr>
            <w:r>
              <w:rPr>
                <w:w w:val="99"/>
                <w:sz w:val="18"/>
              </w:rPr>
              <w:t>N</w:t>
            </w:r>
          </w:p>
        </w:tc>
      </w:tr>
      <w:tr>
        <w:trPr>
          <w:trHeight w:val="259" w:hRule="atLeast"/>
        </w:trPr>
        <w:tc>
          <w:tcPr>
            <w:tcW w:w="996" w:type="dxa"/>
            <w:tcBorders>
              <w:bottom w:val="nil"/>
            </w:tcBorders>
          </w:tcPr>
          <w:p>
            <w:pPr>
              <w:pStyle w:val="TableParagraph"/>
              <w:spacing w:line="204" w:lineRule="exact"/>
              <w:ind w:left="75"/>
              <w:rPr>
                <w:sz w:val="18"/>
              </w:rPr>
            </w:pPr>
            <w:r>
              <w:rPr>
                <w:sz w:val="18"/>
              </w:rPr>
              <w:t>HT1</w:t>
            </w:r>
          </w:p>
        </w:tc>
        <w:tc>
          <w:tcPr>
            <w:tcW w:w="1008" w:type="dxa"/>
            <w:tcBorders>
              <w:bottom w:val="nil"/>
              <w:right w:val="single" w:sz="8" w:space="0" w:color="000000"/>
            </w:tcBorders>
          </w:tcPr>
          <w:p>
            <w:pPr>
              <w:pStyle w:val="TableParagraph"/>
              <w:spacing w:line="204" w:lineRule="exact"/>
              <w:ind w:right="38"/>
              <w:jc w:val="right"/>
              <w:rPr>
                <w:sz w:val="18"/>
              </w:rPr>
            </w:pPr>
            <w:r>
              <w:rPr>
                <w:sz w:val="18"/>
              </w:rPr>
              <w:t>3.85</w:t>
            </w:r>
          </w:p>
        </w:tc>
        <w:tc>
          <w:tcPr>
            <w:tcW w:w="1424" w:type="dxa"/>
            <w:tcBorders>
              <w:left w:val="single" w:sz="8" w:space="0" w:color="000000"/>
              <w:bottom w:val="nil"/>
              <w:right w:val="single" w:sz="8" w:space="0" w:color="000000"/>
            </w:tcBorders>
          </w:tcPr>
          <w:p>
            <w:pPr>
              <w:pStyle w:val="TableParagraph"/>
              <w:spacing w:line="204" w:lineRule="exact"/>
              <w:ind w:right="36"/>
              <w:jc w:val="right"/>
              <w:rPr>
                <w:sz w:val="18"/>
              </w:rPr>
            </w:pPr>
            <w:r>
              <w:rPr>
                <w:sz w:val="18"/>
              </w:rPr>
              <w:t>1.173</w:t>
            </w:r>
          </w:p>
        </w:tc>
        <w:tc>
          <w:tcPr>
            <w:tcW w:w="1008" w:type="dxa"/>
            <w:tcBorders>
              <w:left w:val="single" w:sz="8" w:space="0" w:color="000000"/>
              <w:bottom w:val="nil"/>
            </w:tcBorders>
          </w:tcPr>
          <w:p>
            <w:pPr>
              <w:pStyle w:val="TableParagraph"/>
              <w:spacing w:line="204" w:lineRule="exact"/>
              <w:ind w:right="33"/>
              <w:jc w:val="right"/>
              <w:rPr>
                <w:sz w:val="18"/>
              </w:rPr>
            </w:pPr>
            <w:r>
              <w:rPr>
                <w:sz w:val="18"/>
              </w:rPr>
              <w:t>516</w:t>
            </w:r>
          </w:p>
        </w:tc>
      </w:tr>
      <w:tr>
        <w:trPr>
          <w:trHeight w:val="310" w:hRule="atLeast"/>
        </w:trPr>
        <w:tc>
          <w:tcPr>
            <w:tcW w:w="996" w:type="dxa"/>
            <w:tcBorders>
              <w:top w:val="nil"/>
              <w:bottom w:val="nil"/>
            </w:tcBorders>
          </w:tcPr>
          <w:p>
            <w:pPr>
              <w:pStyle w:val="TableParagraph"/>
              <w:spacing w:before="48"/>
              <w:ind w:left="75"/>
              <w:rPr>
                <w:sz w:val="18"/>
              </w:rPr>
            </w:pPr>
            <w:r>
              <w:rPr>
                <w:sz w:val="18"/>
              </w:rPr>
              <w:t>HT2</w:t>
            </w:r>
          </w:p>
        </w:tc>
        <w:tc>
          <w:tcPr>
            <w:tcW w:w="1008" w:type="dxa"/>
            <w:tcBorders>
              <w:top w:val="nil"/>
              <w:bottom w:val="nil"/>
              <w:right w:val="single" w:sz="8" w:space="0" w:color="000000"/>
            </w:tcBorders>
          </w:tcPr>
          <w:p>
            <w:pPr>
              <w:pStyle w:val="TableParagraph"/>
              <w:spacing w:before="48"/>
              <w:ind w:right="38"/>
              <w:jc w:val="right"/>
              <w:rPr>
                <w:sz w:val="18"/>
              </w:rPr>
            </w:pPr>
            <w:r>
              <w:rPr>
                <w:sz w:val="18"/>
              </w:rPr>
              <w:t>3.80</w:t>
            </w:r>
          </w:p>
        </w:tc>
        <w:tc>
          <w:tcPr>
            <w:tcW w:w="1424" w:type="dxa"/>
            <w:tcBorders>
              <w:top w:val="nil"/>
              <w:left w:val="single" w:sz="8" w:space="0" w:color="000000"/>
              <w:bottom w:val="nil"/>
              <w:right w:val="single" w:sz="8" w:space="0" w:color="000000"/>
            </w:tcBorders>
          </w:tcPr>
          <w:p>
            <w:pPr>
              <w:pStyle w:val="TableParagraph"/>
              <w:spacing w:before="48"/>
              <w:ind w:right="37"/>
              <w:jc w:val="right"/>
              <w:rPr>
                <w:sz w:val="18"/>
              </w:rPr>
            </w:pPr>
            <w:r>
              <w:rPr>
                <w:sz w:val="18"/>
              </w:rPr>
              <w:t>1.227</w:t>
            </w:r>
          </w:p>
        </w:tc>
        <w:tc>
          <w:tcPr>
            <w:tcW w:w="1008" w:type="dxa"/>
            <w:tcBorders>
              <w:top w:val="nil"/>
              <w:left w:val="single" w:sz="8" w:space="0" w:color="000000"/>
              <w:bottom w:val="nil"/>
            </w:tcBorders>
          </w:tcPr>
          <w:p>
            <w:pPr>
              <w:pStyle w:val="TableParagraph"/>
              <w:spacing w:before="48"/>
              <w:ind w:right="33"/>
              <w:jc w:val="right"/>
              <w:rPr>
                <w:sz w:val="18"/>
              </w:rPr>
            </w:pPr>
            <w:r>
              <w:rPr>
                <w:sz w:val="18"/>
              </w:rPr>
              <w:t>516</w:t>
            </w:r>
          </w:p>
        </w:tc>
      </w:tr>
      <w:tr>
        <w:trPr>
          <w:trHeight w:val="310" w:hRule="atLeast"/>
        </w:trPr>
        <w:tc>
          <w:tcPr>
            <w:tcW w:w="996" w:type="dxa"/>
            <w:tcBorders>
              <w:top w:val="nil"/>
              <w:bottom w:val="nil"/>
            </w:tcBorders>
          </w:tcPr>
          <w:p>
            <w:pPr>
              <w:pStyle w:val="TableParagraph"/>
              <w:spacing w:before="47"/>
              <w:ind w:left="75"/>
              <w:rPr>
                <w:sz w:val="18"/>
              </w:rPr>
            </w:pPr>
            <w:r>
              <w:rPr>
                <w:sz w:val="18"/>
              </w:rPr>
              <w:t>HT4</w:t>
            </w:r>
          </w:p>
        </w:tc>
        <w:tc>
          <w:tcPr>
            <w:tcW w:w="1008" w:type="dxa"/>
            <w:tcBorders>
              <w:top w:val="nil"/>
              <w:bottom w:val="nil"/>
              <w:right w:val="single" w:sz="8" w:space="0" w:color="000000"/>
            </w:tcBorders>
          </w:tcPr>
          <w:p>
            <w:pPr>
              <w:pStyle w:val="TableParagraph"/>
              <w:spacing w:before="47"/>
              <w:ind w:right="38"/>
              <w:jc w:val="right"/>
              <w:rPr>
                <w:sz w:val="18"/>
              </w:rPr>
            </w:pPr>
            <w:r>
              <w:rPr>
                <w:sz w:val="18"/>
              </w:rPr>
              <w:t>3.10</w:t>
            </w:r>
          </w:p>
        </w:tc>
        <w:tc>
          <w:tcPr>
            <w:tcW w:w="1424" w:type="dxa"/>
            <w:tcBorders>
              <w:top w:val="nil"/>
              <w:left w:val="single" w:sz="8" w:space="0" w:color="000000"/>
              <w:bottom w:val="nil"/>
              <w:right w:val="single" w:sz="8" w:space="0" w:color="000000"/>
            </w:tcBorders>
          </w:tcPr>
          <w:p>
            <w:pPr>
              <w:pStyle w:val="TableParagraph"/>
              <w:spacing w:before="47"/>
              <w:ind w:right="37"/>
              <w:jc w:val="right"/>
              <w:rPr>
                <w:sz w:val="18"/>
              </w:rPr>
            </w:pPr>
            <w:r>
              <w:rPr>
                <w:sz w:val="18"/>
              </w:rPr>
              <w:t>1.225</w:t>
            </w:r>
          </w:p>
        </w:tc>
        <w:tc>
          <w:tcPr>
            <w:tcW w:w="1008" w:type="dxa"/>
            <w:tcBorders>
              <w:top w:val="nil"/>
              <w:left w:val="single" w:sz="8" w:space="0" w:color="000000"/>
              <w:bottom w:val="nil"/>
            </w:tcBorders>
          </w:tcPr>
          <w:p>
            <w:pPr>
              <w:pStyle w:val="TableParagraph"/>
              <w:spacing w:before="47"/>
              <w:ind w:right="34"/>
              <w:jc w:val="right"/>
              <w:rPr>
                <w:sz w:val="18"/>
              </w:rPr>
            </w:pPr>
            <w:r>
              <w:rPr>
                <w:sz w:val="18"/>
              </w:rPr>
              <w:t>516</w:t>
            </w:r>
          </w:p>
        </w:tc>
      </w:tr>
      <w:tr>
        <w:trPr>
          <w:trHeight w:val="310" w:hRule="atLeast"/>
        </w:trPr>
        <w:tc>
          <w:tcPr>
            <w:tcW w:w="996" w:type="dxa"/>
            <w:tcBorders>
              <w:top w:val="nil"/>
              <w:bottom w:val="nil"/>
            </w:tcBorders>
          </w:tcPr>
          <w:p>
            <w:pPr>
              <w:pStyle w:val="TableParagraph"/>
              <w:spacing w:before="48"/>
              <w:ind w:left="75"/>
              <w:rPr>
                <w:sz w:val="18"/>
              </w:rPr>
            </w:pPr>
            <w:r>
              <w:rPr>
                <w:sz w:val="18"/>
              </w:rPr>
              <w:t>HT5</w:t>
            </w:r>
          </w:p>
        </w:tc>
        <w:tc>
          <w:tcPr>
            <w:tcW w:w="1008" w:type="dxa"/>
            <w:tcBorders>
              <w:top w:val="nil"/>
              <w:bottom w:val="nil"/>
              <w:right w:val="single" w:sz="8" w:space="0" w:color="000000"/>
            </w:tcBorders>
          </w:tcPr>
          <w:p>
            <w:pPr>
              <w:pStyle w:val="TableParagraph"/>
              <w:spacing w:before="48"/>
              <w:ind w:right="37"/>
              <w:jc w:val="right"/>
              <w:rPr>
                <w:sz w:val="18"/>
              </w:rPr>
            </w:pPr>
            <w:r>
              <w:rPr>
                <w:sz w:val="18"/>
              </w:rPr>
              <w:t>3.15</w:t>
            </w:r>
          </w:p>
        </w:tc>
        <w:tc>
          <w:tcPr>
            <w:tcW w:w="1424" w:type="dxa"/>
            <w:tcBorders>
              <w:top w:val="nil"/>
              <w:left w:val="single" w:sz="8" w:space="0" w:color="000000"/>
              <w:bottom w:val="nil"/>
              <w:right w:val="single" w:sz="8" w:space="0" w:color="000000"/>
            </w:tcBorders>
          </w:tcPr>
          <w:p>
            <w:pPr>
              <w:pStyle w:val="TableParagraph"/>
              <w:spacing w:before="48"/>
              <w:ind w:right="37"/>
              <w:jc w:val="right"/>
              <w:rPr>
                <w:sz w:val="18"/>
              </w:rPr>
            </w:pPr>
            <w:r>
              <w:rPr>
                <w:sz w:val="18"/>
              </w:rPr>
              <w:t>1.222</w:t>
            </w:r>
          </w:p>
        </w:tc>
        <w:tc>
          <w:tcPr>
            <w:tcW w:w="1008" w:type="dxa"/>
            <w:tcBorders>
              <w:top w:val="nil"/>
              <w:left w:val="single" w:sz="8" w:space="0" w:color="000000"/>
              <w:bottom w:val="nil"/>
            </w:tcBorders>
          </w:tcPr>
          <w:p>
            <w:pPr>
              <w:pStyle w:val="TableParagraph"/>
              <w:spacing w:before="48"/>
              <w:ind w:right="33"/>
              <w:jc w:val="right"/>
              <w:rPr>
                <w:sz w:val="18"/>
              </w:rPr>
            </w:pPr>
            <w:r>
              <w:rPr>
                <w:sz w:val="18"/>
              </w:rPr>
              <w:t>516</w:t>
            </w:r>
          </w:p>
        </w:tc>
      </w:tr>
      <w:tr>
        <w:trPr>
          <w:trHeight w:val="309" w:hRule="atLeast"/>
        </w:trPr>
        <w:tc>
          <w:tcPr>
            <w:tcW w:w="996" w:type="dxa"/>
            <w:tcBorders>
              <w:top w:val="nil"/>
              <w:bottom w:val="nil"/>
            </w:tcBorders>
          </w:tcPr>
          <w:p>
            <w:pPr>
              <w:pStyle w:val="TableParagraph"/>
              <w:spacing w:before="47"/>
              <w:ind w:left="75"/>
              <w:rPr>
                <w:sz w:val="18"/>
              </w:rPr>
            </w:pPr>
            <w:r>
              <w:rPr>
                <w:sz w:val="18"/>
              </w:rPr>
              <w:t>HT6</w:t>
            </w:r>
          </w:p>
        </w:tc>
        <w:tc>
          <w:tcPr>
            <w:tcW w:w="1008" w:type="dxa"/>
            <w:tcBorders>
              <w:top w:val="nil"/>
              <w:bottom w:val="nil"/>
              <w:right w:val="single" w:sz="8" w:space="0" w:color="000000"/>
            </w:tcBorders>
          </w:tcPr>
          <w:p>
            <w:pPr>
              <w:pStyle w:val="TableParagraph"/>
              <w:spacing w:before="47"/>
              <w:ind w:right="37"/>
              <w:jc w:val="right"/>
              <w:rPr>
                <w:sz w:val="18"/>
              </w:rPr>
            </w:pPr>
            <w:r>
              <w:rPr>
                <w:sz w:val="18"/>
              </w:rPr>
              <w:t>2.97</w:t>
            </w:r>
          </w:p>
        </w:tc>
        <w:tc>
          <w:tcPr>
            <w:tcW w:w="1424" w:type="dxa"/>
            <w:tcBorders>
              <w:top w:val="nil"/>
              <w:left w:val="single" w:sz="8" w:space="0" w:color="000000"/>
              <w:bottom w:val="nil"/>
              <w:right w:val="single" w:sz="8" w:space="0" w:color="000000"/>
            </w:tcBorders>
          </w:tcPr>
          <w:p>
            <w:pPr>
              <w:pStyle w:val="TableParagraph"/>
              <w:spacing w:before="47"/>
              <w:ind w:right="36"/>
              <w:jc w:val="right"/>
              <w:rPr>
                <w:sz w:val="18"/>
              </w:rPr>
            </w:pPr>
            <w:r>
              <w:rPr>
                <w:sz w:val="18"/>
              </w:rPr>
              <w:t>1.144</w:t>
            </w:r>
          </w:p>
        </w:tc>
        <w:tc>
          <w:tcPr>
            <w:tcW w:w="1008" w:type="dxa"/>
            <w:tcBorders>
              <w:top w:val="nil"/>
              <w:left w:val="single" w:sz="8" w:space="0" w:color="000000"/>
              <w:bottom w:val="nil"/>
            </w:tcBorders>
          </w:tcPr>
          <w:p>
            <w:pPr>
              <w:pStyle w:val="TableParagraph"/>
              <w:spacing w:before="47"/>
              <w:ind w:right="33"/>
              <w:jc w:val="right"/>
              <w:rPr>
                <w:sz w:val="18"/>
              </w:rPr>
            </w:pPr>
            <w:r>
              <w:rPr>
                <w:sz w:val="18"/>
              </w:rPr>
              <w:t>516</w:t>
            </w:r>
          </w:p>
        </w:tc>
      </w:tr>
      <w:tr>
        <w:trPr>
          <w:trHeight w:val="356" w:hRule="atLeast"/>
        </w:trPr>
        <w:tc>
          <w:tcPr>
            <w:tcW w:w="996" w:type="dxa"/>
            <w:tcBorders>
              <w:top w:val="nil"/>
            </w:tcBorders>
          </w:tcPr>
          <w:p>
            <w:pPr>
              <w:pStyle w:val="TableParagraph"/>
              <w:spacing w:before="47"/>
              <w:ind w:left="75"/>
              <w:rPr>
                <w:sz w:val="18"/>
              </w:rPr>
            </w:pPr>
            <w:r>
              <w:rPr>
                <w:sz w:val="18"/>
              </w:rPr>
              <w:t>HT7</w:t>
            </w:r>
          </w:p>
        </w:tc>
        <w:tc>
          <w:tcPr>
            <w:tcW w:w="1008" w:type="dxa"/>
            <w:tcBorders>
              <w:top w:val="nil"/>
              <w:right w:val="single" w:sz="8" w:space="0" w:color="000000"/>
            </w:tcBorders>
          </w:tcPr>
          <w:p>
            <w:pPr>
              <w:pStyle w:val="TableParagraph"/>
              <w:spacing w:before="47"/>
              <w:ind w:right="38"/>
              <w:jc w:val="right"/>
              <w:rPr>
                <w:sz w:val="18"/>
              </w:rPr>
            </w:pPr>
            <w:r>
              <w:rPr>
                <w:sz w:val="18"/>
              </w:rPr>
              <w:t>3.88</w:t>
            </w:r>
          </w:p>
        </w:tc>
        <w:tc>
          <w:tcPr>
            <w:tcW w:w="1424" w:type="dxa"/>
            <w:tcBorders>
              <w:top w:val="nil"/>
              <w:left w:val="single" w:sz="8" w:space="0" w:color="000000"/>
              <w:right w:val="single" w:sz="8" w:space="0" w:color="000000"/>
            </w:tcBorders>
          </w:tcPr>
          <w:p>
            <w:pPr>
              <w:pStyle w:val="TableParagraph"/>
              <w:spacing w:before="47"/>
              <w:ind w:right="37"/>
              <w:jc w:val="right"/>
              <w:rPr>
                <w:sz w:val="18"/>
              </w:rPr>
            </w:pPr>
            <w:r>
              <w:rPr>
                <w:sz w:val="18"/>
              </w:rPr>
              <w:t>1.209</w:t>
            </w:r>
          </w:p>
        </w:tc>
        <w:tc>
          <w:tcPr>
            <w:tcW w:w="1008" w:type="dxa"/>
            <w:tcBorders>
              <w:top w:val="nil"/>
              <w:left w:val="single" w:sz="8" w:space="0" w:color="000000"/>
            </w:tcBorders>
          </w:tcPr>
          <w:p>
            <w:pPr>
              <w:pStyle w:val="TableParagraph"/>
              <w:spacing w:before="47"/>
              <w:ind w:right="33"/>
              <w:jc w:val="right"/>
              <w:rPr>
                <w:sz w:val="18"/>
              </w:rPr>
            </w:pPr>
            <w:r>
              <w:rPr>
                <w:sz w:val="18"/>
              </w:rPr>
              <w:t>516</w:t>
            </w:r>
          </w:p>
        </w:tc>
      </w:tr>
    </w:tbl>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17"/>
        </w:rPr>
      </w:pPr>
    </w:p>
    <w:p>
      <w:pPr>
        <w:spacing w:before="1"/>
        <w:ind w:left="3534" w:right="0" w:firstLine="0"/>
        <w:jc w:val="left"/>
        <w:rPr>
          <w:b/>
          <w:sz w:val="18"/>
        </w:rPr>
      </w:pPr>
      <w:r>
        <w:rPr>
          <w:b/>
          <w:sz w:val="18"/>
        </w:rPr>
        <w:t>Item-Total Statistics</w:t>
      </w:r>
    </w:p>
    <w:p>
      <w:pPr>
        <w:pStyle w:val="BodyText"/>
        <w:spacing w:before="10"/>
        <w:rPr>
          <w:b/>
          <w:sz w:val="8"/>
        </w:rPr>
      </w:pPr>
    </w:p>
    <w:tbl>
      <w:tblPr>
        <w:tblW w:w="0" w:type="auto"/>
        <w:jc w:val="left"/>
        <w:tblInd w:w="907" w:type="dxa"/>
        <w:tblBorders>
          <w:top w:val="single" w:sz="18" w:space="0" w:color="000000"/>
          <w:left w:val="single" w:sz="18" w:space="0" w:color="000000"/>
          <w:bottom w:val="single" w:sz="18" w:space="0" w:color="000000"/>
          <w:right w:val="single" w:sz="18" w:space="0" w:color="000000"/>
          <w:insideH w:val="single" w:sz="18" w:space="0" w:color="000000"/>
          <w:insideV w:val="single" w:sz="18" w:space="0" w:color="000000"/>
        </w:tblBorders>
        <w:tblLayout w:type="fixed"/>
        <w:tblCellMar>
          <w:top w:w="0" w:type="dxa"/>
          <w:left w:w="0" w:type="dxa"/>
          <w:bottom w:w="0" w:type="dxa"/>
          <w:right w:w="0" w:type="dxa"/>
        </w:tblCellMar>
        <w:tblLook w:val="01E0"/>
      </w:tblPr>
      <w:tblGrid>
        <w:gridCol w:w="996"/>
        <w:gridCol w:w="1469"/>
        <w:gridCol w:w="1466"/>
        <w:gridCol w:w="1469"/>
        <w:gridCol w:w="1469"/>
      </w:tblGrid>
      <w:tr>
        <w:trPr>
          <w:trHeight w:val="617" w:hRule="atLeast"/>
        </w:trPr>
        <w:tc>
          <w:tcPr>
            <w:tcW w:w="996" w:type="dxa"/>
          </w:tcPr>
          <w:p>
            <w:pPr>
              <w:pStyle w:val="TableParagraph"/>
              <w:rPr>
                <w:sz w:val="18"/>
              </w:rPr>
            </w:pPr>
          </w:p>
        </w:tc>
        <w:tc>
          <w:tcPr>
            <w:tcW w:w="1469" w:type="dxa"/>
            <w:tcBorders>
              <w:right w:val="single" w:sz="8" w:space="0" w:color="000000"/>
            </w:tcBorders>
          </w:tcPr>
          <w:p>
            <w:pPr>
              <w:pStyle w:val="TableParagraph"/>
              <w:spacing w:line="206" w:lineRule="exact"/>
              <w:ind w:left="234"/>
              <w:rPr>
                <w:sz w:val="18"/>
              </w:rPr>
            </w:pPr>
            <w:r>
              <w:rPr>
                <w:sz w:val="18"/>
              </w:rPr>
              <w:t>Scale Mean</w:t>
            </w:r>
            <w:r>
              <w:rPr>
                <w:spacing w:val="-4"/>
                <w:sz w:val="18"/>
              </w:rPr>
              <w:t> </w:t>
            </w:r>
            <w:r>
              <w:rPr>
                <w:sz w:val="18"/>
              </w:rPr>
              <w:t>if</w:t>
            </w:r>
          </w:p>
          <w:p>
            <w:pPr>
              <w:pStyle w:val="TableParagraph"/>
              <w:spacing w:before="102"/>
              <w:ind w:left="267"/>
              <w:rPr>
                <w:sz w:val="18"/>
              </w:rPr>
            </w:pPr>
            <w:r>
              <w:rPr>
                <w:sz w:val="18"/>
              </w:rPr>
              <w:t>Item</w:t>
            </w:r>
            <w:r>
              <w:rPr>
                <w:spacing w:val="-4"/>
                <w:sz w:val="18"/>
              </w:rPr>
              <w:t> </w:t>
            </w:r>
            <w:r>
              <w:rPr>
                <w:sz w:val="18"/>
              </w:rPr>
              <w:t>Deleted</w:t>
            </w:r>
          </w:p>
        </w:tc>
        <w:tc>
          <w:tcPr>
            <w:tcW w:w="1466" w:type="dxa"/>
            <w:tcBorders>
              <w:left w:val="single" w:sz="8" w:space="0" w:color="000000"/>
              <w:right w:val="single" w:sz="8" w:space="0" w:color="000000"/>
            </w:tcBorders>
          </w:tcPr>
          <w:p>
            <w:pPr>
              <w:pStyle w:val="TableParagraph"/>
              <w:spacing w:line="206" w:lineRule="exact"/>
              <w:ind w:left="101" w:right="65"/>
              <w:jc w:val="center"/>
              <w:rPr>
                <w:sz w:val="18"/>
              </w:rPr>
            </w:pPr>
            <w:r>
              <w:rPr>
                <w:sz w:val="18"/>
              </w:rPr>
              <w:t>Scale Variance if</w:t>
            </w:r>
          </w:p>
          <w:p>
            <w:pPr>
              <w:pStyle w:val="TableParagraph"/>
              <w:spacing w:before="102"/>
              <w:ind w:left="101" w:right="61"/>
              <w:jc w:val="center"/>
              <w:rPr>
                <w:sz w:val="18"/>
              </w:rPr>
            </w:pPr>
            <w:r>
              <w:rPr>
                <w:sz w:val="18"/>
              </w:rPr>
              <w:t>Item Deleted</w:t>
            </w:r>
          </w:p>
        </w:tc>
        <w:tc>
          <w:tcPr>
            <w:tcW w:w="1469" w:type="dxa"/>
            <w:tcBorders>
              <w:left w:val="single" w:sz="8" w:space="0" w:color="000000"/>
              <w:right w:val="single" w:sz="8" w:space="0" w:color="000000"/>
            </w:tcBorders>
          </w:tcPr>
          <w:p>
            <w:pPr>
              <w:pStyle w:val="TableParagraph"/>
              <w:spacing w:line="206" w:lineRule="exact"/>
              <w:ind w:left="170"/>
              <w:rPr>
                <w:sz w:val="18"/>
              </w:rPr>
            </w:pPr>
            <w:r>
              <w:rPr>
                <w:sz w:val="18"/>
              </w:rPr>
              <w:t>Corrected Item-</w:t>
            </w:r>
          </w:p>
          <w:p>
            <w:pPr>
              <w:pStyle w:val="TableParagraph"/>
              <w:spacing w:before="102"/>
              <w:ind w:left="120"/>
              <w:rPr>
                <w:sz w:val="18"/>
              </w:rPr>
            </w:pPr>
            <w:r>
              <w:rPr>
                <w:sz w:val="18"/>
              </w:rPr>
              <w:t>Total Correlation</w:t>
            </w:r>
          </w:p>
        </w:tc>
        <w:tc>
          <w:tcPr>
            <w:tcW w:w="1469" w:type="dxa"/>
            <w:tcBorders>
              <w:left w:val="single" w:sz="8" w:space="0" w:color="000000"/>
            </w:tcBorders>
          </w:tcPr>
          <w:p>
            <w:pPr>
              <w:pStyle w:val="TableParagraph"/>
              <w:spacing w:line="206" w:lineRule="exact"/>
              <w:ind w:left="94"/>
              <w:rPr>
                <w:sz w:val="18"/>
              </w:rPr>
            </w:pPr>
            <w:r>
              <w:rPr>
                <w:sz w:val="18"/>
              </w:rPr>
              <w:t>Cronbach's Alpha</w:t>
            </w:r>
          </w:p>
          <w:p>
            <w:pPr>
              <w:pStyle w:val="TableParagraph"/>
              <w:spacing w:before="102"/>
              <w:ind w:left="192"/>
              <w:rPr>
                <w:sz w:val="18"/>
              </w:rPr>
            </w:pPr>
            <w:r>
              <w:rPr>
                <w:sz w:val="18"/>
              </w:rPr>
              <w:t>if Item Deleted</w:t>
            </w:r>
          </w:p>
        </w:tc>
      </w:tr>
      <w:tr>
        <w:trPr>
          <w:trHeight w:val="259" w:hRule="atLeast"/>
        </w:trPr>
        <w:tc>
          <w:tcPr>
            <w:tcW w:w="996" w:type="dxa"/>
            <w:tcBorders>
              <w:bottom w:val="nil"/>
            </w:tcBorders>
          </w:tcPr>
          <w:p>
            <w:pPr>
              <w:pStyle w:val="TableParagraph"/>
              <w:spacing w:line="204" w:lineRule="exact"/>
              <w:ind w:left="75"/>
              <w:rPr>
                <w:sz w:val="18"/>
              </w:rPr>
            </w:pPr>
            <w:r>
              <w:rPr>
                <w:sz w:val="18"/>
              </w:rPr>
              <w:t>HT1</w:t>
            </w:r>
          </w:p>
        </w:tc>
        <w:tc>
          <w:tcPr>
            <w:tcW w:w="1469" w:type="dxa"/>
            <w:tcBorders>
              <w:bottom w:val="nil"/>
              <w:right w:val="single" w:sz="8" w:space="0" w:color="000000"/>
            </w:tcBorders>
          </w:tcPr>
          <w:p>
            <w:pPr>
              <w:pStyle w:val="TableParagraph"/>
              <w:spacing w:line="204" w:lineRule="exact"/>
              <w:ind w:right="36"/>
              <w:jc w:val="right"/>
              <w:rPr>
                <w:sz w:val="18"/>
              </w:rPr>
            </w:pPr>
            <w:r>
              <w:rPr>
                <w:sz w:val="18"/>
              </w:rPr>
              <w:t>16.90</w:t>
            </w:r>
          </w:p>
        </w:tc>
        <w:tc>
          <w:tcPr>
            <w:tcW w:w="1466" w:type="dxa"/>
            <w:tcBorders>
              <w:left w:val="single" w:sz="8" w:space="0" w:color="000000"/>
              <w:bottom w:val="nil"/>
              <w:right w:val="single" w:sz="8" w:space="0" w:color="000000"/>
            </w:tcBorders>
          </w:tcPr>
          <w:p>
            <w:pPr>
              <w:pStyle w:val="TableParagraph"/>
              <w:spacing w:line="204" w:lineRule="exact"/>
              <w:ind w:right="36"/>
              <w:jc w:val="right"/>
              <w:rPr>
                <w:sz w:val="18"/>
              </w:rPr>
            </w:pPr>
            <w:r>
              <w:rPr>
                <w:sz w:val="18"/>
              </w:rPr>
              <w:t>20.879</w:t>
            </w:r>
          </w:p>
        </w:tc>
        <w:tc>
          <w:tcPr>
            <w:tcW w:w="1469" w:type="dxa"/>
            <w:tcBorders>
              <w:left w:val="single" w:sz="8" w:space="0" w:color="000000"/>
              <w:bottom w:val="nil"/>
              <w:right w:val="single" w:sz="8" w:space="0" w:color="000000"/>
            </w:tcBorders>
          </w:tcPr>
          <w:p>
            <w:pPr>
              <w:pStyle w:val="TableParagraph"/>
              <w:spacing w:line="204" w:lineRule="exact"/>
              <w:ind w:right="38"/>
              <w:jc w:val="right"/>
              <w:rPr>
                <w:sz w:val="18"/>
              </w:rPr>
            </w:pPr>
            <w:r>
              <w:rPr>
                <w:sz w:val="18"/>
              </w:rPr>
              <w:t>.552</w:t>
            </w:r>
          </w:p>
        </w:tc>
        <w:tc>
          <w:tcPr>
            <w:tcW w:w="1469" w:type="dxa"/>
            <w:tcBorders>
              <w:left w:val="single" w:sz="8" w:space="0" w:color="000000"/>
              <w:bottom w:val="nil"/>
            </w:tcBorders>
          </w:tcPr>
          <w:p>
            <w:pPr>
              <w:pStyle w:val="TableParagraph"/>
              <w:spacing w:line="204" w:lineRule="exact"/>
              <w:ind w:right="36"/>
              <w:jc w:val="right"/>
              <w:rPr>
                <w:sz w:val="18"/>
              </w:rPr>
            </w:pPr>
            <w:r>
              <w:rPr>
                <w:sz w:val="18"/>
              </w:rPr>
              <w:t>.815</w:t>
            </w:r>
          </w:p>
        </w:tc>
      </w:tr>
      <w:tr>
        <w:trPr>
          <w:trHeight w:val="311" w:hRule="atLeast"/>
        </w:trPr>
        <w:tc>
          <w:tcPr>
            <w:tcW w:w="996" w:type="dxa"/>
            <w:tcBorders>
              <w:top w:val="nil"/>
              <w:bottom w:val="nil"/>
            </w:tcBorders>
          </w:tcPr>
          <w:p>
            <w:pPr>
              <w:pStyle w:val="TableParagraph"/>
              <w:spacing w:before="48"/>
              <w:ind w:left="75"/>
              <w:rPr>
                <w:sz w:val="18"/>
              </w:rPr>
            </w:pPr>
            <w:r>
              <w:rPr>
                <w:sz w:val="18"/>
              </w:rPr>
              <w:t>HT2</w:t>
            </w:r>
          </w:p>
        </w:tc>
        <w:tc>
          <w:tcPr>
            <w:tcW w:w="1469" w:type="dxa"/>
            <w:tcBorders>
              <w:top w:val="nil"/>
              <w:bottom w:val="nil"/>
              <w:right w:val="single" w:sz="8" w:space="0" w:color="000000"/>
            </w:tcBorders>
          </w:tcPr>
          <w:p>
            <w:pPr>
              <w:pStyle w:val="TableParagraph"/>
              <w:spacing w:before="48"/>
              <w:ind w:right="36"/>
              <w:jc w:val="right"/>
              <w:rPr>
                <w:sz w:val="18"/>
              </w:rPr>
            </w:pPr>
            <w:r>
              <w:rPr>
                <w:sz w:val="18"/>
              </w:rPr>
              <w:t>16.95</w:t>
            </w:r>
          </w:p>
        </w:tc>
        <w:tc>
          <w:tcPr>
            <w:tcW w:w="1466" w:type="dxa"/>
            <w:tcBorders>
              <w:top w:val="nil"/>
              <w:left w:val="single" w:sz="8" w:space="0" w:color="000000"/>
              <w:bottom w:val="nil"/>
              <w:right w:val="single" w:sz="8" w:space="0" w:color="000000"/>
            </w:tcBorders>
          </w:tcPr>
          <w:p>
            <w:pPr>
              <w:pStyle w:val="TableParagraph"/>
              <w:spacing w:before="48"/>
              <w:ind w:right="36"/>
              <w:jc w:val="right"/>
              <w:rPr>
                <w:sz w:val="18"/>
              </w:rPr>
            </w:pPr>
            <w:r>
              <w:rPr>
                <w:sz w:val="18"/>
              </w:rPr>
              <w:t>20.916</w:t>
            </w:r>
          </w:p>
        </w:tc>
        <w:tc>
          <w:tcPr>
            <w:tcW w:w="1469" w:type="dxa"/>
            <w:tcBorders>
              <w:top w:val="nil"/>
              <w:left w:val="single" w:sz="8" w:space="0" w:color="000000"/>
              <w:bottom w:val="nil"/>
              <w:right w:val="single" w:sz="8" w:space="0" w:color="000000"/>
            </w:tcBorders>
          </w:tcPr>
          <w:p>
            <w:pPr>
              <w:pStyle w:val="TableParagraph"/>
              <w:spacing w:before="48"/>
              <w:ind w:right="38"/>
              <w:jc w:val="right"/>
              <w:rPr>
                <w:sz w:val="18"/>
              </w:rPr>
            </w:pPr>
            <w:r>
              <w:rPr>
                <w:sz w:val="18"/>
              </w:rPr>
              <w:t>.513</w:t>
            </w:r>
          </w:p>
        </w:tc>
        <w:tc>
          <w:tcPr>
            <w:tcW w:w="1469" w:type="dxa"/>
            <w:tcBorders>
              <w:top w:val="nil"/>
              <w:left w:val="single" w:sz="8" w:space="0" w:color="000000"/>
              <w:bottom w:val="nil"/>
            </w:tcBorders>
          </w:tcPr>
          <w:p>
            <w:pPr>
              <w:pStyle w:val="TableParagraph"/>
              <w:spacing w:before="48"/>
              <w:ind w:right="37"/>
              <w:jc w:val="right"/>
              <w:rPr>
                <w:sz w:val="18"/>
              </w:rPr>
            </w:pPr>
            <w:r>
              <w:rPr>
                <w:sz w:val="18"/>
              </w:rPr>
              <w:t>.823</w:t>
            </w:r>
          </w:p>
        </w:tc>
      </w:tr>
      <w:tr>
        <w:trPr>
          <w:trHeight w:val="309" w:hRule="atLeast"/>
        </w:trPr>
        <w:tc>
          <w:tcPr>
            <w:tcW w:w="996" w:type="dxa"/>
            <w:tcBorders>
              <w:top w:val="nil"/>
              <w:bottom w:val="nil"/>
            </w:tcBorders>
          </w:tcPr>
          <w:p>
            <w:pPr>
              <w:pStyle w:val="TableParagraph"/>
              <w:spacing w:before="47"/>
              <w:ind w:left="75"/>
              <w:rPr>
                <w:sz w:val="18"/>
              </w:rPr>
            </w:pPr>
            <w:r>
              <w:rPr>
                <w:sz w:val="18"/>
              </w:rPr>
              <w:t>HT4</w:t>
            </w:r>
          </w:p>
        </w:tc>
        <w:tc>
          <w:tcPr>
            <w:tcW w:w="1469" w:type="dxa"/>
            <w:tcBorders>
              <w:top w:val="nil"/>
              <w:bottom w:val="nil"/>
              <w:right w:val="single" w:sz="8" w:space="0" w:color="000000"/>
            </w:tcBorders>
          </w:tcPr>
          <w:p>
            <w:pPr>
              <w:pStyle w:val="TableParagraph"/>
              <w:spacing w:before="47"/>
              <w:ind w:right="36"/>
              <w:jc w:val="right"/>
              <w:rPr>
                <w:sz w:val="18"/>
              </w:rPr>
            </w:pPr>
            <w:r>
              <w:rPr>
                <w:sz w:val="18"/>
              </w:rPr>
              <w:t>17.65</w:t>
            </w:r>
          </w:p>
        </w:tc>
        <w:tc>
          <w:tcPr>
            <w:tcW w:w="1466" w:type="dxa"/>
            <w:tcBorders>
              <w:top w:val="nil"/>
              <w:left w:val="single" w:sz="8" w:space="0" w:color="000000"/>
              <w:bottom w:val="nil"/>
              <w:right w:val="single" w:sz="8" w:space="0" w:color="000000"/>
            </w:tcBorders>
          </w:tcPr>
          <w:p>
            <w:pPr>
              <w:pStyle w:val="TableParagraph"/>
              <w:spacing w:before="47"/>
              <w:ind w:right="37"/>
              <w:jc w:val="right"/>
              <w:rPr>
                <w:sz w:val="18"/>
              </w:rPr>
            </w:pPr>
            <w:r>
              <w:rPr>
                <w:sz w:val="18"/>
              </w:rPr>
              <w:t>19.006</w:t>
            </w:r>
          </w:p>
        </w:tc>
        <w:tc>
          <w:tcPr>
            <w:tcW w:w="1469" w:type="dxa"/>
            <w:tcBorders>
              <w:top w:val="nil"/>
              <w:left w:val="single" w:sz="8" w:space="0" w:color="000000"/>
              <w:bottom w:val="nil"/>
              <w:right w:val="single" w:sz="8" w:space="0" w:color="000000"/>
            </w:tcBorders>
          </w:tcPr>
          <w:p>
            <w:pPr>
              <w:pStyle w:val="TableParagraph"/>
              <w:spacing w:before="47"/>
              <w:ind w:right="38"/>
              <w:jc w:val="right"/>
              <w:rPr>
                <w:sz w:val="18"/>
              </w:rPr>
            </w:pPr>
            <w:r>
              <w:rPr>
                <w:sz w:val="18"/>
              </w:rPr>
              <w:t>.718</w:t>
            </w:r>
          </w:p>
        </w:tc>
        <w:tc>
          <w:tcPr>
            <w:tcW w:w="1469" w:type="dxa"/>
            <w:tcBorders>
              <w:top w:val="nil"/>
              <w:left w:val="single" w:sz="8" w:space="0" w:color="000000"/>
              <w:bottom w:val="nil"/>
            </w:tcBorders>
          </w:tcPr>
          <w:p>
            <w:pPr>
              <w:pStyle w:val="TableParagraph"/>
              <w:spacing w:before="47"/>
              <w:ind w:right="36"/>
              <w:jc w:val="right"/>
              <w:rPr>
                <w:sz w:val="18"/>
              </w:rPr>
            </w:pPr>
            <w:r>
              <w:rPr>
                <w:sz w:val="18"/>
              </w:rPr>
              <w:t>.780</w:t>
            </w:r>
          </w:p>
        </w:tc>
      </w:tr>
      <w:tr>
        <w:trPr>
          <w:trHeight w:val="310" w:hRule="atLeast"/>
        </w:trPr>
        <w:tc>
          <w:tcPr>
            <w:tcW w:w="996" w:type="dxa"/>
            <w:tcBorders>
              <w:top w:val="nil"/>
              <w:bottom w:val="nil"/>
            </w:tcBorders>
          </w:tcPr>
          <w:p>
            <w:pPr>
              <w:pStyle w:val="TableParagraph"/>
              <w:spacing w:before="47"/>
              <w:ind w:left="75"/>
              <w:rPr>
                <w:sz w:val="18"/>
              </w:rPr>
            </w:pPr>
            <w:r>
              <w:rPr>
                <w:sz w:val="18"/>
              </w:rPr>
              <w:t>HT5</w:t>
            </w:r>
          </w:p>
        </w:tc>
        <w:tc>
          <w:tcPr>
            <w:tcW w:w="1469" w:type="dxa"/>
            <w:tcBorders>
              <w:top w:val="nil"/>
              <w:bottom w:val="nil"/>
              <w:right w:val="single" w:sz="8" w:space="0" w:color="000000"/>
            </w:tcBorders>
          </w:tcPr>
          <w:p>
            <w:pPr>
              <w:pStyle w:val="TableParagraph"/>
              <w:spacing w:before="47"/>
              <w:ind w:right="36"/>
              <w:jc w:val="right"/>
              <w:rPr>
                <w:sz w:val="18"/>
              </w:rPr>
            </w:pPr>
            <w:r>
              <w:rPr>
                <w:sz w:val="18"/>
              </w:rPr>
              <w:t>17.60</w:t>
            </w:r>
          </w:p>
        </w:tc>
        <w:tc>
          <w:tcPr>
            <w:tcW w:w="1466" w:type="dxa"/>
            <w:tcBorders>
              <w:top w:val="nil"/>
              <w:left w:val="single" w:sz="8" w:space="0" w:color="000000"/>
              <w:bottom w:val="nil"/>
              <w:right w:val="single" w:sz="8" w:space="0" w:color="000000"/>
            </w:tcBorders>
          </w:tcPr>
          <w:p>
            <w:pPr>
              <w:pStyle w:val="TableParagraph"/>
              <w:spacing w:before="47"/>
              <w:ind w:right="36"/>
              <w:jc w:val="right"/>
              <w:rPr>
                <w:sz w:val="18"/>
              </w:rPr>
            </w:pPr>
            <w:r>
              <w:rPr>
                <w:sz w:val="18"/>
              </w:rPr>
              <w:t>18.866</w:t>
            </w:r>
          </w:p>
        </w:tc>
        <w:tc>
          <w:tcPr>
            <w:tcW w:w="1469" w:type="dxa"/>
            <w:tcBorders>
              <w:top w:val="nil"/>
              <w:left w:val="single" w:sz="8" w:space="0" w:color="000000"/>
              <w:bottom w:val="nil"/>
              <w:right w:val="single" w:sz="8" w:space="0" w:color="000000"/>
            </w:tcBorders>
          </w:tcPr>
          <w:p>
            <w:pPr>
              <w:pStyle w:val="TableParagraph"/>
              <w:spacing w:before="47"/>
              <w:ind w:right="38"/>
              <w:jc w:val="right"/>
              <w:rPr>
                <w:sz w:val="18"/>
              </w:rPr>
            </w:pPr>
            <w:r>
              <w:rPr>
                <w:sz w:val="18"/>
              </w:rPr>
              <w:t>.736</w:t>
            </w:r>
          </w:p>
        </w:tc>
        <w:tc>
          <w:tcPr>
            <w:tcW w:w="1469" w:type="dxa"/>
            <w:tcBorders>
              <w:top w:val="nil"/>
              <w:left w:val="single" w:sz="8" w:space="0" w:color="000000"/>
              <w:bottom w:val="nil"/>
            </w:tcBorders>
          </w:tcPr>
          <w:p>
            <w:pPr>
              <w:pStyle w:val="TableParagraph"/>
              <w:spacing w:before="47"/>
              <w:ind w:right="36"/>
              <w:jc w:val="right"/>
              <w:rPr>
                <w:sz w:val="18"/>
              </w:rPr>
            </w:pPr>
            <w:r>
              <w:rPr>
                <w:sz w:val="18"/>
              </w:rPr>
              <w:t>.776</w:t>
            </w:r>
          </w:p>
        </w:tc>
      </w:tr>
      <w:tr>
        <w:trPr>
          <w:trHeight w:val="310" w:hRule="atLeast"/>
        </w:trPr>
        <w:tc>
          <w:tcPr>
            <w:tcW w:w="996" w:type="dxa"/>
            <w:tcBorders>
              <w:top w:val="nil"/>
              <w:bottom w:val="nil"/>
            </w:tcBorders>
          </w:tcPr>
          <w:p>
            <w:pPr>
              <w:pStyle w:val="TableParagraph"/>
              <w:spacing w:before="48"/>
              <w:ind w:left="75"/>
              <w:rPr>
                <w:sz w:val="18"/>
              </w:rPr>
            </w:pPr>
            <w:r>
              <w:rPr>
                <w:sz w:val="18"/>
              </w:rPr>
              <w:t>HT6</w:t>
            </w:r>
          </w:p>
        </w:tc>
        <w:tc>
          <w:tcPr>
            <w:tcW w:w="1469" w:type="dxa"/>
            <w:tcBorders>
              <w:top w:val="nil"/>
              <w:bottom w:val="nil"/>
              <w:right w:val="single" w:sz="8" w:space="0" w:color="000000"/>
            </w:tcBorders>
          </w:tcPr>
          <w:p>
            <w:pPr>
              <w:pStyle w:val="TableParagraph"/>
              <w:spacing w:before="48"/>
              <w:ind w:right="36"/>
              <w:jc w:val="right"/>
              <w:rPr>
                <w:sz w:val="18"/>
              </w:rPr>
            </w:pPr>
            <w:r>
              <w:rPr>
                <w:sz w:val="18"/>
              </w:rPr>
              <w:t>17.78</w:t>
            </w:r>
          </w:p>
        </w:tc>
        <w:tc>
          <w:tcPr>
            <w:tcW w:w="1466" w:type="dxa"/>
            <w:tcBorders>
              <w:top w:val="nil"/>
              <w:left w:val="single" w:sz="8" w:space="0" w:color="000000"/>
              <w:bottom w:val="nil"/>
              <w:right w:val="single" w:sz="8" w:space="0" w:color="000000"/>
            </w:tcBorders>
          </w:tcPr>
          <w:p>
            <w:pPr>
              <w:pStyle w:val="TableParagraph"/>
              <w:spacing w:before="48"/>
              <w:ind w:right="36"/>
              <w:jc w:val="right"/>
              <w:rPr>
                <w:sz w:val="18"/>
              </w:rPr>
            </w:pPr>
            <w:r>
              <w:rPr>
                <w:sz w:val="18"/>
              </w:rPr>
              <w:t>20.198</w:t>
            </w:r>
          </w:p>
        </w:tc>
        <w:tc>
          <w:tcPr>
            <w:tcW w:w="1469" w:type="dxa"/>
            <w:tcBorders>
              <w:top w:val="nil"/>
              <w:left w:val="single" w:sz="8" w:space="0" w:color="000000"/>
              <w:bottom w:val="nil"/>
              <w:right w:val="single" w:sz="8" w:space="0" w:color="000000"/>
            </w:tcBorders>
          </w:tcPr>
          <w:p>
            <w:pPr>
              <w:pStyle w:val="TableParagraph"/>
              <w:spacing w:before="48"/>
              <w:ind w:right="38"/>
              <w:jc w:val="right"/>
              <w:rPr>
                <w:sz w:val="18"/>
              </w:rPr>
            </w:pPr>
            <w:r>
              <w:rPr>
                <w:sz w:val="18"/>
              </w:rPr>
              <w:t>.648</w:t>
            </w:r>
          </w:p>
        </w:tc>
        <w:tc>
          <w:tcPr>
            <w:tcW w:w="1469" w:type="dxa"/>
            <w:tcBorders>
              <w:top w:val="nil"/>
              <w:left w:val="single" w:sz="8" w:space="0" w:color="000000"/>
              <w:bottom w:val="nil"/>
            </w:tcBorders>
          </w:tcPr>
          <w:p>
            <w:pPr>
              <w:pStyle w:val="TableParagraph"/>
              <w:spacing w:before="48"/>
              <w:ind w:right="36"/>
              <w:jc w:val="right"/>
              <w:rPr>
                <w:sz w:val="18"/>
              </w:rPr>
            </w:pPr>
            <w:r>
              <w:rPr>
                <w:sz w:val="18"/>
              </w:rPr>
              <w:t>.796</w:t>
            </w:r>
          </w:p>
        </w:tc>
      </w:tr>
      <w:tr>
        <w:trPr>
          <w:trHeight w:val="356" w:hRule="atLeast"/>
        </w:trPr>
        <w:tc>
          <w:tcPr>
            <w:tcW w:w="996" w:type="dxa"/>
            <w:tcBorders>
              <w:top w:val="nil"/>
            </w:tcBorders>
          </w:tcPr>
          <w:p>
            <w:pPr>
              <w:pStyle w:val="TableParagraph"/>
              <w:spacing w:before="47"/>
              <w:ind w:left="75"/>
              <w:rPr>
                <w:sz w:val="18"/>
              </w:rPr>
            </w:pPr>
            <w:r>
              <w:rPr>
                <w:sz w:val="18"/>
              </w:rPr>
              <w:t>HT7</w:t>
            </w:r>
          </w:p>
        </w:tc>
        <w:tc>
          <w:tcPr>
            <w:tcW w:w="1469" w:type="dxa"/>
            <w:tcBorders>
              <w:top w:val="nil"/>
              <w:right w:val="single" w:sz="8" w:space="0" w:color="000000"/>
            </w:tcBorders>
          </w:tcPr>
          <w:p>
            <w:pPr>
              <w:pStyle w:val="TableParagraph"/>
              <w:spacing w:before="47"/>
              <w:ind w:right="36"/>
              <w:jc w:val="right"/>
              <w:rPr>
                <w:sz w:val="18"/>
              </w:rPr>
            </w:pPr>
            <w:r>
              <w:rPr>
                <w:sz w:val="18"/>
              </w:rPr>
              <w:t>16.87</w:t>
            </w:r>
          </w:p>
        </w:tc>
        <w:tc>
          <w:tcPr>
            <w:tcW w:w="1466" w:type="dxa"/>
            <w:tcBorders>
              <w:top w:val="nil"/>
              <w:left w:val="single" w:sz="8" w:space="0" w:color="000000"/>
              <w:right w:val="single" w:sz="8" w:space="0" w:color="000000"/>
            </w:tcBorders>
          </w:tcPr>
          <w:p>
            <w:pPr>
              <w:pStyle w:val="TableParagraph"/>
              <w:spacing w:before="47"/>
              <w:ind w:right="36"/>
              <w:jc w:val="right"/>
              <w:rPr>
                <w:sz w:val="18"/>
              </w:rPr>
            </w:pPr>
            <w:r>
              <w:rPr>
                <w:sz w:val="18"/>
              </w:rPr>
              <w:t>21.495</w:t>
            </w:r>
          </w:p>
        </w:tc>
        <w:tc>
          <w:tcPr>
            <w:tcW w:w="1469" w:type="dxa"/>
            <w:tcBorders>
              <w:top w:val="nil"/>
              <w:left w:val="single" w:sz="8" w:space="0" w:color="000000"/>
              <w:right w:val="single" w:sz="8" w:space="0" w:color="000000"/>
            </w:tcBorders>
          </w:tcPr>
          <w:p>
            <w:pPr>
              <w:pStyle w:val="TableParagraph"/>
              <w:spacing w:before="47"/>
              <w:ind w:right="38"/>
              <w:jc w:val="right"/>
              <w:rPr>
                <w:sz w:val="18"/>
              </w:rPr>
            </w:pPr>
            <w:r>
              <w:rPr>
                <w:sz w:val="18"/>
              </w:rPr>
              <w:t>.466</w:t>
            </w:r>
          </w:p>
        </w:tc>
        <w:tc>
          <w:tcPr>
            <w:tcW w:w="1469" w:type="dxa"/>
            <w:tcBorders>
              <w:top w:val="nil"/>
              <w:left w:val="single" w:sz="8" w:space="0" w:color="000000"/>
            </w:tcBorders>
          </w:tcPr>
          <w:p>
            <w:pPr>
              <w:pStyle w:val="TableParagraph"/>
              <w:spacing w:before="47"/>
              <w:ind w:right="36"/>
              <w:jc w:val="right"/>
              <w:rPr>
                <w:sz w:val="18"/>
              </w:rPr>
            </w:pPr>
            <w:r>
              <w:rPr>
                <w:sz w:val="18"/>
              </w:rPr>
              <w:t>.832</w:t>
            </w:r>
          </w:p>
        </w:tc>
      </w:tr>
    </w:tbl>
    <w:p>
      <w:pPr>
        <w:pStyle w:val="BodyText"/>
        <w:rPr>
          <w:b/>
          <w:sz w:val="20"/>
        </w:rPr>
      </w:pPr>
    </w:p>
    <w:p>
      <w:pPr>
        <w:pStyle w:val="BodyText"/>
        <w:spacing w:before="1"/>
        <w:rPr>
          <w:b/>
          <w:sz w:val="16"/>
        </w:rPr>
      </w:pPr>
    </w:p>
    <w:p>
      <w:pPr>
        <w:spacing w:before="0"/>
        <w:ind w:left="2638" w:right="0" w:firstLine="0"/>
        <w:jc w:val="left"/>
        <w:rPr>
          <w:b/>
          <w:sz w:val="18"/>
        </w:rPr>
      </w:pPr>
      <w:r>
        <w:rPr>
          <w:b/>
          <w:sz w:val="18"/>
        </w:rPr>
        <w:t>Scale Statistics</w:t>
      </w:r>
    </w:p>
    <w:p>
      <w:pPr>
        <w:pStyle w:val="BodyText"/>
        <w:spacing w:before="10" w:after="1"/>
        <w:rPr>
          <w:b/>
          <w:sz w:val="8"/>
        </w:rPr>
      </w:pPr>
    </w:p>
    <w:tbl>
      <w:tblPr>
        <w:tblW w:w="0" w:type="auto"/>
        <w:jc w:val="left"/>
        <w:tblInd w:w="907" w:type="dxa"/>
        <w:tblBorders>
          <w:top w:val="single" w:sz="18" w:space="0" w:color="000000"/>
          <w:left w:val="single" w:sz="18" w:space="0" w:color="000000"/>
          <w:bottom w:val="single" w:sz="18" w:space="0" w:color="000000"/>
          <w:right w:val="single" w:sz="18" w:space="0" w:color="000000"/>
          <w:insideH w:val="single" w:sz="18" w:space="0" w:color="000000"/>
          <w:insideV w:val="single" w:sz="18" w:space="0" w:color="000000"/>
        </w:tblBorders>
        <w:tblLayout w:type="fixed"/>
        <w:tblCellMar>
          <w:top w:w="0" w:type="dxa"/>
          <w:left w:w="0" w:type="dxa"/>
          <w:bottom w:w="0" w:type="dxa"/>
          <w:right w:w="0" w:type="dxa"/>
        </w:tblCellMar>
        <w:tblLook w:val="01E0"/>
      </w:tblPr>
      <w:tblGrid>
        <w:gridCol w:w="1027"/>
        <w:gridCol w:w="1025"/>
        <w:gridCol w:w="1448"/>
        <w:gridCol w:w="1152"/>
      </w:tblGrid>
      <w:tr>
        <w:trPr>
          <w:trHeight w:val="305" w:hRule="atLeast"/>
        </w:trPr>
        <w:tc>
          <w:tcPr>
            <w:tcW w:w="1027" w:type="dxa"/>
            <w:tcBorders>
              <w:right w:val="single" w:sz="8" w:space="0" w:color="000000"/>
            </w:tcBorders>
          </w:tcPr>
          <w:p>
            <w:pPr>
              <w:pStyle w:val="TableParagraph"/>
              <w:spacing w:line="206" w:lineRule="exact"/>
              <w:ind w:left="308"/>
              <w:rPr>
                <w:sz w:val="18"/>
              </w:rPr>
            </w:pPr>
            <w:r>
              <w:rPr>
                <w:sz w:val="18"/>
              </w:rPr>
              <w:t>Mean</w:t>
            </w:r>
          </w:p>
        </w:tc>
        <w:tc>
          <w:tcPr>
            <w:tcW w:w="1025" w:type="dxa"/>
            <w:tcBorders>
              <w:left w:val="single" w:sz="8" w:space="0" w:color="000000"/>
              <w:right w:val="single" w:sz="8" w:space="0" w:color="000000"/>
            </w:tcBorders>
          </w:tcPr>
          <w:p>
            <w:pPr>
              <w:pStyle w:val="TableParagraph"/>
              <w:spacing w:line="206" w:lineRule="exact"/>
              <w:ind w:left="196"/>
              <w:rPr>
                <w:sz w:val="18"/>
              </w:rPr>
            </w:pPr>
            <w:r>
              <w:rPr>
                <w:sz w:val="18"/>
              </w:rPr>
              <w:t>Variance</w:t>
            </w:r>
          </w:p>
        </w:tc>
        <w:tc>
          <w:tcPr>
            <w:tcW w:w="1448" w:type="dxa"/>
            <w:tcBorders>
              <w:left w:val="single" w:sz="8" w:space="0" w:color="000000"/>
              <w:right w:val="single" w:sz="8" w:space="0" w:color="000000"/>
            </w:tcBorders>
          </w:tcPr>
          <w:p>
            <w:pPr>
              <w:pStyle w:val="TableParagraph"/>
              <w:spacing w:line="206" w:lineRule="exact"/>
              <w:ind w:left="213"/>
              <w:rPr>
                <w:sz w:val="18"/>
              </w:rPr>
            </w:pPr>
            <w:r>
              <w:rPr>
                <w:sz w:val="18"/>
              </w:rPr>
              <w:t>Std. Deviation</w:t>
            </w:r>
          </w:p>
        </w:tc>
        <w:tc>
          <w:tcPr>
            <w:tcW w:w="1152" w:type="dxa"/>
            <w:tcBorders>
              <w:left w:val="single" w:sz="8" w:space="0" w:color="000000"/>
            </w:tcBorders>
          </w:tcPr>
          <w:p>
            <w:pPr>
              <w:pStyle w:val="TableParagraph"/>
              <w:spacing w:line="206" w:lineRule="exact"/>
              <w:ind w:left="193"/>
              <w:rPr>
                <w:sz w:val="18"/>
              </w:rPr>
            </w:pPr>
            <w:r>
              <w:rPr>
                <w:sz w:val="18"/>
              </w:rPr>
              <w:t>N of Items</w:t>
            </w:r>
          </w:p>
        </w:tc>
      </w:tr>
      <w:tr>
        <w:trPr>
          <w:trHeight w:val="307" w:hRule="atLeast"/>
        </w:trPr>
        <w:tc>
          <w:tcPr>
            <w:tcW w:w="1027" w:type="dxa"/>
            <w:tcBorders>
              <w:right w:val="single" w:sz="8" w:space="0" w:color="000000"/>
            </w:tcBorders>
          </w:tcPr>
          <w:p>
            <w:pPr>
              <w:pStyle w:val="TableParagraph"/>
              <w:spacing w:line="206" w:lineRule="exact"/>
              <w:ind w:left="546"/>
              <w:rPr>
                <w:sz w:val="18"/>
              </w:rPr>
            </w:pPr>
            <w:r>
              <w:rPr>
                <w:sz w:val="18"/>
              </w:rPr>
              <w:t>20.75</w:t>
            </w:r>
          </w:p>
        </w:tc>
        <w:tc>
          <w:tcPr>
            <w:tcW w:w="1025" w:type="dxa"/>
            <w:tcBorders>
              <w:left w:val="single" w:sz="8" w:space="0" w:color="000000"/>
              <w:right w:val="single" w:sz="8" w:space="0" w:color="000000"/>
            </w:tcBorders>
          </w:tcPr>
          <w:p>
            <w:pPr>
              <w:pStyle w:val="TableParagraph"/>
              <w:spacing w:line="206" w:lineRule="exact"/>
              <w:ind w:left="470"/>
              <w:rPr>
                <w:sz w:val="18"/>
              </w:rPr>
            </w:pPr>
            <w:r>
              <w:rPr>
                <w:sz w:val="18"/>
              </w:rPr>
              <w:t>28.178</w:t>
            </w:r>
          </w:p>
        </w:tc>
        <w:tc>
          <w:tcPr>
            <w:tcW w:w="1448" w:type="dxa"/>
            <w:tcBorders>
              <w:left w:val="single" w:sz="8" w:space="0" w:color="000000"/>
              <w:right w:val="single" w:sz="8" w:space="0" w:color="000000"/>
            </w:tcBorders>
          </w:tcPr>
          <w:p>
            <w:pPr>
              <w:pStyle w:val="TableParagraph"/>
              <w:spacing w:line="206" w:lineRule="exact"/>
              <w:ind w:right="37"/>
              <w:jc w:val="right"/>
              <w:rPr>
                <w:sz w:val="18"/>
              </w:rPr>
            </w:pPr>
            <w:r>
              <w:rPr>
                <w:sz w:val="18"/>
              </w:rPr>
              <w:t>5.308</w:t>
            </w:r>
          </w:p>
        </w:tc>
        <w:tc>
          <w:tcPr>
            <w:tcW w:w="1152" w:type="dxa"/>
            <w:tcBorders>
              <w:left w:val="single" w:sz="8" w:space="0" w:color="000000"/>
            </w:tcBorders>
          </w:tcPr>
          <w:p>
            <w:pPr>
              <w:pStyle w:val="TableParagraph"/>
              <w:spacing w:line="206" w:lineRule="exact"/>
              <w:ind w:right="39"/>
              <w:jc w:val="right"/>
              <w:rPr>
                <w:sz w:val="18"/>
              </w:rPr>
            </w:pPr>
            <w:r>
              <w:rPr>
                <w:sz w:val="18"/>
              </w:rPr>
              <w:t>6</w:t>
            </w:r>
          </w:p>
        </w:tc>
      </w:tr>
    </w:tbl>
    <w:p>
      <w:pPr>
        <w:spacing w:after="0" w:line="206" w:lineRule="exact"/>
        <w:jc w:val="right"/>
        <w:rPr>
          <w:sz w:val="18"/>
        </w:rPr>
        <w:sectPr>
          <w:pgSz w:w="11910" w:h="16850"/>
          <w:pgMar w:header="751" w:footer="0" w:top="960" w:bottom="280" w:left="820" w:right="240"/>
        </w:sectPr>
      </w:pPr>
    </w:p>
    <w:p>
      <w:pPr>
        <w:pStyle w:val="BodyText"/>
        <w:spacing w:before="5"/>
        <w:rPr>
          <w:b/>
          <w:sz w:val="24"/>
        </w:rPr>
      </w:pPr>
    </w:p>
    <w:tbl>
      <w:tblPr>
        <w:tblW w:w="0" w:type="auto"/>
        <w:jc w:val="left"/>
        <w:tblInd w:w="90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
      <w:tblGrid>
        <w:gridCol w:w="2299"/>
        <w:gridCol w:w="2522"/>
        <w:gridCol w:w="1086"/>
      </w:tblGrid>
      <w:tr>
        <w:trPr>
          <w:trHeight w:val="301" w:hRule="atLeast"/>
        </w:trPr>
        <w:tc>
          <w:tcPr>
            <w:tcW w:w="5907" w:type="dxa"/>
            <w:gridSpan w:val="3"/>
            <w:tcBorders>
              <w:bottom w:val="single" w:sz="18" w:space="0" w:color="000000"/>
            </w:tcBorders>
          </w:tcPr>
          <w:p>
            <w:pPr>
              <w:pStyle w:val="TableParagraph"/>
              <w:spacing w:line="199" w:lineRule="exact"/>
              <w:ind w:left="1989" w:right="1953"/>
              <w:jc w:val="center"/>
              <w:rPr>
                <w:b/>
                <w:sz w:val="18"/>
              </w:rPr>
            </w:pPr>
            <w:r>
              <w:rPr>
                <w:b/>
                <w:sz w:val="18"/>
              </w:rPr>
              <w:t>KMO and Bartlett's Test</w:t>
            </w:r>
          </w:p>
        </w:tc>
      </w:tr>
      <w:tr>
        <w:trPr>
          <w:trHeight w:val="260" w:hRule="atLeast"/>
        </w:trPr>
        <w:tc>
          <w:tcPr>
            <w:tcW w:w="4821" w:type="dxa"/>
            <w:gridSpan w:val="2"/>
            <w:tcBorders>
              <w:top w:val="single" w:sz="18" w:space="0" w:color="000000"/>
              <w:left w:val="single" w:sz="18" w:space="0" w:color="000000"/>
              <w:right w:val="single" w:sz="18" w:space="0" w:color="000000"/>
            </w:tcBorders>
          </w:tcPr>
          <w:p>
            <w:pPr>
              <w:pStyle w:val="TableParagraph"/>
              <w:spacing w:line="204" w:lineRule="exact"/>
              <w:ind w:left="75"/>
              <w:rPr>
                <w:sz w:val="18"/>
              </w:rPr>
            </w:pPr>
            <w:r>
              <w:rPr>
                <w:sz w:val="18"/>
              </w:rPr>
              <w:t>Kaiser-Meyer-Olkin Measure of Sampling Adequacy.</w:t>
            </w:r>
          </w:p>
        </w:tc>
        <w:tc>
          <w:tcPr>
            <w:tcW w:w="1086" w:type="dxa"/>
            <w:tcBorders>
              <w:top w:val="single" w:sz="18" w:space="0" w:color="000000"/>
              <w:left w:val="single" w:sz="18" w:space="0" w:color="000000"/>
              <w:right w:val="single" w:sz="18" w:space="0" w:color="000000"/>
            </w:tcBorders>
          </w:tcPr>
          <w:p>
            <w:pPr>
              <w:pStyle w:val="TableParagraph"/>
              <w:spacing w:line="204" w:lineRule="exact"/>
              <w:ind w:right="38"/>
              <w:jc w:val="right"/>
              <w:rPr>
                <w:sz w:val="18"/>
              </w:rPr>
            </w:pPr>
            <w:r>
              <w:rPr>
                <w:sz w:val="18"/>
              </w:rPr>
              <w:t>.845</w:t>
            </w:r>
          </w:p>
        </w:tc>
      </w:tr>
      <w:tr>
        <w:trPr>
          <w:trHeight w:val="331" w:hRule="atLeast"/>
        </w:trPr>
        <w:tc>
          <w:tcPr>
            <w:tcW w:w="2299" w:type="dxa"/>
            <w:tcBorders>
              <w:left w:val="single" w:sz="18" w:space="0" w:color="000000"/>
            </w:tcBorders>
          </w:tcPr>
          <w:p>
            <w:pPr>
              <w:pStyle w:val="TableParagraph"/>
              <w:rPr>
                <w:sz w:val="18"/>
              </w:rPr>
            </w:pPr>
          </w:p>
        </w:tc>
        <w:tc>
          <w:tcPr>
            <w:tcW w:w="2522" w:type="dxa"/>
            <w:tcBorders>
              <w:right w:val="single" w:sz="18" w:space="0" w:color="000000"/>
            </w:tcBorders>
          </w:tcPr>
          <w:p>
            <w:pPr>
              <w:pStyle w:val="TableParagraph"/>
              <w:spacing w:before="49"/>
              <w:ind w:left="259"/>
              <w:rPr>
                <w:sz w:val="18"/>
              </w:rPr>
            </w:pPr>
            <w:r>
              <w:rPr>
                <w:sz w:val="18"/>
              </w:rPr>
              <w:t>Approx. Chi-Square</w:t>
            </w:r>
          </w:p>
        </w:tc>
        <w:tc>
          <w:tcPr>
            <w:tcW w:w="1086" w:type="dxa"/>
            <w:tcBorders>
              <w:left w:val="single" w:sz="18" w:space="0" w:color="000000"/>
              <w:right w:val="single" w:sz="18" w:space="0" w:color="000000"/>
            </w:tcBorders>
          </w:tcPr>
          <w:p>
            <w:pPr>
              <w:pStyle w:val="TableParagraph"/>
              <w:spacing w:before="49"/>
              <w:ind w:right="38"/>
              <w:jc w:val="right"/>
              <w:rPr>
                <w:sz w:val="18"/>
              </w:rPr>
            </w:pPr>
            <w:r>
              <w:rPr>
                <w:sz w:val="18"/>
              </w:rPr>
              <w:t>1172.307</w:t>
            </w:r>
          </w:p>
        </w:tc>
      </w:tr>
      <w:tr>
        <w:trPr>
          <w:trHeight w:val="350" w:hRule="atLeast"/>
        </w:trPr>
        <w:tc>
          <w:tcPr>
            <w:tcW w:w="2299" w:type="dxa"/>
            <w:tcBorders>
              <w:left w:val="single" w:sz="18" w:space="0" w:color="000000"/>
            </w:tcBorders>
          </w:tcPr>
          <w:p>
            <w:pPr>
              <w:pStyle w:val="TableParagraph"/>
              <w:spacing w:before="68"/>
              <w:ind w:left="75"/>
              <w:rPr>
                <w:sz w:val="18"/>
              </w:rPr>
            </w:pPr>
            <w:r>
              <w:rPr>
                <w:sz w:val="18"/>
              </w:rPr>
              <w:t>Bartlett's Test of Sphericity</w:t>
            </w:r>
          </w:p>
        </w:tc>
        <w:tc>
          <w:tcPr>
            <w:tcW w:w="2522" w:type="dxa"/>
            <w:tcBorders>
              <w:right w:val="single" w:sz="18" w:space="0" w:color="000000"/>
            </w:tcBorders>
          </w:tcPr>
          <w:p>
            <w:pPr>
              <w:pStyle w:val="TableParagraph"/>
              <w:spacing w:before="68"/>
              <w:ind w:left="259"/>
              <w:rPr>
                <w:sz w:val="18"/>
              </w:rPr>
            </w:pPr>
            <w:r>
              <w:rPr>
                <w:sz w:val="18"/>
              </w:rPr>
              <w:t>df</w:t>
            </w:r>
          </w:p>
        </w:tc>
        <w:tc>
          <w:tcPr>
            <w:tcW w:w="1086" w:type="dxa"/>
            <w:tcBorders>
              <w:left w:val="single" w:sz="18" w:space="0" w:color="000000"/>
              <w:right w:val="single" w:sz="18" w:space="0" w:color="000000"/>
            </w:tcBorders>
          </w:tcPr>
          <w:p>
            <w:pPr>
              <w:pStyle w:val="TableParagraph"/>
              <w:spacing w:before="68"/>
              <w:ind w:right="37"/>
              <w:jc w:val="right"/>
              <w:rPr>
                <w:sz w:val="18"/>
              </w:rPr>
            </w:pPr>
            <w:r>
              <w:rPr>
                <w:sz w:val="18"/>
              </w:rPr>
              <w:t>15</w:t>
            </w:r>
          </w:p>
        </w:tc>
      </w:tr>
      <w:tr>
        <w:trPr>
          <w:trHeight w:val="376" w:hRule="atLeast"/>
        </w:trPr>
        <w:tc>
          <w:tcPr>
            <w:tcW w:w="2299" w:type="dxa"/>
            <w:tcBorders>
              <w:left w:val="single" w:sz="18" w:space="0" w:color="000000"/>
              <w:bottom w:val="single" w:sz="18" w:space="0" w:color="000000"/>
            </w:tcBorders>
          </w:tcPr>
          <w:p>
            <w:pPr>
              <w:pStyle w:val="TableParagraph"/>
              <w:rPr>
                <w:sz w:val="18"/>
              </w:rPr>
            </w:pPr>
          </w:p>
        </w:tc>
        <w:tc>
          <w:tcPr>
            <w:tcW w:w="2522" w:type="dxa"/>
            <w:tcBorders>
              <w:bottom w:val="single" w:sz="18" w:space="0" w:color="000000"/>
              <w:right w:val="single" w:sz="18" w:space="0" w:color="000000"/>
            </w:tcBorders>
          </w:tcPr>
          <w:p>
            <w:pPr>
              <w:pStyle w:val="TableParagraph"/>
              <w:spacing w:before="68"/>
              <w:ind w:left="259"/>
              <w:rPr>
                <w:sz w:val="18"/>
              </w:rPr>
            </w:pPr>
            <w:r>
              <w:rPr>
                <w:sz w:val="18"/>
              </w:rPr>
              <w:t>Sig.</w:t>
            </w:r>
          </w:p>
        </w:tc>
        <w:tc>
          <w:tcPr>
            <w:tcW w:w="1086" w:type="dxa"/>
            <w:tcBorders>
              <w:left w:val="single" w:sz="18" w:space="0" w:color="000000"/>
              <w:bottom w:val="single" w:sz="18" w:space="0" w:color="000000"/>
              <w:right w:val="single" w:sz="18" w:space="0" w:color="000000"/>
            </w:tcBorders>
          </w:tcPr>
          <w:p>
            <w:pPr>
              <w:pStyle w:val="TableParagraph"/>
              <w:spacing w:before="68"/>
              <w:ind w:right="38"/>
              <w:jc w:val="right"/>
              <w:rPr>
                <w:sz w:val="18"/>
              </w:rPr>
            </w:pPr>
            <w:r>
              <w:rPr>
                <w:sz w:val="18"/>
              </w:rPr>
              <w:t>.000</w:t>
            </w:r>
          </w:p>
        </w:tc>
      </w:tr>
    </w:tbl>
    <w:p>
      <w:pPr>
        <w:pStyle w:val="BodyText"/>
        <w:spacing w:before="9"/>
        <w:rPr>
          <w:b/>
          <w:sz w:val="27"/>
        </w:rPr>
      </w:pPr>
    </w:p>
    <w:p>
      <w:pPr>
        <w:spacing w:before="93"/>
        <w:ind w:left="1019" w:right="952" w:firstLine="0"/>
        <w:jc w:val="center"/>
        <w:rPr>
          <w:b/>
          <w:sz w:val="18"/>
        </w:rPr>
      </w:pPr>
      <w:r>
        <w:rPr>
          <w:b/>
          <w:sz w:val="18"/>
        </w:rPr>
        <w:t>Total Variance Explained</w:t>
      </w:r>
    </w:p>
    <w:p>
      <w:pPr>
        <w:pStyle w:val="BodyText"/>
        <w:spacing w:before="1" w:after="1"/>
        <w:rPr>
          <w:b/>
          <w:sz w:val="9"/>
        </w:rPr>
      </w:pPr>
    </w:p>
    <w:tbl>
      <w:tblPr>
        <w:tblW w:w="0" w:type="auto"/>
        <w:jc w:val="left"/>
        <w:tblInd w:w="907" w:type="dxa"/>
        <w:tblBorders>
          <w:top w:val="single" w:sz="18" w:space="0" w:color="000000"/>
          <w:left w:val="single" w:sz="18" w:space="0" w:color="000000"/>
          <w:bottom w:val="single" w:sz="18" w:space="0" w:color="000000"/>
          <w:right w:val="single" w:sz="18" w:space="0" w:color="000000"/>
          <w:insideH w:val="single" w:sz="18" w:space="0" w:color="000000"/>
          <w:insideV w:val="single" w:sz="18" w:space="0" w:color="000000"/>
        </w:tblBorders>
        <w:tblLayout w:type="fixed"/>
        <w:tblCellMar>
          <w:top w:w="0" w:type="dxa"/>
          <w:left w:w="0" w:type="dxa"/>
          <w:bottom w:w="0" w:type="dxa"/>
          <w:right w:w="0" w:type="dxa"/>
        </w:tblCellMar>
        <w:tblLook w:val="01E0"/>
      </w:tblPr>
      <w:tblGrid>
        <w:gridCol w:w="1279"/>
        <w:gridCol w:w="999"/>
        <w:gridCol w:w="1424"/>
        <w:gridCol w:w="1438"/>
        <w:gridCol w:w="1147"/>
        <w:gridCol w:w="1424"/>
        <w:gridCol w:w="1438"/>
      </w:tblGrid>
      <w:tr>
        <w:trPr>
          <w:trHeight w:val="295" w:hRule="atLeast"/>
        </w:trPr>
        <w:tc>
          <w:tcPr>
            <w:tcW w:w="1279" w:type="dxa"/>
            <w:vMerge w:val="restart"/>
          </w:tcPr>
          <w:p>
            <w:pPr>
              <w:pStyle w:val="TableParagraph"/>
              <w:spacing w:line="204" w:lineRule="exact"/>
              <w:ind w:left="75"/>
              <w:rPr>
                <w:sz w:val="18"/>
              </w:rPr>
            </w:pPr>
            <w:r>
              <w:rPr>
                <w:sz w:val="18"/>
              </w:rPr>
              <w:t>Component</w:t>
            </w:r>
          </w:p>
        </w:tc>
        <w:tc>
          <w:tcPr>
            <w:tcW w:w="3861" w:type="dxa"/>
            <w:gridSpan w:val="3"/>
            <w:tcBorders>
              <w:bottom w:val="single" w:sz="8" w:space="0" w:color="000000"/>
              <w:right w:val="single" w:sz="8" w:space="0" w:color="000000"/>
            </w:tcBorders>
          </w:tcPr>
          <w:p>
            <w:pPr>
              <w:pStyle w:val="TableParagraph"/>
              <w:spacing w:line="204" w:lineRule="exact"/>
              <w:ind w:left="1250"/>
              <w:rPr>
                <w:sz w:val="18"/>
              </w:rPr>
            </w:pPr>
            <w:r>
              <w:rPr>
                <w:sz w:val="18"/>
              </w:rPr>
              <w:t>Initial Eigenvalues</w:t>
            </w:r>
          </w:p>
        </w:tc>
        <w:tc>
          <w:tcPr>
            <w:tcW w:w="4009" w:type="dxa"/>
            <w:gridSpan w:val="3"/>
            <w:tcBorders>
              <w:left w:val="single" w:sz="8" w:space="0" w:color="000000"/>
              <w:bottom w:val="single" w:sz="8" w:space="0" w:color="000000"/>
              <w:right w:val="single" w:sz="8" w:space="0" w:color="000000"/>
            </w:tcBorders>
          </w:tcPr>
          <w:p>
            <w:pPr>
              <w:pStyle w:val="TableParagraph"/>
              <w:spacing w:line="204" w:lineRule="exact"/>
              <w:ind w:left="642"/>
              <w:rPr>
                <w:sz w:val="18"/>
              </w:rPr>
            </w:pPr>
            <w:r>
              <w:rPr>
                <w:sz w:val="18"/>
              </w:rPr>
              <w:t>Extraction Sums of Squared Loadings</w:t>
            </w:r>
          </w:p>
        </w:tc>
      </w:tr>
      <w:tr>
        <w:trPr>
          <w:trHeight w:val="314" w:hRule="atLeast"/>
        </w:trPr>
        <w:tc>
          <w:tcPr>
            <w:tcW w:w="1279" w:type="dxa"/>
            <w:vMerge/>
            <w:tcBorders>
              <w:top w:val="nil"/>
            </w:tcBorders>
          </w:tcPr>
          <w:p>
            <w:pPr>
              <w:rPr>
                <w:sz w:val="2"/>
                <w:szCs w:val="2"/>
              </w:rPr>
            </w:pPr>
          </w:p>
        </w:tc>
        <w:tc>
          <w:tcPr>
            <w:tcW w:w="999" w:type="dxa"/>
            <w:tcBorders>
              <w:top w:val="single" w:sz="8" w:space="0" w:color="000000"/>
              <w:right w:val="single" w:sz="8" w:space="0" w:color="000000"/>
            </w:tcBorders>
          </w:tcPr>
          <w:p>
            <w:pPr>
              <w:pStyle w:val="TableParagraph"/>
              <w:spacing w:before="6"/>
              <w:ind w:left="304"/>
              <w:rPr>
                <w:sz w:val="18"/>
              </w:rPr>
            </w:pPr>
            <w:r>
              <w:rPr>
                <w:sz w:val="18"/>
              </w:rPr>
              <w:t>Total</w:t>
            </w:r>
          </w:p>
        </w:tc>
        <w:tc>
          <w:tcPr>
            <w:tcW w:w="1424" w:type="dxa"/>
            <w:tcBorders>
              <w:top w:val="single" w:sz="8" w:space="0" w:color="000000"/>
              <w:left w:val="single" w:sz="8" w:space="0" w:color="000000"/>
              <w:right w:val="single" w:sz="8" w:space="0" w:color="000000"/>
            </w:tcBorders>
          </w:tcPr>
          <w:p>
            <w:pPr>
              <w:pStyle w:val="TableParagraph"/>
              <w:spacing w:before="6"/>
              <w:ind w:left="201"/>
              <w:rPr>
                <w:sz w:val="18"/>
              </w:rPr>
            </w:pPr>
            <w:r>
              <w:rPr>
                <w:sz w:val="18"/>
              </w:rPr>
              <w:t>% of Variance</w:t>
            </w:r>
          </w:p>
        </w:tc>
        <w:tc>
          <w:tcPr>
            <w:tcW w:w="1438" w:type="dxa"/>
            <w:tcBorders>
              <w:top w:val="single" w:sz="8" w:space="0" w:color="000000"/>
              <w:left w:val="single" w:sz="8" w:space="0" w:color="000000"/>
              <w:right w:val="single" w:sz="8" w:space="0" w:color="000000"/>
            </w:tcBorders>
          </w:tcPr>
          <w:p>
            <w:pPr>
              <w:pStyle w:val="TableParagraph"/>
              <w:spacing w:before="6"/>
              <w:ind w:left="210"/>
              <w:rPr>
                <w:sz w:val="18"/>
              </w:rPr>
            </w:pPr>
            <w:r>
              <w:rPr>
                <w:sz w:val="18"/>
              </w:rPr>
              <w:t>Cumulative %</w:t>
            </w:r>
          </w:p>
        </w:tc>
        <w:tc>
          <w:tcPr>
            <w:tcW w:w="1147" w:type="dxa"/>
            <w:tcBorders>
              <w:top w:val="single" w:sz="8" w:space="0" w:color="000000"/>
              <w:left w:val="single" w:sz="8" w:space="0" w:color="000000"/>
              <w:right w:val="single" w:sz="8" w:space="0" w:color="000000"/>
            </w:tcBorders>
          </w:tcPr>
          <w:p>
            <w:pPr>
              <w:pStyle w:val="TableParagraph"/>
              <w:spacing w:before="6"/>
              <w:ind w:left="392"/>
              <w:rPr>
                <w:sz w:val="18"/>
              </w:rPr>
            </w:pPr>
            <w:r>
              <w:rPr>
                <w:sz w:val="18"/>
              </w:rPr>
              <w:t>Total</w:t>
            </w:r>
          </w:p>
        </w:tc>
        <w:tc>
          <w:tcPr>
            <w:tcW w:w="1424" w:type="dxa"/>
            <w:tcBorders>
              <w:top w:val="single" w:sz="8" w:space="0" w:color="000000"/>
              <w:left w:val="single" w:sz="8" w:space="0" w:color="000000"/>
              <w:right w:val="single" w:sz="8" w:space="0" w:color="000000"/>
            </w:tcBorders>
          </w:tcPr>
          <w:p>
            <w:pPr>
              <w:pStyle w:val="TableParagraph"/>
              <w:spacing w:before="6"/>
              <w:ind w:left="200"/>
              <w:rPr>
                <w:sz w:val="18"/>
              </w:rPr>
            </w:pPr>
            <w:r>
              <w:rPr>
                <w:sz w:val="18"/>
              </w:rPr>
              <w:t>% of Variance</w:t>
            </w:r>
          </w:p>
        </w:tc>
        <w:tc>
          <w:tcPr>
            <w:tcW w:w="1438" w:type="dxa"/>
            <w:tcBorders>
              <w:top w:val="single" w:sz="8" w:space="0" w:color="000000"/>
              <w:left w:val="single" w:sz="8" w:space="0" w:color="000000"/>
            </w:tcBorders>
          </w:tcPr>
          <w:p>
            <w:pPr>
              <w:pStyle w:val="TableParagraph"/>
              <w:spacing w:before="6"/>
              <w:ind w:left="205"/>
              <w:rPr>
                <w:sz w:val="18"/>
              </w:rPr>
            </w:pPr>
            <w:r>
              <w:rPr>
                <w:sz w:val="18"/>
              </w:rPr>
              <w:t>Cumulative %</w:t>
            </w:r>
          </w:p>
        </w:tc>
      </w:tr>
      <w:tr>
        <w:trPr>
          <w:trHeight w:val="262" w:hRule="atLeast"/>
        </w:trPr>
        <w:tc>
          <w:tcPr>
            <w:tcW w:w="1279" w:type="dxa"/>
            <w:tcBorders>
              <w:bottom w:val="nil"/>
            </w:tcBorders>
          </w:tcPr>
          <w:p>
            <w:pPr>
              <w:pStyle w:val="TableParagraph"/>
              <w:spacing w:line="204" w:lineRule="exact"/>
              <w:ind w:left="75"/>
              <w:rPr>
                <w:sz w:val="18"/>
              </w:rPr>
            </w:pPr>
            <w:r>
              <w:rPr>
                <w:sz w:val="18"/>
              </w:rPr>
              <w:t>1</w:t>
            </w:r>
          </w:p>
        </w:tc>
        <w:tc>
          <w:tcPr>
            <w:tcW w:w="999" w:type="dxa"/>
            <w:tcBorders>
              <w:bottom w:val="nil"/>
              <w:right w:val="single" w:sz="8" w:space="0" w:color="000000"/>
            </w:tcBorders>
          </w:tcPr>
          <w:p>
            <w:pPr>
              <w:pStyle w:val="TableParagraph"/>
              <w:spacing w:line="204" w:lineRule="exact"/>
              <w:ind w:right="40"/>
              <w:jc w:val="right"/>
              <w:rPr>
                <w:sz w:val="18"/>
              </w:rPr>
            </w:pPr>
            <w:r>
              <w:rPr>
                <w:sz w:val="18"/>
              </w:rPr>
              <w:t>3.303</w:t>
            </w:r>
          </w:p>
        </w:tc>
        <w:tc>
          <w:tcPr>
            <w:tcW w:w="1424" w:type="dxa"/>
            <w:tcBorders>
              <w:left w:val="single" w:sz="8" w:space="0" w:color="000000"/>
              <w:bottom w:val="nil"/>
              <w:right w:val="single" w:sz="8" w:space="0" w:color="000000"/>
            </w:tcBorders>
          </w:tcPr>
          <w:p>
            <w:pPr>
              <w:pStyle w:val="TableParagraph"/>
              <w:spacing w:line="204" w:lineRule="exact"/>
              <w:ind w:right="38"/>
              <w:jc w:val="right"/>
              <w:rPr>
                <w:sz w:val="18"/>
              </w:rPr>
            </w:pPr>
            <w:r>
              <w:rPr>
                <w:sz w:val="18"/>
              </w:rPr>
              <w:t>55.056</w:t>
            </w:r>
          </w:p>
        </w:tc>
        <w:tc>
          <w:tcPr>
            <w:tcW w:w="1438" w:type="dxa"/>
            <w:tcBorders>
              <w:left w:val="single" w:sz="8" w:space="0" w:color="000000"/>
              <w:bottom w:val="nil"/>
              <w:right w:val="single" w:sz="8" w:space="0" w:color="000000"/>
            </w:tcBorders>
          </w:tcPr>
          <w:p>
            <w:pPr>
              <w:pStyle w:val="TableParagraph"/>
              <w:spacing w:line="204" w:lineRule="exact"/>
              <w:ind w:right="38"/>
              <w:jc w:val="right"/>
              <w:rPr>
                <w:sz w:val="18"/>
              </w:rPr>
            </w:pPr>
            <w:r>
              <w:rPr>
                <w:sz w:val="18"/>
              </w:rPr>
              <w:t>55.056</w:t>
            </w:r>
          </w:p>
        </w:tc>
        <w:tc>
          <w:tcPr>
            <w:tcW w:w="1147" w:type="dxa"/>
            <w:vMerge w:val="restart"/>
            <w:tcBorders>
              <w:left w:val="single" w:sz="8" w:space="0" w:color="000000"/>
              <w:right w:val="single" w:sz="8" w:space="0" w:color="000000"/>
            </w:tcBorders>
          </w:tcPr>
          <w:p>
            <w:pPr>
              <w:pStyle w:val="TableParagraph"/>
              <w:spacing w:line="204" w:lineRule="exact"/>
              <w:ind w:left="680"/>
              <w:rPr>
                <w:sz w:val="18"/>
              </w:rPr>
            </w:pPr>
            <w:r>
              <w:rPr>
                <w:sz w:val="18"/>
              </w:rPr>
              <w:t>3.303</w:t>
            </w:r>
          </w:p>
        </w:tc>
        <w:tc>
          <w:tcPr>
            <w:tcW w:w="1424" w:type="dxa"/>
            <w:vMerge w:val="restart"/>
            <w:tcBorders>
              <w:left w:val="single" w:sz="8" w:space="0" w:color="000000"/>
              <w:right w:val="single" w:sz="8" w:space="0" w:color="000000"/>
            </w:tcBorders>
          </w:tcPr>
          <w:p>
            <w:pPr>
              <w:pStyle w:val="TableParagraph"/>
              <w:spacing w:line="204" w:lineRule="exact"/>
              <w:ind w:left="867"/>
              <w:rPr>
                <w:sz w:val="18"/>
              </w:rPr>
            </w:pPr>
            <w:r>
              <w:rPr>
                <w:sz w:val="18"/>
              </w:rPr>
              <w:t>55.056</w:t>
            </w:r>
          </w:p>
        </w:tc>
        <w:tc>
          <w:tcPr>
            <w:tcW w:w="1438" w:type="dxa"/>
            <w:vMerge w:val="restart"/>
            <w:tcBorders>
              <w:left w:val="single" w:sz="8" w:space="0" w:color="000000"/>
            </w:tcBorders>
          </w:tcPr>
          <w:p>
            <w:pPr>
              <w:pStyle w:val="TableParagraph"/>
              <w:spacing w:line="204" w:lineRule="exact"/>
              <w:ind w:left="872"/>
              <w:rPr>
                <w:sz w:val="18"/>
              </w:rPr>
            </w:pPr>
            <w:r>
              <w:rPr>
                <w:sz w:val="18"/>
              </w:rPr>
              <w:t>55.056</w:t>
            </w:r>
          </w:p>
        </w:tc>
      </w:tr>
      <w:tr>
        <w:trPr>
          <w:trHeight w:val="344" w:hRule="atLeast"/>
        </w:trPr>
        <w:tc>
          <w:tcPr>
            <w:tcW w:w="1279" w:type="dxa"/>
            <w:tcBorders>
              <w:top w:val="nil"/>
              <w:bottom w:val="nil"/>
            </w:tcBorders>
          </w:tcPr>
          <w:p>
            <w:pPr>
              <w:pStyle w:val="TableParagraph"/>
              <w:spacing w:before="51"/>
              <w:ind w:left="75"/>
              <w:rPr>
                <w:sz w:val="18"/>
              </w:rPr>
            </w:pPr>
            <w:r>
              <w:rPr>
                <w:sz w:val="18"/>
              </w:rPr>
              <w:t>2</w:t>
            </w:r>
          </w:p>
        </w:tc>
        <w:tc>
          <w:tcPr>
            <w:tcW w:w="999" w:type="dxa"/>
            <w:tcBorders>
              <w:top w:val="nil"/>
              <w:bottom w:val="nil"/>
              <w:right w:val="single" w:sz="8" w:space="0" w:color="000000"/>
            </w:tcBorders>
          </w:tcPr>
          <w:p>
            <w:pPr>
              <w:pStyle w:val="TableParagraph"/>
              <w:spacing w:before="51"/>
              <w:ind w:right="40"/>
              <w:jc w:val="right"/>
              <w:rPr>
                <w:sz w:val="18"/>
              </w:rPr>
            </w:pPr>
            <w:r>
              <w:rPr>
                <w:sz w:val="18"/>
              </w:rPr>
              <w:t>.828</w:t>
            </w:r>
          </w:p>
        </w:tc>
        <w:tc>
          <w:tcPr>
            <w:tcW w:w="1424" w:type="dxa"/>
            <w:tcBorders>
              <w:top w:val="nil"/>
              <w:left w:val="single" w:sz="8" w:space="0" w:color="000000"/>
              <w:bottom w:val="nil"/>
              <w:right w:val="single" w:sz="8" w:space="0" w:color="000000"/>
            </w:tcBorders>
          </w:tcPr>
          <w:p>
            <w:pPr>
              <w:pStyle w:val="TableParagraph"/>
              <w:spacing w:before="51"/>
              <w:ind w:right="38"/>
              <w:jc w:val="right"/>
              <w:rPr>
                <w:sz w:val="18"/>
              </w:rPr>
            </w:pPr>
            <w:r>
              <w:rPr>
                <w:sz w:val="18"/>
              </w:rPr>
              <w:t>13.796</w:t>
            </w:r>
          </w:p>
        </w:tc>
        <w:tc>
          <w:tcPr>
            <w:tcW w:w="1438" w:type="dxa"/>
            <w:tcBorders>
              <w:top w:val="nil"/>
              <w:left w:val="single" w:sz="8" w:space="0" w:color="000000"/>
              <w:bottom w:val="nil"/>
              <w:right w:val="single" w:sz="8" w:space="0" w:color="000000"/>
            </w:tcBorders>
          </w:tcPr>
          <w:p>
            <w:pPr>
              <w:pStyle w:val="TableParagraph"/>
              <w:spacing w:before="51"/>
              <w:ind w:right="39"/>
              <w:jc w:val="right"/>
              <w:rPr>
                <w:sz w:val="18"/>
              </w:rPr>
            </w:pPr>
            <w:r>
              <w:rPr>
                <w:sz w:val="18"/>
              </w:rPr>
              <w:t>68.852</w:t>
            </w:r>
          </w:p>
        </w:tc>
        <w:tc>
          <w:tcPr>
            <w:tcW w:w="1147" w:type="dxa"/>
            <w:vMerge/>
            <w:tcBorders>
              <w:top w:val="nil"/>
              <w:left w:val="single" w:sz="8" w:space="0" w:color="000000"/>
              <w:right w:val="single" w:sz="8" w:space="0" w:color="000000"/>
            </w:tcBorders>
          </w:tcPr>
          <w:p>
            <w:pPr>
              <w:rPr>
                <w:sz w:val="2"/>
                <w:szCs w:val="2"/>
              </w:rPr>
            </w:pPr>
          </w:p>
        </w:tc>
        <w:tc>
          <w:tcPr>
            <w:tcW w:w="1424" w:type="dxa"/>
            <w:vMerge/>
            <w:tcBorders>
              <w:top w:val="nil"/>
              <w:left w:val="single" w:sz="8" w:space="0" w:color="000000"/>
              <w:right w:val="single" w:sz="8" w:space="0" w:color="000000"/>
            </w:tcBorders>
          </w:tcPr>
          <w:p>
            <w:pPr>
              <w:rPr>
                <w:sz w:val="2"/>
                <w:szCs w:val="2"/>
              </w:rPr>
            </w:pPr>
          </w:p>
        </w:tc>
        <w:tc>
          <w:tcPr>
            <w:tcW w:w="1438" w:type="dxa"/>
            <w:vMerge/>
            <w:tcBorders>
              <w:top w:val="nil"/>
              <w:left w:val="single" w:sz="8" w:space="0" w:color="000000"/>
            </w:tcBorders>
          </w:tcPr>
          <w:p>
            <w:pPr>
              <w:rPr>
                <w:sz w:val="2"/>
                <w:szCs w:val="2"/>
              </w:rPr>
            </w:pPr>
          </w:p>
        </w:tc>
      </w:tr>
      <w:tr>
        <w:trPr>
          <w:trHeight w:val="369" w:hRule="atLeast"/>
        </w:trPr>
        <w:tc>
          <w:tcPr>
            <w:tcW w:w="1279" w:type="dxa"/>
            <w:tcBorders>
              <w:top w:val="nil"/>
              <w:bottom w:val="nil"/>
            </w:tcBorders>
          </w:tcPr>
          <w:p>
            <w:pPr>
              <w:pStyle w:val="TableParagraph"/>
              <w:spacing w:before="78"/>
              <w:ind w:left="75"/>
              <w:rPr>
                <w:sz w:val="18"/>
              </w:rPr>
            </w:pPr>
            <w:r>
              <w:rPr>
                <w:sz w:val="18"/>
              </w:rPr>
              <w:t>3</w:t>
            </w:r>
          </w:p>
        </w:tc>
        <w:tc>
          <w:tcPr>
            <w:tcW w:w="999" w:type="dxa"/>
            <w:tcBorders>
              <w:top w:val="nil"/>
              <w:bottom w:val="nil"/>
              <w:right w:val="single" w:sz="8" w:space="0" w:color="000000"/>
            </w:tcBorders>
          </w:tcPr>
          <w:p>
            <w:pPr>
              <w:pStyle w:val="TableParagraph"/>
              <w:spacing w:before="78"/>
              <w:ind w:right="40"/>
              <w:jc w:val="right"/>
              <w:rPr>
                <w:sz w:val="18"/>
              </w:rPr>
            </w:pPr>
            <w:r>
              <w:rPr>
                <w:sz w:val="18"/>
              </w:rPr>
              <w:t>.677</w:t>
            </w:r>
          </w:p>
        </w:tc>
        <w:tc>
          <w:tcPr>
            <w:tcW w:w="1424" w:type="dxa"/>
            <w:tcBorders>
              <w:top w:val="nil"/>
              <w:left w:val="single" w:sz="8" w:space="0" w:color="000000"/>
              <w:bottom w:val="nil"/>
              <w:right w:val="single" w:sz="8" w:space="0" w:color="000000"/>
            </w:tcBorders>
          </w:tcPr>
          <w:p>
            <w:pPr>
              <w:pStyle w:val="TableParagraph"/>
              <w:spacing w:before="78"/>
              <w:ind w:right="37"/>
              <w:jc w:val="right"/>
              <w:rPr>
                <w:sz w:val="18"/>
              </w:rPr>
            </w:pPr>
            <w:r>
              <w:rPr>
                <w:sz w:val="18"/>
              </w:rPr>
              <w:t>11.281</w:t>
            </w:r>
          </w:p>
        </w:tc>
        <w:tc>
          <w:tcPr>
            <w:tcW w:w="1438" w:type="dxa"/>
            <w:tcBorders>
              <w:top w:val="nil"/>
              <w:left w:val="single" w:sz="8" w:space="0" w:color="000000"/>
              <w:bottom w:val="nil"/>
              <w:right w:val="single" w:sz="8" w:space="0" w:color="000000"/>
            </w:tcBorders>
          </w:tcPr>
          <w:p>
            <w:pPr>
              <w:pStyle w:val="TableParagraph"/>
              <w:spacing w:before="78"/>
              <w:ind w:right="37"/>
              <w:jc w:val="right"/>
              <w:rPr>
                <w:sz w:val="18"/>
              </w:rPr>
            </w:pPr>
            <w:r>
              <w:rPr>
                <w:sz w:val="18"/>
              </w:rPr>
              <w:t>80.133</w:t>
            </w:r>
          </w:p>
        </w:tc>
        <w:tc>
          <w:tcPr>
            <w:tcW w:w="1147" w:type="dxa"/>
            <w:vMerge/>
            <w:tcBorders>
              <w:top w:val="nil"/>
              <w:left w:val="single" w:sz="8" w:space="0" w:color="000000"/>
              <w:right w:val="single" w:sz="8" w:space="0" w:color="000000"/>
            </w:tcBorders>
          </w:tcPr>
          <w:p>
            <w:pPr>
              <w:rPr>
                <w:sz w:val="2"/>
                <w:szCs w:val="2"/>
              </w:rPr>
            </w:pPr>
          </w:p>
        </w:tc>
        <w:tc>
          <w:tcPr>
            <w:tcW w:w="1424" w:type="dxa"/>
            <w:vMerge/>
            <w:tcBorders>
              <w:top w:val="nil"/>
              <w:left w:val="single" w:sz="8" w:space="0" w:color="000000"/>
              <w:right w:val="single" w:sz="8" w:space="0" w:color="000000"/>
            </w:tcBorders>
          </w:tcPr>
          <w:p>
            <w:pPr>
              <w:rPr>
                <w:sz w:val="2"/>
                <w:szCs w:val="2"/>
              </w:rPr>
            </w:pPr>
          </w:p>
        </w:tc>
        <w:tc>
          <w:tcPr>
            <w:tcW w:w="1438" w:type="dxa"/>
            <w:vMerge/>
            <w:tcBorders>
              <w:top w:val="nil"/>
              <w:left w:val="single" w:sz="8" w:space="0" w:color="000000"/>
            </w:tcBorders>
          </w:tcPr>
          <w:p>
            <w:pPr>
              <w:rPr>
                <w:sz w:val="2"/>
                <w:szCs w:val="2"/>
              </w:rPr>
            </w:pPr>
          </w:p>
        </w:tc>
      </w:tr>
      <w:tr>
        <w:trPr>
          <w:trHeight w:val="369" w:hRule="atLeast"/>
        </w:trPr>
        <w:tc>
          <w:tcPr>
            <w:tcW w:w="1279" w:type="dxa"/>
            <w:tcBorders>
              <w:top w:val="nil"/>
              <w:bottom w:val="nil"/>
            </w:tcBorders>
          </w:tcPr>
          <w:p>
            <w:pPr>
              <w:pStyle w:val="TableParagraph"/>
              <w:spacing w:before="76"/>
              <w:ind w:left="75"/>
              <w:rPr>
                <w:sz w:val="18"/>
              </w:rPr>
            </w:pPr>
            <w:r>
              <w:rPr>
                <w:sz w:val="18"/>
              </w:rPr>
              <w:t>4</w:t>
            </w:r>
          </w:p>
        </w:tc>
        <w:tc>
          <w:tcPr>
            <w:tcW w:w="999" w:type="dxa"/>
            <w:tcBorders>
              <w:top w:val="nil"/>
              <w:bottom w:val="nil"/>
              <w:right w:val="single" w:sz="8" w:space="0" w:color="000000"/>
            </w:tcBorders>
          </w:tcPr>
          <w:p>
            <w:pPr>
              <w:pStyle w:val="TableParagraph"/>
              <w:spacing w:before="76"/>
              <w:ind w:right="41"/>
              <w:jc w:val="right"/>
              <w:rPr>
                <w:sz w:val="18"/>
              </w:rPr>
            </w:pPr>
            <w:r>
              <w:rPr>
                <w:sz w:val="18"/>
              </w:rPr>
              <w:t>.553</w:t>
            </w:r>
          </w:p>
        </w:tc>
        <w:tc>
          <w:tcPr>
            <w:tcW w:w="1424" w:type="dxa"/>
            <w:tcBorders>
              <w:top w:val="nil"/>
              <w:left w:val="single" w:sz="8" w:space="0" w:color="000000"/>
              <w:bottom w:val="nil"/>
              <w:right w:val="single" w:sz="8" w:space="0" w:color="000000"/>
            </w:tcBorders>
          </w:tcPr>
          <w:p>
            <w:pPr>
              <w:pStyle w:val="TableParagraph"/>
              <w:spacing w:before="76"/>
              <w:ind w:right="38"/>
              <w:jc w:val="right"/>
              <w:rPr>
                <w:sz w:val="18"/>
              </w:rPr>
            </w:pPr>
            <w:r>
              <w:rPr>
                <w:sz w:val="18"/>
              </w:rPr>
              <w:t>9.213</w:t>
            </w:r>
          </w:p>
        </w:tc>
        <w:tc>
          <w:tcPr>
            <w:tcW w:w="1438" w:type="dxa"/>
            <w:tcBorders>
              <w:top w:val="nil"/>
              <w:left w:val="single" w:sz="8" w:space="0" w:color="000000"/>
              <w:bottom w:val="nil"/>
              <w:right w:val="single" w:sz="8" w:space="0" w:color="000000"/>
            </w:tcBorders>
          </w:tcPr>
          <w:p>
            <w:pPr>
              <w:pStyle w:val="TableParagraph"/>
              <w:spacing w:before="76"/>
              <w:ind w:right="39"/>
              <w:jc w:val="right"/>
              <w:rPr>
                <w:sz w:val="18"/>
              </w:rPr>
            </w:pPr>
            <w:r>
              <w:rPr>
                <w:sz w:val="18"/>
              </w:rPr>
              <w:t>89.346</w:t>
            </w:r>
          </w:p>
        </w:tc>
        <w:tc>
          <w:tcPr>
            <w:tcW w:w="1147" w:type="dxa"/>
            <w:vMerge/>
            <w:tcBorders>
              <w:top w:val="nil"/>
              <w:left w:val="single" w:sz="8" w:space="0" w:color="000000"/>
              <w:right w:val="single" w:sz="8" w:space="0" w:color="000000"/>
            </w:tcBorders>
          </w:tcPr>
          <w:p>
            <w:pPr>
              <w:rPr>
                <w:sz w:val="2"/>
                <w:szCs w:val="2"/>
              </w:rPr>
            </w:pPr>
          </w:p>
        </w:tc>
        <w:tc>
          <w:tcPr>
            <w:tcW w:w="1424" w:type="dxa"/>
            <w:vMerge/>
            <w:tcBorders>
              <w:top w:val="nil"/>
              <w:left w:val="single" w:sz="8" w:space="0" w:color="000000"/>
              <w:right w:val="single" w:sz="8" w:space="0" w:color="000000"/>
            </w:tcBorders>
          </w:tcPr>
          <w:p>
            <w:pPr>
              <w:rPr>
                <w:sz w:val="2"/>
                <w:szCs w:val="2"/>
              </w:rPr>
            </w:pPr>
          </w:p>
        </w:tc>
        <w:tc>
          <w:tcPr>
            <w:tcW w:w="1438" w:type="dxa"/>
            <w:vMerge/>
            <w:tcBorders>
              <w:top w:val="nil"/>
              <w:left w:val="single" w:sz="8" w:space="0" w:color="000000"/>
            </w:tcBorders>
          </w:tcPr>
          <w:p>
            <w:pPr>
              <w:rPr>
                <w:sz w:val="2"/>
                <w:szCs w:val="2"/>
              </w:rPr>
            </w:pPr>
          </w:p>
        </w:tc>
      </w:tr>
      <w:tr>
        <w:trPr>
          <w:trHeight w:val="369" w:hRule="atLeast"/>
        </w:trPr>
        <w:tc>
          <w:tcPr>
            <w:tcW w:w="1279" w:type="dxa"/>
            <w:tcBorders>
              <w:top w:val="nil"/>
              <w:bottom w:val="nil"/>
            </w:tcBorders>
          </w:tcPr>
          <w:p>
            <w:pPr>
              <w:pStyle w:val="TableParagraph"/>
              <w:spacing w:before="77"/>
              <w:ind w:left="75"/>
              <w:rPr>
                <w:sz w:val="18"/>
              </w:rPr>
            </w:pPr>
            <w:r>
              <w:rPr>
                <w:sz w:val="18"/>
              </w:rPr>
              <w:t>5</w:t>
            </w:r>
          </w:p>
        </w:tc>
        <w:tc>
          <w:tcPr>
            <w:tcW w:w="999" w:type="dxa"/>
            <w:tcBorders>
              <w:top w:val="nil"/>
              <w:bottom w:val="nil"/>
              <w:right w:val="single" w:sz="8" w:space="0" w:color="000000"/>
            </w:tcBorders>
          </w:tcPr>
          <w:p>
            <w:pPr>
              <w:pStyle w:val="TableParagraph"/>
              <w:spacing w:before="77"/>
              <w:ind w:right="40"/>
              <w:jc w:val="right"/>
              <w:rPr>
                <w:sz w:val="18"/>
              </w:rPr>
            </w:pPr>
            <w:r>
              <w:rPr>
                <w:sz w:val="18"/>
              </w:rPr>
              <w:t>.375</w:t>
            </w:r>
          </w:p>
        </w:tc>
        <w:tc>
          <w:tcPr>
            <w:tcW w:w="1424" w:type="dxa"/>
            <w:tcBorders>
              <w:top w:val="nil"/>
              <w:left w:val="single" w:sz="8" w:space="0" w:color="000000"/>
              <w:bottom w:val="nil"/>
              <w:right w:val="single" w:sz="8" w:space="0" w:color="000000"/>
            </w:tcBorders>
          </w:tcPr>
          <w:p>
            <w:pPr>
              <w:pStyle w:val="TableParagraph"/>
              <w:spacing w:before="77"/>
              <w:ind w:right="38"/>
              <w:jc w:val="right"/>
              <w:rPr>
                <w:sz w:val="18"/>
              </w:rPr>
            </w:pPr>
            <w:r>
              <w:rPr>
                <w:sz w:val="18"/>
              </w:rPr>
              <w:t>6.250</w:t>
            </w:r>
          </w:p>
        </w:tc>
        <w:tc>
          <w:tcPr>
            <w:tcW w:w="1438" w:type="dxa"/>
            <w:tcBorders>
              <w:top w:val="nil"/>
              <w:left w:val="single" w:sz="8" w:space="0" w:color="000000"/>
              <w:bottom w:val="nil"/>
              <w:right w:val="single" w:sz="8" w:space="0" w:color="000000"/>
            </w:tcBorders>
          </w:tcPr>
          <w:p>
            <w:pPr>
              <w:pStyle w:val="TableParagraph"/>
              <w:spacing w:before="77"/>
              <w:ind w:right="38"/>
              <w:jc w:val="right"/>
              <w:rPr>
                <w:sz w:val="18"/>
              </w:rPr>
            </w:pPr>
            <w:r>
              <w:rPr>
                <w:sz w:val="18"/>
              </w:rPr>
              <w:t>95.596</w:t>
            </w:r>
          </w:p>
        </w:tc>
        <w:tc>
          <w:tcPr>
            <w:tcW w:w="1147" w:type="dxa"/>
            <w:vMerge/>
            <w:tcBorders>
              <w:top w:val="nil"/>
              <w:left w:val="single" w:sz="8" w:space="0" w:color="000000"/>
              <w:right w:val="single" w:sz="8" w:space="0" w:color="000000"/>
            </w:tcBorders>
          </w:tcPr>
          <w:p>
            <w:pPr>
              <w:rPr>
                <w:sz w:val="2"/>
                <w:szCs w:val="2"/>
              </w:rPr>
            </w:pPr>
          </w:p>
        </w:tc>
        <w:tc>
          <w:tcPr>
            <w:tcW w:w="1424" w:type="dxa"/>
            <w:vMerge/>
            <w:tcBorders>
              <w:top w:val="nil"/>
              <w:left w:val="single" w:sz="8" w:space="0" w:color="000000"/>
              <w:right w:val="single" w:sz="8" w:space="0" w:color="000000"/>
            </w:tcBorders>
          </w:tcPr>
          <w:p>
            <w:pPr>
              <w:rPr>
                <w:sz w:val="2"/>
                <w:szCs w:val="2"/>
              </w:rPr>
            </w:pPr>
          </w:p>
        </w:tc>
        <w:tc>
          <w:tcPr>
            <w:tcW w:w="1438" w:type="dxa"/>
            <w:vMerge/>
            <w:tcBorders>
              <w:top w:val="nil"/>
              <w:left w:val="single" w:sz="8" w:space="0" w:color="000000"/>
            </w:tcBorders>
          </w:tcPr>
          <w:p>
            <w:pPr>
              <w:rPr>
                <w:sz w:val="2"/>
                <w:szCs w:val="2"/>
              </w:rPr>
            </w:pPr>
          </w:p>
        </w:tc>
      </w:tr>
      <w:tr>
        <w:trPr>
          <w:trHeight w:val="435" w:hRule="atLeast"/>
        </w:trPr>
        <w:tc>
          <w:tcPr>
            <w:tcW w:w="1279" w:type="dxa"/>
            <w:tcBorders>
              <w:top w:val="nil"/>
            </w:tcBorders>
          </w:tcPr>
          <w:p>
            <w:pPr>
              <w:pStyle w:val="TableParagraph"/>
              <w:spacing w:before="76"/>
              <w:ind w:left="75"/>
              <w:rPr>
                <w:sz w:val="18"/>
              </w:rPr>
            </w:pPr>
            <w:r>
              <w:rPr>
                <w:sz w:val="18"/>
              </w:rPr>
              <w:t>6</w:t>
            </w:r>
          </w:p>
        </w:tc>
        <w:tc>
          <w:tcPr>
            <w:tcW w:w="999" w:type="dxa"/>
            <w:tcBorders>
              <w:top w:val="nil"/>
              <w:right w:val="single" w:sz="8" w:space="0" w:color="000000"/>
            </w:tcBorders>
          </w:tcPr>
          <w:p>
            <w:pPr>
              <w:pStyle w:val="TableParagraph"/>
              <w:spacing w:before="76"/>
              <w:ind w:right="40"/>
              <w:jc w:val="right"/>
              <w:rPr>
                <w:sz w:val="18"/>
              </w:rPr>
            </w:pPr>
            <w:r>
              <w:rPr>
                <w:sz w:val="18"/>
              </w:rPr>
              <w:t>.264</w:t>
            </w:r>
          </w:p>
        </w:tc>
        <w:tc>
          <w:tcPr>
            <w:tcW w:w="1424" w:type="dxa"/>
            <w:tcBorders>
              <w:top w:val="nil"/>
              <w:left w:val="single" w:sz="8" w:space="0" w:color="000000"/>
              <w:right w:val="single" w:sz="8" w:space="0" w:color="000000"/>
            </w:tcBorders>
          </w:tcPr>
          <w:p>
            <w:pPr>
              <w:pStyle w:val="TableParagraph"/>
              <w:spacing w:before="76"/>
              <w:ind w:right="38"/>
              <w:jc w:val="right"/>
              <w:rPr>
                <w:sz w:val="18"/>
              </w:rPr>
            </w:pPr>
            <w:r>
              <w:rPr>
                <w:sz w:val="18"/>
              </w:rPr>
              <w:t>4.404</w:t>
            </w:r>
          </w:p>
        </w:tc>
        <w:tc>
          <w:tcPr>
            <w:tcW w:w="1438" w:type="dxa"/>
            <w:tcBorders>
              <w:top w:val="nil"/>
              <w:left w:val="single" w:sz="8" w:space="0" w:color="000000"/>
              <w:right w:val="single" w:sz="8" w:space="0" w:color="000000"/>
            </w:tcBorders>
          </w:tcPr>
          <w:p>
            <w:pPr>
              <w:pStyle w:val="TableParagraph"/>
              <w:spacing w:before="76"/>
              <w:ind w:right="37"/>
              <w:jc w:val="right"/>
              <w:rPr>
                <w:sz w:val="18"/>
              </w:rPr>
            </w:pPr>
            <w:r>
              <w:rPr>
                <w:sz w:val="18"/>
              </w:rPr>
              <w:t>100.000</w:t>
            </w:r>
          </w:p>
        </w:tc>
        <w:tc>
          <w:tcPr>
            <w:tcW w:w="1147" w:type="dxa"/>
            <w:vMerge/>
            <w:tcBorders>
              <w:top w:val="nil"/>
              <w:left w:val="single" w:sz="8" w:space="0" w:color="000000"/>
              <w:right w:val="single" w:sz="8" w:space="0" w:color="000000"/>
            </w:tcBorders>
          </w:tcPr>
          <w:p>
            <w:pPr>
              <w:rPr>
                <w:sz w:val="2"/>
                <w:szCs w:val="2"/>
              </w:rPr>
            </w:pPr>
          </w:p>
        </w:tc>
        <w:tc>
          <w:tcPr>
            <w:tcW w:w="1424" w:type="dxa"/>
            <w:vMerge/>
            <w:tcBorders>
              <w:top w:val="nil"/>
              <w:left w:val="single" w:sz="8" w:space="0" w:color="000000"/>
              <w:right w:val="single" w:sz="8" w:space="0" w:color="000000"/>
            </w:tcBorders>
          </w:tcPr>
          <w:p>
            <w:pPr>
              <w:rPr>
                <w:sz w:val="2"/>
                <w:szCs w:val="2"/>
              </w:rPr>
            </w:pPr>
          </w:p>
        </w:tc>
        <w:tc>
          <w:tcPr>
            <w:tcW w:w="1438" w:type="dxa"/>
            <w:vMerge/>
            <w:tcBorders>
              <w:top w:val="nil"/>
              <w:left w:val="single" w:sz="8" w:space="0" w:color="000000"/>
            </w:tcBorders>
          </w:tcPr>
          <w:p>
            <w:pPr>
              <w:rPr>
                <w:sz w:val="2"/>
                <w:szCs w:val="2"/>
              </w:rPr>
            </w:pPr>
          </w:p>
        </w:tc>
      </w:tr>
    </w:tbl>
    <w:p>
      <w:pPr>
        <w:spacing w:before="2"/>
        <w:ind w:left="942" w:right="0" w:firstLine="0"/>
        <w:jc w:val="left"/>
        <w:rPr>
          <w:sz w:val="18"/>
        </w:rPr>
      </w:pPr>
      <w:r>
        <w:rPr>
          <w:sz w:val="18"/>
        </w:rPr>
        <w:t>Extraction Method: Principal Component Analysis.</w:t>
      </w: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spacing w:before="10"/>
        <w:rPr>
          <w:sz w:val="20"/>
        </w:rPr>
      </w:pPr>
    </w:p>
    <w:p>
      <w:pPr>
        <w:spacing w:before="0"/>
        <w:ind w:left="1239" w:right="0" w:firstLine="0"/>
        <w:jc w:val="left"/>
        <w:rPr>
          <w:b/>
          <w:sz w:val="18"/>
        </w:rPr>
      </w:pPr>
      <w:r>
        <w:rPr>
          <w:b/>
          <w:sz w:val="18"/>
        </w:rPr>
        <w:t>Component Matrix</w:t>
      </w:r>
      <w:r>
        <w:rPr>
          <w:b/>
          <w:sz w:val="18"/>
          <w:vertAlign w:val="superscript"/>
        </w:rPr>
        <w:t>a</w:t>
      </w:r>
    </w:p>
    <w:p>
      <w:pPr>
        <w:pStyle w:val="BodyText"/>
        <w:spacing w:before="2"/>
        <w:rPr>
          <w:b/>
          <w:sz w:val="9"/>
        </w:rPr>
      </w:pPr>
    </w:p>
    <w:tbl>
      <w:tblPr>
        <w:tblW w:w="0" w:type="auto"/>
        <w:jc w:val="left"/>
        <w:tblInd w:w="907" w:type="dxa"/>
        <w:tblBorders>
          <w:top w:val="single" w:sz="18" w:space="0" w:color="000000"/>
          <w:left w:val="single" w:sz="18" w:space="0" w:color="000000"/>
          <w:bottom w:val="single" w:sz="18" w:space="0" w:color="000000"/>
          <w:right w:val="single" w:sz="18" w:space="0" w:color="000000"/>
          <w:insideH w:val="single" w:sz="18" w:space="0" w:color="000000"/>
          <w:insideV w:val="single" w:sz="18" w:space="0" w:color="000000"/>
        </w:tblBorders>
        <w:tblLayout w:type="fixed"/>
        <w:tblCellMar>
          <w:top w:w="0" w:type="dxa"/>
          <w:left w:w="0" w:type="dxa"/>
          <w:bottom w:w="0" w:type="dxa"/>
          <w:right w:w="0" w:type="dxa"/>
        </w:tblCellMar>
        <w:tblLook w:val="01E0"/>
      </w:tblPr>
      <w:tblGrid>
        <w:gridCol w:w="1003"/>
        <w:gridCol w:w="1260"/>
      </w:tblGrid>
      <w:tr>
        <w:trPr>
          <w:trHeight w:val="295" w:hRule="atLeast"/>
        </w:trPr>
        <w:tc>
          <w:tcPr>
            <w:tcW w:w="1003" w:type="dxa"/>
            <w:vMerge w:val="restart"/>
          </w:tcPr>
          <w:p>
            <w:pPr>
              <w:pStyle w:val="TableParagraph"/>
              <w:rPr>
                <w:sz w:val="18"/>
              </w:rPr>
            </w:pPr>
          </w:p>
        </w:tc>
        <w:tc>
          <w:tcPr>
            <w:tcW w:w="1260" w:type="dxa"/>
            <w:tcBorders>
              <w:bottom w:val="single" w:sz="8" w:space="0" w:color="000000"/>
            </w:tcBorders>
          </w:tcPr>
          <w:p>
            <w:pPr>
              <w:pStyle w:val="TableParagraph"/>
              <w:spacing w:line="206" w:lineRule="exact"/>
              <w:ind w:left="200"/>
              <w:rPr>
                <w:sz w:val="18"/>
              </w:rPr>
            </w:pPr>
            <w:r>
              <w:rPr>
                <w:sz w:val="18"/>
              </w:rPr>
              <w:t>Component</w:t>
            </w:r>
          </w:p>
        </w:tc>
      </w:tr>
      <w:tr>
        <w:trPr>
          <w:trHeight w:val="314" w:hRule="atLeast"/>
        </w:trPr>
        <w:tc>
          <w:tcPr>
            <w:tcW w:w="1003" w:type="dxa"/>
            <w:vMerge/>
            <w:tcBorders>
              <w:top w:val="nil"/>
            </w:tcBorders>
          </w:tcPr>
          <w:p>
            <w:pPr>
              <w:rPr>
                <w:sz w:val="2"/>
                <w:szCs w:val="2"/>
              </w:rPr>
            </w:pPr>
          </w:p>
        </w:tc>
        <w:tc>
          <w:tcPr>
            <w:tcW w:w="1260" w:type="dxa"/>
            <w:tcBorders>
              <w:top w:val="single" w:sz="8" w:space="0" w:color="000000"/>
            </w:tcBorders>
          </w:tcPr>
          <w:p>
            <w:pPr>
              <w:pStyle w:val="TableParagraph"/>
              <w:spacing w:before="8"/>
              <w:ind w:left="25"/>
              <w:jc w:val="center"/>
              <w:rPr>
                <w:sz w:val="18"/>
              </w:rPr>
            </w:pPr>
            <w:r>
              <w:rPr>
                <w:sz w:val="18"/>
              </w:rPr>
              <w:t>1</w:t>
            </w:r>
          </w:p>
        </w:tc>
      </w:tr>
      <w:tr>
        <w:trPr>
          <w:trHeight w:val="261" w:hRule="atLeast"/>
        </w:trPr>
        <w:tc>
          <w:tcPr>
            <w:tcW w:w="1003" w:type="dxa"/>
            <w:tcBorders>
              <w:bottom w:val="nil"/>
            </w:tcBorders>
          </w:tcPr>
          <w:p>
            <w:pPr>
              <w:pStyle w:val="TableParagraph"/>
              <w:spacing w:line="206" w:lineRule="exact"/>
              <w:ind w:left="75"/>
              <w:rPr>
                <w:sz w:val="18"/>
              </w:rPr>
            </w:pPr>
            <w:r>
              <w:rPr>
                <w:sz w:val="18"/>
              </w:rPr>
              <w:t>HT1</w:t>
            </w:r>
          </w:p>
        </w:tc>
        <w:tc>
          <w:tcPr>
            <w:tcW w:w="1260" w:type="dxa"/>
            <w:tcBorders>
              <w:bottom w:val="nil"/>
            </w:tcBorders>
          </w:tcPr>
          <w:p>
            <w:pPr>
              <w:pStyle w:val="TableParagraph"/>
              <w:spacing w:line="206" w:lineRule="exact"/>
              <w:ind w:right="34"/>
              <w:jc w:val="right"/>
              <w:rPr>
                <w:sz w:val="18"/>
              </w:rPr>
            </w:pPr>
            <w:r>
              <w:rPr>
                <w:sz w:val="18"/>
              </w:rPr>
              <w:t>.686</w:t>
            </w:r>
          </w:p>
        </w:tc>
      </w:tr>
      <w:tr>
        <w:trPr>
          <w:trHeight w:val="309" w:hRule="atLeast"/>
        </w:trPr>
        <w:tc>
          <w:tcPr>
            <w:tcW w:w="1003" w:type="dxa"/>
            <w:tcBorders>
              <w:top w:val="nil"/>
              <w:bottom w:val="nil"/>
            </w:tcBorders>
          </w:tcPr>
          <w:p>
            <w:pPr>
              <w:pStyle w:val="TableParagraph"/>
              <w:spacing w:before="47"/>
              <w:ind w:left="75"/>
              <w:rPr>
                <w:sz w:val="18"/>
              </w:rPr>
            </w:pPr>
            <w:r>
              <w:rPr>
                <w:sz w:val="18"/>
              </w:rPr>
              <w:t>HT2</w:t>
            </w:r>
          </w:p>
        </w:tc>
        <w:tc>
          <w:tcPr>
            <w:tcW w:w="1260" w:type="dxa"/>
            <w:tcBorders>
              <w:top w:val="nil"/>
              <w:bottom w:val="nil"/>
            </w:tcBorders>
          </w:tcPr>
          <w:p>
            <w:pPr>
              <w:pStyle w:val="TableParagraph"/>
              <w:spacing w:before="47"/>
              <w:ind w:right="34"/>
              <w:jc w:val="right"/>
              <w:rPr>
                <w:sz w:val="18"/>
              </w:rPr>
            </w:pPr>
            <w:r>
              <w:rPr>
                <w:sz w:val="18"/>
              </w:rPr>
              <w:t>.650</w:t>
            </w:r>
          </w:p>
        </w:tc>
      </w:tr>
      <w:tr>
        <w:trPr>
          <w:trHeight w:val="310" w:hRule="atLeast"/>
        </w:trPr>
        <w:tc>
          <w:tcPr>
            <w:tcW w:w="1003" w:type="dxa"/>
            <w:tcBorders>
              <w:top w:val="nil"/>
              <w:bottom w:val="nil"/>
            </w:tcBorders>
          </w:tcPr>
          <w:p>
            <w:pPr>
              <w:pStyle w:val="TableParagraph"/>
              <w:spacing w:before="47"/>
              <w:ind w:left="75"/>
              <w:rPr>
                <w:sz w:val="18"/>
              </w:rPr>
            </w:pPr>
            <w:r>
              <w:rPr>
                <w:sz w:val="18"/>
              </w:rPr>
              <w:t>HT4</w:t>
            </w:r>
          </w:p>
        </w:tc>
        <w:tc>
          <w:tcPr>
            <w:tcW w:w="1260" w:type="dxa"/>
            <w:tcBorders>
              <w:top w:val="nil"/>
              <w:bottom w:val="nil"/>
            </w:tcBorders>
          </w:tcPr>
          <w:p>
            <w:pPr>
              <w:pStyle w:val="TableParagraph"/>
              <w:spacing w:before="47"/>
              <w:ind w:right="34"/>
              <w:jc w:val="right"/>
              <w:rPr>
                <w:sz w:val="18"/>
              </w:rPr>
            </w:pPr>
            <w:r>
              <w:rPr>
                <w:sz w:val="18"/>
              </w:rPr>
              <w:t>.843</w:t>
            </w:r>
          </w:p>
        </w:tc>
      </w:tr>
      <w:tr>
        <w:trPr>
          <w:trHeight w:val="311" w:hRule="atLeast"/>
        </w:trPr>
        <w:tc>
          <w:tcPr>
            <w:tcW w:w="1003" w:type="dxa"/>
            <w:tcBorders>
              <w:top w:val="nil"/>
              <w:bottom w:val="nil"/>
            </w:tcBorders>
          </w:tcPr>
          <w:p>
            <w:pPr>
              <w:pStyle w:val="TableParagraph"/>
              <w:spacing w:before="48"/>
              <w:ind w:left="75"/>
              <w:rPr>
                <w:sz w:val="18"/>
              </w:rPr>
            </w:pPr>
            <w:r>
              <w:rPr>
                <w:sz w:val="18"/>
              </w:rPr>
              <w:t>HT5</w:t>
            </w:r>
          </w:p>
        </w:tc>
        <w:tc>
          <w:tcPr>
            <w:tcW w:w="1260" w:type="dxa"/>
            <w:tcBorders>
              <w:top w:val="nil"/>
              <w:bottom w:val="nil"/>
            </w:tcBorders>
          </w:tcPr>
          <w:p>
            <w:pPr>
              <w:pStyle w:val="TableParagraph"/>
              <w:spacing w:before="48"/>
              <w:ind w:right="34"/>
              <w:jc w:val="right"/>
              <w:rPr>
                <w:sz w:val="18"/>
              </w:rPr>
            </w:pPr>
            <w:r>
              <w:rPr>
                <w:sz w:val="18"/>
              </w:rPr>
              <w:t>.851</w:t>
            </w:r>
          </w:p>
        </w:tc>
      </w:tr>
      <w:tr>
        <w:trPr>
          <w:trHeight w:val="309" w:hRule="atLeast"/>
        </w:trPr>
        <w:tc>
          <w:tcPr>
            <w:tcW w:w="1003" w:type="dxa"/>
            <w:tcBorders>
              <w:top w:val="nil"/>
              <w:bottom w:val="nil"/>
            </w:tcBorders>
          </w:tcPr>
          <w:p>
            <w:pPr>
              <w:pStyle w:val="TableParagraph"/>
              <w:spacing w:before="47"/>
              <w:ind w:left="75"/>
              <w:rPr>
                <w:sz w:val="18"/>
              </w:rPr>
            </w:pPr>
            <w:r>
              <w:rPr>
                <w:sz w:val="18"/>
              </w:rPr>
              <w:t>HT6</w:t>
            </w:r>
          </w:p>
        </w:tc>
        <w:tc>
          <w:tcPr>
            <w:tcW w:w="1260" w:type="dxa"/>
            <w:tcBorders>
              <w:top w:val="nil"/>
              <w:bottom w:val="nil"/>
            </w:tcBorders>
          </w:tcPr>
          <w:p>
            <w:pPr>
              <w:pStyle w:val="TableParagraph"/>
              <w:spacing w:before="47"/>
              <w:ind w:right="34"/>
              <w:jc w:val="right"/>
              <w:rPr>
                <w:sz w:val="18"/>
              </w:rPr>
            </w:pPr>
            <w:r>
              <w:rPr>
                <w:sz w:val="18"/>
              </w:rPr>
              <w:t>.788</w:t>
            </w:r>
          </w:p>
        </w:tc>
      </w:tr>
      <w:tr>
        <w:trPr>
          <w:trHeight w:val="356" w:hRule="atLeast"/>
        </w:trPr>
        <w:tc>
          <w:tcPr>
            <w:tcW w:w="1003" w:type="dxa"/>
            <w:tcBorders>
              <w:top w:val="nil"/>
            </w:tcBorders>
          </w:tcPr>
          <w:p>
            <w:pPr>
              <w:pStyle w:val="TableParagraph"/>
              <w:spacing w:before="47"/>
              <w:ind w:left="75"/>
              <w:rPr>
                <w:sz w:val="18"/>
              </w:rPr>
            </w:pPr>
            <w:r>
              <w:rPr>
                <w:sz w:val="18"/>
              </w:rPr>
              <w:t>HT7</w:t>
            </w:r>
          </w:p>
        </w:tc>
        <w:tc>
          <w:tcPr>
            <w:tcW w:w="1260" w:type="dxa"/>
            <w:tcBorders>
              <w:top w:val="nil"/>
            </w:tcBorders>
          </w:tcPr>
          <w:p>
            <w:pPr>
              <w:pStyle w:val="TableParagraph"/>
              <w:spacing w:before="47"/>
              <w:ind w:right="34"/>
              <w:jc w:val="right"/>
              <w:rPr>
                <w:sz w:val="18"/>
              </w:rPr>
            </w:pPr>
            <w:r>
              <w:rPr>
                <w:sz w:val="18"/>
              </w:rPr>
              <w:t>.596</w:t>
            </w:r>
          </w:p>
        </w:tc>
      </w:tr>
    </w:tbl>
    <w:p>
      <w:pPr>
        <w:spacing w:line="362" w:lineRule="auto" w:before="0"/>
        <w:ind w:left="942" w:right="7788" w:firstLine="0"/>
        <w:jc w:val="left"/>
        <w:rPr>
          <w:sz w:val="18"/>
        </w:rPr>
      </w:pPr>
      <w:r>
        <w:rPr>
          <w:sz w:val="18"/>
        </w:rPr>
        <w:t>Extraction Method: Principal Component Analysis.</w:t>
      </w:r>
    </w:p>
    <w:p>
      <w:pPr>
        <w:spacing w:line="203" w:lineRule="exact" w:before="0"/>
        <w:ind w:left="942" w:right="0" w:firstLine="0"/>
        <w:jc w:val="left"/>
        <w:rPr>
          <w:sz w:val="18"/>
        </w:rPr>
      </w:pPr>
      <w:r>
        <w:rPr>
          <w:sz w:val="18"/>
        </w:rPr>
        <w:t>a. 1 components extracted.</w:t>
      </w:r>
    </w:p>
    <w:p>
      <w:pPr>
        <w:pStyle w:val="ListParagraph"/>
        <w:numPr>
          <w:ilvl w:val="1"/>
          <w:numId w:val="46"/>
        </w:numPr>
        <w:tabs>
          <w:tab w:pos="1310" w:val="left" w:leader="none"/>
        </w:tabs>
        <w:spacing w:line="240" w:lineRule="auto" w:before="104" w:after="0"/>
        <w:ind w:left="1309" w:right="0" w:hanging="428"/>
        <w:jc w:val="left"/>
        <w:rPr>
          <w:b/>
          <w:i/>
          <w:sz w:val="24"/>
        </w:rPr>
      </w:pPr>
      <w:r>
        <w:rPr>
          <w:b/>
          <w:i/>
          <w:sz w:val="24"/>
          <w:u w:val="thick"/>
        </w:rPr>
        <w:t>Thang đo vị trí cảng</w:t>
      </w:r>
    </w:p>
    <w:p>
      <w:pPr>
        <w:spacing w:after="0" w:line="240" w:lineRule="auto"/>
        <w:jc w:val="left"/>
        <w:rPr>
          <w:sz w:val="24"/>
        </w:rPr>
        <w:sectPr>
          <w:pgSz w:w="11910" w:h="16850"/>
          <w:pgMar w:header="751" w:footer="0" w:top="960" w:bottom="280" w:left="820" w:right="240"/>
        </w:sectPr>
      </w:pPr>
    </w:p>
    <w:p>
      <w:pPr>
        <w:pStyle w:val="BodyText"/>
        <w:spacing w:before="8"/>
        <w:rPr>
          <w:b/>
          <w:i/>
          <w:sz w:val="15"/>
        </w:rPr>
      </w:pPr>
    </w:p>
    <w:p>
      <w:pPr>
        <w:spacing w:after="0"/>
        <w:rPr>
          <w:sz w:val="15"/>
        </w:rPr>
        <w:sectPr>
          <w:pgSz w:w="11910" w:h="16850"/>
          <w:pgMar w:header="751" w:footer="0" w:top="960" w:bottom="280" w:left="820" w:right="240"/>
        </w:sectPr>
      </w:pPr>
    </w:p>
    <w:p>
      <w:pPr>
        <w:spacing w:before="93"/>
        <w:ind w:left="2202" w:right="0" w:firstLine="0"/>
        <w:jc w:val="left"/>
        <w:rPr>
          <w:b/>
          <w:sz w:val="18"/>
        </w:rPr>
      </w:pPr>
      <w:r>
        <w:rPr/>
        <w:pict>
          <v:shape style="position:absolute;margin-left:84.143997pt;margin-top:20.252329pt;width:211.75pt;height:37pt;mso-position-horizontal-relative:page;mso-position-vertical-relative:paragraph;z-index:15798272" type="#_x0000_t202" filled="false" stroked="false">
            <v:textbox inset="0,0,0,0">
              <w:txbxContent>
                <w:tbl>
                  <w:tblPr>
                    <w:tblW w:w="0" w:type="auto"/>
                    <w:jc w:val="left"/>
                    <w:tblInd w:w="22" w:type="dxa"/>
                    <w:tblBorders>
                      <w:top w:val="single" w:sz="18" w:space="0" w:color="000000"/>
                      <w:left w:val="single" w:sz="18" w:space="0" w:color="000000"/>
                      <w:bottom w:val="single" w:sz="18" w:space="0" w:color="000000"/>
                      <w:right w:val="single" w:sz="18" w:space="0" w:color="000000"/>
                      <w:insideH w:val="single" w:sz="18" w:space="0" w:color="000000"/>
                      <w:insideV w:val="single" w:sz="18" w:space="0" w:color="000000"/>
                    </w:tblBorders>
                    <w:tblLayout w:type="fixed"/>
                    <w:tblCellMar>
                      <w:top w:w="0" w:type="dxa"/>
                      <w:left w:w="0" w:type="dxa"/>
                      <w:bottom w:w="0" w:type="dxa"/>
                      <w:right w:w="0" w:type="dxa"/>
                    </w:tblCellMar>
                    <w:tblLook w:val="01E0"/>
                  </w:tblPr>
                  <w:tblGrid>
                    <w:gridCol w:w="2360"/>
                    <w:gridCol w:w="1817"/>
                  </w:tblGrid>
                  <w:tr>
                    <w:trPr>
                      <w:trHeight w:val="305" w:hRule="atLeast"/>
                    </w:trPr>
                    <w:tc>
                      <w:tcPr>
                        <w:tcW w:w="2360" w:type="dxa"/>
                        <w:tcBorders>
                          <w:right w:val="single" w:sz="8" w:space="0" w:color="000000"/>
                        </w:tcBorders>
                      </w:tcPr>
                      <w:p>
                        <w:pPr>
                          <w:pStyle w:val="TableParagraph"/>
                          <w:spacing w:line="204" w:lineRule="exact"/>
                          <w:ind w:left="536"/>
                          <w:rPr>
                            <w:sz w:val="18"/>
                          </w:rPr>
                        </w:pPr>
                        <w:r>
                          <w:rPr>
                            <w:sz w:val="18"/>
                          </w:rPr>
                          <w:t>Cronbach's Alpha</w:t>
                        </w:r>
                      </w:p>
                    </w:tc>
                    <w:tc>
                      <w:tcPr>
                        <w:tcW w:w="1817" w:type="dxa"/>
                        <w:tcBorders>
                          <w:left w:val="single" w:sz="8" w:space="0" w:color="000000"/>
                        </w:tcBorders>
                      </w:tcPr>
                      <w:p>
                        <w:pPr>
                          <w:pStyle w:val="TableParagraph"/>
                          <w:spacing w:line="204" w:lineRule="exact"/>
                          <w:ind w:left="527"/>
                          <w:rPr>
                            <w:sz w:val="18"/>
                          </w:rPr>
                        </w:pPr>
                        <w:r>
                          <w:rPr>
                            <w:sz w:val="18"/>
                          </w:rPr>
                          <w:t>N of Items</w:t>
                        </w:r>
                      </w:p>
                    </w:tc>
                  </w:tr>
                  <w:tr>
                    <w:trPr>
                      <w:trHeight w:val="305" w:hRule="atLeast"/>
                    </w:trPr>
                    <w:tc>
                      <w:tcPr>
                        <w:tcW w:w="2360" w:type="dxa"/>
                        <w:tcBorders>
                          <w:right w:val="single" w:sz="8" w:space="0" w:color="000000"/>
                        </w:tcBorders>
                      </w:tcPr>
                      <w:p>
                        <w:pPr>
                          <w:pStyle w:val="TableParagraph"/>
                          <w:spacing w:line="204" w:lineRule="exact"/>
                          <w:ind w:right="40"/>
                          <w:jc w:val="right"/>
                          <w:rPr>
                            <w:sz w:val="18"/>
                          </w:rPr>
                        </w:pPr>
                        <w:r>
                          <w:rPr>
                            <w:sz w:val="18"/>
                          </w:rPr>
                          <w:t>.730</w:t>
                        </w:r>
                      </w:p>
                    </w:tc>
                    <w:tc>
                      <w:tcPr>
                        <w:tcW w:w="1817" w:type="dxa"/>
                        <w:tcBorders>
                          <w:left w:val="single" w:sz="8" w:space="0" w:color="000000"/>
                        </w:tcBorders>
                      </w:tcPr>
                      <w:p>
                        <w:pPr>
                          <w:pStyle w:val="TableParagraph"/>
                          <w:spacing w:line="204" w:lineRule="exact"/>
                          <w:ind w:right="37"/>
                          <w:jc w:val="right"/>
                          <w:rPr>
                            <w:sz w:val="18"/>
                          </w:rPr>
                        </w:pPr>
                        <w:r>
                          <w:rPr>
                            <w:sz w:val="18"/>
                          </w:rPr>
                          <w:t>9</w:t>
                        </w:r>
                      </w:p>
                    </w:tc>
                  </w:tr>
                </w:tbl>
                <w:p>
                  <w:pPr>
                    <w:pStyle w:val="BodyText"/>
                  </w:pPr>
                </w:p>
              </w:txbxContent>
            </v:textbox>
            <w10:wrap type="none"/>
          </v:shape>
        </w:pict>
      </w:r>
      <w:r>
        <w:rPr>
          <w:b/>
          <w:sz w:val="18"/>
        </w:rPr>
        <w:t>Reliability Statistics</w:t>
      </w: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spacing w:before="7"/>
        <w:rPr>
          <w:b/>
          <w:sz w:val="25"/>
        </w:rPr>
      </w:pPr>
    </w:p>
    <w:p>
      <w:pPr>
        <w:spacing w:before="0"/>
        <w:ind w:left="0" w:right="86" w:firstLine="0"/>
        <w:jc w:val="right"/>
        <w:rPr>
          <w:b/>
          <w:sz w:val="18"/>
        </w:rPr>
      </w:pPr>
      <w:r>
        <w:rPr>
          <w:b/>
          <w:sz w:val="18"/>
        </w:rPr>
        <w:t>Item-Total Statistics</w:t>
      </w:r>
    </w:p>
    <w:p>
      <w:pPr>
        <w:spacing w:before="107"/>
        <w:ind w:left="2205" w:right="2410" w:firstLine="0"/>
        <w:jc w:val="center"/>
        <w:rPr>
          <w:b/>
          <w:sz w:val="18"/>
        </w:rPr>
      </w:pPr>
      <w:r>
        <w:rPr/>
        <w:br w:type="column"/>
      </w:r>
      <w:r>
        <w:rPr>
          <w:b/>
          <w:sz w:val="18"/>
        </w:rPr>
        <w:t>Item Statistics</w:t>
      </w:r>
    </w:p>
    <w:p>
      <w:pPr>
        <w:pStyle w:val="BodyText"/>
        <w:spacing w:before="2"/>
        <w:rPr>
          <w:b/>
          <w:sz w:val="9"/>
        </w:rPr>
      </w:pPr>
    </w:p>
    <w:tbl>
      <w:tblPr>
        <w:tblW w:w="0" w:type="auto"/>
        <w:jc w:val="left"/>
        <w:tblInd w:w="705" w:type="dxa"/>
        <w:tblBorders>
          <w:top w:val="single" w:sz="18" w:space="0" w:color="000000"/>
          <w:left w:val="single" w:sz="18" w:space="0" w:color="000000"/>
          <w:bottom w:val="single" w:sz="18" w:space="0" w:color="000000"/>
          <w:right w:val="single" w:sz="18" w:space="0" w:color="000000"/>
          <w:insideH w:val="single" w:sz="18" w:space="0" w:color="000000"/>
          <w:insideV w:val="single" w:sz="18" w:space="0" w:color="000000"/>
        </w:tblBorders>
        <w:tblLayout w:type="fixed"/>
        <w:tblCellMar>
          <w:top w:w="0" w:type="dxa"/>
          <w:left w:w="0" w:type="dxa"/>
          <w:bottom w:w="0" w:type="dxa"/>
          <w:right w:w="0" w:type="dxa"/>
        </w:tblCellMar>
        <w:tblLook w:val="01E0"/>
      </w:tblPr>
      <w:tblGrid>
        <w:gridCol w:w="735"/>
        <w:gridCol w:w="1011"/>
        <w:gridCol w:w="1424"/>
        <w:gridCol w:w="1008"/>
      </w:tblGrid>
      <w:tr>
        <w:trPr>
          <w:trHeight w:val="305" w:hRule="atLeast"/>
        </w:trPr>
        <w:tc>
          <w:tcPr>
            <w:tcW w:w="735" w:type="dxa"/>
          </w:tcPr>
          <w:p>
            <w:pPr>
              <w:pStyle w:val="TableParagraph"/>
              <w:rPr>
                <w:sz w:val="18"/>
              </w:rPr>
            </w:pPr>
          </w:p>
        </w:tc>
        <w:tc>
          <w:tcPr>
            <w:tcW w:w="1011" w:type="dxa"/>
            <w:tcBorders>
              <w:right w:val="single" w:sz="8" w:space="0" w:color="000000"/>
            </w:tcBorders>
          </w:tcPr>
          <w:p>
            <w:pPr>
              <w:pStyle w:val="TableParagraph"/>
              <w:spacing w:line="204" w:lineRule="exact"/>
              <w:ind w:left="298"/>
              <w:rPr>
                <w:sz w:val="18"/>
              </w:rPr>
            </w:pPr>
            <w:r>
              <w:rPr>
                <w:sz w:val="18"/>
              </w:rPr>
              <w:t>Mean</w:t>
            </w:r>
          </w:p>
        </w:tc>
        <w:tc>
          <w:tcPr>
            <w:tcW w:w="1424" w:type="dxa"/>
            <w:tcBorders>
              <w:left w:val="single" w:sz="8" w:space="0" w:color="000000"/>
              <w:right w:val="single" w:sz="8" w:space="0" w:color="000000"/>
            </w:tcBorders>
          </w:tcPr>
          <w:p>
            <w:pPr>
              <w:pStyle w:val="TableParagraph"/>
              <w:spacing w:line="204" w:lineRule="exact"/>
              <w:ind w:left="200"/>
              <w:rPr>
                <w:sz w:val="18"/>
              </w:rPr>
            </w:pPr>
            <w:r>
              <w:rPr>
                <w:sz w:val="18"/>
              </w:rPr>
              <w:t>Std. Deviation</w:t>
            </w:r>
          </w:p>
        </w:tc>
        <w:tc>
          <w:tcPr>
            <w:tcW w:w="1008" w:type="dxa"/>
            <w:tcBorders>
              <w:left w:val="single" w:sz="8" w:space="0" w:color="000000"/>
            </w:tcBorders>
          </w:tcPr>
          <w:p>
            <w:pPr>
              <w:pStyle w:val="TableParagraph"/>
              <w:spacing w:line="204" w:lineRule="exact"/>
              <w:ind w:left="34"/>
              <w:jc w:val="center"/>
              <w:rPr>
                <w:sz w:val="18"/>
              </w:rPr>
            </w:pPr>
            <w:r>
              <w:rPr>
                <w:w w:val="99"/>
                <w:sz w:val="18"/>
              </w:rPr>
              <w:t>N</w:t>
            </w:r>
          </w:p>
        </w:tc>
      </w:tr>
      <w:tr>
        <w:trPr>
          <w:trHeight w:val="259" w:hRule="atLeast"/>
        </w:trPr>
        <w:tc>
          <w:tcPr>
            <w:tcW w:w="735" w:type="dxa"/>
            <w:tcBorders>
              <w:bottom w:val="nil"/>
            </w:tcBorders>
          </w:tcPr>
          <w:p>
            <w:pPr>
              <w:pStyle w:val="TableParagraph"/>
              <w:spacing w:line="204" w:lineRule="exact"/>
              <w:ind w:left="76"/>
              <w:rPr>
                <w:sz w:val="18"/>
              </w:rPr>
            </w:pPr>
            <w:r>
              <w:rPr>
                <w:sz w:val="18"/>
              </w:rPr>
              <w:t>VT1</w:t>
            </w:r>
          </w:p>
        </w:tc>
        <w:tc>
          <w:tcPr>
            <w:tcW w:w="1011" w:type="dxa"/>
            <w:tcBorders>
              <w:bottom w:val="nil"/>
              <w:right w:val="single" w:sz="8" w:space="0" w:color="000000"/>
            </w:tcBorders>
          </w:tcPr>
          <w:p>
            <w:pPr>
              <w:pStyle w:val="TableParagraph"/>
              <w:spacing w:line="204" w:lineRule="exact"/>
              <w:ind w:right="41"/>
              <w:jc w:val="right"/>
              <w:rPr>
                <w:sz w:val="18"/>
              </w:rPr>
            </w:pPr>
            <w:r>
              <w:rPr>
                <w:sz w:val="18"/>
              </w:rPr>
              <w:t>3.19</w:t>
            </w:r>
          </w:p>
        </w:tc>
        <w:tc>
          <w:tcPr>
            <w:tcW w:w="1424" w:type="dxa"/>
            <w:tcBorders>
              <w:left w:val="single" w:sz="8" w:space="0" w:color="000000"/>
              <w:bottom w:val="nil"/>
              <w:right w:val="single" w:sz="8" w:space="0" w:color="000000"/>
            </w:tcBorders>
          </w:tcPr>
          <w:p>
            <w:pPr>
              <w:pStyle w:val="TableParagraph"/>
              <w:spacing w:line="204" w:lineRule="exact"/>
              <w:ind w:right="38"/>
              <w:jc w:val="right"/>
              <w:rPr>
                <w:sz w:val="18"/>
              </w:rPr>
            </w:pPr>
            <w:r>
              <w:rPr>
                <w:sz w:val="18"/>
              </w:rPr>
              <w:t>1.633</w:t>
            </w:r>
          </w:p>
        </w:tc>
        <w:tc>
          <w:tcPr>
            <w:tcW w:w="1008" w:type="dxa"/>
            <w:tcBorders>
              <w:left w:val="single" w:sz="8" w:space="0" w:color="000000"/>
              <w:bottom w:val="nil"/>
            </w:tcBorders>
          </w:tcPr>
          <w:p>
            <w:pPr>
              <w:pStyle w:val="TableParagraph"/>
              <w:spacing w:line="204" w:lineRule="exact"/>
              <w:ind w:right="37"/>
              <w:jc w:val="right"/>
              <w:rPr>
                <w:sz w:val="18"/>
              </w:rPr>
            </w:pPr>
            <w:r>
              <w:rPr>
                <w:sz w:val="18"/>
              </w:rPr>
              <w:t>516</w:t>
            </w:r>
          </w:p>
        </w:tc>
      </w:tr>
      <w:tr>
        <w:trPr>
          <w:trHeight w:val="310" w:hRule="atLeast"/>
        </w:trPr>
        <w:tc>
          <w:tcPr>
            <w:tcW w:w="735" w:type="dxa"/>
            <w:tcBorders>
              <w:top w:val="nil"/>
              <w:bottom w:val="nil"/>
            </w:tcBorders>
          </w:tcPr>
          <w:p>
            <w:pPr>
              <w:pStyle w:val="TableParagraph"/>
              <w:spacing w:before="48"/>
              <w:ind w:left="76"/>
              <w:rPr>
                <w:sz w:val="18"/>
              </w:rPr>
            </w:pPr>
            <w:r>
              <w:rPr>
                <w:sz w:val="18"/>
              </w:rPr>
              <w:t>VT2</w:t>
            </w:r>
          </w:p>
        </w:tc>
        <w:tc>
          <w:tcPr>
            <w:tcW w:w="1011" w:type="dxa"/>
            <w:tcBorders>
              <w:top w:val="nil"/>
              <w:bottom w:val="nil"/>
              <w:right w:val="single" w:sz="8" w:space="0" w:color="000000"/>
            </w:tcBorders>
          </w:tcPr>
          <w:p>
            <w:pPr>
              <w:pStyle w:val="TableParagraph"/>
              <w:spacing w:before="48"/>
              <w:ind w:right="41"/>
              <w:jc w:val="right"/>
              <w:rPr>
                <w:sz w:val="18"/>
              </w:rPr>
            </w:pPr>
            <w:r>
              <w:rPr>
                <w:sz w:val="18"/>
              </w:rPr>
              <w:t>3.65</w:t>
            </w:r>
          </w:p>
        </w:tc>
        <w:tc>
          <w:tcPr>
            <w:tcW w:w="1424" w:type="dxa"/>
            <w:tcBorders>
              <w:top w:val="nil"/>
              <w:left w:val="single" w:sz="8" w:space="0" w:color="000000"/>
              <w:bottom w:val="nil"/>
              <w:right w:val="single" w:sz="8" w:space="0" w:color="000000"/>
            </w:tcBorders>
          </w:tcPr>
          <w:p>
            <w:pPr>
              <w:pStyle w:val="TableParagraph"/>
              <w:spacing w:before="48"/>
              <w:ind w:right="38"/>
              <w:jc w:val="right"/>
              <w:rPr>
                <w:sz w:val="18"/>
              </w:rPr>
            </w:pPr>
            <w:r>
              <w:rPr>
                <w:sz w:val="18"/>
              </w:rPr>
              <w:t>1.329</w:t>
            </w:r>
          </w:p>
        </w:tc>
        <w:tc>
          <w:tcPr>
            <w:tcW w:w="1008" w:type="dxa"/>
            <w:tcBorders>
              <w:top w:val="nil"/>
              <w:left w:val="single" w:sz="8" w:space="0" w:color="000000"/>
              <w:bottom w:val="nil"/>
            </w:tcBorders>
          </w:tcPr>
          <w:p>
            <w:pPr>
              <w:pStyle w:val="TableParagraph"/>
              <w:spacing w:before="48"/>
              <w:ind w:right="36"/>
              <w:jc w:val="right"/>
              <w:rPr>
                <w:sz w:val="18"/>
              </w:rPr>
            </w:pPr>
            <w:r>
              <w:rPr>
                <w:sz w:val="18"/>
              </w:rPr>
              <w:t>516</w:t>
            </w:r>
          </w:p>
        </w:tc>
      </w:tr>
      <w:tr>
        <w:trPr>
          <w:trHeight w:val="309" w:hRule="atLeast"/>
        </w:trPr>
        <w:tc>
          <w:tcPr>
            <w:tcW w:w="735" w:type="dxa"/>
            <w:tcBorders>
              <w:top w:val="nil"/>
              <w:bottom w:val="nil"/>
            </w:tcBorders>
          </w:tcPr>
          <w:p>
            <w:pPr>
              <w:pStyle w:val="TableParagraph"/>
              <w:spacing w:before="47"/>
              <w:ind w:left="76"/>
              <w:rPr>
                <w:sz w:val="18"/>
              </w:rPr>
            </w:pPr>
            <w:r>
              <w:rPr>
                <w:sz w:val="18"/>
              </w:rPr>
              <w:t>VT3</w:t>
            </w:r>
          </w:p>
        </w:tc>
        <w:tc>
          <w:tcPr>
            <w:tcW w:w="1011" w:type="dxa"/>
            <w:tcBorders>
              <w:top w:val="nil"/>
              <w:bottom w:val="nil"/>
              <w:right w:val="single" w:sz="8" w:space="0" w:color="000000"/>
            </w:tcBorders>
          </w:tcPr>
          <w:p>
            <w:pPr>
              <w:pStyle w:val="TableParagraph"/>
              <w:spacing w:before="47"/>
              <w:ind w:right="41"/>
              <w:jc w:val="right"/>
              <w:rPr>
                <w:sz w:val="18"/>
              </w:rPr>
            </w:pPr>
            <w:r>
              <w:rPr>
                <w:sz w:val="18"/>
              </w:rPr>
              <w:t>3.59</w:t>
            </w:r>
          </w:p>
        </w:tc>
        <w:tc>
          <w:tcPr>
            <w:tcW w:w="1424" w:type="dxa"/>
            <w:tcBorders>
              <w:top w:val="nil"/>
              <w:left w:val="single" w:sz="8" w:space="0" w:color="000000"/>
              <w:bottom w:val="nil"/>
              <w:right w:val="single" w:sz="8" w:space="0" w:color="000000"/>
            </w:tcBorders>
          </w:tcPr>
          <w:p>
            <w:pPr>
              <w:pStyle w:val="TableParagraph"/>
              <w:spacing w:before="47"/>
              <w:ind w:right="38"/>
              <w:jc w:val="right"/>
              <w:rPr>
                <w:sz w:val="18"/>
              </w:rPr>
            </w:pPr>
            <w:r>
              <w:rPr>
                <w:sz w:val="18"/>
              </w:rPr>
              <w:t>1.350</w:t>
            </w:r>
          </w:p>
        </w:tc>
        <w:tc>
          <w:tcPr>
            <w:tcW w:w="1008" w:type="dxa"/>
            <w:tcBorders>
              <w:top w:val="nil"/>
              <w:left w:val="single" w:sz="8" w:space="0" w:color="000000"/>
              <w:bottom w:val="nil"/>
            </w:tcBorders>
          </w:tcPr>
          <w:p>
            <w:pPr>
              <w:pStyle w:val="TableParagraph"/>
              <w:spacing w:before="47"/>
              <w:ind w:right="36"/>
              <w:jc w:val="right"/>
              <w:rPr>
                <w:sz w:val="18"/>
              </w:rPr>
            </w:pPr>
            <w:r>
              <w:rPr>
                <w:sz w:val="18"/>
              </w:rPr>
              <w:t>516</w:t>
            </w:r>
          </w:p>
        </w:tc>
      </w:tr>
      <w:tr>
        <w:trPr>
          <w:trHeight w:val="310" w:hRule="atLeast"/>
        </w:trPr>
        <w:tc>
          <w:tcPr>
            <w:tcW w:w="735" w:type="dxa"/>
            <w:tcBorders>
              <w:top w:val="nil"/>
              <w:bottom w:val="nil"/>
            </w:tcBorders>
          </w:tcPr>
          <w:p>
            <w:pPr>
              <w:pStyle w:val="TableParagraph"/>
              <w:spacing w:before="47"/>
              <w:ind w:left="76"/>
              <w:rPr>
                <w:sz w:val="18"/>
              </w:rPr>
            </w:pPr>
            <w:r>
              <w:rPr>
                <w:sz w:val="18"/>
              </w:rPr>
              <w:t>VT4</w:t>
            </w:r>
          </w:p>
        </w:tc>
        <w:tc>
          <w:tcPr>
            <w:tcW w:w="1011" w:type="dxa"/>
            <w:tcBorders>
              <w:top w:val="nil"/>
              <w:bottom w:val="nil"/>
              <w:right w:val="single" w:sz="8" w:space="0" w:color="000000"/>
            </w:tcBorders>
          </w:tcPr>
          <w:p>
            <w:pPr>
              <w:pStyle w:val="TableParagraph"/>
              <w:spacing w:before="47"/>
              <w:ind w:right="41"/>
              <w:jc w:val="right"/>
              <w:rPr>
                <w:sz w:val="18"/>
              </w:rPr>
            </w:pPr>
            <w:r>
              <w:rPr>
                <w:sz w:val="18"/>
              </w:rPr>
              <w:t>2.91</w:t>
            </w:r>
          </w:p>
        </w:tc>
        <w:tc>
          <w:tcPr>
            <w:tcW w:w="1424" w:type="dxa"/>
            <w:tcBorders>
              <w:top w:val="nil"/>
              <w:left w:val="single" w:sz="8" w:space="0" w:color="000000"/>
              <w:bottom w:val="nil"/>
              <w:right w:val="single" w:sz="8" w:space="0" w:color="000000"/>
            </w:tcBorders>
          </w:tcPr>
          <w:p>
            <w:pPr>
              <w:pStyle w:val="TableParagraph"/>
              <w:spacing w:before="47"/>
              <w:ind w:right="38"/>
              <w:jc w:val="right"/>
              <w:rPr>
                <w:sz w:val="18"/>
              </w:rPr>
            </w:pPr>
            <w:r>
              <w:rPr>
                <w:sz w:val="18"/>
              </w:rPr>
              <w:t>1.604</w:t>
            </w:r>
          </w:p>
        </w:tc>
        <w:tc>
          <w:tcPr>
            <w:tcW w:w="1008" w:type="dxa"/>
            <w:tcBorders>
              <w:top w:val="nil"/>
              <w:left w:val="single" w:sz="8" w:space="0" w:color="000000"/>
              <w:bottom w:val="nil"/>
            </w:tcBorders>
          </w:tcPr>
          <w:p>
            <w:pPr>
              <w:pStyle w:val="TableParagraph"/>
              <w:spacing w:before="47"/>
              <w:ind w:right="36"/>
              <w:jc w:val="right"/>
              <w:rPr>
                <w:sz w:val="18"/>
              </w:rPr>
            </w:pPr>
            <w:r>
              <w:rPr>
                <w:sz w:val="18"/>
              </w:rPr>
              <w:t>516</w:t>
            </w:r>
          </w:p>
        </w:tc>
      </w:tr>
      <w:tr>
        <w:trPr>
          <w:trHeight w:val="310" w:hRule="atLeast"/>
        </w:trPr>
        <w:tc>
          <w:tcPr>
            <w:tcW w:w="735" w:type="dxa"/>
            <w:tcBorders>
              <w:top w:val="nil"/>
              <w:bottom w:val="nil"/>
            </w:tcBorders>
          </w:tcPr>
          <w:p>
            <w:pPr>
              <w:pStyle w:val="TableParagraph"/>
              <w:spacing w:before="48"/>
              <w:ind w:left="76"/>
              <w:rPr>
                <w:sz w:val="18"/>
              </w:rPr>
            </w:pPr>
            <w:r>
              <w:rPr>
                <w:sz w:val="18"/>
              </w:rPr>
              <w:t>VT5</w:t>
            </w:r>
          </w:p>
        </w:tc>
        <w:tc>
          <w:tcPr>
            <w:tcW w:w="1011" w:type="dxa"/>
            <w:tcBorders>
              <w:top w:val="nil"/>
              <w:bottom w:val="nil"/>
              <w:right w:val="single" w:sz="8" w:space="0" w:color="000000"/>
            </w:tcBorders>
          </w:tcPr>
          <w:p>
            <w:pPr>
              <w:pStyle w:val="TableParagraph"/>
              <w:spacing w:before="48"/>
              <w:ind w:right="41"/>
              <w:jc w:val="right"/>
              <w:rPr>
                <w:sz w:val="18"/>
              </w:rPr>
            </w:pPr>
            <w:r>
              <w:rPr>
                <w:sz w:val="18"/>
              </w:rPr>
              <w:t>3.53</w:t>
            </w:r>
          </w:p>
        </w:tc>
        <w:tc>
          <w:tcPr>
            <w:tcW w:w="1424" w:type="dxa"/>
            <w:tcBorders>
              <w:top w:val="nil"/>
              <w:left w:val="single" w:sz="8" w:space="0" w:color="000000"/>
              <w:bottom w:val="nil"/>
              <w:right w:val="single" w:sz="8" w:space="0" w:color="000000"/>
            </w:tcBorders>
          </w:tcPr>
          <w:p>
            <w:pPr>
              <w:pStyle w:val="TableParagraph"/>
              <w:spacing w:before="48"/>
              <w:ind w:right="38"/>
              <w:jc w:val="right"/>
              <w:rPr>
                <w:sz w:val="18"/>
              </w:rPr>
            </w:pPr>
            <w:r>
              <w:rPr>
                <w:sz w:val="18"/>
              </w:rPr>
              <w:t>1.376</w:t>
            </w:r>
          </w:p>
        </w:tc>
        <w:tc>
          <w:tcPr>
            <w:tcW w:w="1008" w:type="dxa"/>
            <w:tcBorders>
              <w:top w:val="nil"/>
              <w:left w:val="single" w:sz="8" w:space="0" w:color="000000"/>
              <w:bottom w:val="nil"/>
            </w:tcBorders>
          </w:tcPr>
          <w:p>
            <w:pPr>
              <w:pStyle w:val="TableParagraph"/>
              <w:spacing w:before="48"/>
              <w:ind w:right="36"/>
              <w:jc w:val="right"/>
              <w:rPr>
                <w:sz w:val="18"/>
              </w:rPr>
            </w:pPr>
            <w:r>
              <w:rPr>
                <w:sz w:val="18"/>
              </w:rPr>
              <w:t>516</w:t>
            </w:r>
          </w:p>
        </w:tc>
      </w:tr>
      <w:tr>
        <w:trPr>
          <w:trHeight w:val="309" w:hRule="atLeast"/>
        </w:trPr>
        <w:tc>
          <w:tcPr>
            <w:tcW w:w="735" w:type="dxa"/>
            <w:tcBorders>
              <w:top w:val="nil"/>
              <w:bottom w:val="nil"/>
            </w:tcBorders>
          </w:tcPr>
          <w:p>
            <w:pPr>
              <w:pStyle w:val="TableParagraph"/>
              <w:spacing w:before="47"/>
              <w:ind w:left="76"/>
              <w:rPr>
                <w:sz w:val="18"/>
              </w:rPr>
            </w:pPr>
            <w:r>
              <w:rPr>
                <w:sz w:val="18"/>
              </w:rPr>
              <w:t>VT6</w:t>
            </w:r>
          </w:p>
        </w:tc>
        <w:tc>
          <w:tcPr>
            <w:tcW w:w="1011" w:type="dxa"/>
            <w:tcBorders>
              <w:top w:val="nil"/>
              <w:bottom w:val="nil"/>
              <w:right w:val="single" w:sz="8" w:space="0" w:color="000000"/>
            </w:tcBorders>
          </w:tcPr>
          <w:p>
            <w:pPr>
              <w:pStyle w:val="TableParagraph"/>
              <w:spacing w:before="47"/>
              <w:ind w:right="41"/>
              <w:jc w:val="right"/>
              <w:rPr>
                <w:sz w:val="18"/>
              </w:rPr>
            </w:pPr>
            <w:r>
              <w:rPr>
                <w:sz w:val="18"/>
              </w:rPr>
              <w:t>3.70</w:t>
            </w:r>
          </w:p>
        </w:tc>
        <w:tc>
          <w:tcPr>
            <w:tcW w:w="1424" w:type="dxa"/>
            <w:tcBorders>
              <w:top w:val="nil"/>
              <w:left w:val="single" w:sz="8" w:space="0" w:color="000000"/>
              <w:bottom w:val="nil"/>
              <w:right w:val="single" w:sz="8" w:space="0" w:color="000000"/>
            </w:tcBorders>
          </w:tcPr>
          <w:p>
            <w:pPr>
              <w:pStyle w:val="TableParagraph"/>
              <w:spacing w:before="47"/>
              <w:ind w:right="38"/>
              <w:jc w:val="right"/>
              <w:rPr>
                <w:sz w:val="18"/>
              </w:rPr>
            </w:pPr>
            <w:r>
              <w:rPr>
                <w:sz w:val="18"/>
              </w:rPr>
              <w:t>1.285</w:t>
            </w:r>
          </w:p>
        </w:tc>
        <w:tc>
          <w:tcPr>
            <w:tcW w:w="1008" w:type="dxa"/>
            <w:tcBorders>
              <w:top w:val="nil"/>
              <w:left w:val="single" w:sz="8" w:space="0" w:color="000000"/>
              <w:bottom w:val="nil"/>
            </w:tcBorders>
          </w:tcPr>
          <w:p>
            <w:pPr>
              <w:pStyle w:val="TableParagraph"/>
              <w:spacing w:before="47"/>
              <w:ind w:right="36"/>
              <w:jc w:val="right"/>
              <w:rPr>
                <w:sz w:val="18"/>
              </w:rPr>
            </w:pPr>
            <w:r>
              <w:rPr>
                <w:sz w:val="18"/>
              </w:rPr>
              <w:t>516</w:t>
            </w:r>
          </w:p>
        </w:tc>
      </w:tr>
      <w:tr>
        <w:trPr>
          <w:trHeight w:val="310" w:hRule="atLeast"/>
        </w:trPr>
        <w:tc>
          <w:tcPr>
            <w:tcW w:w="735" w:type="dxa"/>
            <w:tcBorders>
              <w:top w:val="nil"/>
              <w:bottom w:val="nil"/>
            </w:tcBorders>
          </w:tcPr>
          <w:p>
            <w:pPr>
              <w:pStyle w:val="TableParagraph"/>
              <w:spacing w:before="47"/>
              <w:ind w:left="76"/>
              <w:rPr>
                <w:sz w:val="18"/>
              </w:rPr>
            </w:pPr>
            <w:r>
              <w:rPr>
                <w:sz w:val="18"/>
              </w:rPr>
              <w:t>VT7</w:t>
            </w:r>
          </w:p>
        </w:tc>
        <w:tc>
          <w:tcPr>
            <w:tcW w:w="1011" w:type="dxa"/>
            <w:tcBorders>
              <w:top w:val="nil"/>
              <w:bottom w:val="nil"/>
              <w:right w:val="single" w:sz="8" w:space="0" w:color="000000"/>
            </w:tcBorders>
          </w:tcPr>
          <w:p>
            <w:pPr>
              <w:pStyle w:val="TableParagraph"/>
              <w:spacing w:before="47"/>
              <w:ind w:right="41"/>
              <w:jc w:val="right"/>
              <w:rPr>
                <w:sz w:val="18"/>
              </w:rPr>
            </w:pPr>
            <w:r>
              <w:rPr>
                <w:sz w:val="18"/>
              </w:rPr>
              <w:t>3.74</w:t>
            </w:r>
          </w:p>
        </w:tc>
        <w:tc>
          <w:tcPr>
            <w:tcW w:w="1424" w:type="dxa"/>
            <w:tcBorders>
              <w:top w:val="nil"/>
              <w:left w:val="single" w:sz="8" w:space="0" w:color="000000"/>
              <w:bottom w:val="nil"/>
              <w:right w:val="single" w:sz="8" w:space="0" w:color="000000"/>
            </w:tcBorders>
          </w:tcPr>
          <w:p>
            <w:pPr>
              <w:pStyle w:val="TableParagraph"/>
              <w:spacing w:before="47"/>
              <w:ind w:right="38"/>
              <w:jc w:val="right"/>
              <w:rPr>
                <w:sz w:val="18"/>
              </w:rPr>
            </w:pPr>
            <w:r>
              <w:rPr>
                <w:sz w:val="18"/>
              </w:rPr>
              <w:t>1.242</w:t>
            </w:r>
          </w:p>
        </w:tc>
        <w:tc>
          <w:tcPr>
            <w:tcW w:w="1008" w:type="dxa"/>
            <w:tcBorders>
              <w:top w:val="nil"/>
              <w:left w:val="single" w:sz="8" w:space="0" w:color="000000"/>
              <w:bottom w:val="nil"/>
            </w:tcBorders>
          </w:tcPr>
          <w:p>
            <w:pPr>
              <w:pStyle w:val="TableParagraph"/>
              <w:spacing w:before="47"/>
              <w:ind w:right="36"/>
              <w:jc w:val="right"/>
              <w:rPr>
                <w:sz w:val="18"/>
              </w:rPr>
            </w:pPr>
            <w:r>
              <w:rPr>
                <w:sz w:val="18"/>
              </w:rPr>
              <w:t>516</w:t>
            </w:r>
          </w:p>
        </w:tc>
      </w:tr>
      <w:tr>
        <w:trPr>
          <w:trHeight w:val="310" w:hRule="atLeast"/>
        </w:trPr>
        <w:tc>
          <w:tcPr>
            <w:tcW w:w="735" w:type="dxa"/>
            <w:tcBorders>
              <w:top w:val="nil"/>
              <w:bottom w:val="nil"/>
            </w:tcBorders>
          </w:tcPr>
          <w:p>
            <w:pPr>
              <w:pStyle w:val="TableParagraph"/>
              <w:spacing w:before="48"/>
              <w:ind w:left="76"/>
              <w:rPr>
                <w:sz w:val="18"/>
              </w:rPr>
            </w:pPr>
            <w:r>
              <w:rPr>
                <w:sz w:val="18"/>
              </w:rPr>
              <w:t>VT8</w:t>
            </w:r>
          </w:p>
        </w:tc>
        <w:tc>
          <w:tcPr>
            <w:tcW w:w="1011" w:type="dxa"/>
            <w:tcBorders>
              <w:top w:val="nil"/>
              <w:bottom w:val="nil"/>
              <w:right w:val="single" w:sz="8" w:space="0" w:color="000000"/>
            </w:tcBorders>
          </w:tcPr>
          <w:p>
            <w:pPr>
              <w:pStyle w:val="TableParagraph"/>
              <w:spacing w:before="48"/>
              <w:ind w:right="40"/>
              <w:jc w:val="right"/>
              <w:rPr>
                <w:sz w:val="18"/>
              </w:rPr>
            </w:pPr>
            <w:r>
              <w:rPr>
                <w:sz w:val="18"/>
              </w:rPr>
              <w:t>2.78</w:t>
            </w:r>
          </w:p>
        </w:tc>
        <w:tc>
          <w:tcPr>
            <w:tcW w:w="1424" w:type="dxa"/>
            <w:tcBorders>
              <w:top w:val="nil"/>
              <w:left w:val="single" w:sz="8" w:space="0" w:color="000000"/>
              <w:bottom w:val="nil"/>
              <w:right w:val="single" w:sz="8" w:space="0" w:color="000000"/>
            </w:tcBorders>
          </w:tcPr>
          <w:p>
            <w:pPr>
              <w:pStyle w:val="TableParagraph"/>
              <w:spacing w:before="48"/>
              <w:ind w:right="38"/>
              <w:jc w:val="right"/>
              <w:rPr>
                <w:sz w:val="18"/>
              </w:rPr>
            </w:pPr>
            <w:r>
              <w:rPr>
                <w:sz w:val="18"/>
              </w:rPr>
              <w:t>1.640</w:t>
            </w:r>
          </w:p>
        </w:tc>
        <w:tc>
          <w:tcPr>
            <w:tcW w:w="1008" w:type="dxa"/>
            <w:tcBorders>
              <w:top w:val="nil"/>
              <w:left w:val="single" w:sz="8" w:space="0" w:color="000000"/>
              <w:bottom w:val="nil"/>
            </w:tcBorders>
          </w:tcPr>
          <w:p>
            <w:pPr>
              <w:pStyle w:val="TableParagraph"/>
              <w:spacing w:before="48"/>
              <w:ind w:right="37"/>
              <w:jc w:val="right"/>
              <w:rPr>
                <w:sz w:val="18"/>
              </w:rPr>
            </w:pPr>
            <w:r>
              <w:rPr>
                <w:sz w:val="18"/>
              </w:rPr>
              <w:t>516</w:t>
            </w:r>
          </w:p>
        </w:tc>
      </w:tr>
      <w:tr>
        <w:trPr>
          <w:trHeight w:val="356" w:hRule="atLeast"/>
        </w:trPr>
        <w:tc>
          <w:tcPr>
            <w:tcW w:w="735" w:type="dxa"/>
            <w:tcBorders>
              <w:top w:val="nil"/>
            </w:tcBorders>
          </w:tcPr>
          <w:p>
            <w:pPr>
              <w:pStyle w:val="TableParagraph"/>
              <w:spacing w:before="47"/>
              <w:ind w:left="76"/>
              <w:rPr>
                <w:sz w:val="18"/>
              </w:rPr>
            </w:pPr>
            <w:r>
              <w:rPr>
                <w:sz w:val="18"/>
              </w:rPr>
              <w:t>VT9</w:t>
            </w:r>
          </w:p>
        </w:tc>
        <w:tc>
          <w:tcPr>
            <w:tcW w:w="1011" w:type="dxa"/>
            <w:tcBorders>
              <w:top w:val="nil"/>
              <w:right w:val="single" w:sz="8" w:space="0" w:color="000000"/>
            </w:tcBorders>
          </w:tcPr>
          <w:p>
            <w:pPr>
              <w:pStyle w:val="TableParagraph"/>
              <w:spacing w:before="47"/>
              <w:ind w:right="41"/>
              <w:jc w:val="right"/>
              <w:rPr>
                <w:sz w:val="18"/>
              </w:rPr>
            </w:pPr>
            <w:r>
              <w:rPr>
                <w:sz w:val="18"/>
              </w:rPr>
              <w:t>3.68</w:t>
            </w:r>
          </w:p>
        </w:tc>
        <w:tc>
          <w:tcPr>
            <w:tcW w:w="1424" w:type="dxa"/>
            <w:tcBorders>
              <w:top w:val="nil"/>
              <w:left w:val="single" w:sz="8" w:space="0" w:color="000000"/>
              <w:right w:val="single" w:sz="8" w:space="0" w:color="000000"/>
            </w:tcBorders>
          </w:tcPr>
          <w:p>
            <w:pPr>
              <w:pStyle w:val="TableParagraph"/>
              <w:spacing w:before="47"/>
              <w:ind w:right="38"/>
              <w:jc w:val="right"/>
              <w:rPr>
                <w:sz w:val="18"/>
              </w:rPr>
            </w:pPr>
            <w:r>
              <w:rPr>
                <w:sz w:val="18"/>
              </w:rPr>
              <w:t>1.396</w:t>
            </w:r>
          </w:p>
        </w:tc>
        <w:tc>
          <w:tcPr>
            <w:tcW w:w="1008" w:type="dxa"/>
            <w:tcBorders>
              <w:top w:val="nil"/>
              <w:left w:val="single" w:sz="8" w:space="0" w:color="000000"/>
            </w:tcBorders>
          </w:tcPr>
          <w:p>
            <w:pPr>
              <w:pStyle w:val="TableParagraph"/>
              <w:spacing w:before="47"/>
              <w:ind w:right="36"/>
              <w:jc w:val="right"/>
              <w:rPr>
                <w:sz w:val="18"/>
              </w:rPr>
            </w:pPr>
            <w:r>
              <w:rPr>
                <w:sz w:val="18"/>
              </w:rPr>
              <w:t>516</w:t>
            </w:r>
          </w:p>
        </w:tc>
      </w:tr>
    </w:tbl>
    <w:p>
      <w:pPr>
        <w:spacing w:after="0"/>
        <w:jc w:val="right"/>
        <w:rPr>
          <w:sz w:val="18"/>
        </w:rPr>
        <w:sectPr>
          <w:type w:val="continuous"/>
          <w:pgSz w:w="11910" w:h="16850"/>
          <w:pgMar w:top="1840" w:bottom="280" w:left="820" w:right="240"/>
          <w:cols w:num="2" w:equalWidth="0">
            <w:col w:w="5059" w:space="40"/>
            <w:col w:w="5751"/>
          </w:cols>
        </w:sectPr>
      </w:pPr>
    </w:p>
    <w:p>
      <w:pPr>
        <w:pStyle w:val="BodyText"/>
        <w:spacing w:before="10" w:after="1"/>
        <w:rPr>
          <w:b/>
          <w:sz w:val="8"/>
        </w:rPr>
      </w:pPr>
    </w:p>
    <w:tbl>
      <w:tblPr>
        <w:tblW w:w="0" w:type="auto"/>
        <w:jc w:val="left"/>
        <w:tblInd w:w="907" w:type="dxa"/>
        <w:tblBorders>
          <w:top w:val="single" w:sz="18" w:space="0" w:color="000000"/>
          <w:left w:val="single" w:sz="18" w:space="0" w:color="000000"/>
          <w:bottom w:val="single" w:sz="18" w:space="0" w:color="000000"/>
          <w:right w:val="single" w:sz="18" w:space="0" w:color="000000"/>
          <w:insideH w:val="single" w:sz="18" w:space="0" w:color="000000"/>
          <w:insideV w:val="single" w:sz="18" w:space="0" w:color="000000"/>
        </w:tblBorders>
        <w:tblLayout w:type="fixed"/>
        <w:tblCellMar>
          <w:top w:w="0" w:type="dxa"/>
          <w:left w:w="0" w:type="dxa"/>
          <w:bottom w:w="0" w:type="dxa"/>
          <w:right w:w="0" w:type="dxa"/>
        </w:tblCellMar>
        <w:tblLook w:val="01E0"/>
      </w:tblPr>
      <w:tblGrid>
        <w:gridCol w:w="734"/>
        <w:gridCol w:w="1468"/>
        <w:gridCol w:w="1469"/>
        <w:gridCol w:w="1469"/>
        <w:gridCol w:w="1466"/>
      </w:tblGrid>
      <w:tr>
        <w:trPr>
          <w:trHeight w:val="615" w:hRule="atLeast"/>
        </w:trPr>
        <w:tc>
          <w:tcPr>
            <w:tcW w:w="734" w:type="dxa"/>
          </w:tcPr>
          <w:p>
            <w:pPr>
              <w:pStyle w:val="TableParagraph"/>
              <w:rPr>
                <w:sz w:val="18"/>
              </w:rPr>
            </w:pPr>
          </w:p>
        </w:tc>
        <w:tc>
          <w:tcPr>
            <w:tcW w:w="1468" w:type="dxa"/>
            <w:tcBorders>
              <w:right w:val="single" w:sz="8" w:space="0" w:color="000000"/>
            </w:tcBorders>
          </w:tcPr>
          <w:p>
            <w:pPr>
              <w:pStyle w:val="TableParagraph"/>
              <w:spacing w:line="206" w:lineRule="exact"/>
              <w:ind w:left="234"/>
              <w:rPr>
                <w:sz w:val="18"/>
              </w:rPr>
            </w:pPr>
            <w:r>
              <w:rPr>
                <w:sz w:val="18"/>
              </w:rPr>
              <w:t>Scale Mean</w:t>
            </w:r>
            <w:r>
              <w:rPr>
                <w:spacing w:val="-4"/>
                <w:sz w:val="18"/>
              </w:rPr>
              <w:t> </w:t>
            </w:r>
            <w:r>
              <w:rPr>
                <w:sz w:val="18"/>
              </w:rPr>
              <w:t>if</w:t>
            </w:r>
          </w:p>
          <w:p>
            <w:pPr>
              <w:pStyle w:val="TableParagraph"/>
              <w:spacing w:before="102"/>
              <w:ind w:left="268"/>
              <w:rPr>
                <w:sz w:val="18"/>
              </w:rPr>
            </w:pPr>
            <w:r>
              <w:rPr>
                <w:sz w:val="18"/>
              </w:rPr>
              <w:t>Item</w:t>
            </w:r>
            <w:r>
              <w:rPr>
                <w:spacing w:val="-3"/>
                <w:sz w:val="18"/>
              </w:rPr>
              <w:t> </w:t>
            </w:r>
            <w:r>
              <w:rPr>
                <w:sz w:val="18"/>
              </w:rPr>
              <w:t>Deleted</w:t>
            </w:r>
          </w:p>
        </w:tc>
        <w:tc>
          <w:tcPr>
            <w:tcW w:w="1469" w:type="dxa"/>
            <w:tcBorders>
              <w:left w:val="single" w:sz="8" w:space="0" w:color="000000"/>
              <w:right w:val="single" w:sz="8" w:space="0" w:color="000000"/>
            </w:tcBorders>
          </w:tcPr>
          <w:p>
            <w:pPr>
              <w:pStyle w:val="TableParagraph"/>
              <w:spacing w:line="206" w:lineRule="exact"/>
              <w:ind w:left="99" w:right="63"/>
              <w:jc w:val="center"/>
              <w:rPr>
                <w:sz w:val="18"/>
              </w:rPr>
            </w:pPr>
            <w:r>
              <w:rPr>
                <w:sz w:val="18"/>
              </w:rPr>
              <w:t>Scale Variance if</w:t>
            </w:r>
          </w:p>
          <w:p>
            <w:pPr>
              <w:pStyle w:val="TableParagraph"/>
              <w:spacing w:before="102"/>
              <w:ind w:left="99" w:right="60"/>
              <w:jc w:val="center"/>
              <w:rPr>
                <w:sz w:val="18"/>
              </w:rPr>
            </w:pPr>
            <w:r>
              <w:rPr>
                <w:sz w:val="18"/>
              </w:rPr>
              <w:t>Item Deleted</w:t>
            </w:r>
          </w:p>
        </w:tc>
        <w:tc>
          <w:tcPr>
            <w:tcW w:w="1469" w:type="dxa"/>
            <w:tcBorders>
              <w:left w:val="single" w:sz="8" w:space="0" w:color="000000"/>
              <w:right w:val="single" w:sz="8" w:space="0" w:color="000000"/>
            </w:tcBorders>
          </w:tcPr>
          <w:p>
            <w:pPr>
              <w:pStyle w:val="TableParagraph"/>
              <w:spacing w:line="206" w:lineRule="exact"/>
              <w:ind w:left="171"/>
              <w:rPr>
                <w:sz w:val="18"/>
              </w:rPr>
            </w:pPr>
            <w:r>
              <w:rPr>
                <w:sz w:val="18"/>
              </w:rPr>
              <w:t>Corrected Item-</w:t>
            </w:r>
          </w:p>
          <w:p>
            <w:pPr>
              <w:pStyle w:val="TableParagraph"/>
              <w:spacing w:before="102"/>
              <w:ind w:left="121"/>
              <w:rPr>
                <w:sz w:val="18"/>
              </w:rPr>
            </w:pPr>
            <w:r>
              <w:rPr>
                <w:sz w:val="18"/>
              </w:rPr>
              <w:t>Total Correlation</w:t>
            </w:r>
          </w:p>
        </w:tc>
        <w:tc>
          <w:tcPr>
            <w:tcW w:w="1466" w:type="dxa"/>
            <w:tcBorders>
              <w:left w:val="single" w:sz="8" w:space="0" w:color="000000"/>
            </w:tcBorders>
          </w:tcPr>
          <w:p>
            <w:pPr>
              <w:pStyle w:val="TableParagraph"/>
              <w:spacing w:line="206" w:lineRule="exact"/>
              <w:ind w:left="94"/>
              <w:rPr>
                <w:sz w:val="18"/>
              </w:rPr>
            </w:pPr>
            <w:r>
              <w:rPr>
                <w:sz w:val="18"/>
              </w:rPr>
              <w:t>Cronbach's Alpha</w:t>
            </w:r>
          </w:p>
          <w:p>
            <w:pPr>
              <w:pStyle w:val="TableParagraph"/>
              <w:spacing w:before="102"/>
              <w:ind w:left="193"/>
              <w:rPr>
                <w:sz w:val="18"/>
              </w:rPr>
            </w:pPr>
            <w:r>
              <w:rPr>
                <w:sz w:val="18"/>
              </w:rPr>
              <w:t>if Item Deleted</w:t>
            </w:r>
          </w:p>
        </w:tc>
      </w:tr>
      <w:tr>
        <w:trPr>
          <w:trHeight w:val="261" w:hRule="atLeast"/>
        </w:trPr>
        <w:tc>
          <w:tcPr>
            <w:tcW w:w="734" w:type="dxa"/>
            <w:tcBorders>
              <w:bottom w:val="nil"/>
            </w:tcBorders>
          </w:tcPr>
          <w:p>
            <w:pPr>
              <w:pStyle w:val="TableParagraph"/>
              <w:spacing w:line="206" w:lineRule="exact"/>
              <w:ind w:left="75"/>
              <w:rPr>
                <w:sz w:val="18"/>
              </w:rPr>
            </w:pPr>
            <w:r>
              <w:rPr>
                <w:sz w:val="18"/>
              </w:rPr>
              <w:t>VT1</w:t>
            </w:r>
          </w:p>
        </w:tc>
        <w:tc>
          <w:tcPr>
            <w:tcW w:w="1468" w:type="dxa"/>
            <w:tcBorders>
              <w:bottom w:val="nil"/>
              <w:right w:val="single" w:sz="8" w:space="0" w:color="000000"/>
            </w:tcBorders>
          </w:tcPr>
          <w:p>
            <w:pPr>
              <w:pStyle w:val="TableParagraph"/>
              <w:spacing w:line="206" w:lineRule="exact"/>
              <w:ind w:right="36"/>
              <w:jc w:val="right"/>
              <w:rPr>
                <w:sz w:val="18"/>
              </w:rPr>
            </w:pPr>
            <w:r>
              <w:rPr>
                <w:sz w:val="18"/>
              </w:rPr>
              <w:t>27.58</w:t>
            </w:r>
          </w:p>
        </w:tc>
        <w:tc>
          <w:tcPr>
            <w:tcW w:w="1469" w:type="dxa"/>
            <w:tcBorders>
              <w:left w:val="single" w:sz="8" w:space="0" w:color="000000"/>
              <w:bottom w:val="nil"/>
              <w:right w:val="single" w:sz="8" w:space="0" w:color="000000"/>
            </w:tcBorders>
          </w:tcPr>
          <w:p>
            <w:pPr>
              <w:pStyle w:val="TableParagraph"/>
              <w:spacing w:line="206" w:lineRule="exact"/>
              <w:ind w:right="38"/>
              <w:jc w:val="right"/>
              <w:rPr>
                <w:sz w:val="18"/>
              </w:rPr>
            </w:pPr>
            <w:r>
              <w:rPr>
                <w:sz w:val="18"/>
              </w:rPr>
              <w:t>49.541</w:t>
            </w:r>
          </w:p>
        </w:tc>
        <w:tc>
          <w:tcPr>
            <w:tcW w:w="1469" w:type="dxa"/>
            <w:tcBorders>
              <w:left w:val="single" w:sz="8" w:space="0" w:color="000000"/>
              <w:bottom w:val="nil"/>
              <w:right w:val="single" w:sz="8" w:space="0" w:color="000000"/>
            </w:tcBorders>
          </w:tcPr>
          <w:p>
            <w:pPr>
              <w:pStyle w:val="TableParagraph"/>
              <w:spacing w:line="206" w:lineRule="exact"/>
              <w:ind w:right="38"/>
              <w:jc w:val="right"/>
              <w:rPr>
                <w:sz w:val="18"/>
              </w:rPr>
            </w:pPr>
            <w:r>
              <w:rPr>
                <w:sz w:val="18"/>
              </w:rPr>
              <w:t>.028</w:t>
            </w:r>
          </w:p>
        </w:tc>
        <w:tc>
          <w:tcPr>
            <w:tcW w:w="1466" w:type="dxa"/>
            <w:tcBorders>
              <w:left w:val="single" w:sz="8" w:space="0" w:color="000000"/>
              <w:bottom w:val="nil"/>
            </w:tcBorders>
          </w:tcPr>
          <w:p>
            <w:pPr>
              <w:pStyle w:val="TableParagraph"/>
              <w:spacing w:line="206" w:lineRule="exact"/>
              <w:ind w:right="33"/>
              <w:jc w:val="right"/>
              <w:rPr>
                <w:sz w:val="18"/>
              </w:rPr>
            </w:pPr>
            <w:r>
              <w:rPr>
                <w:sz w:val="18"/>
              </w:rPr>
              <w:t>.776</w:t>
            </w:r>
          </w:p>
        </w:tc>
      </w:tr>
      <w:tr>
        <w:trPr>
          <w:trHeight w:val="310" w:hRule="atLeast"/>
        </w:trPr>
        <w:tc>
          <w:tcPr>
            <w:tcW w:w="734" w:type="dxa"/>
            <w:tcBorders>
              <w:top w:val="nil"/>
              <w:bottom w:val="nil"/>
            </w:tcBorders>
          </w:tcPr>
          <w:p>
            <w:pPr>
              <w:pStyle w:val="TableParagraph"/>
              <w:spacing w:before="47"/>
              <w:ind w:left="75"/>
              <w:rPr>
                <w:sz w:val="18"/>
              </w:rPr>
            </w:pPr>
            <w:r>
              <w:rPr>
                <w:sz w:val="18"/>
              </w:rPr>
              <w:t>VT2</w:t>
            </w:r>
          </w:p>
        </w:tc>
        <w:tc>
          <w:tcPr>
            <w:tcW w:w="1468" w:type="dxa"/>
            <w:tcBorders>
              <w:top w:val="nil"/>
              <w:bottom w:val="nil"/>
              <w:right w:val="single" w:sz="8" w:space="0" w:color="000000"/>
            </w:tcBorders>
          </w:tcPr>
          <w:p>
            <w:pPr>
              <w:pStyle w:val="TableParagraph"/>
              <w:spacing w:before="47"/>
              <w:ind w:right="34"/>
              <w:jc w:val="right"/>
              <w:rPr>
                <w:sz w:val="18"/>
              </w:rPr>
            </w:pPr>
            <w:r>
              <w:rPr>
                <w:sz w:val="18"/>
              </w:rPr>
              <w:t>27.13</w:t>
            </w:r>
          </w:p>
        </w:tc>
        <w:tc>
          <w:tcPr>
            <w:tcW w:w="1469" w:type="dxa"/>
            <w:tcBorders>
              <w:top w:val="nil"/>
              <w:left w:val="single" w:sz="8" w:space="0" w:color="000000"/>
              <w:bottom w:val="nil"/>
              <w:right w:val="single" w:sz="8" w:space="0" w:color="000000"/>
            </w:tcBorders>
          </w:tcPr>
          <w:p>
            <w:pPr>
              <w:pStyle w:val="TableParagraph"/>
              <w:spacing w:before="47"/>
              <w:ind w:right="38"/>
              <w:jc w:val="right"/>
              <w:rPr>
                <w:sz w:val="18"/>
              </w:rPr>
            </w:pPr>
            <w:r>
              <w:rPr>
                <w:sz w:val="18"/>
              </w:rPr>
              <w:t>40.425</w:t>
            </w:r>
          </w:p>
        </w:tc>
        <w:tc>
          <w:tcPr>
            <w:tcW w:w="1469" w:type="dxa"/>
            <w:tcBorders>
              <w:top w:val="nil"/>
              <w:left w:val="single" w:sz="8" w:space="0" w:color="000000"/>
              <w:bottom w:val="nil"/>
              <w:right w:val="single" w:sz="8" w:space="0" w:color="000000"/>
            </w:tcBorders>
          </w:tcPr>
          <w:p>
            <w:pPr>
              <w:pStyle w:val="TableParagraph"/>
              <w:spacing w:before="47"/>
              <w:ind w:right="38"/>
              <w:jc w:val="right"/>
              <w:rPr>
                <w:sz w:val="18"/>
              </w:rPr>
            </w:pPr>
            <w:r>
              <w:rPr>
                <w:sz w:val="18"/>
              </w:rPr>
              <w:t>.630</w:t>
            </w:r>
          </w:p>
        </w:tc>
        <w:tc>
          <w:tcPr>
            <w:tcW w:w="1466" w:type="dxa"/>
            <w:tcBorders>
              <w:top w:val="nil"/>
              <w:left w:val="single" w:sz="8" w:space="0" w:color="000000"/>
              <w:bottom w:val="nil"/>
            </w:tcBorders>
          </w:tcPr>
          <w:p>
            <w:pPr>
              <w:pStyle w:val="TableParagraph"/>
              <w:spacing w:before="47"/>
              <w:ind w:right="32"/>
              <w:jc w:val="right"/>
              <w:rPr>
                <w:sz w:val="18"/>
              </w:rPr>
            </w:pPr>
            <w:r>
              <w:rPr>
                <w:sz w:val="18"/>
              </w:rPr>
              <w:t>.668</w:t>
            </w:r>
          </w:p>
        </w:tc>
      </w:tr>
      <w:tr>
        <w:trPr>
          <w:trHeight w:val="310" w:hRule="atLeast"/>
        </w:trPr>
        <w:tc>
          <w:tcPr>
            <w:tcW w:w="734" w:type="dxa"/>
            <w:tcBorders>
              <w:top w:val="nil"/>
              <w:bottom w:val="nil"/>
            </w:tcBorders>
          </w:tcPr>
          <w:p>
            <w:pPr>
              <w:pStyle w:val="TableParagraph"/>
              <w:spacing w:before="48"/>
              <w:ind w:left="75"/>
              <w:rPr>
                <w:sz w:val="18"/>
              </w:rPr>
            </w:pPr>
            <w:r>
              <w:rPr>
                <w:sz w:val="18"/>
              </w:rPr>
              <w:t>VT3</w:t>
            </w:r>
          </w:p>
        </w:tc>
        <w:tc>
          <w:tcPr>
            <w:tcW w:w="1468" w:type="dxa"/>
            <w:tcBorders>
              <w:top w:val="nil"/>
              <w:bottom w:val="nil"/>
              <w:right w:val="single" w:sz="8" w:space="0" w:color="000000"/>
            </w:tcBorders>
          </w:tcPr>
          <w:p>
            <w:pPr>
              <w:pStyle w:val="TableParagraph"/>
              <w:spacing w:before="48"/>
              <w:ind w:right="34"/>
              <w:jc w:val="right"/>
              <w:rPr>
                <w:sz w:val="18"/>
              </w:rPr>
            </w:pPr>
            <w:r>
              <w:rPr>
                <w:sz w:val="18"/>
              </w:rPr>
              <w:t>27.18</w:t>
            </w:r>
          </w:p>
        </w:tc>
        <w:tc>
          <w:tcPr>
            <w:tcW w:w="1469" w:type="dxa"/>
            <w:tcBorders>
              <w:top w:val="nil"/>
              <w:left w:val="single" w:sz="8" w:space="0" w:color="000000"/>
              <w:bottom w:val="nil"/>
              <w:right w:val="single" w:sz="8" w:space="0" w:color="000000"/>
            </w:tcBorders>
          </w:tcPr>
          <w:p>
            <w:pPr>
              <w:pStyle w:val="TableParagraph"/>
              <w:spacing w:before="48"/>
              <w:ind w:right="38"/>
              <w:jc w:val="right"/>
              <w:rPr>
                <w:sz w:val="18"/>
              </w:rPr>
            </w:pPr>
            <w:r>
              <w:rPr>
                <w:sz w:val="18"/>
              </w:rPr>
              <w:t>41.040</w:t>
            </w:r>
          </w:p>
        </w:tc>
        <w:tc>
          <w:tcPr>
            <w:tcW w:w="1469" w:type="dxa"/>
            <w:tcBorders>
              <w:top w:val="nil"/>
              <w:left w:val="single" w:sz="8" w:space="0" w:color="000000"/>
              <w:bottom w:val="nil"/>
              <w:right w:val="single" w:sz="8" w:space="0" w:color="000000"/>
            </w:tcBorders>
          </w:tcPr>
          <w:p>
            <w:pPr>
              <w:pStyle w:val="TableParagraph"/>
              <w:spacing w:before="48"/>
              <w:ind w:right="37"/>
              <w:jc w:val="right"/>
              <w:rPr>
                <w:sz w:val="18"/>
              </w:rPr>
            </w:pPr>
            <w:r>
              <w:rPr>
                <w:sz w:val="18"/>
              </w:rPr>
              <w:t>.577</w:t>
            </w:r>
          </w:p>
        </w:tc>
        <w:tc>
          <w:tcPr>
            <w:tcW w:w="1466" w:type="dxa"/>
            <w:tcBorders>
              <w:top w:val="nil"/>
              <w:left w:val="single" w:sz="8" w:space="0" w:color="000000"/>
              <w:bottom w:val="nil"/>
            </w:tcBorders>
          </w:tcPr>
          <w:p>
            <w:pPr>
              <w:pStyle w:val="TableParagraph"/>
              <w:spacing w:before="48"/>
              <w:ind w:right="32"/>
              <w:jc w:val="right"/>
              <w:rPr>
                <w:sz w:val="18"/>
              </w:rPr>
            </w:pPr>
            <w:r>
              <w:rPr>
                <w:sz w:val="18"/>
              </w:rPr>
              <w:t>.677</w:t>
            </w:r>
          </w:p>
        </w:tc>
      </w:tr>
      <w:tr>
        <w:trPr>
          <w:trHeight w:val="310" w:hRule="atLeast"/>
        </w:trPr>
        <w:tc>
          <w:tcPr>
            <w:tcW w:w="734" w:type="dxa"/>
            <w:tcBorders>
              <w:top w:val="nil"/>
              <w:bottom w:val="nil"/>
            </w:tcBorders>
          </w:tcPr>
          <w:p>
            <w:pPr>
              <w:pStyle w:val="TableParagraph"/>
              <w:spacing w:before="47"/>
              <w:ind w:left="75"/>
              <w:rPr>
                <w:sz w:val="18"/>
              </w:rPr>
            </w:pPr>
            <w:r>
              <w:rPr>
                <w:sz w:val="18"/>
              </w:rPr>
              <w:t>VT4</w:t>
            </w:r>
          </w:p>
        </w:tc>
        <w:tc>
          <w:tcPr>
            <w:tcW w:w="1468" w:type="dxa"/>
            <w:tcBorders>
              <w:top w:val="nil"/>
              <w:bottom w:val="nil"/>
              <w:right w:val="single" w:sz="8" w:space="0" w:color="000000"/>
            </w:tcBorders>
          </w:tcPr>
          <w:p>
            <w:pPr>
              <w:pStyle w:val="TableParagraph"/>
              <w:spacing w:before="47"/>
              <w:ind w:right="34"/>
              <w:jc w:val="right"/>
              <w:rPr>
                <w:sz w:val="18"/>
              </w:rPr>
            </w:pPr>
            <w:r>
              <w:rPr>
                <w:sz w:val="18"/>
              </w:rPr>
              <w:t>27.86</w:t>
            </w:r>
          </w:p>
        </w:tc>
        <w:tc>
          <w:tcPr>
            <w:tcW w:w="1469" w:type="dxa"/>
            <w:tcBorders>
              <w:top w:val="nil"/>
              <w:left w:val="single" w:sz="8" w:space="0" w:color="000000"/>
              <w:bottom w:val="nil"/>
              <w:right w:val="single" w:sz="8" w:space="0" w:color="000000"/>
            </w:tcBorders>
          </w:tcPr>
          <w:p>
            <w:pPr>
              <w:pStyle w:val="TableParagraph"/>
              <w:spacing w:before="47"/>
              <w:ind w:right="38"/>
              <w:jc w:val="right"/>
              <w:rPr>
                <w:sz w:val="18"/>
              </w:rPr>
            </w:pPr>
            <w:r>
              <w:rPr>
                <w:sz w:val="18"/>
              </w:rPr>
              <w:t>46.408</w:t>
            </w:r>
          </w:p>
        </w:tc>
        <w:tc>
          <w:tcPr>
            <w:tcW w:w="1469" w:type="dxa"/>
            <w:tcBorders>
              <w:top w:val="nil"/>
              <w:left w:val="single" w:sz="8" w:space="0" w:color="000000"/>
              <w:bottom w:val="nil"/>
              <w:right w:val="single" w:sz="8" w:space="0" w:color="000000"/>
            </w:tcBorders>
          </w:tcPr>
          <w:p>
            <w:pPr>
              <w:pStyle w:val="TableParagraph"/>
              <w:spacing w:before="47"/>
              <w:ind w:right="38"/>
              <w:jc w:val="right"/>
              <w:rPr>
                <w:sz w:val="18"/>
              </w:rPr>
            </w:pPr>
            <w:r>
              <w:rPr>
                <w:sz w:val="18"/>
              </w:rPr>
              <w:t>.177</w:t>
            </w:r>
          </w:p>
        </w:tc>
        <w:tc>
          <w:tcPr>
            <w:tcW w:w="1466" w:type="dxa"/>
            <w:tcBorders>
              <w:top w:val="nil"/>
              <w:left w:val="single" w:sz="8" w:space="0" w:color="000000"/>
              <w:bottom w:val="nil"/>
            </w:tcBorders>
          </w:tcPr>
          <w:p>
            <w:pPr>
              <w:pStyle w:val="TableParagraph"/>
              <w:spacing w:before="47"/>
              <w:ind w:right="33"/>
              <w:jc w:val="right"/>
              <w:rPr>
                <w:sz w:val="18"/>
              </w:rPr>
            </w:pPr>
            <w:r>
              <w:rPr>
                <w:sz w:val="18"/>
              </w:rPr>
              <w:t>.749</w:t>
            </w:r>
          </w:p>
        </w:tc>
      </w:tr>
      <w:tr>
        <w:trPr>
          <w:trHeight w:val="310" w:hRule="atLeast"/>
        </w:trPr>
        <w:tc>
          <w:tcPr>
            <w:tcW w:w="734" w:type="dxa"/>
            <w:tcBorders>
              <w:top w:val="nil"/>
              <w:bottom w:val="nil"/>
            </w:tcBorders>
          </w:tcPr>
          <w:p>
            <w:pPr>
              <w:pStyle w:val="TableParagraph"/>
              <w:spacing w:before="48"/>
              <w:ind w:left="75"/>
              <w:rPr>
                <w:sz w:val="18"/>
              </w:rPr>
            </w:pPr>
            <w:r>
              <w:rPr>
                <w:sz w:val="18"/>
              </w:rPr>
              <w:t>VT5</w:t>
            </w:r>
          </w:p>
        </w:tc>
        <w:tc>
          <w:tcPr>
            <w:tcW w:w="1468" w:type="dxa"/>
            <w:tcBorders>
              <w:top w:val="nil"/>
              <w:bottom w:val="nil"/>
              <w:right w:val="single" w:sz="8" w:space="0" w:color="000000"/>
            </w:tcBorders>
          </w:tcPr>
          <w:p>
            <w:pPr>
              <w:pStyle w:val="TableParagraph"/>
              <w:spacing w:before="48"/>
              <w:ind w:right="34"/>
              <w:jc w:val="right"/>
              <w:rPr>
                <w:sz w:val="18"/>
              </w:rPr>
            </w:pPr>
            <w:r>
              <w:rPr>
                <w:sz w:val="18"/>
              </w:rPr>
              <w:t>27.25</w:t>
            </w:r>
          </w:p>
        </w:tc>
        <w:tc>
          <w:tcPr>
            <w:tcW w:w="1469" w:type="dxa"/>
            <w:tcBorders>
              <w:top w:val="nil"/>
              <w:left w:val="single" w:sz="8" w:space="0" w:color="000000"/>
              <w:bottom w:val="nil"/>
              <w:right w:val="single" w:sz="8" w:space="0" w:color="000000"/>
            </w:tcBorders>
          </w:tcPr>
          <w:p>
            <w:pPr>
              <w:pStyle w:val="TableParagraph"/>
              <w:spacing w:before="48"/>
              <w:ind w:right="38"/>
              <w:jc w:val="right"/>
              <w:rPr>
                <w:sz w:val="18"/>
              </w:rPr>
            </w:pPr>
            <w:r>
              <w:rPr>
                <w:sz w:val="18"/>
              </w:rPr>
              <w:t>40.850</w:t>
            </w:r>
          </w:p>
        </w:tc>
        <w:tc>
          <w:tcPr>
            <w:tcW w:w="1469" w:type="dxa"/>
            <w:tcBorders>
              <w:top w:val="nil"/>
              <w:left w:val="single" w:sz="8" w:space="0" w:color="000000"/>
              <w:bottom w:val="nil"/>
              <w:right w:val="single" w:sz="8" w:space="0" w:color="000000"/>
            </w:tcBorders>
          </w:tcPr>
          <w:p>
            <w:pPr>
              <w:pStyle w:val="TableParagraph"/>
              <w:spacing w:before="48"/>
              <w:ind w:right="38"/>
              <w:jc w:val="right"/>
              <w:rPr>
                <w:sz w:val="18"/>
              </w:rPr>
            </w:pPr>
            <w:r>
              <w:rPr>
                <w:sz w:val="18"/>
              </w:rPr>
              <w:t>.574</w:t>
            </w:r>
          </w:p>
        </w:tc>
        <w:tc>
          <w:tcPr>
            <w:tcW w:w="1466" w:type="dxa"/>
            <w:tcBorders>
              <w:top w:val="nil"/>
              <w:left w:val="single" w:sz="8" w:space="0" w:color="000000"/>
              <w:bottom w:val="nil"/>
            </w:tcBorders>
          </w:tcPr>
          <w:p>
            <w:pPr>
              <w:pStyle w:val="TableParagraph"/>
              <w:spacing w:before="48"/>
              <w:ind w:right="33"/>
              <w:jc w:val="right"/>
              <w:rPr>
                <w:sz w:val="18"/>
              </w:rPr>
            </w:pPr>
            <w:r>
              <w:rPr>
                <w:sz w:val="18"/>
              </w:rPr>
              <w:t>.677</w:t>
            </w:r>
          </w:p>
        </w:tc>
      </w:tr>
      <w:tr>
        <w:trPr>
          <w:trHeight w:val="309" w:hRule="atLeast"/>
        </w:trPr>
        <w:tc>
          <w:tcPr>
            <w:tcW w:w="734" w:type="dxa"/>
            <w:tcBorders>
              <w:top w:val="nil"/>
              <w:bottom w:val="nil"/>
            </w:tcBorders>
          </w:tcPr>
          <w:p>
            <w:pPr>
              <w:pStyle w:val="TableParagraph"/>
              <w:spacing w:before="47"/>
              <w:ind w:left="75"/>
              <w:rPr>
                <w:sz w:val="18"/>
              </w:rPr>
            </w:pPr>
            <w:r>
              <w:rPr>
                <w:sz w:val="18"/>
              </w:rPr>
              <w:t>VT6</w:t>
            </w:r>
          </w:p>
        </w:tc>
        <w:tc>
          <w:tcPr>
            <w:tcW w:w="1468" w:type="dxa"/>
            <w:tcBorders>
              <w:top w:val="nil"/>
              <w:bottom w:val="nil"/>
              <w:right w:val="single" w:sz="8" w:space="0" w:color="000000"/>
            </w:tcBorders>
          </w:tcPr>
          <w:p>
            <w:pPr>
              <w:pStyle w:val="TableParagraph"/>
              <w:spacing w:before="47"/>
              <w:ind w:right="34"/>
              <w:jc w:val="right"/>
              <w:rPr>
                <w:sz w:val="18"/>
              </w:rPr>
            </w:pPr>
            <w:r>
              <w:rPr>
                <w:sz w:val="18"/>
              </w:rPr>
              <w:t>27.08</w:t>
            </w:r>
          </w:p>
        </w:tc>
        <w:tc>
          <w:tcPr>
            <w:tcW w:w="1469" w:type="dxa"/>
            <w:tcBorders>
              <w:top w:val="nil"/>
              <w:left w:val="single" w:sz="8" w:space="0" w:color="000000"/>
              <w:bottom w:val="nil"/>
              <w:right w:val="single" w:sz="8" w:space="0" w:color="000000"/>
            </w:tcBorders>
          </w:tcPr>
          <w:p>
            <w:pPr>
              <w:pStyle w:val="TableParagraph"/>
              <w:spacing w:before="47"/>
              <w:ind w:right="38"/>
              <w:jc w:val="right"/>
              <w:rPr>
                <w:sz w:val="18"/>
              </w:rPr>
            </w:pPr>
            <w:r>
              <w:rPr>
                <w:sz w:val="18"/>
              </w:rPr>
              <w:t>41.161</w:t>
            </w:r>
          </w:p>
        </w:tc>
        <w:tc>
          <w:tcPr>
            <w:tcW w:w="1469" w:type="dxa"/>
            <w:tcBorders>
              <w:top w:val="nil"/>
              <w:left w:val="single" w:sz="8" w:space="0" w:color="000000"/>
              <w:bottom w:val="nil"/>
              <w:right w:val="single" w:sz="8" w:space="0" w:color="000000"/>
            </w:tcBorders>
          </w:tcPr>
          <w:p>
            <w:pPr>
              <w:pStyle w:val="TableParagraph"/>
              <w:spacing w:before="47"/>
              <w:ind w:right="38"/>
              <w:jc w:val="right"/>
              <w:rPr>
                <w:sz w:val="18"/>
              </w:rPr>
            </w:pPr>
            <w:r>
              <w:rPr>
                <w:sz w:val="18"/>
              </w:rPr>
              <w:t>.608</w:t>
            </w:r>
          </w:p>
        </w:tc>
        <w:tc>
          <w:tcPr>
            <w:tcW w:w="1466" w:type="dxa"/>
            <w:tcBorders>
              <w:top w:val="nil"/>
              <w:left w:val="single" w:sz="8" w:space="0" w:color="000000"/>
              <w:bottom w:val="nil"/>
            </w:tcBorders>
          </w:tcPr>
          <w:p>
            <w:pPr>
              <w:pStyle w:val="TableParagraph"/>
              <w:spacing w:before="47"/>
              <w:ind w:right="32"/>
              <w:jc w:val="right"/>
              <w:rPr>
                <w:sz w:val="18"/>
              </w:rPr>
            </w:pPr>
            <w:r>
              <w:rPr>
                <w:sz w:val="18"/>
              </w:rPr>
              <w:t>.674</w:t>
            </w:r>
          </w:p>
        </w:tc>
      </w:tr>
      <w:tr>
        <w:trPr>
          <w:trHeight w:val="310" w:hRule="atLeast"/>
        </w:trPr>
        <w:tc>
          <w:tcPr>
            <w:tcW w:w="734" w:type="dxa"/>
            <w:tcBorders>
              <w:top w:val="nil"/>
              <w:bottom w:val="nil"/>
            </w:tcBorders>
          </w:tcPr>
          <w:p>
            <w:pPr>
              <w:pStyle w:val="TableParagraph"/>
              <w:spacing w:before="47"/>
              <w:ind w:left="75"/>
              <w:rPr>
                <w:sz w:val="18"/>
              </w:rPr>
            </w:pPr>
            <w:r>
              <w:rPr>
                <w:sz w:val="18"/>
              </w:rPr>
              <w:t>VT7</w:t>
            </w:r>
          </w:p>
        </w:tc>
        <w:tc>
          <w:tcPr>
            <w:tcW w:w="1468" w:type="dxa"/>
            <w:tcBorders>
              <w:top w:val="nil"/>
              <w:bottom w:val="nil"/>
              <w:right w:val="single" w:sz="8" w:space="0" w:color="000000"/>
            </w:tcBorders>
          </w:tcPr>
          <w:p>
            <w:pPr>
              <w:pStyle w:val="TableParagraph"/>
              <w:spacing w:before="47"/>
              <w:ind w:right="36"/>
              <w:jc w:val="right"/>
              <w:rPr>
                <w:sz w:val="18"/>
              </w:rPr>
            </w:pPr>
            <w:r>
              <w:rPr>
                <w:sz w:val="18"/>
              </w:rPr>
              <w:t>27.03</w:t>
            </w:r>
          </w:p>
        </w:tc>
        <w:tc>
          <w:tcPr>
            <w:tcW w:w="1469" w:type="dxa"/>
            <w:tcBorders>
              <w:top w:val="nil"/>
              <w:left w:val="single" w:sz="8" w:space="0" w:color="000000"/>
              <w:bottom w:val="nil"/>
              <w:right w:val="single" w:sz="8" w:space="0" w:color="000000"/>
            </w:tcBorders>
          </w:tcPr>
          <w:p>
            <w:pPr>
              <w:pStyle w:val="TableParagraph"/>
              <w:spacing w:before="47"/>
              <w:ind w:right="38"/>
              <w:jc w:val="right"/>
              <w:rPr>
                <w:sz w:val="18"/>
              </w:rPr>
            </w:pPr>
            <w:r>
              <w:rPr>
                <w:sz w:val="18"/>
              </w:rPr>
              <w:t>40.619</w:t>
            </w:r>
          </w:p>
        </w:tc>
        <w:tc>
          <w:tcPr>
            <w:tcW w:w="1469" w:type="dxa"/>
            <w:tcBorders>
              <w:top w:val="nil"/>
              <w:left w:val="single" w:sz="8" w:space="0" w:color="000000"/>
              <w:bottom w:val="nil"/>
              <w:right w:val="single" w:sz="8" w:space="0" w:color="000000"/>
            </w:tcBorders>
          </w:tcPr>
          <w:p>
            <w:pPr>
              <w:pStyle w:val="TableParagraph"/>
              <w:spacing w:before="47"/>
              <w:ind w:right="38"/>
              <w:jc w:val="right"/>
              <w:rPr>
                <w:sz w:val="18"/>
              </w:rPr>
            </w:pPr>
            <w:r>
              <w:rPr>
                <w:sz w:val="18"/>
              </w:rPr>
              <w:t>.675</w:t>
            </w:r>
          </w:p>
        </w:tc>
        <w:tc>
          <w:tcPr>
            <w:tcW w:w="1466" w:type="dxa"/>
            <w:tcBorders>
              <w:top w:val="nil"/>
              <w:left w:val="single" w:sz="8" w:space="0" w:color="000000"/>
              <w:bottom w:val="nil"/>
            </w:tcBorders>
          </w:tcPr>
          <w:p>
            <w:pPr>
              <w:pStyle w:val="TableParagraph"/>
              <w:spacing w:before="47"/>
              <w:ind w:right="32"/>
              <w:jc w:val="right"/>
              <w:rPr>
                <w:sz w:val="18"/>
              </w:rPr>
            </w:pPr>
            <w:r>
              <w:rPr>
                <w:sz w:val="18"/>
              </w:rPr>
              <w:t>.664</w:t>
            </w:r>
          </w:p>
        </w:tc>
      </w:tr>
      <w:tr>
        <w:trPr>
          <w:trHeight w:val="310" w:hRule="atLeast"/>
        </w:trPr>
        <w:tc>
          <w:tcPr>
            <w:tcW w:w="734" w:type="dxa"/>
            <w:tcBorders>
              <w:top w:val="nil"/>
              <w:bottom w:val="nil"/>
            </w:tcBorders>
          </w:tcPr>
          <w:p>
            <w:pPr>
              <w:pStyle w:val="TableParagraph"/>
              <w:spacing w:before="48"/>
              <w:ind w:left="75"/>
              <w:rPr>
                <w:sz w:val="18"/>
              </w:rPr>
            </w:pPr>
            <w:r>
              <w:rPr>
                <w:sz w:val="18"/>
              </w:rPr>
              <w:t>VT8</w:t>
            </w:r>
          </w:p>
        </w:tc>
        <w:tc>
          <w:tcPr>
            <w:tcW w:w="1468" w:type="dxa"/>
            <w:tcBorders>
              <w:top w:val="nil"/>
              <w:bottom w:val="nil"/>
              <w:right w:val="single" w:sz="8" w:space="0" w:color="000000"/>
            </w:tcBorders>
          </w:tcPr>
          <w:p>
            <w:pPr>
              <w:pStyle w:val="TableParagraph"/>
              <w:spacing w:before="48"/>
              <w:ind w:right="34"/>
              <w:jc w:val="right"/>
              <w:rPr>
                <w:sz w:val="18"/>
              </w:rPr>
            </w:pPr>
            <w:r>
              <w:rPr>
                <w:sz w:val="18"/>
              </w:rPr>
              <w:t>27.99</w:t>
            </w:r>
          </w:p>
        </w:tc>
        <w:tc>
          <w:tcPr>
            <w:tcW w:w="1469" w:type="dxa"/>
            <w:tcBorders>
              <w:top w:val="nil"/>
              <w:left w:val="single" w:sz="8" w:space="0" w:color="000000"/>
              <w:bottom w:val="nil"/>
              <w:right w:val="single" w:sz="8" w:space="0" w:color="000000"/>
            </w:tcBorders>
          </w:tcPr>
          <w:p>
            <w:pPr>
              <w:pStyle w:val="TableParagraph"/>
              <w:spacing w:before="48"/>
              <w:ind w:right="38"/>
              <w:jc w:val="right"/>
              <w:rPr>
                <w:sz w:val="18"/>
              </w:rPr>
            </w:pPr>
            <w:r>
              <w:rPr>
                <w:sz w:val="18"/>
              </w:rPr>
              <w:t>47.497</w:t>
            </w:r>
          </w:p>
        </w:tc>
        <w:tc>
          <w:tcPr>
            <w:tcW w:w="1469" w:type="dxa"/>
            <w:tcBorders>
              <w:top w:val="nil"/>
              <w:left w:val="single" w:sz="8" w:space="0" w:color="000000"/>
              <w:bottom w:val="nil"/>
              <w:right w:val="single" w:sz="8" w:space="0" w:color="000000"/>
            </w:tcBorders>
          </w:tcPr>
          <w:p>
            <w:pPr>
              <w:pStyle w:val="TableParagraph"/>
              <w:spacing w:before="48"/>
              <w:ind w:right="37"/>
              <w:jc w:val="right"/>
              <w:rPr>
                <w:sz w:val="18"/>
              </w:rPr>
            </w:pPr>
            <w:r>
              <w:rPr>
                <w:sz w:val="18"/>
              </w:rPr>
              <w:t>.117</w:t>
            </w:r>
          </w:p>
        </w:tc>
        <w:tc>
          <w:tcPr>
            <w:tcW w:w="1466" w:type="dxa"/>
            <w:tcBorders>
              <w:top w:val="nil"/>
              <w:left w:val="single" w:sz="8" w:space="0" w:color="000000"/>
              <w:bottom w:val="nil"/>
            </w:tcBorders>
          </w:tcPr>
          <w:p>
            <w:pPr>
              <w:pStyle w:val="TableParagraph"/>
              <w:spacing w:before="48"/>
              <w:ind w:right="32"/>
              <w:jc w:val="right"/>
              <w:rPr>
                <w:sz w:val="18"/>
              </w:rPr>
            </w:pPr>
            <w:r>
              <w:rPr>
                <w:sz w:val="18"/>
              </w:rPr>
              <w:t>.761</w:t>
            </w:r>
          </w:p>
        </w:tc>
      </w:tr>
      <w:tr>
        <w:trPr>
          <w:trHeight w:val="356" w:hRule="atLeast"/>
        </w:trPr>
        <w:tc>
          <w:tcPr>
            <w:tcW w:w="734" w:type="dxa"/>
            <w:tcBorders>
              <w:top w:val="nil"/>
            </w:tcBorders>
          </w:tcPr>
          <w:p>
            <w:pPr>
              <w:pStyle w:val="TableParagraph"/>
              <w:spacing w:before="47"/>
              <w:ind w:left="75"/>
              <w:rPr>
                <w:sz w:val="18"/>
              </w:rPr>
            </w:pPr>
            <w:r>
              <w:rPr>
                <w:sz w:val="18"/>
              </w:rPr>
              <w:t>VT9</w:t>
            </w:r>
          </w:p>
        </w:tc>
        <w:tc>
          <w:tcPr>
            <w:tcW w:w="1468" w:type="dxa"/>
            <w:tcBorders>
              <w:top w:val="nil"/>
              <w:right w:val="single" w:sz="8" w:space="0" w:color="000000"/>
            </w:tcBorders>
          </w:tcPr>
          <w:p>
            <w:pPr>
              <w:pStyle w:val="TableParagraph"/>
              <w:spacing w:before="47"/>
              <w:ind w:right="34"/>
              <w:jc w:val="right"/>
              <w:rPr>
                <w:sz w:val="18"/>
              </w:rPr>
            </w:pPr>
            <w:r>
              <w:rPr>
                <w:sz w:val="18"/>
              </w:rPr>
              <w:t>27.10</w:t>
            </w:r>
          </w:p>
        </w:tc>
        <w:tc>
          <w:tcPr>
            <w:tcW w:w="1469" w:type="dxa"/>
            <w:tcBorders>
              <w:top w:val="nil"/>
              <w:left w:val="single" w:sz="8" w:space="0" w:color="000000"/>
              <w:right w:val="single" w:sz="8" w:space="0" w:color="000000"/>
            </w:tcBorders>
          </w:tcPr>
          <w:p>
            <w:pPr>
              <w:pStyle w:val="TableParagraph"/>
              <w:spacing w:before="47"/>
              <w:ind w:right="38"/>
              <w:jc w:val="right"/>
              <w:rPr>
                <w:sz w:val="18"/>
              </w:rPr>
            </w:pPr>
            <w:r>
              <w:rPr>
                <w:sz w:val="18"/>
              </w:rPr>
              <w:t>40.888</w:t>
            </w:r>
          </w:p>
        </w:tc>
        <w:tc>
          <w:tcPr>
            <w:tcW w:w="1469" w:type="dxa"/>
            <w:tcBorders>
              <w:top w:val="nil"/>
              <w:left w:val="single" w:sz="8" w:space="0" w:color="000000"/>
              <w:right w:val="single" w:sz="8" w:space="0" w:color="000000"/>
            </w:tcBorders>
          </w:tcPr>
          <w:p>
            <w:pPr>
              <w:pStyle w:val="TableParagraph"/>
              <w:spacing w:before="47"/>
              <w:ind w:right="37"/>
              <w:jc w:val="right"/>
              <w:rPr>
                <w:sz w:val="18"/>
              </w:rPr>
            </w:pPr>
            <w:r>
              <w:rPr>
                <w:sz w:val="18"/>
              </w:rPr>
              <w:t>.561</w:t>
            </w:r>
          </w:p>
        </w:tc>
        <w:tc>
          <w:tcPr>
            <w:tcW w:w="1466" w:type="dxa"/>
            <w:tcBorders>
              <w:top w:val="nil"/>
              <w:left w:val="single" w:sz="8" w:space="0" w:color="000000"/>
            </w:tcBorders>
          </w:tcPr>
          <w:p>
            <w:pPr>
              <w:pStyle w:val="TableParagraph"/>
              <w:spacing w:before="47"/>
              <w:ind w:right="32"/>
              <w:jc w:val="right"/>
              <w:rPr>
                <w:sz w:val="18"/>
              </w:rPr>
            </w:pPr>
            <w:r>
              <w:rPr>
                <w:sz w:val="18"/>
              </w:rPr>
              <w:t>.679</w:t>
            </w:r>
          </w:p>
        </w:tc>
      </w:tr>
    </w:tbl>
    <w:p>
      <w:pPr>
        <w:pStyle w:val="BodyText"/>
        <w:rPr>
          <w:b/>
          <w:sz w:val="20"/>
        </w:rPr>
      </w:pPr>
    </w:p>
    <w:p>
      <w:pPr>
        <w:pStyle w:val="BodyText"/>
        <w:rPr>
          <w:b/>
          <w:sz w:val="20"/>
        </w:rPr>
      </w:pPr>
    </w:p>
    <w:p>
      <w:pPr>
        <w:pStyle w:val="BodyText"/>
        <w:spacing w:before="11"/>
        <w:rPr>
          <w:b/>
          <w:sz w:val="23"/>
        </w:rPr>
      </w:pPr>
    </w:p>
    <w:p>
      <w:pPr>
        <w:spacing w:before="92"/>
        <w:ind w:left="1450" w:right="0" w:firstLine="0"/>
        <w:jc w:val="left"/>
        <w:rPr>
          <w:b/>
          <w:sz w:val="18"/>
        </w:rPr>
      </w:pPr>
      <w:r>
        <w:rPr>
          <w:b/>
          <w:sz w:val="18"/>
        </w:rPr>
        <w:t>Reliability Statistics</w:t>
      </w:r>
    </w:p>
    <w:p>
      <w:pPr>
        <w:pStyle w:val="BodyText"/>
        <w:spacing w:before="11"/>
        <w:rPr>
          <w:b/>
          <w:sz w:val="8"/>
        </w:rPr>
      </w:pPr>
    </w:p>
    <w:tbl>
      <w:tblPr>
        <w:tblW w:w="0" w:type="auto"/>
        <w:jc w:val="left"/>
        <w:tblInd w:w="907" w:type="dxa"/>
        <w:tblBorders>
          <w:top w:val="single" w:sz="18" w:space="0" w:color="000000"/>
          <w:left w:val="single" w:sz="18" w:space="0" w:color="000000"/>
          <w:bottom w:val="single" w:sz="18" w:space="0" w:color="000000"/>
          <w:right w:val="single" w:sz="18" w:space="0" w:color="000000"/>
          <w:insideH w:val="single" w:sz="18" w:space="0" w:color="000000"/>
          <w:insideV w:val="single" w:sz="18" w:space="0" w:color="000000"/>
        </w:tblBorders>
        <w:tblLayout w:type="fixed"/>
        <w:tblCellMar>
          <w:top w:w="0" w:type="dxa"/>
          <w:left w:w="0" w:type="dxa"/>
          <w:bottom w:w="0" w:type="dxa"/>
          <w:right w:w="0" w:type="dxa"/>
        </w:tblCellMar>
        <w:tblLook w:val="01E0"/>
      </w:tblPr>
      <w:tblGrid>
        <w:gridCol w:w="1512"/>
        <w:gridCol w:w="1165"/>
      </w:tblGrid>
      <w:tr>
        <w:trPr>
          <w:trHeight w:val="305" w:hRule="atLeast"/>
        </w:trPr>
        <w:tc>
          <w:tcPr>
            <w:tcW w:w="1512" w:type="dxa"/>
            <w:tcBorders>
              <w:right w:val="single" w:sz="8" w:space="0" w:color="000000"/>
            </w:tcBorders>
          </w:tcPr>
          <w:p>
            <w:pPr>
              <w:pStyle w:val="TableParagraph"/>
              <w:spacing w:line="206" w:lineRule="exact"/>
              <w:ind w:right="73"/>
              <w:jc w:val="right"/>
              <w:rPr>
                <w:sz w:val="18"/>
              </w:rPr>
            </w:pPr>
            <w:r>
              <w:rPr>
                <w:sz w:val="18"/>
              </w:rPr>
              <w:t>Cronbach's Alpha</w:t>
            </w:r>
          </w:p>
        </w:tc>
        <w:tc>
          <w:tcPr>
            <w:tcW w:w="1165" w:type="dxa"/>
            <w:tcBorders>
              <w:left w:val="single" w:sz="8" w:space="0" w:color="000000"/>
            </w:tcBorders>
          </w:tcPr>
          <w:p>
            <w:pPr>
              <w:pStyle w:val="TableParagraph"/>
              <w:spacing w:line="206" w:lineRule="exact"/>
              <w:ind w:left="201"/>
              <w:rPr>
                <w:sz w:val="18"/>
              </w:rPr>
            </w:pPr>
            <w:r>
              <w:rPr>
                <w:sz w:val="18"/>
              </w:rPr>
              <w:t>N of Items</w:t>
            </w:r>
          </w:p>
        </w:tc>
      </w:tr>
      <w:tr>
        <w:trPr>
          <w:trHeight w:val="307" w:hRule="atLeast"/>
        </w:trPr>
        <w:tc>
          <w:tcPr>
            <w:tcW w:w="1512" w:type="dxa"/>
            <w:tcBorders>
              <w:right w:val="single" w:sz="8" w:space="0" w:color="000000"/>
            </w:tcBorders>
          </w:tcPr>
          <w:p>
            <w:pPr>
              <w:pStyle w:val="TableParagraph"/>
              <w:spacing w:line="206" w:lineRule="exact"/>
              <w:ind w:right="37"/>
              <w:jc w:val="right"/>
              <w:rPr>
                <w:sz w:val="18"/>
              </w:rPr>
            </w:pPr>
            <w:r>
              <w:rPr>
                <w:sz w:val="18"/>
              </w:rPr>
              <w:t>.872</w:t>
            </w:r>
          </w:p>
        </w:tc>
        <w:tc>
          <w:tcPr>
            <w:tcW w:w="1165" w:type="dxa"/>
            <w:tcBorders>
              <w:left w:val="single" w:sz="8" w:space="0" w:color="000000"/>
            </w:tcBorders>
          </w:tcPr>
          <w:p>
            <w:pPr>
              <w:pStyle w:val="TableParagraph"/>
              <w:spacing w:line="206" w:lineRule="exact"/>
              <w:ind w:right="37"/>
              <w:jc w:val="right"/>
              <w:rPr>
                <w:sz w:val="18"/>
              </w:rPr>
            </w:pPr>
            <w:r>
              <w:rPr>
                <w:sz w:val="18"/>
              </w:rPr>
              <w:t>6</w:t>
            </w:r>
          </w:p>
        </w:tc>
      </w:tr>
    </w:tbl>
    <w:p>
      <w:pPr>
        <w:pStyle w:val="BodyText"/>
        <w:rPr>
          <w:b/>
          <w:sz w:val="20"/>
        </w:rPr>
      </w:pPr>
    </w:p>
    <w:p>
      <w:pPr>
        <w:pStyle w:val="BodyText"/>
        <w:rPr>
          <w:b/>
          <w:sz w:val="20"/>
        </w:rPr>
      </w:pPr>
    </w:p>
    <w:p>
      <w:pPr>
        <w:pStyle w:val="BodyText"/>
        <w:rPr>
          <w:b/>
          <w:sz w:val="20"/>
        </w:rPr>
      </w:pPr>
    </w:p>
    <w:p>
      <w:pPr>
        <w:pStyle w:val="BodyText"/>
        <w:rPr>
          <w:b/>
          <w:sz w:val="20"/>
        </w:rPr>
      </w:pPr>
    </w:p>
    <w:p>
      <w:pPr>
        <w:pStyle w:val="BodyText"/>
        <w:spacing w:before="1"/>
        <w:rPr>
          <w:b/>
          <w:sz w:val="28"/>
        </w:rPr>
      </w:pPr>
    </w:p>
    <w:p>
      <w:pPr>
        <w:spacing w:before="0"/>
        <w:ind w:left="3402" w:right="0" w:firstLine="0"/>
        <w:jc w:val="left"/>
        <w:rPr>
          <w:b/>
          <w:sz w:val="18"/>
        </w:rPr>
      </w:pPr>
      <w:r>
        <w:rPr>
          <w:b/>
          <w:sz w:val="18"/>
        </w:rPr>
        <w:t>Item-Total Statistics</w:t>
      </w:r>
    </w:p>
    <w:p>
      <w:pPr>
        <w:pStyle w:val="BodyText"/>
        <w:rPr>
          <w:b/>
          <w:sz w:val="9"/>
        </w:rPr>
      </w:pPr>
    </w:p>
    <w:tbl>
      <w:tblPr>
        <w:tblW w:w="0" w:type="auto"/>
        <w:jc w:val="left"/>
        <w:tblInd w:w="907" w:type="dxa"/>
        <w:tblBorders>
          <w:top w:val="single" w:sz="18" w:space="0" w:color="000000"/>
          <w:left w:val="single" w:sz="18" w:space="0" w:color="000000"/>
          <w:bottom w:val="single" w:sz="18" w:space="0" w:color="000000"/>
          <w:right w:val="single" w:sz="18" w:space="0" w:color="000000"/>
          <w:insideH w:val="single" w:sz="18" w:space="0" w:color="000000"/>
          <w:insideV w:val="single" w:sz="18" w:space="0" w:color="000000"/>
        </w:tblBorders>
        <w:tblLayout w:type="fixed"/>
        <w:tblCellMar>
          <w:top w:w="0" w:type="dxa"/>
          <w:left w:w="0" w:type="dxa"/>
          <w:bottom w:w="0" w:type="dxa"/>
          <w:right w:w="0" w:type="dxa"/>
        </w:tblCellMar>
        <w:tblLook w:val="01E0"/>
      </w:tblPr>
      <w:tblGrid>
        <w:gridCol w:w="734"/>
        <w:gridCol w:w="1468"/>
        <w:gridCol w:w="1469"/>
        <w:gridCol w:w="1469"/>
        <w:gridCol w:w="1466"/>
      </w:tblGrid>
      <w:tr>
        <w:trPr>
          <w:trHeight w:val="615" w:hRule="atLeast"/>
        </w:trPr>
        <w:tc>
          <w:tcPr>
            <w:tcW w:w="734" w:type="dxa"/>
          </w:tcPr>
          <w:p>
            <w:pPr>
              <w:pStyle w:val="TableParagraph"/>
              <w:rPr>
                <w:sz w:val="18"/>
              </w:rPr>
            </w:pPr>
          </w:p>
        </w:tc>
        <w:tc>
          <w:tcPr>
            <w:tcW w:w="1468" w:type="dxa"/>
            <w:tcBorders>
              <w:right w:val="single" w:sz="8" w:space="0" w:color="000000"/>
            </w:tcBorders>
          </w:tcPr>
          <w:p>
            <w:pPr>
              <w:pStyle w:val="TableParagraph"/>
              <w:spacing w:line="206" w:lineRule="exact"/>
              <w:ind w:left="234"/>
              <w:rPr>
                <w:sz w:val="18"/>
              </w:rPr>
            </w:pPr>
            <w:r>
              <w:rPr>
                <w:sz w:val="18"/>
              </w:rPr>
              <w:t>Scale Mean</w:t>
            </w:r>
            <w:r>
              <w:rPr>
                <w:spacing w:val="-3"/>
                <w:sz w:val="18"/>
              </w:rPr>
              <w:t> </w:t>
            </w:r>
            <w:r>
              <w:rPr>
                <w:sz w:val="18"/>
              </w:rPr>
              <w:t>if</w:t>
            </w:r>
          </w:p>
          <w:p>
            <w:pPr>
              <w:pStyle w:val="TableParagraph"/>
              <w:spacing w:before="102"/>
              <w:ind w:left="268"/>
              <w:rPr>
                <w:sz w:val="18"/>
              </w:rPr>
            </w:pPr>
            <w:r>
              <w:rPr>
                <w:sz w:val="18"/>
              </w:rPr>
              <w:t>Item</w:t>
            </w:r>
            <w:r>
              <w:rPr>
                <w:spacing w:val="-2"/>
                <w:sz w:val="18"/>
              </w:rPr>
              <w:t> </w:t>
            </w:r>
            <w:r>
              <w:rPr>
                <w:sz w:val="18"/>
              </w:rPr>
              <w:t>Deleted</w:t>
            </w:r>
          </w:p>
        </w:tc>
        <w:tc>
          <w:tcPr>
            <w:tcW w:w="1469" w:type="dxa"/>
            <w:tcBorders>
              <w:left w:val="single" w:sz="8" w:space="0" w:color="000000"/>
              <w:right w:val="single" w:sz="8" w:space="0" w:color="000000"/>
            </w:tcBorders>
          </w:tcPr>
          <w:p>
            <w:pPr>
              <w:pStyle w:val="TableParagraph"/>
              <w:spacing w:line="206" w:lineRule="exact"/>
              <w:ind w:left="99" w:right="63"/>
              <w:jc w:val="center"/>
              <w:rPr>
                <w:sz w:val="18"/>
              </w:rPr>
            </w:pPr>
            <w:r>
              <w:rPr>
                <w:sz w:val="18"/>
              </w:rPr>
              <w:t>Scale Variance if</w:t>
            </w:r>
          </w:p>
          <w:p>
            <w:pPr>
              <w:pStyle w:val="TableParagraph"/>
              <w:spacing w:before="102"/>
              <w:ind w:left="99" w:right="59"/>
              <w:jc w:val="center"/>
              <w:rPr>
                <w:sz w:val="18"/>
              </w:rPr>
            </w:pPr>
            <w:r>
              <w:rPr>
                <w:sz w:val="18"/>
              </w:rPr>
              <w:t>Item Deleted</w:t>
            </w:r>
          </w:p>
        </w:tc>
        <w:tc>
          <w:tcPr>
            <w:tcW w:w="1469" w:type="dxa"/>
            <w:tcBorders>
              <w:left w:val="single" w:sz="8" w:space="0" w:color="000000"/>
              <w:right w:val="single" w:sz="8" w:space="0" w:color="000000"/>
            </w:tcBorders>
          </w:tcPr>
          <w:p>
            <w:pPr>
              <w:pStyle w:val="TableParagraph"/>
              <w:spacing w:line="206" w:lineRule="exact"/>
              <w:ind w:left="171"/>
              <w:rPr>
                <w:sz w:val="18"/>
              </w:rPr>
            </w:pPr>
            <w:r>
              <w:rPr>
                <w:sz w:val="18"/>
              </w:rPr>
              <w:t>Corrected Item-</w:t>
            </w:r>
          </w:p>
          <w:p>
            <w:pPr>
              <w:pStyle w:val="TableParagraph"/>
              <w:spacing w:before="102"/>
              <w:ind w:left="121"/>
              <w:rPr>
                <w:sz w:val="18"/>
              </w:rPr>
            </w:pPr>
            <w:r>
              <w:rPr>
                <w:sz w:val="18"/>
              </w:rPr>
              <w:t>Total Correlation</w:t>
            </w:r>
          </w:p>
        </w:tc>
        <w:tc>
          <w:tcPr>
            <w:tcW w:w="1466" w:type="dxa"/>
            <w:tcBorders>
              <w:left w:val="single" w:sz="8" w:space="0" w:color="000000"/>
            </w:tcBorders>
          </w:tcPr>
          <w:p>
            <w:pPr>
              <w:pStyle w:val="TableParagraph"/>
              <w:spacing w:line="206" w:lineRule="exact"/>
              <w:ind w:left="94"/>
              <w:rPr>
                <w:sz w:val="18"/>
              </w:rPr>
            </w:pPr>
            <w:r>
              <w:rPr>
                <w:sz w:val="18"/>
              </w:rPr>
              <w:t>Cronbach's Alpha</w:t>
            </w:r>
          </w:p>
          <w:p>
            <w:pPr>
              <w:pStyle w:val="TableParagraph"/>
              <w:spacing w:before="102"/>
              <w:ind w:left="193"/>
              <w:rPr>
                <w:sz w:val="18"/>
              </w:rPr>
            </w:pPr>
            <w:r>
              <w:rPr>
                <w:sz w:val="18"/>
              </w:rPr>
              <w:t>if Item Deleted</w:t>
            </w:r>
          </w:p>
        </w:tc>
      </w:tr>
      <w:tr>
        <w:trPr>
          <w:trHeight w:val="261" w:hRule="atLeast"/>
        </w:trPr>
        <w:tc>
          <w:tcPr>
            <w:tcW w:w="734" w:type="dxa"/>
            <w:tcBorders>
              <w:bottom w:val="nil"/>
            </w:tcBorders>
          </w:tcPr>
          <w:p>
            <w:pPr>
              <w:pStyle w:val="TableParagraph"/>
              <w:spacing w:line="206" w:lineRule="exact"/>
              <w:ind w:left="75"/>
              <w:rPr>
                <w:sz w:val="18"/>
              </w:rPr>
            </w:pPr>
            <w:r>
              <w:rPr>
                <w:sz w:val="18"/>
              </w:rPr>
              <w:t>VT2</w:t>
            </w:r>
          </w:p>
        </w:tc>
        <w:tc>
          <w:tcPr>
            <w:tcW w:w="1468" w:type="dxa"/>
            <w:tcBorders>
              <w:bottom w:val="nil"/>
              <w:right w:val="single" w:sz="8" w:space="0" w:color="000000"/>
            </w:tcBorders>
          </w:tcPr>
          <w:p>
            <w:pPr>
              <w:pStyle w:val="TableParagraph"/>
              <w:spacing w:line="206" w:lineRule="exact"/>
              <w:ind w:right="34"/>
              <w:jc w:val="right"/>
              <w:rPr>
                <w:sz w:val="18"/>
              </w:rPr>
            </w:pPr>
            <w:r>
              <w:rPr>
                <w:sz w:val="18"/>
              </w:rPr>
              <w:t>18.24</w:t>
            </w:r>
          </w:p>
        </w:tc>
        <w:tc>
          <w:tcPr>
            <w:tcW w:w="1469" w:type="dxa"/>
            <w:tcBorders>
              <w:left w:val="single" w:sz="8" w:space="0" w:color="000000"/>
              <w:bottom w:val="nil"/>
              <w:right w:val="single" w:sz="8" w:space="0" w:color="000000"/>
            </w:tcBorders>
          </w:tcPr>
          <w:p>
            <w:pPr>
              <w:pStyle w:val="TableParagraph"/>
              <w:spacing w:line="206" w:lineRule="exact"/>
              <w:ind w:right="38"/>
              <w:jc w:val="right"/>
              <w:rPr>
                <w:sz w:val="18"/>
              </w:rPr>
            </w:pPr>
            <w:r>
              <w:rPr>
                <w:sz w:val="18"/>
              </w:rPr>
              <w:t>27.554</w:t>
            </w:r>
          </w:p>
        </w:tc>
        <w:tc>
          <w:tcPr>
            <w:tcW w:w="1469" w:type="dxa"/>
            <w:tcBorders>
              <w:left w:val="single" w:sz="8" w:space="0" w:color="000000"/>
              <w:bottom w:val="nil"/>
              <w:right w:val="single" w:sz="8" w:space="0" w:color="000000"/>
            </w:tcBorders>
          </w:tcPr>
          <w:p>
            <w:pPr>
              <w:pStyle w:val="TableParagraph"/>
              <w:spacing w:line="206" w:lineRule="exact"/>
              <w:ind w:right="38"/>
              <w:jc w:val="right"/>
              <w:rPr>
                <w:sz w:val="18"/>
              </w:rPr>
            </w:pPr>
            <w:r>
              <w:rPr>
                <w:sz w:val="18"/>
              </w:rPr>
              <w:t>.685</w:t>
            </w:r>
          </w:p>
        </w:tc>
        <w:tc>
          <w:tcPr>
            <w:tcW w:w="1466" w:type="dxa"/>
            <w:tcBorders>
              <w:left w:val="single" w:sz="8" w:space="0" w:color="000000"/>
              <w:bottom w:val="nil"/>
            </w:tcBorders>
          </w:tcPr>
          <w:p>
            <w:pPr>
              <w:pStyle w:val="TableParagraph"/>
              <w:spacing w:line="206" w:lineRule="exact"/>
              <w:ind w:right="32"/>
              <w:jc w:val="right"/>
              <w:rPr>
                <w:sz w:val="18"/>
              </w:rPr>
            </w:pPr>
            <w:r>
              <w:rPr>
                <w:sz w:val="18"/>
              </w:rPr>
              <w:t>.848</w:t>
            </w:r>
          </w:p>
        </w:tc>
      </w:tr>
      <w:tr>
        <w:trPr>
          <w:trHeight w:val="310" w:hRule="atLeast"/>
        </w:trPr>
        <w:tc>
          <w:tcPr>
            <w:tcW w:w="734" w:type="dxa"/>
            <w:tcBorders>
              <w:top w:val="nil"/>
              <w:bottom w:val="nil"/>
            </w:tcBorders>
          </w:tcPr>
          <w:p>
            <w:pPr>
              <w:pStyle w:val="TableParagraph"/>
              <w:spacing w:before="47"/>
              <w:ind w:left="75"/>
              <w:rPr>
                <w:sz w:val="18"/>
              </w:rPr>
            </w:pPr>
            <w:r>
              <w:rPr>
                <w:sz w:val="18"/>
              </w:rPr>
              <w:t>VT3</w:t>
            </w:r>
          </w:p>
        </w:tc>
        <w:tc>
          <w:tcPr>
            <w:tcW w:w="1468" w:type="dxa"/>
            <w:tcBorders>
              <w:top w:val="nil"/>
              <w:bottom w:val="nil"/>
              <w:right w:val="single" w:sz="8" w:space="0" w:color="000000"/>
            </w:tcBorders>
          </w:tcPr>
          <w:p>
            <w:pPr>
              <w:pStyle w:val="TableParagraph"/>
              <w:spacing w:before="47"/>
              <w:ind w:right="34"/>
              <w:jc w:val="right"/>
              <w:rPr>
                <w:sz w:val="18"/>
              </w:rPr>
            </w:pPr>
            <w:r>
              <w:rPr>
                <w:sz w:val="18"/>
              </w:rPr>
              <w:t>18.29</w:t>
            </w:r>
          </w:p>
        </w:tc>
        <w:tc>
          <w:tcPr>
            <w:tcW w:w="1469" w:type="dxa"/>
            <w:tcBorders>
              <w:top w:val="nil"/>
              <w:left w:val="single" w:sz="8" w:space="0" w:color="000000"/>
              <w:bottom w:val="nil"/>
              <w:right w:val="single" w:sz="8" w:space="0" w:color="000000"/>
            </w:tcBorders>
          </w:tcPr>
          <w:p>
            <w:pPr>
              <w:pStyle w:val="TableParagraph"/>
              <w:spacing w:before="47"/>
              <w:ind w:right="38"/>
              <w:jc w:val="right"/>
              <w:rPr>
                <w:sz w:val="18"/>
              </w:rPr>
            </w:pPr>
            <w:r>
              <w:rPr>
                <w:sz w:val="18"/>
              </w:rPr>
              <w:t>28.056</w:t>
            </w:r>
          </w:p>
        </w:tc>
        <w:tc>
          <w:tcPr>
            <w:tcW w:w="1469" w:type="dxa"/>
            <w:tcBorders>
              <w:top w:val="nil"/>
              <w:left w:val="single" w:sz="8" w:space="0" w:color="000000"/>
              <w:bottom w:val="nil"/>
              <w:right w:val="single" w:sz="8" w:space="0" w:color="000000"/>
            </w:tcBorders>
          </w:tcPr>
          <w:p>
            <w:pPr>
              <w:pStyle w:val="TableParagraph"/>
              <w:spacing w:before="47"/>
              <w:ind w:right="38"/>
              <w:jc w:val="right"/>
              <w:rPr>
                <w:sz w:val="18"/>
              </w:rPr>
            </w:pPr>
            <w:r>
              <w:rPr>
                <w:sz w:val="18"/>
              </w:rPr>
              <w:t>.629</w:t>
            </w:r>
          </w:p>
        </w:tc>
        <w:tc>
          <w:tcPr>
            <w:tcW w:w="1466" w:type="dxa"/>
            <w:tcBorders>
              <w:top w:val="nil"/>
              <w:left w:val="single" w:sz="8" w:space="0" w:color="000000"/>
              <w:bottom w:val="nil"/>
            </w:tcBorders>
          </w:tcPr>
          <w:p>
            <w:pPr>
              <w:pStyle w:val="TableParagraph"/>
              <w:spacing w:before="47"/>
              <w:ind w:right="32"/>
              <w:jc w:val="right"/>
              <w:rPr>
                <w:sz w:val="18"/>
              </w:rPr>
            </w:pPr>
            <w:r>
              <w:rPr>
                <w:sz w:val="18"/>
              </w:rPr>
              <w:t>.858</w:t>
            </w:r>
          </w:p>
        </w:tc>
      </w:tr>
      <w:tr>
        <w:trPr>
          <w:trHeight w:val="310" w:hRule="atLeast"/>
        </w:trPr>
        <w:tc>
          <w:tcPr>
            <w:tcW w:w="734" w:type="dxa"/>
            <w:tcBorders>
              <w:top w:val="nil"/>
              <w:bottom w:val="nil"/>
            </w:tcBorders>
          </w:tcPr>
          <w:p>
            <w:pPr>
              <w:pStyle w:val="TableParagraph"/>
              <w:spacing w:before="48"/>
              <w:ind w:left="75"/>
              <w:rPr>
                <w:sz w:val="18"/>
              </w:rPr>
            </w:pPr>
            <w:r>
              <w:rPr>
                <w:sz w:val="18"/>
              </w:rPr>
              <w:t>VT5</w:t>
            </w:r>
          </w:p>
        </w:tc>
        <w:tc>
          <w:tcPr>
            <w:tcW w:w="1468" w:type="dxa"/>
            <w:tcBorders>
              <w:top w:val="nil"/>
              <w:bottom w:val="nil"/>
              <w:right w:val="single" w:sz="8" w:space="0" w:color="000000"/>
            </w:tcBorders>
          </w:tcPr>
          <w:p>
            <w:pPr>
              <w:pStyle w:val="TableParagraph"/>
              <w:spacing w:before="48"/>
              <w:ind w:right="34"/>
              <w:jc w:val="right"/>
              <w:rPr>
                <w:sz w:val="18"/>
              </w:rPr>
            </w:pPr>
            <w:r>
              <w:rPr>
                <w:sz w:val="18"/>
              </w:rPr>
              <w:t>18.36</w:t>
            </w:r>
          </w:p>
        </w:tc>
        <w:tc>
          <w:tcPr>
            <w:tcW w:w="1469" w:type="dxa"/>
            <w:tcBorders>
              <w:top w:val="nil"/>
              <w:left w:val="single" w:sz="8" w:space="0" w:color="000000"/>
              <w:bottom w:val="nil"/>
              <w:right w:val="single" w:sz="8" w:space="0" w:color="000000"/>
            </w:tcBorders>
          </w:tcPr>
          <w:p>
            <w:pPr>
              <w:pStyle w:val="TableParagraph"/>
              <w:spacing w:before="48"/>
              <w:ind w:right="38"/>
              <w:jc w:val="right"/>
              <w:rPr>
                <w:sz w:val="18"/>
              </w:rPr>
            </w:pPr>
            <w:r>
              <w:rPr>
                <w:sz w:val="18"/>
              </w:rPr>
              <w:t>27.586</w:t>
            </w:r>
          </w:p>
        </w:tc>
        <w:tc>
          <w:tcPr>
            <w:tcW w:w="1469" w:type="dxa"/>
            <w:tcBorders>
              <w:top w:val="nil"/>
              <w:left w:val="single" w:sz="8" w:space="0" w:color="000000"/>
              <w:bottom w:val="nil"/>
              <w:right w:val="single" w:sz="8" w:space="0" w:color="000000"/>
            </w:tcBorders>
          </w:tcPr>
          <w:p>
            <w:pPr>
              <w:pStyle w:val="TableParagraph"/>
              <w:spacing w:before="48"/>
              <w:ind w:right="38"/>
              <w:jc w:val="right"/>
              <w:rPr>
                <w:sz w:val="18"/>
              </w:rPr>
            </w:pPr>
            <w:r>
              <w:rPr>
                <w:sz w:val="18"/>
              </w:rPr>
              <w:t>.650</w:t>
            </w:r>
          </w:p>
        </w:tc>
        <w:tc>
          <w:tcPr>
            <w:tcW w:w="1466" w:type="dxa"/>
            <w:tcBorders>
              <w:top w:val="nil"/>
              <w:left w:val="single" w:sz="8" w:space="0" w:color="000000"/>
              <w:bottom w:val="nil"/>
            </w:tcBorders>
          </w:tcPr>
          <w:p>
            <w:pPr>
              <w:pStyle w:val="TableParagraph"/>
              <w:spacing w:before="48"/>
              <w:ind w:right="33"/>
              <w:jc w:val="right"/>
              <w:rPr>
                <w:sz w:val="18"/>
              </w:rPr>
            </w:pPr>
            <w:r>
              <w:rPr>
                <w:sz w:val="18"/>
              </w:rPr>
              <w:t>.854</w:t>
            </w:r>
          </w:p>
        </w:tc>
      </w:tr>
      <w:tr>
        <w:trPr>
          <w:trHeight w:val="309" w:hRule="atLeast"/>
        </w:trPr>
        <w:tc>
          <w:tcPr>
            <w:tcW w:w="734" w:type="dxa"/>
            <w:tcBorders>
              <w:top w:val="nil"/>
              <w:bottom w:val="nil"/>
            </w:tcBorders>
          </w:tcPr>
          <w:p>
            <w:pPr>
              <w:pStyle w:val="TableParagraph"/>
              <w:spacing w:before="47"/>
              <w:ind w:left="75"/>
              <w:rPr>
                <w:sz w:val="18"/>
              </w:rPr>
            </w:pPr>
            <w:r>
              <w:rPr>
                <w:sz w:val="18"/>
              </w:rPr>
              <w:t>VT6</w:t>
            </w:r>
          </w:p>
        </w:tc>
        <w:tc>
          <w:tcPr>
            <w:tcW w:w="1468" w:type="dxa"/>
            <w:tcBorders>
              <w:top w:val="nil"/>
              <w:bottom w:val="nil"/>
              <w:right w:val="single" w:sz="8" w:space="0" w:color="000000"/>
            </w:tcBorders>
          </w:tcPr>
          <w:p>
            <w:pPr>
              <w:pStyle w:val="TableParagraph"/>
              <w:spacing w:before="47"/>
              <w:ind w:right="36"/>
              <w:jc w:val="right"/>
              <w:rPr>
                <w:sz w:val="18"/>
              </w:rPr>
            </w:pPr>
            <w:r>
              <w:rPr>
                <w:sz w:val="18"/>
              </w:rPr>
              <w:t>18.19</w:t>
            </w:r>
          </w:p>
        </w:tc>
        <w:tc>
          <w:tcPr>
            <w:tcW w:w="1469" w:type="dxa"/>
            <w:tcBorders>
              <w:top w:val="nil"/>
              <w:left w:val="single" w:sz="8" w:space="0" w:color="000000"/>
              <w:bottom w:val="nil"/>
              <w:right w:val="single" w:sz="8" w:space="0" w:color="000000"/>
            </w:tcBorders>
          </w:tcPr>
          <w:p>
            <w:pPr>
              <w:pStyle w:val="TableParagraph"/>
              <w:spacing w:before="47"/>
              <w:ind w:right="39"/>
              <w:jc w:val="right"/>
              <w:rPr>
                <w:sz w:val="18"/>
              </w:rPr>
            </w:pPr>
            <w:r>
              <w:rPr>
                <w:sz w:val="18"/>
              </w:rPr>
              <w:t>28.185</w:t>
            </w:r>
          </w:p>
        </w:tc>
        <w:tc>
          <w:tcPr>
            <w:tcW w:w="1469" w:type="dxa"/>
            <w:tcBorders>
              <w:top w:val="nil"/>
              <w:left w:val="single" w:sz="8" w:space="0" w:color="000000"/>
              <w:bottom w:val="nil"/>
              <w:right w:val="single" w:sz="8" w:space="0" w:color="000000"/>
            </w:tcBorders>
          </w:tcPr>
          <w:p>
            <w:pPr>
              <w:pStyle w:val="TableParagraph"/>
              <w:spacing w:before="47"/>
              <w:ind w:right="37"/>
              <w:jc w:val="right"/>
              <w:rPr>
                <w:sz w:val="18"/>
              </w:rPr>
            </w:pPr>
            <w:r>
              <w:rPr>
                <w:sz w:val="18"/>
              </w:rPr>
              <w:t>.662</w:t>
            </w:r>
          </w:p>
        </w:tc>
        <w:tc>
          <w:tcPr>
            <w:tcW w:w="1466" w:type="dxa"/>
            <w:tcBorders>
              <w:top w:val="nil"/>
              <w:left w:val="single" w:sz="8" w:space="0" w:color="000000"/>
              <w:bottom w:val="nil"/>
            </w:tcBorders>
          </w:tcPr>
          <w:p>
            <w:pPr>
              <w:pStyle w:val="TableParagraph"/>
              <w:spacing w:before="47"/>
              <w:ind w:right="32"/>
              <w:jc w:val="right"/>
              <w:rPr>
                <w:sz w:val="18"/>
              </w:rPr>
            </w:pPr>
            <w:r>
              <w:rPr>
                <w:sz w:val="18"/>
              </w:rPr>
              <w:t>.852</w:t>
            </w:r>
          </w:p>
        </w:tc>
      </w:tr>
      <w:tr>
        <w:trPr>
          <w:trHeight w:val="310" w:hRule="atLeast"/>
        </w:trPr>
        <w:tc>
          <w:tcPr>
            <w:tcW w:w="734" w:type="dxa"/>
            <w:tcBorders>
              <w:top w:val="nil"/>
              <w:bottom w:val="nil"/>
            </w:tcBorders>
          </w:tcPr>
          <w:p>
            <w:pPr>
              <w:pStyle w:val="TableParagraph"/>
              <w:spacing w:before="47"/>
              <w:ind w:left="75"/>
              <w:rPr>
                <w:sz w:val="18"/>
              </w:rPr>
            </w:pPr>
            <w:r>
              <w:rPr>
                <w:sz w:val="18"/>
              </w:rPr>
              <w:t>VT7</w:t>
            </w:r>
          </w:p>
        </w:tc>
        <w:tc>
          <w:tcPr>
            <w:tcW w:w="1468" w:type="dxa"/>
            <w:tcBorders>
              <w:top w:val="nil"/>
              <w:bottom w:val="nil"/>
              <w:right w:val="single" w:sz="8" w:space="0" w:color="000000"/>
            </w:tcBorders>
          </w:tcPr>
          <w:p>
            <w:pPr>
              <w:pStyle w:val="TableParagraph"/>
              <w:spacing w:before="47"/>
              <w:ind w:right="34"/>
              <w:jc w:val="right"/>
              <w:rPr>
                <w:sz w:val="18"/>
              </w:rPr>
            </w:pPr>
            <w:r>
              <w:rPr>
                <w:sz w:val="18"/>
              </w:rPr>
              <w:t>18.14</w:t>
            </w:r>
          </w:p>
        </w:tc>
        <w:tc>
          <w:tcPr>
            <w:tcW w:w="1469" w:type="dxa"/>
            <w:tcBorders>
              <w:top w:val="nil"/>
              <w:left w:val="single" w:sz="8" w:space="0" w:color="000000"/>
              <w:bottom w:val="nil"/>
              <w:right w:val="single" w:sz="8" w:space="0" w:color="000000"/>
            </w:tcBorders>
          </w:tcPr>
          <w:p>
            <w:pPr>
              <w:pStyle w:val="TableParagraph"/>
              <w:spacing w:before="47"/>
              <w:ind w:right="38"/>
              <w:jc w:val="right"/>
              <w:rPr>
                <w:sz w:val="18"/>
              </w:rPr>
            </w:pPr>
            <w:r>
              <w:rPr>
                <w:sz w:val="18"/>
              </w:rPr>
              <w:t>27.311</w:t>
            </w:r>
          </w:p>
        </w:tc>
        <w:tc>
          <w:tcPr>
            <w:tcW w:w="1469" w:type="dxa"/>
            <w:tcBorders>
              <w:top w:val="nil"/>
              <w:left w:val="single" w:sz="8" w:space="0" w:color="000000"/>
              <w:bottom w:val="nil"/>
              <w:right w:val="single" w:sz="8" w:space="0" w:color="000000"/>
            </w:tcBorders>
          </w:tcPr>
          <w:p>
            <w:pPr>
              <w:pStyle w:val="TableParagraph"/>
              <w:spacing w:before="47"/>
              <w:ind w:right="38"/>
              <w:jc w:val="right"/>
              <w:rPr>
                <w:sz w:val="18"/>
              </w:rPr>
            </w:pPr>
            <w:r>
              <w:rPr>
                <w:sz w:val="18"/>
              </w:rPr>
              <w:t>.772</w:t>
            </w:r>
          </w:p>
        </w:tc>
        <w:tc>
          <w:tcPr>
            <w:tcW w:w="1466" w:type="dxa"/>
            <w:tcBorders>
              <w:top w:val="nil"/>
              <w:left w:val="single" w:sz="8" w:space="0" w:color="000000"/>
              <w:bottom w:val="nil"/>
            </w:tcBorders>
          </w:tcPr>
          <w:p>
            <w:pPr>
              <w:pStyle w:val="TableParagraph"/>
              <w:spacing w:before="47"/>
              <w:ind w:right="32"/>
              <w:jc w:val="right"/>
              <w:rPr>
                <w:sz w:val="18"/>
              </w:rPr>
            </w:pPr>
            <w:r>
              <w:rPr>
                <w:sz w:val="18"/>
              </w:rPr>
              <w:t>.834</w:t>
            </w:r>
          </w:p>
        </w:tc>
      </w:tr>
      <w:tr>
        <w:trPr>
          <w:trHeight w:val="357" w:hRule="atLeast"/>
        </w:trPr>
        <w:tc>
          <w:tcPr>
            <w:tcW w:w="734" w:type="dxa"/>
            <w:tcBorders>
              <w:top w:val="nil"/>
            </w:tcBorders>
          </w:tcPr>
          <w:p>
            <w:pPr>
              <w:pStyle w:val="TableParagraph"/>
              <w:spacing w:before="48"/>
              <w:ind w:left="75"/>
              <w:rPr>
                <w:sz w:val="18"/>
              </w:rPr>
            </w:pPr>
            <w:r>
              <w:rPr>
                <w:sz w:val="18"/>
              </w:rPr>
              <w:t>VT9</w:t>
            </w:r>
          </w:p>
        </w:tc>
        <w:tc>
          <w:tcPr>
            <w:tcW w:w="1468" w:type="dxa"/>
            <w:tcBorders>
              <w:top w:val="nil"/>
              <w:right w:val="single" w:sz="8" w:space="0" w:color="000000"/>
            </w:tcBorders>
          </w:tcPr>
          <w:p>
            <w:pPr>
              <w:pStyle w:val="TableParagraph"/>
              <w:spacing w:before="48"/>
              <w:ind w:right="34"/>
              <w:jc w:val="right"/>
              <w:rPr>
                <w:sz w:val="18"/>
              </w:rPr>
            </w:pPr>
            <w:r>
              <w:rPr>
                <w:sz w:val="18"/>
              </w:rPr>
              <w:t>18.21</w:t>
            </w:r>
          </w:p>
        </w:tc>
        <w:tc>
          <w:tcPr>
            <w:tcW w:w="1469" w:type="dxa"/>
            <w:tcBorders>
              <w:top w:val="nil"/>
              <w:left w:val="single" w:sz="8" w:space="0" w:color="000000"/>
              <w:right w:val="single" w:sz="8" w:space="0" w:color="000000"/>
            </w:tcBorders>
          </w:tcPr>
          <w:p>
            <w:pPr>
              <w:pStyle w:val="TableParagraph"/>
              <w:spacing w:before="48"/>
              <w:ind w:right="38"/>
              <w:jc w:val="right"/>
              <w:rPr>
                <w:sz w:val="18"/>
              </w:rPr>
            </w:pPr>
            <w:r>
              <w:rPr>
                <w:sz w:val="18"/>
              </w:rPr>
              <w:t>27.437</w:t>
            </w:r>
          </w:p>
        </w:tc>
        <w:tc>
          <w:tcPr>
            <w:tcW w:w="1469" w:type="dxa"/>
            <w:tcBorders>
              <w:top w:val="nil"/>
              <w:left w:val="single" w:sz="8" w:space="0" w:color="000000"/>
              <w:right w:val="single" w:sz="8" w:space="0" w:color="000000"/>
            </w:tcBorders>
          </w:tcPr>
          <w:p>
            <w:pPr>
              <w:pStyle w:val="TableParagraph"/>
              <w:spacing w:before="48"/>
              <w:ind w:right="38"/>
              <w:jc w:val="right"/>
              <w:rPr>
                <w:sz w:val="18"/>
              </w:rPr>
            </w:pPr>
            <w:r>
              <w:rPr>
                <w:sz w:val="18"/>
              </w:rPr>
              <w:t>.649</w:t>
            </w:r>
          </w:p>
        </w:tc>
        <w:tc>
          <w:tcPr>
            <w:tcW w:w="1466" w:type="dxa"/>
            <w:tcBorders>
              <w:top w:val="nil"/>
              <w:left w:val="single" w:sz="8" w:space="0" w:color="000000"/>
            </w:tcBorders>
          </w:tcPr>
          <w:p>
            <w:pPr>
              <w:pStyle w:val="TableParagraph"/>
              <w:spacing w:before="48"/>
              <w:ind w:right="32"/>
              <w:jc w:val="right"/>
              <w:rPr>
                <w:sz w:val="18"/>
              </w:rPr>
            </w:pPr>
            <w:r>
              <w:rPr>
                <w:sz w:val="18"/>
              </w:rPr>
              <w:t>.855</w:t>
            </w:r>
          </w:p>
        </w:tc>
      </w:tr>
    </w:tbl>
    <w:p>
      <w:pPr>
        <w:spacing w:after="0"/>
        <w:jc w:val="right"/>
        <w:rPr>
          <w:sz w:val="18"/>
        </w:rPr>
        <w:sectPr>
          <w:type w:val="continuous"/>
          <w:pgSz w:w="11910" w:h="16850"/>
          <w:pgMar w:top="1840" w:bottom="280" w:left="820" w:right="240"/>
        </w:sectPr>
      </w:pPr>
    </w:p>
    <w:p>
      <w:pPr>
        <w:pStyle w:val="BodyText"/>
        <w:spacing w:before="5"/>
        <w:rPr>
          <w:b/>
          <w:sz w:val="24"/>
        </w:rPr>
      </w:pPr>
    </w:p>
    <w:tbl>
      <w:tblPr>
        <w:tblW w:w="0" w:type="auto"/>
        <w:jc w:val="left"/>
        <w:tblInd w:w="90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
      <w:tblGrid>
        <w:gridCol w:w="2299"/>
        <w:gridCol w:w="2521"/>
        <w:gridCol w:w="1085"/>
      </w:tblGrid>
      <w:tr>
        <w:trPr>
          <w:trHeight w:val="301" w:hRule="atLeast"/>
        </w:trPr>
        <w:tc>
          <w:tcPr>
            <w:tcW w:w="5905" w:type="dxa"/>
            <w:gridSpan w:val="3"/>
            <w:tcBorders>
              <w:bottom w:val="single" w:sz="18" w:space="0" w:color="000000"/>
            </w:tcBorders>
          </w:tcPr>
          <w:p>
            <w:pPr>
              <w:pStyle w:val="TableParagraph"/>
              <w:spacing w:line="199" w:lineRule="exact"/>
              <w:ind w:left="1987" w:right="1951"/>
              <w:jc w:val="center"/>
              <w:rPr>
                <w:b/>
                <w:sz w:val="18"/>
              </w:rPr>
            </w:pPr>
            <w:r>
              <w:rPr>
                <w:b/>
                <w:sz w:val="18"/>
              </w:rPr>
              <w:t>KMO and Bartlett's Test</w:t>
            </w:r>
          </w:p>
        </w:tc>
      </w:tr>
      <w:tr>
        <w:trPr>
          <w:trHeight w:val="260" w:hRule="atLeast"/>
        </w:trPr>
        <w:tc>
          <w:tcPr>
            <w:tcW w:w="4820" w:type="dxa"/>
            <w:gridSpan w:val="2"/>
            <w:tcBorders>
              <w:top w:val="single" w:sz="18" w:space="0" w:color="000000"/>
              <w:left w:val="single" w:sz="18" w:space="0" w:color="000000"/>
              <w:right w:val="single" w:sz="18" w:space="0" w:color="000000"/>
            </w:tcBorders>
          </w:tcPr>
          <w:p>
            <w:pPr>
              <w:pStyle w:val="TableParagraph"/>
              <w:spacing w:line="204" w:lineRule="exact"/>
              <w:ind w:left="75"/>
              <w:rPr>
                <w:sz w:val="18"/>
              </w:rPr>
            </w:pPr>
            <w:r>
              <w:rPr>
                <w:sz w:val="18"/>
              </w:rPr>
              <w:t>Kaiser-Meyer-Olkin Measure of Sampling Adequacy.</w:t>
            </w:r>
          </w:p>
        </w:tc>
        <w:tc>
          <w:tcPr>
            <w:tcW w:w="1085" w:type="dxa"/>
            <w:tcBorders>
              <w:top w:val="single" w:sz="18" w:space="0" w:color="000000"/>
              <w:left w:val="single" w:sz="18" w:space="0" w:color="000000"/>
              <w:right w:val="single" w:sz="18" w:space="0" w:color="000000"/>
            </w:tcBorders>
          </w:tcPr>
          <w:p>
            <w:pPr>
              <w:pStyle w:val="TableParagraph"/>
              <w:spacing w:line="204" w:lineRule="exact"/>
              <w:ind w:right="36"/>
              <w:jc w:val="right"/>
              <w:rPr>
                <w:sz w:val="18"/>
              </w:rPr>
            </w:pPr>
            <w:r>
              <w:rPr>
                <w:sz w:val="18"/>
              </w:rPr>
              <w:t>.865</w:t>
            </w:r>
          </w:p>
        </w:tc>
      </w:tr>
      <w:tr>
        <w:trPr>
          <w:trHeight w:val="331" w:hRule="atLeast"/>
        </w:trPr>
        <w:tc>
          <w:tcPr>
            <w:tcW w:w="2299" w:type="dxa"/>
            <w:tcBorders>
              <w:left w:val="single" w:sz="18" w:space="0" w:color="000000"/>
            </w:tcBorders>
          </w:tcPr>
          <w:p>
            <w:pPr>
              <w:pStyle w:val="TableParagraph"/>
              <w:rPr>
                <w:sz w:val="18"/>
              </w:rPr>
            </w:pPr>
          </w:p>
        </w:tc>
        <w:tc>
          <w:tcPr>
            <w:tcW w:w="2521" w:type="dxa"/>
            <w:tcBorders>
              <w:right w:val="single" w:sz="18" w:space="0" w:color="000000"/>
            </w:tcBorders>
          </w:tcPr>
          <w:p>
            <w:pPr>
              <w:pStyle w:val="TableParagraph"/>
              <w:spacing w:before="49"/>
              <w:ind w:left="259"/>
              <w:rPr>
                <w:sz w:val="18"/>
              </w:rPr>
            </w:pPr>
            <w:r>
              <w:rPr>
                <w:sz w:val="18"/>
              </w:rPr>
              <w:t>Approx. Chi-Square</w:t>
            </w:r>
          </w:p>
        </w:tc>
        <w:tc>
          <w:tcPr>
            <w:tcW w:w="1085" w:type="dxa"/>
            <w:tcBorders>
              <w:left w:val="single" w:sz="18" w:space="0" w:color="000000"/>
              <w:right w:val="single" w:sz="18" w:space="0" w:color="000000"/>
            </w:tcBorders>
          </w:tcPr>
          <w:p>
            <w:pPr>
              <w:pStyle w:val="TableParagraph"/>
              <w:spacing w:before="49"/>
              <w:ind w:right="36"/>
              <w:jc w:val="right"/>
              <w:rPr>
                <w:sz w:val="18"/>
              </w:rPr>
            </w:pPr>
            <w:r>
              <w:rPr>
                <w:sz w:val="18"/>
              </w:rPr>
              <w:t>1432.791</w:t>
            </w:r>
          </w:p>
        </w:tc>
      </w:tr>
      <w:tr>
        <w:trPr>
          <w:trHeight w:val="350" w:hRule="atLeast"/>
        </w:trPr>
        <w:tc>
          <w:tcPr>
            <w:tcW w:w="2299" w:type="dxa"/>
            <w:tcBorders>
              <w:left w:val="single" w:sz="18" w:space="0" w:color="000000"/>
            </w:tcBorders>
          </w:tcPr>
          <w:p>
            <w:pPr>
              <w:pStyle w:val="TableParagraph"/>
              <w:spacing w:before="68"/>
              <w:ind w:left="75"/>
              <w:rPr>
                <w:sz w:val="18"/>
              </w:rPr>
            </w:pPr>
            <w:r>
              <w:rPr>
                <w:sz w:val="18"/>
              </w:rPr>
              <w:t>Bartlett's Test of Sphericity</w:t>
            </w:r>
          </w:p>
        </w:tc>
        <w:tc>
          <w:tcPr>
            <w:tcW w:w="2521" w:type="dxa"/>
            <w:tcBorders>
              <w:right w:val="single" w:sz="18" w:space="0" w:color="000000"/>
            </w:tcBorders>
          </w:tcPr>
          <w:p>
            <w:pPr>
              <w:pStyle w:val="TableParagraph"/>
              <w:spacing w:before="68"/>
              <w:ind w:left="259"/>
              <w:rPr>
                <w:sz w:val="18"/>
              </w:rPr>
            </w:pPr>
            <w:r>
              <w:rPr>
                <w:sz w:val="18"/>
              </w:rPr>
              <w:t>df</w:t>
            </w:r>
          </w:p>
        </w:tc>
        <w:tc>
          <w:tcPr>
            <w:tcW w:w="1085" w:type="dxa"/>
            <w:tcBorders>
              <w:left w:val="single" w:sz="18" w:space="0" w:color="000000"/>
              <w:right w:val="single" w:sz="18" w:space="0" w:color="000000"/>
            </w:tcBorders>
          </w:tcPr>
          <w:p>
            <w:pPr>
              <w:pStyle w:val="TableParagraph"/>
              <w:spacing w:before="68"/>
              <w:ind w:right="35"/>
              <w:jc w:val="right"/>
              <w:rPr>
                <w:sz w:val="18"/>
              </w:rPr>
            </w:pPr>
            <w:r>
              <w:rPr>
                <w:sz w:val="18"/>
              </w:rPr>
              <w:t>15</w:t>
            </w:r>
          </w:p>
        </w:tc>
      </w:tr>
      <w:tr>
        <w:trPr>
          <w:trHeight w:val="376" w:hRule="atLeast"/>
        </w:trPr>
        <w:tc>
          <w:tcPr>
            <w:tcW w:w="2299" w:type="dxa"/>
            <w:tcBorders>
              <w:left w:val="single" w:sz="18" w:space="0" w:color="000000"/>
              <w:bottom w:val="single" w:sz="18" w:space="0" w:color="000000"/>
            </w:tcBorders>
          </w:tcPr>
          <w:p>
            <w:pPr>
              <w:pStyle w:val="TableParagraph"/>
              <w:rPr>
                <w:sz w:val="18"/>
              </w:rPr>
            </w:pPr>
          </w:p>
        </w:tc>
        <w:tc>
          <w:tcPr>
            <w:tcW w:w="2521" w:type="dxa"/>
            <w:tcBorders>
              <w:bottom w:val="single" w:sz="18" w:space="0" w:color="000000"/>
              <w:right w:val="single" w:sz="18" w:space="0" w:color="000000"/>
            </w:tcBorders>
          </w:tcPr>
          <w:p>
            <w:pPr>
              <w:pStyle w:val="TableParagraph"/>
              <w:spacing w:before="68"/>
              <w:ind w:left="259"/>
              <w:rPr>
                <w:sz w:val="18"/>
              </w:rPr>
            </w:pPr>
            <w:r>
              <w:rPr>
                <w:sz w:val="18"/>
              </w:rPr>
              <w:t>Sig.</w:t>
            </w:r>
          </w:p>
        </w:tc>
        <w:tc>
          <w:tcPr>
            <w:tcW w:w="1085" w:type="dxa"/>
            <w:tcBorders>
              <w:left w:val="single" w:sz="18" w:space="0" w:color="000000"/>
              <w:bottom w:val="single" w:sz="18" w:space="0" w:color="000000"/>
              <w:right w:val="single" w:sz="18" w:space="0" w:color="000000"/>
            </w:tcBorders>
          </w:tcPr>
          <w:p>
            <w:pPr>
              <w:pStyle w:val="TableParagraph"/>
              <w:spacing w:before="68"/>
              <w:ind w:right="37"/>
              <w:jc w:val="right"/>
              <w:rPr>
                <w:sz w:val="18"/>
              </w:rPr>
            </w:pPr>
            <w:r>
              <w:rPr>
                <w:sz w:val="18"/>
              </w:rPr>
              <w:t>.000</w:t>
            </w:r>
          </w:p>
        </w:tc>
      </w:tr>
    </w:tbl>
    <w:p>
      <w:pPr>
        <w:pStyle w:val="BodyText"/>
        <w:rPr>
          <w:b/>
          <w:sz w:val="20"/>
        </w:rPr>
      </w:pPr>
    </w:p>
    <w:p>
      <w:pPr>
        <w:pStyle w:val="BodyText"/>
        <w:rPr>
          <w:b/>
          <w:sz w:val="20"/>
        </w:rPr>
      </w:pPr>
    </w:p>
    <w:p>
      <w:pPr>
        <w:pStyle w:val="BodyText"/>
        <w:spacing w:before="11"/>
        <w:rPr>
          <w:b/>
          <w:sz w:val="23"/>
        </w:rPr>
      </w:pPr>
    </w:p>
    <w:p>
      <w:pPr>
        <w:spacing w:before="92"/>
        <w:ind w:left="1019" w:right="952" w:firstLine="0"/>
        <w:jc w:val="center"/>
        <w:rPr>
          <w:b/>
          <w:sz w:val="18"/>
        </w:rPr>
      </w:pPr>
      <w:r>
        <w:rPr>
          <w:b/>
          <w:sz w:val="18"/>
        </w:rPr>
        <w:t>Total Variance Explained</w:t>
      </w:r>
    </w:p>
    <w:p>
      <w:pPr>
        <w:pStyle w:val="BodyText"/>
        <w:spacing w:before="11"/>
        <w:rPr>
          <w:b/>
          <w:sz w:val="8"/>
        </w:rPr>
      </w:pPr>
    </w:p>
    <w:tbl>
      <w:tblPr>
        <w:tblW w:w="0" w:type="auto"/>
        <w:jc w:val="left"/>
        <w:tblInd w:w="907" w:type="dxa"/>
        <w:tblBorders>
          <w:top w:val="single" w:sz="18" w:space="0" w:color="000000"/>
          <w:left w:val="single" w:sz="18" w:space="0" w:color="000000"/>
          <w:bottom w:val="single" w:sz="18" w:space="0" w:color="000000"/>
          <w:right w:val="single" w:sz="18" w:space="0" w:color="000000"/>
          <w:insideH w:val="single" w:sz="18" w:space="0" w:color="000000"/>
          <w:insideV w:val="single" w:sz="18" w:space="0" w:color="000000"/>
        </w:tblBorders>
        <w:tblLayout w:type="fixed"/>
        <w:tblCellMar>
          <w:top w:w="0" w:type="dxa"/>
          <w:left w:w="0" w:type="dxa"/>
          <w:bottom w:w="0" w:type="dxa"/>
          <w:right w:w="0" w:type="dxa"/>
        </w:tblCellMar>
        <w:tblLook w:val="01E0"/>
      </w:tblPr>
      <w:tblGrid>
        <w:gridCol w:w="1279"/>
        <w:gridCol w:w="999"/>
        <w:gridCol w:w="1424"/>
        <w:gridCol w:w="1438"/>
        <w:gridCol w:w="1147"/>
        <w:gridCol w:w="1424"/>
        <w:gridCol w:w="1438"/>
      </w:tblGrid>
      <w:tr>
        <w:trPr>
          <w:trHeight w:val="295" w:hRule="atLeast"/>
        </w:trPr>
        <w:tc>
          <w:tcPr>
            <w:tcW w:w="1279" w:type="dxa"/>
            <w:vMerge w:val="restart"/>
          </w:tcPr>
          <w:p>
            <w:pPr>
              <w:pStyle w:val="TableParagraph"/>
              <w:spacing w:line="206" w:lineRule="exact"/>
              <w:ind w:left="75"/>
              <w:rPr>
                <w:sz w:val="18"/>
              </w:rPr>
            </w:pPr>
            <w:r>
              <w:rPr>
                <w:sz w:val="18"/>
              </w:rPr>
              <w:t>Component</w:t>
            </w:r>
          </w:p>
        </w:tc>
        <w:tc>
          <w:tcPr>
            <w:tcW w:w="3861" w:type="dxa"/>
            <w:gridSpan w:val="3"/>
            <w:tcBorders>
              <w:bottom w:val="single" w:sz="8" w:space="0" w:color="000000"/>
              <w:right w:val="single" w:sz="8" w:space="0" w:color="000000"/>
            </w:tcBorders>
          </w:tcPr>
          <w:p>
            <w:pPr>
              <w:pStyle w:val="TableParagraph"/>
              <w:spacing w:line="206" w:lineRule="exact"/>
              <w:ind w:left="1250"/>
              <w:rPr>
                <w:sz w:val="18"/>
              </w:rPr>
            </w:pPr>
            <w:r>
              <w:rPr>
                <w:sz w:val="18"/>
              </w:rPr>
              <w:t>Initial Eigenvalues</w:t>
            </w:r>
          </w:p>
        </w:tc>
        <w:tc>
          <w:tcPr>
            <w:tcW w:w="4009" w:type="dxa"/>
            <w:gridSpan w:val="3"/>
            <w:tcBorders>
              <w:left w:val="single" w:sz="8" w:space="0" w:color="000000"/>
              <w:bottom w:val="single" w:sz="8" w:space="0" w:color="000000"/>
              <w:right w:val="single" w:sz="8" w:space="0" w:color="000000"/>
            </w:tcBorders>
          </w:tcPr>
          <w:p>
            <w:pPr>
              <w:pStyle w:val="TableParagraph"/>
              <w:spacing w:line="206" w:lineRule="exact"/>
              <w:ind w:left="642"/>
              <w:rPr>
                <w:sz w:val="18"/>
              </w:rPr>
            </w:pPr>
            <w:r>
              <w:rPr>
                <w:sz w:val="18"/>
              </w:rPr>
              <w:t>Extraction Sums of Squared Loadings</w:t>
            </w:r>
          </w:p>
        </w:tc>
      </w:tr>
      <w:tr>
        <w:trPr>
          <w:trHeight w:val="315" w:hRule="atLeast"/>
        </w:trPr>
        <w:tc>
          <w:tcPr>
            <w:tcW w:w="1279" w:type="dxa"/>
            <w:vMerge/>
            <w:tcBorders>
              <w:top w:val="nil"/>
            </w:tcBorders>
          </w:tcPr>
          <w:p>
            <w:pPr>
              <w:rPr>
                <w:sz w:val="2"/>
                <w:szCs w:val="2"/>
              </w:rPr>
            </w:pPr>
          </w:p>
        </w:tc>
        <w:tc>
          <w:tcPr>
            <w:tcW w:w="999" w:type="dxa"/>
            <w:tcBorders>
              <w:top w:val="single" w:sz="8" w:space="0" w:color="000000"/>
              <w:right w:val="single" w:sz="8" w:space="0" w:color="000000"/>
            </w:tcBorders>
          </w:tcPr>
          <w:p>
            <w:pPr>
              <w:pStyle w:val="TableParagraph"/>
              <w:spacing w:before="8"/>
              <w:ind w:left="304"/>
              <w:rPr>
                <w:sz w:val="18"/>
              </w:rPr>
            </w:pPr>
            <w:r>
              <w:rPr>
                <w:sz w:val="18"/>
              </w:rPr>
              <w:t>Total</w:t>
            </w:r>
          </w:p>
        </w:tc>
        <w:tc>
          <w:tcPr>
            <w:tcW w:w="1424" w:type="dxa"/>
            <w:tcBorders>
              <w:top w:val="single" w:sz="8" w:space="0" w:color="000000"/>
              <w:left w:val="single" w:sz="8" w:space="0" w:color="000000"/>
              <w:right w:val="single" w:sz="8" w:space="0" w:color="000000"/>
            </w:tcBorders>
          </w:tcPr>
          <w:p>
            <w:pPr>
              <w:pStyle w:val="TableParagraph"/>
              <w:spacing w:before="8"/>
              <w:ind w:left="201"/>
              <w:rPr>
                <w:sz w:val="18"/>
              </w:rPr>
            </w:pPr>
            <w:r>
              <w:rPr>
                <w:sz w:val="18"/>
              </w:rPr>
              <w:t>% of Variance</w:t>
            </w:r>
          </w:p>
        </w:tc>
        <w:tc>
          <w:tcPr>
            <w:tcW w:w="1438" w:type="dxa"/>
            <w:tcBorders>
              <w:top w:val="single" w:sz="8" w:space="0" w:color="000000"/>
              <w:left w:val="single" w:sz="8" w:space="0" w:color="000000"/>
              <w:right w:val="single" w:sz="8" w:space="0" w:color="000000"/>
            </w:tcBorders>
          </w:tcPr>
          <w:p>
            <w:pPr>
              <w:pStyle w:val="TableParagraph"/>
              <w:spacing w:before="8"/>
              <w:ind w:left="210"/>
              <w:rPr>
                <w:sz w:val="18"/>
              </w:rPr>
            </w:pPr>
            <w:r>
              <w:rPr>
                <w:sz w:val="18"/>
              </w:rPr>
              <w:t>Cumulative %</w:t>
            </w:r>
          </w:p>
        </w:tc>
        <w:tc>
          <w:tcPr>
            <w:tcW w:w="1147" w:type="dxa"/>
            <w:tcBorders>
              <w:top w:val="single" w:sz="8" w:space="0" w:color="000000"/>
              <w:left w:val="single" w:sz="8" w:space="0" w:color="000000"/>
              <w:right w:val="single" w:sz="8" w:space="0" w:color="000000"/>
            </w:tcBorders>
          </w:tcPr>
          <w:p>
            <w:pPr>
              <w:pStyle w:val="TableParagraph"/>
              <w:spacing w:before="8"/>
              <w:ind w:left="392"/>
              <w:rPr>
                <w:sz w:val="18"/>
              </w:rPr>
            </w:pPr>
            <w:r>
              <w:rPr>
                <w:sz w:val="18"/>
              </w:rPr>
              <w:t>Total</w:t>
            </w:r>
          </w:p>
        </w:tc>
        <w:tc>
          <w:tcPr>
            <w:tcW w:w="1424" w:type="dxa"/>
            <w:tcBorders>
              <w:top w:val="single" w:sz="8" w:space="0" w:color="000000"/>
              <w:left w:val="single" w:sz="8" w:space="0" w:color="000000"/>
              <w:right w:val="single" w:sz="8" w:space="0" w:color="000000"/>
            </w:tcBorders>
          </w:tcPr>
          <w:p>
            <w:pPr>
              <w:pStyle w:val="TableParagraph"/>
              <w:spacing w:before="8"/>
              <w:ind w:left="200"/>
              <w:rPr>
                <w:sz w:val="18"/>
              </w:rPr>
            </w:pPr>
            <w:r>
              <w:rPr>
                <w:sz w:val="18"/>
              </w:rPr>
              <w:t>% of Variance</w:t>
            </w:r>
          </w:p>
        </w:tc>
        <w:tc>
          <w:tcPr>
            <w:tcW w:w="1438" w:type="dxa"/>
            <w:tcBorders>
              <w:top w:val="single" w:sz="8" w:space="0" w:color="000000"/>
              <w:left w:val="single" w:sz="8" w:space="0" w:color="000000"/>
            </w:tcBorders>
          </w:tcPr>
          <w:p>
            <w:pPr>
              <w:pStyle w:val="TableParagraph"/>
              <w:spacing w:before="8"/>
              <w:ind w:left="205"/>
              <w:rPr>
                <w:sz w:val="18"/>
              </w:rPr>
            </w:pPr>
            <w:r>
              <w:rPr>
                <w:sz w:val="18"/>
              </w:rPr>
              <w:t>Cumulative %</w:t>
            </w:r>
          </w:p>
        </w:tc>
      </w:tr>
      <w:tr>
        <w:trPr>
          <w:trHeight w:val="265" w:hRule="atLeast"/>
        </w:trPr>
        <w:tc>
          <w:tcPr>
            <w:tcW w:w="1279" w:type="dxa"/>
            <w:tcBorders>
              <w:bottom w:val="nil"/>
            </w:tcBorders>
          </w:tcPr>
          <w:p>
            <w:pPr>
              <w:pStyle w:val="TableParagraph"/>
              <w:spacing w:line="206" w:lineRule="exact"/>
              <w:ind w:left="75"/>
              <w:rPr>
                <w:sz w:val="18"/>
              </w:rPr>
            </w:pPr>
            <w:r>
              <w:rPr>
                <w:sz w:val="18"/>
              </w:rPr>
              <w:t>1</w:t>
            </w:r>
          </w:p>
        </w:tc>
        <w:tc>
          <w:tcPr>
            <w:tcW w:w="999" w:type="dxa"/>
            <w:tcBorders>
              <w:bottom w:val="nil"/>
              <w:right w:val="single" w:sz="8" w:space="0" w:color="000000"/>
            </w:tcBorders>
          </w:tcPr>
          <w:p>
            <w:pPr>
              <w:pStyle w:val="TableParagraph"/>
              <w:spacing w:line="206" w:lineRule="exact"/>
              <w:ind w:right="40"/>
              <w:jc w:val="right"/>
              <w:rPr>
                <w:sz w:val="18"/>
              </w:rPr>
            </w:pPr>
            <w:r>
              <w:rPr>
                <w:sz w:val="18"/>
              </w:rPr>
              <w:t>3.681</w:t>
            </w:r>
          </w:p>
        </w:tc>
        <w:tc>
          <w:tcPr>
            <w:tcW w:w="1424" w:type="dxa"/>
            <w:tcBorders>
              <w:left w:val="single" w:sz="8" w:space="0" w:color="000000"/>
              <w:bottom w:val="nil"/>
              <w:right w:val="single" w:sz="8" w:space="0" w:color="000000"/>
            </w:tcBorders>
          </w:tcPr>
          <w:p>
            <w:pPr>
              <w:pStyle w:val="TableParagraph"/>
              <w:spacing w:line="206" w:lineRule="exact"/>
              <w:ind w:right="38"/>
              <w:jc w:val="right"/>
              <w:rPr>
                <w:sz w:val="18"/>
              </w:rPr>
            </w:pPr>
            <w:r>
              <w:rPr>
                <w:sz w:val="18"/>
              </w:rPr>
              <w:t>61.356</w:t>
            </w:r>
          </w:p>
        </w:tc>
        <w:tc>
          <w:tcPr>
            <w:tcW w:w="1438" w:type="dxa"/>
            <w:tcBorders>
              <w:left w:val="single" w:sz="8" w:space="0" w:color="000000"/>
              <w:bottom w:val="nil"/>
              <w:right w:val="single" w:sz="8" w:space="0" w:color="000000"/>
            </w:tcBorders>
          </w:tcPr>
          <w:p>
            <w:pPr>
              <w:pStyle w:val="TableParagraph"/>
              <w:spacing w:line="206" w:lineRule="exact"/>
              <w:ind w:right="38"/>
              <w:jc w:val="right"/>
              <w:rPr>
                <w:sz w:val="18"/>
              </w:rPr>
            </w:pPr>
            <w:r>
              <w:rPr>
                <w:sz w:val="18"/>
              </w:rPr>
              <w:t>61.356</w:t>
            </w:r>
          </w:p>
        </w:tc>
        <w:tc>
          <w:tcPr>
            <w:tcW w:w="1147" w:type="dxa"/>
            <w:vMerge w:val="restart"/>
            <w:tcBorders>
              <w:left w:val="single" w:sz="8" w:space="0" w:color="000000"/>
              <w:right w:val="single" w:sz="8" w:space="0" w:color="000000"/>
            </w:tcBorders>
          </w:tcPr>
          <w:p>
            <w:pPr>
              <w:pStyle w:val="TableParagraph"/>
              <w:spacing w:line="206" w:lineRule="exact"/>
              <w:ind w:left="680"/>
              <w:rPr>
                <w:sz w:val="18"/>
              </w:rPr>
            </w:pPr>
            <w:r>
              <w:rPr>
                <w:sz w:val="18"/>
              </w:rPr>
              <w:t>3.681</w:t>
            </w:r>
          </w:p>
        </w:tc>
        <w:tc>
          <w:tcPr>
            <w:tcW w:w="1424" w:type="dxa"/>
            <w:vMerge w:val="restart"/>
            <w:tcBorders>
              <w:left w:val="single" w:sz="8" w:space="0" w:color="000000"/>
              <w:right w:val="single" w:sz="8" w:space="0" w:color="000000"/>
            </w:tcBorders>
          </w:tcPr>
          <w:p>
            <w:pPr>
              <w:pStyle w:val="TableParagraph"/>
              <w:spacing w:line="206" w:lineRule="exact"/>
              <w:ind w:left="867"/>
              <w:rPr>
                <w:sz w:val="18"/>
              </w:rPr>
            </w:pPr>
            <w:r>
              <w:rPr>
                <w:sz w:val="18"/>
              </w:rPr>
              <w:t>61.356</w:t>
            </w:r>
          </w:p>
        </w:tc>
        <w:tc>
          <w:tcPr>
            <w:tcW w:w="1438" w:type="dxa"/>
            <w:vMerge w:val="restart"/>
            <w:tcBorders>
              <w:left w:val="single" w:sz="8" w:space="0" w:color="000000"/>
            </w:tcBorders>
          </w:tcPr>
          <w:p>
            <w:pPr>
              <w:pStyle w:val="TableParagraph"/>
              <w:spacing w:line="206" w:lineRule="exact"/>
              <w:ind w:left="872"/>
              <w:rPr>
                <w:sz w:val="18"/>
              </w:rPr>
            </w:pPr>
            <w:r>
              <w:rPr>
                <w:sz w:val="18"/>
              </w:rPr>
              <w:t>61.356</w:t>
            </w:r>
          </w:p>
        </w:tc>
      </w:tr>
      <w:tr>
        <w:trPr>
          <w:trHeight w:val="342" w:hRule="atLeast"/>
        </w:trPr>
        <w:tc>
          <w:tcPr>
            <w:tcW w:w="1279" w:type="dxa"/>
            <w:tcBorders>
              <w:top w:val="nil"/>
              <w:bottom w:val="nil"/>
            </w:tcBorders>
          </w:tcPr>
          <w:p>
            <w:pPr>
              <w:pStyle w:val="TableParagraph"/>
              <w:spacing w:before="51"/>
              <w:ind w:left="75"/>
              <w:rPr>
                <w:sz w:val="18"/>
              </w:rPr>
            </w:pPr>
            <w:r>
              <w:rPr>
                <w:sz w:val="18"/>
              </w:rPr>
              <w:t>2</w:t>
            </w:r>
          </w:p>
        </w:tc>
        <w:tc>
          <w:tcPr>
            <w:tcW w:w="999" w:type="dxa"/>
            <w:tcBorders>
              <w:top w:val="nil"/>
              <w:bottom w:val="nil"/>
              <w:right w:val="single" w:sz="8" w:space="0" w:color="000000"/>
            </w:tcBorders>
          </w:tcPr>
          <w:p>
            <w:pPr>
              <w:pStyle w:val="TableParagraph"/>
              <w:spacing w:before="51"/>
              <w:ind w:right="40"/>
              <w:jc w:val="right"/>
              <w:rPr>
                <w:sz w:val="18"/>
              </w:rPr>
            </w:pPr>
            <w:r>
              <w:rPr>
                <w:sz w:val="18"/>
              </w:rPr>
              <w:t>.681</w:t>
            </w:r>
          </w:p>
        </w:tc>
        <w:tc>
          <w:tcPr>
            <w:tcW w:w="1424" w:type="dxa"/>
            <w:tcBorders>
              <w:top w:val="nil"/>
              <w:left w:val="single" w:sz="8" w:space="0" w:color="000000"/>
              <w:bottom w:val="nil"/>
              <w:right w:val="single" w:sz="8" w:space="0" w:color="000000"/>
            </w:tcBorders>
          </w:tcPr>
          <w:p>
            <w:pPr>
              <w:pStyle w:val="TableParagraph"/>
              <w:spacing w:before="51"/>
              <w:ind w:right="39"/>
              <w:jc w:val="right"/>
              <w:rPr>
                <w:sz w:val="18"/>
              </w:rPr>
            </w:pPr>
            <w:r>
              <w:rPr>
                <w:sz w:val="18"/>
              </w:rPr>
              <w:t>11.358</w:t>
            </w:r>
          </w:p>
        </w:tc>
        <w:tc>
          <w:tcPr>
            <w:tcW w:w="1438" w:type="dxa"/>
            <w:tcBorders>
              <w:top w:val="nil"/>
              <w:left w:val="single" w:sz="8" w:space="0" w:color="000000"/>
              <w:bottom w:val="nil"/>
              <w:right w:val="single" w:sz="8" w:space="0" w:color="000000"/>
            </w:tcBorders>
          </w:tcPr>
          <w:p>
            <w:pPr>
              <w:pStyle w:val="TableParagraph"/>
              <w:spacing w:before="51"/>
              <w:ind w:right="38"/>
              <w:jc w:val="right"/>
              <w:rPr>
                <w:sz w:val="18"/>
              </w:rPr>
            </w:pPr>
            <w:r>
              <w:rPr>
                <w:sz w:val="18"/>
              </w:rPr>
              <w:t>72.714</w:t>
            </w:r>
          </w:p>
        </w:tc>
        <w:tc>
          <w:tcPr>
            <w:tcW w:w="1147" w:type="dxa"/>
            <w:vMerge/>
            <w:tcBorders>
              <w:top w:val="nil"/>
              <w:left w:val="single" w:sz="8" w:space="0" w:color="000000"/>
              <w:right w:val="single" w:sz="8" w:space="0" w:color="000000"/>
            </w:tcBorders>
          </w:tcPr>
          <w:p>
            <w:pPr>
              <w:rPr>
                <w:sz w:val="2"/>
                <w:szCs w:val="2"/>
              </w:rPr>
            </w:pPr>
          </w:p>
        </w:tc>
        <w:tc>
          <w:tcPr>
            <w:tcW w:w="1424" w:type="dxa"/>
            <w:vMerge/>
            <w:tcBorders>
              <w:top w:val="nil"/>
              <w:left w:val="single" w:sz="8" w:space="0" w:color="000000"/>
              <w:right w:val="single" w:sz="8" w:space="0" w:color="000000"/>
            </w:tcBorders>
          </w:tcPr>
          <w:p>
            <w:pPr>
              <w:rPr>
                <w:sz w:val="2"/>
                <w:szCs w:val="2"/>
              </w:rPr>
            </w:pPr>
          </w:p>
        </w:tc>
        <w:tc>
          <w:tcPr>
            <w:tcW w:w="1438" w:type="dxa"/>
            <w:vMerge/>
            <w:tcBorders>
              <w:top w:val="nil"/>
              <w:left w:val="single" w:sz="8" w:space="0" w:color="000000"/>
            </w:tcBorders>
          </w:tcPr>
          <w:p>
            <w:pPr>
              <w:rPr>
                <w:sz w:val="2"/>
                <w:szCs w:val="2"/>
              </w:rPr>
            </w:pPr>
          </w:p>
        </w:tc>
      </w:tr>
      <w:tr>
        <w:trPr>
          <w:trHeight w:val="369" w:hRule="atLeast"/>
        </w:trPr>
        <w:tc>
          <w:tcPr>
            <w:tcW w:w="1279" w:type="dxa"/>
            <w:tcBorders>
              <w:top w:val="nil"/>
              <w:bottom w:val="nil"/>
            </w:tcBorders>
          </w:tcPr>
          <w:p>
            <w:pPr>
              <w:pStyle w:val="TableParagraph"/>
              <w:spacing w:before="76"/>
              <w:ind w:left="75"/>
              <w:rPr>
                <w:sz w:val="18"/>
              </w:rPr>
            </w:pPr>
            <w:r>
              <w:rPr>
                <w:sz w:val="18"/>
              </w:rPr>
              <w:t>3</w:t>
            </w:r>
          </w:p>
        </w:tc>
        <w:tc>
          <w:tcPr>
            <w:tcW w:w="999" w:type="dxa"/>
            <w:tcBorders>
              <w:top w:val="nil"/>
              <w:bottom w:val="nil"/>
              <w:right w:val="single" w:sz="8" w:space="0" w:color="000000"/>
            </w:tcBorders>
          </w:tcPr>
          <w:p>
            <w:pPr>
              <w:pStyle w:val="TableParagraph"/>
              <w:spacing w:before="76"/>
              <w:ind w:right="40"/>
              <w:jc w:val="right"/>
              <w:rPr>
                <w:sz w:val="18"/>
              </w:rPr>
            </w:pPr>
            <w:r>
              <w:rPr>
                <w:sz w:val="18"/>
              </w:rPr>
              <w:t>.537</w:t>
            </w:r>
          </w:p>
        </w:tc>
        <w:tc>
          <w:tcPr>
            <w:tcW w:w="1424" w:type="dxa"/>
            <w:tcBorders>
              <w:top w:val="nil"/>
              <w:left w:val="single" w:sz="8" w:space="0" w:color="000000"/>
              <w:bottom w:val="nil"/>
              <w:right w:val="single" w:sz="8" w:space="0" w:color="000000"/>
            </w:tcBorders>
          </w:tcPr>
          <w:p>
            <w:pPr>
              <w:pStyle w:val="TableParagraph"/>
              <w:spacing w:before="76"/>
              <w:ind w:right="38"/>
              <w:jc w:val="right"/>
              <w:rPr>
                <w:sz w:val="18"/>
              </w:rPr>
            </w:pPr>
            <w:r>
              <w:rPr>
                <w:sz w:val="18"/>
              </w:rPr>
              <w:t>8.946</w:t>
            </w:r>
          </w:p>
        </w:tc>
        <w:tc>
          <w:tcPr>
            <w:tcW w:w="1438" w:type="dxa"/>
            <w:tcBorders>
              <w:top w:val="nil"/>
              <w:left w:val="single" w:sz="8" w:space="0" w:color="000000"/>
              <w:bottom w:val="nil"/>
              <w:right w:val="single" w:sz="8" w:space="0" w:color="000000"/>
            </w:tcBorders>
          </w:tcPr>
          <w:p>
            <w:pPr>
              <w:pStyle w:val="TableParagraph"/>
              <w:spacing w:before="76"/>
              <w:ind w:right="37"/>
              <w:jc w:val="right"/>
              <w:rPr>
                <w:sz w:val="18"/>
              </w:rPr>
            </w:pPr>
            <w:r>
              <w:rPr>
                <w:sz w:val="18"/>
              </w:rPr>
              <w:t>81.660</w:t>
            </w:r>
          </w:p>
        </w:tc>
        <w:tc>
          <w:tcPr>
            <w:tcW w:w="1147" w:type="dxa"/>
            <w:vMerge/>
            <w:tcBorders>
              <w:top w:val="nil"/>
              <w:left w:val="single" w:sz="8" w:space="0" w:color="000000"/>
              <w:right w:val="single" w:sz="8" w:space="0" w:color="000000"/>
            </w:tcBorders>
          </w:tcPr>
          <w:p>
            <w:pPr>
              <w:rPr>
                <w:sz w:val="2"/>
                <w:szCs w:val="2"/>
              </w:rPr>
            </w:pPr>
          </w:p>
        </w:tc>
        <w:tc>
          <w:tcPr>
            <w:tcW w:w="1424" w:type="dxa"/>
            <w:vMerge/>
            <w:tcBorders>
              <w:top w:val="nil"/>
              <w:left w:val="single" w:sz="8" w:space="0" w:color="000000"/>
              <w:right w:val="single" w:sz="8" w:space="0" w:color="000000"/>
            </w:tcBorders>
          </w:tcPr>
          <w:p>
            <w:pPr>
              <w:rPr>
                <w:sz w:val="2"/>
                <w:szCs w:val="2"/>
              </w:rPr>
            </w:pPr>
          </w:p>
        </w:tc>
        <w:tc>
          <w:tcPr>
            <w:tcW w:w="1438" w:type="dxa"/>
            <w:vMerge/>
            <w:tcBorders>
              <w:top w:val="nil"/>
              <w:left w:val="single" w:sz="8" w:space="0" w:color="000000"/>
            </w:tcBorders>
          </w:tcPr>
          <w:p>
            <w:pPr>
              <w:rPr>
                <w:sz w:val="2"/>
                <w:szCs w:val="2"/>
              </w:rPr>
            </w:pPr>
          </w:p>
        </w:tc>
      </w:tr>
      <w:tr>
        <w:trPr>
          <w:trHeight w:val="369" w:hRule="atLeast"/>
        </w:trPr>
        <w:tc>
          <w:tcPr>
            <w:tcW w:w="1279" w:type="dxa"/>
            <w:tcBorders>
              <w:top w:val="nil"/>
              <w:bottom w:val="nil"/>
            </w:tcBorders>
          </w:tcPr>
          <w:p>
            <w:pPr>
              <w:pStyle w:val="TableParagraph"/>
              <w:spacing w:before="77"/>
              <w:ind w:left="75"/>
              <w:rPr>
                <w:sz w:val="18"/>
              </w:rPr>
            </w:pPr>
            <w:r>
              <w:rPr>
                <w:sz w:val="18"/>
              </w:rPr>
              <w:t>4</w:t>
            </w:r>
          </w:p>
        </w:tc>
        <w:tc>
          <w:tcPr>
            <w:tcW w:w="999" w:type="dxa"/>
            <w:tcBorders>
              <w:top w:val="nil"/>
              <w:bottom w:val="nil"/>
              <w:right w:val="single" w:sz="8" w:space="0" w:color="000000"/>
            </w:tcBorders>
          </w:tcPr>
          <w:p>
            <w:pPr>
              <w:pStyle w:val="TableParagraph"/>
              <w:spacing w:before="77"/>
              <w:ind w:right="40"/>
              <w:jc w:val="right"/>
              <w:rPr>
                <w:sz w:val="18"/>
              </w:rPr>
            </w:pPr>
            <w:r>
              <w:rPr>
                <w:sz w:val="18"/>
              </w:rPr>
              <w:t>.484</w:t>
            </w:r>
          </w:p>
        </w:tc>
        <w:tc>
          <w:tcPr>
            <w:tcW w:w="1424" w:type="dxa"/>
            <w:tcBorders>
              <w:top w:val="nil"/>
              <w:left w:val="single" w:sz="8" w:space="0" w:color="000000"/>
              <w:bottom w:val="nil"/>
              <w:right w:val="single" w:sz="8" w:space="0" w:color="000000"/>
            </w:tcBorders>
          </w:tcPr>
          <w:p>
            <w:pPr>
              <w:pStyle w:val="TableParagraph"/>
              <w:spacing w:before="77"/>
              <w:ind w:right="38"/>
              <w:jc w:val="right"/>
              <w:rPr>
                <w:sz w:val="18"/>
              </w:rPr>
            </w:pPr>
            <w:r>
              <w:rPr>
                <w:sz w:val="18"/>
              </w:rPr>
              <w:t>8.071</w:t>
            </w:r>
          </w:p>
        </w:tc>
        <w:tc>
          <w:tcPr>
            <w:tcW w:w="1438" w:type="dxa"/>
            <w:tcBorders>
              <w:top w:val="nil"/>
              <w:left w:val="single" w:sz="8" w:space="0" w:color="000000"/>
              <w:bottom w:val="nil"/>
              <w:right w:val="single" w:sz="8" w:space="0" w:color="000000"/>
            </w:tcBorders>
          </w:tcPr>
          <w:p>
            <w:pPr>
              <w:pStyle w:val="TableParagraph"/>
              <w:spacing w:before="77"/>
              <w:ind w:right="37"/>
              <w:jc w:val="right"/>
              <w:rPr>
                <w:sz w:val="18"/>
              </w:rPr>
            </w:pPr>
            <w:r>
              <w:rPr>
                <w:sz w:val="18"/>
              </w:rPr>
              <w:t>89.731</w:t>
            </w:r>
          </w:p>
        </w:tc>
        <w:tc>
          <w:tcPr>
            <w:tcW w:w="1147" w:type="dxa"/>
            <w:vMerge/>
            <w:tcBorders>
              <w:top w:val="nil"/>
              <w:left w:val="single" w:sz="8" w:space="0" w:color="000000"/>
              <w:right w:val="single" w:sz="8" w:space="0" w:color="000000"/>
            </w:tcBorders>
          </w:tcPr>
          <w:p>
            <w:pPr>
              <w:rPr>
                <w:sz w:val="2"/>
                <w:szCs w:val="2"/>
              </w:rPr>
            </w:pPr>
          </w:p>
        </w:tc>
        <w:tc>
          <w:tcPr>
            <w:tcW w:w="1424" w:type="dxa"/>
            <w:vMerge/>
            <w:tcBorders>
              <w:top w:val="nil"/>
              <w:left w:val="single" w:sz="8" w:space="0" w:color="000000"/>
              <w:right w:val="single" w:sz="8" w:space="0" w:color="000000"/>
            </w:tcBorders>
          </w:tcPr>
          <w:p>
            <w:pPr>
              <w:rPr>
                <w:sz w:val="2"/>
                <w:szCs w:val="2"/>
              </w:rPr>
            </w:pPr>
          </w:p>
        </w:tc>
        <w:tc>
          <w:tcPr>
            <w:tcW w:w="1438" w:type="dxa"/>
            <w:vMerge/>
            <w:tcBorders>
              <w:top w:val="nil"/>
              <w:left w:val="single" w:sz="8" w:space="0" w:color="000000"/>
            </w:tcBorders>
          </w:tcPr>
          <w:p>
            <w:pPr>
              <w:rPr>
                <w:sz w:val="2"/>
                <w:szCs w:val="2"/>
              </w:rPr>
            </w:pPr>
          </w:p>
        </w:tc>
      </w:tr>
      <w:tr>
        <w:trPr>
          <w:trHeight w:val="368" w:hRule="atLeast"/>
        </w:trPr>
        <w:tc>
          <w:tcPr>
            <w:tcW w:w="1279" w:type="dxa"/>
            <w:tcBorders>
              <w:top w:val="nil"/>
              <w:bottom w:val="nil"/>
            </w:tcBorders>
          </w:tcPr>
          <w:p>
            <w:pPr>
              <w:pStyle w:val="TableParagraph"/>
              <w:spacing w:before="76"/>
              <w:ind w:left="75"/>
              <w:rPr>
                <w:sz w:val="18"/>
              </w:rPr>
            </w:pPr>
            <w:r>
              <w:rPr>
                <w:sz w:val="18"/>
              </w:rPr>
              <w:t>5</w:t>
            </w:r>
          </w:p>
        </w:tc>
        <w:tc>
          <w:tcPr>
            <w:tcW w:w="999" w:type="dxa"/>
            <w:tcBorders>
              <w:top w:val="nil"/>
              <w:bottom w:val="nil"/>
              <w:right w:val="single" w:sz="8" w:space="0" w:color="000000"/>
            </w:tcBorders>
          </w:tcPr>
          <w:p>
            <w:pPr>
              <w:pStyle w:val="TableParagraph"/>
              <w:spacing w:before="76"/>
              <w:ind w:right="41"/>
              <w:jc w:val="right"/>
              <w:rPr>
                <w:sz w:val="18"/>
              </w:rPr>
            </w:pPr>
            <w:r>
              <w:rPr>
                <w:sz w:val="18"/>
              </w:rPr>
              <w:t>.346</w:t>
            </w:r>
          </w:p>
        </w:tc>
        <w:tc>
          <w:tcPr>
            <w:tcW w:w="1424" w:type="dxa"/>
            <w:tcBorders>
              <w:top w:val="nil"/>
              <w:left w:val="single" w:sz="8" w:space="0" w:color="000000"/>
              <w:bottom w:val="nil"/>
              <w:right w:val="single" w:sz="8" w:space="0" w:color="000000"/>
            </w:tcBorders>
          </w:tcPr>
          <w:p>
            <w:pPr>
              <w:pStyle w:val="TableParagraph"/>
              <w:spacing w:before="76"/>
              <w:ind w:right="38"/>
              <w:jc w:val="right"/>
              <w:rPr>
                <w:sz w:val="18"/>
              </w:rPr>
            </w:pPr>
            <w:r>
              <w:rPr>
                <w:sz w:val="18"/>
              </w:rPr>
              <w:t>5.763</w:t>
            </w:r>
          </w:p>
        </w:tc>
        <w:tc>
          <w:tcPr>
            <w:tcW w:w="1438" w:type="dxa"/>
            <w:tcBorders>
              <w:top w:val="nil"/>
              <w:left w:val="single" w:sz="8" w:space="0" w:color="000000"/>
              <w:bottom w:val="nil"/>
              <w:right w:val="single" w:sz="8" w:space="0" w:color="000000"/>
            </w:tcBorders>
          </w:tcPr>
          <w:p>
            <w:pPr>
              <w:pStyle w:val="TableParagraph"/>
              <w:spacing w:before="76"/>
              <w:ind w:right="37"/>
              <w:jc w:val="right"/>
              <w:rPr>
                <w:sz w:val="18"/>
              </w:rPr>
            </w:pPr>
            <w:r>
              <w:rPr>
                <w:sz w:val="18"/>
              </w:rPr>
              <w:t>95.494</w:t>
            </w:r>
          </w:p>
        </w:tc>
        <w:tc>
          <w:tcPr>
            <w:tcW w:w="1147" w:type="dxa"/>
            <w:vMerge/>
            <w:tcBorders>
              <w:top w:val="nil"/>
              <w:left w:val="single" w:sz="8" w:space="0" w:color="000000"/>
              <w:right w:val="single" w:sz="8" w:space="0" w:color="000000"/>
            </w:tcBorders>
          </w:tcPr>
          <w:p>
            <w:pPr>
              <w:rPr>
                <w:sz w:val="2"/>
                <w:szCs w:val="2"/>
              </w:rPr>
            </w:pPr>
          </w:p>
        </w:tc>
        <w:tc>
          <w:tcPr>
            <w:tcW w:w="1424" w:type="dxa"/>
            <w:vMerge/>
            <w:tcBorders>
              <w:top w:val="nil"/>
              <w:left w:val="single" w:sz="8" w:space="0" w:color="000000"/>
              <w:right w:val="single" w:sz="8" w:space="0" w:color="000000"/>
            </w:tcBorders>
          </w:tcPr>
          <w:p>
            <w:pPr>
              <w:rPr>
                <w:sz w:val="2"/>
                <w:szCs w:val="2"/>
              </w:rPr>
            </w:pPr>
          </w:p>
        </w:tc>
        <w:tc>
          <w:tcPr>
            <w:tcW w:w="1438" w:type="dxa"/>
            <w:vMerge/>
            <w:tcBorders>
              <w:top w:val="nil"/>
              <w:left w:val="single" w:sz="8" w:space="0" w:color="000000"/>
            </w:tcBorders>
          </w:tcPr>
          <w:p>
            <w:pPr>
              <w:rPr>
                <w:sz w:val="2"/>
                <w:szCs w:val="2"/>
              </w:rPr>
            </w:pPr>
          </w:p>
        </w:tc>
      </w:tr>
      <w:tr>
        <w:trPr>
          <w:trHeight w:val="436" w:hRule="atLeast"/>
        </w:trPr>
        <w:tc>
          <w:tcPr>
            <w:tcW w:w="1279" w:type="dxa"/>
            <w:tcBorders>
              <w:top w:val="nil"/>
            </w:tcBorders>
          </w:tcPr>
          <w:p>
            <w:pPr>
              <w:pStyle w:val="TableParagraph"/>
              <w:spacing w:before="77"/>
              <w:ind w:left="75"/>
              <w:rPr>
                <w:sz w:val="18"/>
              </w:rPr>
            </w:pPr>
            <w:r>
              <w:rPr>
                <w:sz w:val="18"/>
              </w:rPr>
              <w:t>6</w:t>
            </w:r>
          </w:p>
        </w:tc>
        <w:tc>
          <w:tcPr>
            <w:tcW w:w="999" w:type="dxa"/>
            <w:tcBorders>
              <w:top w:val="nil"/>
              <w:right w:val="single" w:sz="8" w:space="0" w:color="000000"/>
            </w:tcBorders>
          </w:tcPr>
          <w:p>
            <w:pPr>
              <w:pStyle w:val="TableParagraph"/>
              <w:spacing w:before="77"/>
              <w:ind w:right="40"/>
              <w:jc w:val="right"/>
              <w:rPr>
                <w:sz w:val="18"/>
              </w:rPr>
            </w:pPr>
            <w:r>
              <w:rPr>
                <w:sz w:val="18"/>
              </w:rPr>
              <w:t>.270</w:t>
            </w:r>
          </w:p>
        </w:tc>
        <w:tc>
          <w:tcPr>
            <w:tcW w:w="1424" w:type="dxa"/>
            <w:tcBorders>
              <w:top w:val="nil"/>
              <w:left w:val="single" w:sz="8" w:space="0" w:color="000000"/>
              <w:right w:val="single" w:sz="8" w:space="0" w:color="000000"/>
            </w:tcBorders>
          </w:tcPr>
          <w:p>
            <w:pPr>
              <w:pStyle w:val="TableParagraph"/>
              <w:spacing w:before="77"/>
              <w:ind w:right="38"/>
              <w:jc w:val="right"/>
              <w:rPr>
                <w:sz w:val="18"/>
              </w:rPr>
            </w:pPr>
            <w:r>
              <w:rPr>
                <w:sz w:val="18"/>
              </w:rPr>
              <w:t>4.506</w:t>
            </w:r>
          </w:p>
        </w:tc>
        <w:tc>
          <w:tcPr>
            <w:tcW w:w="1438" w:type="dxa"/>
            <w:tcBorders>
              <w:top w:val="nil"/>
              <w:left w:val="single" w:sz="8" w:space="0" w:color="000000"/>
              <w:right w:val="single" w:sz="8" w:space="0" w:color="000000"/>
            </w:tcBorders>
          </w:tcPr>
          <w:p>
            <w:pPr>
              <w:pStyle w:val="TableParagraph"/>
              <w:spacing w:before="77"/>
              <w:ind w:right="38"/>
              <w:jc w:val="right"/>
              <w:rPr>
                <w:sz w:val="18"/>
              </w:rPr>
            </w:pPr>
            <w:r>
              <w:rPr>
                <w:sz w:val="18"/>
              </w:rPr>
              <w:t>100.000</w:t>
            </w:r>
          </w:p>
        </w:tc>
        <w:tc>
          <w:tcPr>
            <w:tcW w:w="1147" w:type="dxa"/>
            <w:vMerge/>
            <w:tcBorders>
              <w:top w:val="nil"/>
              <w:left w:val="single" w:sz="8" w:space="0" w:color="000000"/>
              <w:right w:val="single" w:sz="8" w:space="0" w:color="000000"/>
            </w:tcBorders>
          </w:tcPr>
          <w:p>
            <w:pPr>
              <w:rPr>
                <w:sz w:val="2"/>
                <w:szCs w:val="2"/>
              </w:rPr>
            </w:pPr>
          </w:p>
        </w:tc>
        <w:tc>
          <w:tcPr>
            <w:tcW w:w="1424" w:type="dxa"/>
            <w:vMerge/>
            <w:tcBorders>
              <w:top w:val="nil"/>
              <w:left w:val="single" w:sz="8" w:space="0" w:color="000000"/>
              <w:right w:val="single" w:sz="8" w:space="0" w:color="000000"/>
            </w:tcBorders>
          </w:tcPr>
          <w:p>
            <w:pPr>
              <w:rPr>
                <w:sz w:val="2"/>
                <w:szCs w:val="2"/>
              </w:rPr>
            </w:pPr>
          </w:p>
        </w:tc>
        <w:tc>
          <w:tcPr>
            <w:tcW w:w="1438" w:type="dxa"/>
            <w:vMerge/>
            <w:tcBorders>
              <w:top w:val="nil"/>
              <w:left w:val="single" w:sz="8" w:space="0" w:color="000000"/>
            </w:tcBorders>
          </w:tcPr>
          <w:p>
            <w:pPr>
              <w:rPr>
                <w:sz w:val="2"/>
                <w:szCs w:val="2"/>
              </w:rPr>
            </w:pPr>
          </w:p>
        </w:tc>
      </w:tr>
    </w:tbl>
    <w:p>
      <w:pPr>
        <w:pStyle w:val="BodyText"/>
        <w:rPr>
          <w:b/>
          <w:sz w:val="20"/>
        </w:rPr>
      </w:pPr>
    </w:p>
    <w:p>
      <w:pPr>
        <w:pStyle w:val="BodyText"/>
        <w:rPr>
          <w:b/>
          <w:sz w:val="20"/>
        </w:rPr>
      </w:pPr>
    </w:p>
    <w:p>
      <w:pPr>
        <w:pStyle w:val="BodyText"/>
        <w:rPr>
          <w:b/>
          <w:sz w:val="20"/>
        </w:rPr>
      </w:pPr>
    </w:p>
    <w:p>
      <w:pPr>
        <w:pStyle w:val="BodyText"/>
        <w:spacing w:before="10" w:after="1"/>
        <w:rPr>
          <w:b/>
          <w:sz w:val="29"/>
        </w:rPr>
      </w:pPr>
    </w:p>
    <w:tbl>
      <w:tblPr>
        <w:tblW w:w="0" w:type="auto"/>
        <w:jc w:val="left"/>
        <w:tblInd w:w="907" w:type="dxa"/>
        <w:tblBorders>
          <w:top w:val="single" w:sz="18" w:space="0" w:color="000000"/>
          <w:left w:val="single" w:sz="18" w:space="0" w:color="000000"/>
          <w:bottom w:val="single" w:sz="18" w:space="0" w:color="000000"/>
          <w:right w:val="single" w:sz="18" w:space="0" w:color="000000"/>
          <w:insideH w:val="single" w:sz="18" w:space="0" w:color="000000"/>
          <w:insideV w:val="single" w:sz="18" w:space="0" w:color="000000"/>
        </w:tblBorders>
        <w:tblLayout w:type="fixed"/>
        <w:tblCellMar>
          <w:top w:w="0" w:type="dxa"/>
          <w:left w:w="0" w:type="dxa"/>
          <w:bottom w:w="0" w:type="dxa"/>
          <w:right w:w="0" w:type="dxa"/>
        </w:tblCellMar>
        <w:tblLook w:val="01E0"/>
      </w:tblPr>
      <w:tblGrid>
        <w:gridCol w:w="742"/>
        <w:gridCol w:w="1263"/>
      </w:tblGrid>
      <w:tr>
        <w:trPr>
          <w:trHeight w:val="295" w:hRule="atLeast"/>
        </w:trPr>
        <w:tc>
          <w:tcPr>
            <w:tcW w:w="742" w:type="dxa"/>
            <w:vMerge w:val="restart"/>
          </w:tcPr>
          <w:p>
            <w:pPr>
              <w:pStyle w:val="TableParagraph"/>
              <w:rPr>
                <w:sz w:val="18"/>
              </w:rPr>
            </w:pPr>
          </w:p>
        </w:tc>
        <w:tc>
          <w:tcPr>
            <w:tcW w:w="1263" w:type="dxa"/>
            <w:tcBorders>
              <w:bottom w:val="single" w:sz="8" w:space="0" w:color="000000"/>
            </w:tcBorders>
          </w:tcPr>
          <w:p>
            <w:pPr>
              <w:pStyle w:val="TableParagraph"/>
              <w:spacing w:line="206" w:lineRule="exact"/>
              <w:ind w:left="200"/>
              <w:rPr>
                <w:sz w:val="18"/>
              </w:rPr>
            </w:pPr>
            <w:r>
              <w:rPr>
                <w:sz w:val="18"/>
              </w:rPr>
              <w:t>Component</w:t>
            </w:r>
          </w:p>
        </w:tc>
      </w:tr>
      <w:tr>
        <w:trPr>
          <w:trHeight w:val="315" w:hRule="atLeast"/>
        </w:trPr>
        <w:tc>
          <w:tcPr>
            <w:tcW w:w="742" w:type="dxa"/>
            <w:vMerge/>
            <w:tcBorders>
              <w:top w:val="nil"/>
            </w:tcBorders>
          </w:tcPr>
          <w:p>
            <w:pPr>
              <w:rPr>
                <w:sz w:val="2"/>
                <w:szCs w:val="2"/>
              </w:rPr>
            </w:pPr>
          </w:p>
        </w:tc>
        <w:tc>
          <w:tcPr>
            <w:tcW w:w="1263" w:type="dxa"/>
            <w:tcBorders>
              <w:top w:val="single" w:sz="8" w:space="0" w:color="000000"/>
            </w:tcBorders>
          </w:tcPr>
          <w:p>
            <w:pPr>
              <w:pStyle w:val="TableParagraph"/>
              <w:spacing w:before="8"/>
              <w:ind w:left="21"/>
              <w:jc w:val="center"/>
              <w:rPr>
                <w:sz w:val="18"/>
              </w:rPr>
            </w:pPr>
            <w:r>
              <w:rPr>
                <w:sz w:val="18"/>
              </w:rPr>
              <w:t>1</w:t>
            </w:r>
          </w:p>
        </w:tc>
      </w:tr>
      <w:tr>
        <w:trPr>
          <w:trHeight w:val="262" w:hRule="atLeast"/>
        </w:trPr>
        <w:tc>
          <w:tcPr>
            <w:tcW w:w="742" w:type="dxa"/>
            <w:tcBorders>
              <w:bottom w:val="nil"/>
            </w:tcBorders>
          </w:tcPr>
          <w:p>
            <w:pPr>
              <w:pStyle w:val="TableParagraph"/>
              <w:spacing w:line="206" w:lineRule="exact"/>
              <w:ind w:left="75"/>
              <w:rPr>
                <w:sz w:val="18"/>
              </w:rPr>
            </w:pPr>
            <w:r>
              <w:rPr>
                <w:sz w:val="18"/>
              </w:rPr>
              <w:t>VT2</w:t>
            </w:r>
          </w:p>
        </w:tc>
        <w:tc>
          <w:tcPr>
            <w:tcW w:w="1263" w:type="dxa"/>
            <w:tcBorders>
              <w:bottom w:val="nil"/>
            </w:tcBorders>
          </w:tcPr>
          <w:p>
            <w:pPr>
              <w:pStyle w:val="TableParagraph"/>
              <w:spacing w:line="206" w:lineRule="exact"/>
              <w:ind w:right="37"/>
              <w:jc w:val="right"/>
              <w:rPr>
                <w:sz w:val="18"/>
              </w:rPr>
            </w:pPr>
            <w:r>
              <w:rPr>
                <w:sz w:val="18"/>
              </w:rPr>
              <w:t>.791</w:t>
            </w:r>
          </w:p>
        </w:tc>
      </w:tr>
      <w:tr>
        <w:trPr>
          <w:trHeight w:val="310" w:hRule="atLeast"/>
        </w:trPr>
        <w:tc>
          <w:tcPr>
            <w:tcW w:w="742" w:type="dxa"/>
            <w:tcBorders>
              <w:top w:val="nil"/>
              <w:bottom w:val="nil"/>
            </w:tcBorders>
          </w:tcPr>
          <w:p>
            <w:pPr>
              <w:pStyle w:val="TableParagraph"/>
              <w:spacing w:before="48"/>
              <w:ind w:left="75"/>
              <w:rPr>
                <w:sz w:val="18"/>
              </w:rPr>
            </w:pPr>
            <w:r>
              <w:rPr>
                <w:sz w:val="18"/>
              </w:rPr>
              <w:t>VT3</w:t>
            </w:r>
          </w:p>
        </w:tc>
        <w:tc>
          <w:tcPr>
            <w:tcW w:w="1263" w:type="dxa"/>
            <w:tcBorders>
              <w:top w:val="nil"/>
              <w:bottom w:val="nil"/>
            </w:tcBorders>
          </w:tcPr>
          <w:p>
            <w:pPr>
              <w:pStyle w:val="TableParagraph"/>
              <w:spacing w:before="48"/>
              <w:ind w:right="37"/>
              <w:jc w:val="right"/>
              <w:rPr>
                <w:sz w:val="18"/>
              </w:rPr>
            </w:pPr>
            <w:r>
              <w:rPr>
                <w:sz w:val="18"/>
              </w:rPr>
              <w:t>.745</w:t>
            </w:r>
          </w:p>
        </w:tc>
      </w:tr>
      <w:tr>
        <w:trPr>
          <w:trHeight w:val="309" w:hRule="atLeast"/>
        </w:trPr>
        <w:tc>
          <w:tcPr>
            <w:tcW w:w="742" w:type="dxa"/>
            <w:tcBorders>
              <w:top w:val="nil"/>
              <w:bottom w:val="nil"/>
            </w:tcBorders>
          </w:tcPr>
          <w:p>
            <w:pPr>
              <w:pStyle w:val="TableParagraph"/>
              <w:spacing w:before="47"/>
              <w:ind w:left="75"/>
              <w:rPr>
                <w:sz w:val="18"/>
              </w:rPr>
            </w:pPr>
            <w:r>
              <w:rPr>
                <w:sz w:val="18"/>
              </w:rPr>
              <w:t>VT5</w:t>
            </w:r>
          </w:p>
        </w:tc>
        <w:tc>
          <w:tcPr>
            <w:tcW w:w="1263" w:type="dxa"/>
            <w:tcBorders>
              <w:top w:val="nil"/>
              <w:bottom w:val="nil"/>
            </w:tcBorders>
          </w:tcPr>
          <w:p>
            <w:pPr>
              <w:pStyle w:val="TableParagraph"/>
              <w:spacing w:before="47"/>
              <w:ind w:right="38"/>
              <w:jc w:val="right"/>
              <w:rPr>
                <w:sz w:val="18"/>
              </w:rPr>
            </w:pPr>
            <w:r>
              <w:rPr>
                <w:sz w:val="18"/>
              </w:rPr>
              <w:t>.767</w:t>
            </w:r>
          </w:p>
        </w:tc>
      </w:tr>
      <w:tr>
        <w:trPr>
          <w:trHeight w:val="310" w:hRule="atLeast"/>
        </w:trPr>
        <w:tc>
          <w:tcPr>
            <w:tcW w:w="742" w:type="dxa"/>
            <w:tcBorders>
              <w:top w:val="nil"/>
              <w:bottom w:val="nil"/>
            </w:tcBorders>
          </w:tcPr>
          <w:p>
            <w:pPr>
              <w:pStyle w:val="TableParagraph"/>
              <w:spacing w:before="47"/>
              <w:ind w:left="75"/>
              <w:rPr>
                <w:sz w:val="18"/>
              </w:rPr>
            </w:pPr>
            <w:r>
              <w:rPr>
                <w:sz w:val="18"/>
              </w:rPr>
              <w:t>VT6</w:t>
            </w:r>
          </w:p>
        </w:tc>
        <w:tc>
          <w:tcPr>
            <w:tcW w:w="1263" w:type="dxa"/>
            <w:tcBorders>
              <w:top w:val="nil"/>
              <w:bottom w:val="nil"/>
            </w:tcBorders>
          </w:tcPr>
          <w:p>
            <w:pPr>
              <w:pStyle w:val="TableParagraph"/>
              <w:spacing w:before="47"/>
              <w:ind w:right="37"/>
              <w:jc w:val="right"/>
              <w:rPr>
                <w:sz w:val="18"/>
              </w:rPr>
            </w:pPr>
            <w:r>
              <w:rPr>
                <w:sz w:val="18"/>
              </w:rPr>
              <w:t>.773</w:t>
            </w:r>
          </w:p>
        </w:tc>
      </w:tr>
      <w:tr>
        <w:trPr>
          <w:trHeight w:val="310" w:hRule="atLeast"/>
        </w:trPr>
        <w:tc>
          <w:tcPr>
            <w:tcW w:w="742" w:type="dxa"/>
            <w:tcBorders>
              <w:top w:val="nil"/>
              <w:bottom w:val="nil"/>
            </w:tcBorders>
          </w:tcPr>
          <w:p>
            <w:pPr>
              <w:pStyle w:val="TableParagraph"/>
              <w:spacing w:before="48"/>
              <w:ind w:left="75"/>
              <w:rPr>
                <w:sz w:val="18"/>
              </w:rPr>
            </w:pPr>
            <w:r>
              <w:rPr>
                <w:sz w:val="18"/>
              </w:rPr>
              <w:t>VT7</w:t>
            </w:r>
          </w:p>
        </w:tc>
        <w:tc>
          <w:tcPr>
            <w:tcW w:w="1263" w:type="dxa"/>
            <w:tcBorders>
              <w:top w:val="nil"/>
              <w:bottom w:val="nil"/>
            </w:tcBorders>
          </w:tcPr>
          <w:p>
            <w:pPr>
              <w:pStyle w:val="TableParagraph"/>
              <w:spacing w:before="48"/>
              <w:ind w:right="37"/>
              <w:jc w:val="right"/>
              <w:rPr>
                <w:sz w:val="18"/>
              </w:rPr>
            </w:pPr>
            <w:r>
              <w:rPr>
                <w:sz w:val="18"/>
              </w:rPr>
              <w:t>.856</w:t>
            </w:r>
          </w:p>
        </w:tc>
      </w:tr>
      <w:tr>
        <w:trPr>
          <w:trHeight w:val="356" w:hRule="atLeast"/>
        </w:trPr>
        <w:tc>
          <w:tcPr>
            <w:tcW w:w="742" w:type="dxa"/>
            <w:tcBorders>
              <w:top w:val="nil"/>
            </w:tcBorders>
          </w:tcPr>
          <w:p>
            <w:pPr>
              <w:pStyle w:val="TableParagraph"/>
              <w:spacing w:before="47"/>
              <w:ind w:left="75"/>
              <w:rPr>
                <w:sz w:val="18"/>
              </w:rPr>
            </w:pPr>
            <w:r>
              <w:rPr>
                <w:sz w:val="18"/>
              </w:rPr>
              <w:t>VT9</w:t>
            </w:r>
          </w:p>
        </w:tc>
        <w:tc>
          <w:tcPr>
            <w:tcW w:w="1263" w:type="dxa"/>
            <w:tcBorders>
              <w:top w:val="nil"/>
            </w:tcBorders>
          </w:tcPr>
          <w:p>
            <w:pPr>
              <w:pStyle w:val="TableParagraph"/>
              <w:spacing w:before="47"/>
              <w:ind w:right="37"/>
              <w:jc w:val="right"/>
              <w:rPr>
                <w:sz w:val="18"/>
              </w:rPr>
            </w:pPr>
            <w:r>
              <w:rPr>
                <w:sz w:val="18"/>
              </w:rPr>
              <w:t>.763</w:t>
            </w:r>
          </w:p>
        </w:tc>
      </w:tr>
    </w:tbl>
    <w:p>
      <w:pPr>
        <w:pStyle w:val="ListParagraph"/>
        <w:numPr>
          <w:ilvl w:val="1"/>
          <w:numId w:val="46"/>
        </w:numPr>
        <w:tabs>
          <w:tab w:pos="1310" w:val="left" w:leader="none"/>
        </w:tabs>
        <w:spacing w:line="240" w:lineRule="auto" w:before="0" w:after="0"/>
        <w:ind w:left="1309" w:right="0" w:hanging="428"/>
        <w:jc w:val="left"/>
        <w:rPr>
          <w:b/>
          <w:i/>
          <w:sz w:val="24"/>
        </w:rPr>
      </w:pPr>
      <w:r>
        <w:rPr>
          <w:b/>
          <w:i/>
          <w:sz w:val="24"/>
          <w:u w:val="thick"/>
        </w:rPr>
        <w:t>Thang đo kết nối nội</w:t>
      </w:r>
      <w:r>
        <w:rPr>
          <w:b/>
          <w:i/>
          <w:spacing w:val="-3"/>
          <w:sz w:val="24"/>
          <w:u w:val="thick"/>
        </w:rPr>
        <w:t> </w:t>
      </w:r>
      <w:r>
        <w:rPr>
          <w:b/>
          <w:i/>
          <w:sz w:val="24"/>
          <w:u w:val="thick"/>
        </w:rPr>
        <w:t>địa</w:t>
      </w:r>
    </w:p>
    <w:p>
      <w:pPr>
        <w:pStyle w:val="BodyText"/>
        <w:rPr>
          <w:b/>
          <w:i/>
          <w:sz w:val="20"/>
        </w:rPr>
      </w:pPr>
    </w:p>
    <w:p>
      <w:pPr>
        <w:pStyle w:val="BodyText"/>
        <w:rPr>
          <w:b/>
          <w:i/>
          <w:sz w:val="20"/>
        </w:rPr>
      </w:pPr>
    </w:p>
    <w:p>
      <w:pPr>
        <w:spacing w:before="93"/>
        <w:ind w:left="1450" w:right="0" w:firstLine="0"/>
        <w:jc w:val="left"/>
        <w:rPr>
          <w:b/>
          <w:sz w:val="18"/>
        </w:rPr>
      </w:pPr>
      <w:r>
        <w:rPr>
          <w:b/>
          <w:sz w:val="18"/>
        </w:rPr>
        <w:t>Reliability Statistics</w:t>
      </w:r>
    </w:p>
    <w:p>
      <w:pPr>
        <w:pStyle w:val="BodyText"/>
        <w:spacing w:before="10"/>
        <w:rPr>
          <w:b/>
          <w:sz w:val="8"/>
        </w:rPr>
      </w:pPr>
    </w:p>
    <w:tbl>
      <w:tblPr>
        <w:tblW w:w="0" w:type="auto"/>
        <w:jc w:val="left"/>
        <w:tblInd w:w="907" w:type="dxa"/>
        <w:tblBorders>
          <w:top w:val="single" w:sz="18" w:space="0" w:color="000000"/>
          <w:left w:val="single" w:sz="18" w:space="0" w:color="000000"/>
          <w:bottom w:val="single" w:sz="18" w:space="0" w:color="000000"/>
          <w:right w:val="single" w:sz="18" w:space="0" w:color="000000"/>
          <w:insideH w:val="single" w:sz="18" w:space="0" w:color="000000"/>
          <w:insideV w:val="single" w:sz="18" w:space="0" w:color="000000"/>
        </w:tblBorders>
        <w:tblLayout w:type="fixed"/>
        <w:tblCellMar>
          <w:top w:w="0" w:type="dxa"/>
          <w:left w:w="0" w:type="dxa"/>
          <w:bottom w:w="0" w:type="dxa"/>
          <w:right w:w="0" w:type="dxa"/>
        </w:tblCellMar>
        <w:tblLook w:val="01E0"/>
      </w:tblPr>
      <w:tblGrid>
        <w:gridCol w:w="1512"/>
        <w:gridCol w:w="1165"/>
      </w:tblGrid>
      <w:tr>
        <w:trPr>
          <w:trHeight w:val="305" w:hRule="atLeast"/>
        </w:trPr>
        <w:tc>
          <w:tcPr>
            <w:tcW w:w="1512" w:type="dxa"/>
            <w:tcBorders>
              <w:right w:val="single" w:sz="8" w:space="0" w:color="000000"/>
            </w:tcBorders>
          </w:tcPr>
          <w:p>
            <w:pPr>
              <w:pStyle w:val="TableParagraph"/>
              <w:spacing w:line="206" w:lineRule="exact"/>
              <w:ind w:right="73"/>
              <w:jc w:val="right"/>
              <w:rPr>
                <w:sz w:val="18"/>
              </w:rPr>
            </w:pPr>
            <w:r>
              <w:rPr>
                <w:sz w:val="18"/>
              </w:rPr>
              <w:t>Cronbach's Alpha</w:t>
            </w:r>
          </w:p>
        </w:tc>
        <w:tc>
          <w:tcPr>
            <w:tcW w:w="1165" w:type="dxa"/>
            <w:tcBorders>
              <w:left w:val="single" w:sz="8" w:space="0" w:color="000000"/>
            </w:tcBorders>
          </w:tcPr>
          <w:p>
            <w:pPr>
              <w:pStyle w:val="TableParagraph"/>
              <w:spacing w:line="206" w:lineRule="exact"/>
              <w:ind w:left="201"/>
              <w:rPr>
                <w:sz w:val="18"/>
              </w:rPr>
            </w:pPr>
            <w:r>
              <w:rPr>
                <w:sz w:val="18"/>
              </w:rPr>
              <w:t>N of Items</w:t>
            </w:r>
          </w:p>
        </w:tc>
      </w:tr>
      <w:tr>
        <w:trPr>
          <w:trHeight w:val="308" w:hRule="atLeast"/>
        </w:trPr>
        <w:tc>
          <w:tcPr>
            <w:tcW w:w="1512" w:type="dxa"/>
            <w:tcBorders>
              <w:right w:val="single" w:sz="8" w:space="0" w:color="000000"/>
            </w:tcBorders>
          </w:tcPr>
          <w:p>
            <w:pPr>
              <w:pStyle w:val="TableParagraph"/>
              <w:spacing w:line="206" w:lineRule="exact"/>
              <w:ind w:right="38"/>
              <w:jc w:val="right"/>
              <w:rPr>
                <w:sz w:val="18"/>
              </w:rPr>
            </w:pPr>
            <w:r>
              <w:rPr>
                <w:sz w:val="18"/>
              </w:rPr>
              <w:t>.857</w:t>
            </w:r>
          </w:p>
        </w:tc>
        <w:tc>
          <w:tcPr>
            <w:tcW w:w="1165" w:type="dxa"/>
            <w:tcBorders>
              <w:left w:val="single" w:sz="8" w:space="0" w:color="000000"/>
            </w:tcBorders>
          </w:tcPr>
          <w:p>
            <w:pPr>
              <w:pStyle w:val="TableParagraph"/>
              <w:spacing w:line="206" w:lineRule="exact"/>
              <w:ind w:right="37"/>
              <w:jc w:val="right"/>
              <w:rPr>
                <w:sz w:val="18"/>
              </w:rPr>
            </w:pPr>
            <w:r>
              <w:rPr>
                <w:sz w:val="18"/>
              </w:rPr>
              <w:t>5</w:t>
            </w:r>
          </w:p>
        </w:tc>
      </w:tr>
    </w:tbl>
    <w:p>
      <w:pPr>
        <w:pStyle w:val="BodyText"/>
        <w:rPr>
          <w:b/>
          <w:sz w:val="20"/>
        </w:rPr>
      </w:pPr>
    </w:p>
    <w:p>
      <w:pPr>
        <w:pStyle w:val="BodyText"/>
        <w:spacing w:before="1"/>
        <w:rPr>
          <w:b/>
          <w:sz w:val="16"/>
        </w:rPr>
      </w:pPr>
    </w:p>
    <w:p>
      <w:pPr>
        <w:spacing w:before="0"/>
        <w:ind w:left="3503" w:right="0" w:firstLine="0"/>
        <w:jc w:val="left"/>
        <w:rPr>
          <w:b/>
          <w:sz w:val="18"/>
        </w:rPr>
      </w:pPr>
      <w:r>
        <w:rPr>
          <w:b/>
          <w:sz w:val="18"/>
        </w:rPr>
        <w:t>Item-Total Statistics</w:t>
      </w:r>
    </w:p>
    <w:p>
      <w:pPr>
        <w:pStyle w:val="BodyText"/>
        <w:spacing w:before="10" w:after="1"/>
        <w:rPr>
          <w:b/>
          <w:sz w:val="8"/>
        </w:rPr>
      </w:pPr>
    </w:p>
    <w:tbl>
      <w:tblPr>
        <w:tblW w:w="0" w:type="auto"/>
        <w:jc w:val="left"/>
        <w:tblInd w:w="907" w:type="dxa"/>
        <w:tblBorders>
          <w:top w:val="single" w:sz="18" w:space="0" w:color="000000"/>
          <w:left w:val="single" w:sz="18" w:space="0" w:color="000000"/>
          <w:bottom w:val="single" w:sz="18" w:space="0" w:color="000000"/>
          <w:right w:val="single" w:sz="18" w:space="0" w:color="000000"/>
          <w:insideH w:val="single" w:sz="18" w:space="0" w:color="000000"/>
          <w:insideV w:val="single" w:sz="18" w:space="0" w:color="000000"/>
        </w:tblBorders>
        <w:tblLayout w:type="fixed"/>
        <w:tblCellMar>
          <w:top w:w="0" w:type="dxa"/>
          <w:left w:w="0" w:type="dxa"/>
          <w:bottom w:w="0" w:type="dxa"/>
          <w:right w:w="0" w:type="dxa"/>
        </w:tblCellMar>
        <w:tblLook w:val="01E0"/>
      </w:tblPr>
      <w:tblGrid>
        <w:gridCol w:w="934"/>
        <w:gridCol w:w="1470"/>
        <w:gridCol w:w="1469"/>
        <w:gridCol w:w="1469"/>
        <w:gridCol w:w="1466"/>
      </w:tblGrid>
      <w:tr>
        <w:trPr>
          <w:trHeight w:val="615" w:hRule="atLeast"/>
        </w:trPr>
        <w:tc>
          <w:tcPr>
            <w:tcW w:w="934" w:type="dxa"/>
          </w:tcPr>
          <w:p>
            <w:pPr>
              <w:pStyle w:val="TableParagraph"/>
              <w:rPr>
                <w:sz w:val="18"/>
              </w:rPr>
            </w:pPr>
          </w:p>
        </w:tc>
        <w:tc>
          <w:tcPr>
            <w:tcW w:w="1470" w:type="dxa"/>
            <w:tcBorders>
              <w:right w:val="single" w:sz="8" w:space="0" w:color="000000"/>
            </w:tcBorders>
          </w:tcPr>
          <w:p>
            <w:pPr>
              <w:pStyle w:val="TableParagraph"/>
              <w:spacing w:line="206" w:lineRule="exact"/>
              <w:ind w:left="233"/>
              <w:rPr>
                <w:sz w:val="18"/>
              </w:rPr>
            </w:pPr>
            <w:r>
              <w:rPr>
                <w:sz w:val="18"/>
              </w:rPr>
              <w:t>Scale Mean</w:t>
            </w:r>
            <w:r>
              <w:rPr>
                <w:spacing w:val="-4"/>
                <w:sz w:val="18"/>
              </w:rPr>
              <w:t> </w:t>
            </w:r>
            <w:r>
              <w:rPr>
                <w:sz w:val="18"/>
              </w:rPr>
              <w:t>if</w:t>
            </w:r>
          </w:p>
          <w:p>
            <w:pPr>
              <w:pStyle w:val="TableParagraph"/>
              <w:spacing w:before="102"/>
              <w:ind w:left="267"/>
              <w:rPr>
                <w:sz w:val="18"/>
              </w:rPr>
            </w:pPr>
            <w:r>
              <w:rPr>
                <w:sz w:val="18"/>
              </w:rPr>
              <w:t>Item</w:t>
            </w:r>
            <w:r>
              <w:rPr>
                <w:spacing w:val="-3"/>
                <w:sz w:val="18"/>
              </w:rPr>
              <w:t> </w:t>
            </w:r>
            <w:r>
              <w:rPr>
                <w:sz w:val="18"/>
              </w:rPr>
              <w:t>Deleted</w:t>
            </w:r>
          </w:p>
        </w:tc>
        <w:tc>
          <w:tcPr>
            <w:tcW w:w="1469" w:type="dxa"/>
            <w:tcBorders>
              <w:left w:val="single" w:sz="8" w:space="0" w:color="000000"/>
              <w:right w:val="single" w:sz="8" w:space="0" w:color="000000"/>
            </w:tcBorders>
          </w:tcPr>
          <w:p>
            <w:pPr>
              <w:pStyle w:val="TableParagraph"/>
              <w:spacing w:line="206" w:lineRule="exact"/>
              <w:ind w:left="97" w:right="66"/>
              <w:jc w:val="center"/>
              <w:rPr>
                <w:sz w:val="18"/>
              </w:rPr>
            </w:pPr>
            <w:r>
              <w:rPr>
                <w:sz w:val="18"/>
              </w:rPr>
              <w:t>Scale Variance if</w:t>
            </w:r>
          </w:p>
          <w:p>
            <w:pPr>
              <w:pStyle w:val="TableParagraph"/>
              <w:spacing w:before="102"/>
              <w:ind w:left="99" w:right="65"/>
              <w:jc w:val="center"/>
              <w:rPr>
                <w:sz w:val="18"/>
              </w:rPr>
            </w:pPr>
            <w:r>
              <w:rPr>
                <w:sz w:val="18"/>
              </w:rPr>
              <w:t>Item Deleted</w:t>
            </w:r>
          </w:p>
        </w:tc>
        <w:tc>
          <w:tcPr>
            <w:tcW w:w="1469" w:type="dxa"/>
            <w:tcBorders>
              <w:left w:val="single" w:sz="8" w:space="0" w:color="000000"/>
              <w:right w:val="single" w:sz="8" w:space="0" w:color="000000"/>
            </w:tcBorders>
          </w:tcPr>
          <w:p>
            <w:pPr>
              <w:pStyle w:val="TableParagraph"/>
              <w:spacing w:line="206" w:lineRule="exact"/>
              <w:ind w:left="168"/>
              <w:rPr>
                <w:sz w:val="18"/>
              </w:rPr>
            </w:pPr>
            <w:r>
              <w:rPr>
                <w:sz w:val="18"/>
              </w:rPr>
              <w:t>Corrected Item-</w:t>
            </w:r>
          </w:p>
          <w:p>
            <w:pPr>
              <w:pStyle w:val="TableParagraph"/>
              <w:spacing w:before="102"/>
              <w:ind w:left="118"/>
              <w:rPr>
                <w:sz w:val="18"/>
              </w:rPr>
            </w:pPr>
            <w:r>
              <w:rPr>
                <w:sz w:val="18"/>
              </w:rPr>
              <w:t>Total Correlation</w:t>
            </w:r>
          </w:p>
        </w:tc>
        <w:tc>
          <w:tcPr>
            <w:tcW w:w="1466" w:type="dxa"/>
            <w:tcBorders>
              <w:left w:val="single" w:sz="8" w:space="0" w:color="000000"/>
            </w:tcBorders>
          </w:tcPr>
          <w:p>
            <w:pPr>
              <w:pStyle w:val="TableParagraph"/>
              <w:spacing w:line="206" w:lineRule="exact"/>
              <w:ind w:left="92"/>
              <w:rPr>
                <w:sz w:val="18"/>
              </w:rPr>
            </w:pPr>
            <w:r>
              <w:rPr>
                <w:sz w:val="18"/>
              </w:rPr>
              <w:t>Cronbach's Alpha</w:t>
            </w:r>
          </w:p>
          <w:p>
            <w:pPr>
              <w:pStyle w:val="TableParagraph"/>
              <w:spacing w:before="102"/>
              <w:ind w:left="190"/>
              <w:rPr>
                <w:sz w:val="18"/>
              </w:rPr>
            </w:pPr>
            <w:r>
              <w:rPr>
                <w:sz w:val="18"/>
              </w:rPr>
              <w:t>if Item Deleted</w:t>
            </w:r>
          </w:p>
        </w:tc>
      </w:tr>
      <w:tr>
        <w:trPr>
          <w:trHeight w:val="261" w:hRule="atLeast"/>
        </w:trPr>
        <w:tc>
          <w:tcPr>
            <w:tcW w:w="934" w:type="dxa"/>
            <w:tcBorders>
              <w:bottom w:val="nil"/>
            </w:tcBorders>
          </w:tcPr>
          <w:p>
            <w:pPr>
              <w:pStyle w:val="TableParagraph"/>
              <w:spacing w:line="206" w:lineRule="exact"/>
              <w:ind w:left="75"/>
              <w:rPr>
                <w:sz w:val="18"/>
              </w:rPr>
            </w:pPr>
            <w:r>
              <w:rPr>
                <w:sz w:val="18"/>
              </w:rPr>
              <w:t>ND1</w:t>
            </w:r>
          </w:p>
        </w:tc>
        <w:tc>
          <w:tcPr>
            <w:tcW w:w="1470" w:type="dxa"/>
            <w:tcBorders>
              <w:bottom w:val="nil"/>
              <w:right w:val="single" w:sz="8" w:space="0" w:color="000000"/>
            </w:tcBorders>
          </w:tcPr>
          <w:p>
            <w:pPr>
              <w:pStyle w:val="TableParagraph"/>
              <w:spacing w:line="206" w:lineRule="exact"/>
              <w:ind w:right="37"/>
              <w:jc w:val="right"/>
              <w:rPr>
                <w:sz w:val="18"/>
              </w:rPr>
            </w:pPr>
            <w:r>
              <w:rPr>
                <w:sz w:val="18"/>
              </w:rPr>
              <w:t>14.90</w:t>
            </w:r>
          </w:p>
        </w:tc>
        <w:tc>
          <w:tcPr>
            <w:tcW w:w="1469" w:type="dxa"/>
            <w:tcBorders>
              <w:left w:val="single" w:sz="8" w:space="0" w:color="000000"/>
              <w:bottom w:val="nil"/>
              <w:right w:val="single" w:sz="8" w:space="0" w:color="000000"/>
            </w:tcBorders>
          </w:tcPr>
          <w:p>
            <w:pPr>
              <w:pStyle w:val="TableParagraph"/>
              <w:spacing w:line="206" w:lineRule="exact"/>
              <w:ind w:right="41"/>
              <w:jc w:val="right"/>
              <w:rPr>
                <w:sz w:val="18"/>
              </w:rPr>
            </w:pPr>
            <w:r>
              <w:rPr>
                <w:sz w:val="18"/>
              </w:rPr>
              <w:t>15.143</w:t>
            </w:r>
          </w:p>
        </w:tc>
        <w:tc>
          <w:tcPr>
            <w:tcW w:w="1469" w:type="dxa"/>
            <w:tcBorders>
              <w:left w:val="single" w:sz="8" w:space="0" w:color="000000"/>
              <w:bottom w:val="nil"/>
              <w:right w:val="single" w:sz="8" w:space="0" w:color="000000"/>
            </w:tcBorders>
          </w:tcPr>
          <w:p>
            <w:pPr>
              <w:pStyle w:val="TableParagraph"/>
              <w:spacing w:line="206" w:lineRule="exact"/>
              <w:ind w:right="40"/>
              <w:jc w:val="right"/>
              <w:rPr>
                <w:sz w:val="18"/>
              </w:rPr>
            </w:pPr>
            <w:r>
              <w:rPr>
                <w:sz w:val="18"/>
              </w:rPr>
              <w:t>.714</w:t>
            </w:r>
          </w:p>
        </w:tc>
        <w:tc>
          <w:tcPr>
            <w:tcW w:w="1466" w:type="dxa"/>
            <w:tcBorders>
              <w:left w:val="single" w:sz="8" w:space="0" w:color="000000"/>
              <w:bottom w:val="nil"/>
            </w:tcBorders>
          </w:tcPr>
          <w:p>
            <w:pPr>
              <w:pStyle w:val="TableParagraph"/>
              <w:spacing w:line="206" w:lineRule="exact"/>
              <w:ind w:right="35"/>
              <w:jc w:val="right"/>
              <w:rPr>
                <w:sz w:val="18"/>
              </w:rPr>
            </w:pPr>
            <w:r>
              <w:rPr>
                <w:sz w:val="18"/>
              </w:rPr>
              <w:t>.817</w:t>
            </w:r>
          </w:p>
        </w:tc>
      </w:tr>
      <w:tr>
        <w:trPr>
          <w:trHeight w:val="310" w:hRule="atLeast"/>
        </w:trPr>
        <w:tc>
          <w:tcPr>
            <w:tcW w:w="934" w:type="dxa"/>
            <w:tcBorders>
              <w:top w:val="nil"/>
              <w:bottom w:val="nil"/>
            </w:tcBorders>
          </w:tcPr>
          <w:p>
            <w:pPr>
              <w:pStyle w:val="TableParagraph"/>
              <w:spacing w:before="47"/>
              <w:ind w:left="75"/>
              <w:rPr>
                <w:sz w:val="18"/>
              </w:rPr>
            </w:pPr>
            <w:r>
              <w:rPr>
                <w:sz w:val="18"/>
              </w:rPr>
              <w:t>ND2</w:t>
            </w:r>
          </w:p>
        </w:tc>
        <w:tc>
          <w:tcPr>
            <w:tcW w:w="1470" w:type="dxa"/>
            <w:tcBorders>
              <w:top w:val="nil"/>
              <w:bottom w:val="nil"/>
              <w:right w:val="single" w:sz="8" w:space="0" w:color="000000"/>
            </w:tcBorders>
          </w:tcPr>
          <w:p>
            <w:pPr>
              <w:pStyle w:val="TableParagraph"/>
              <w:spacing w:before="47"/>
              <w:ind w:right="37"/>
              <w:jc w:val="right"/>
              <w:rPr>
                <w:sz w:val="18"/>
              </w:rPr>
            </w:pPr>
            <w:r>
              <w:rPr>
                <w:sz w:val="18"/>
              </w:rPr>
              <w:t>14.94</w:t>
            </w:r>
          </w:p>
        </w:tc>
        <w:tc>
          <w:tcPr>
            <w:tcW w:w="1469" w:type="dxa"/>
            <w:tcBorders>
              <w:top w:val="nil"/>
              <w:left w:val="single" w:sz="8" w:space="0" w:color="000000"/>
              <w:bottom w:val="nil"/>
              <w:right w:val="single" w:sz="8" w:space="0" w:color="000000"/>
            </w:tcBorders>
          </w:tcPr>
          <w:p>
            <w:pPr>
              <w:pStyle w:val="TableParagraph"/>
              <w:spacing w:before="47"/>
              <w:ind w:right="42"/>
              <w:jc w:val="right"/>
              <w:rPr>
                <w:sz w:val="18"/>
              </w:rPr>
            </w:pPr>
            <w:r>
              <w:rPr>
                <w:sz w:val="18"/>
              </w:rPr>
              <w:t>15.657</w:t>
            </w:r>
          </w:p>
        </w:tc>
        <w:tc>
          <w:tcPr>
            <w:tcW w:w="1469" w:type="dxa"/>
            <w:tcBorders>
              <w:top w:val="nil"/>
              <w:left w:val="single" w:sz="8" w:space="0" w:color="000000"/>
              <w:bottom w:val="nil"/>
              <w:right w:val="single" w:sz="8" w:space="0" w:color="000000"/>
            </w:tcBorders>
          </w:tcPr>
          <w:p>
            <w:pPr>
              <w:pStyle w:val="TableParagraph"/>
              <w:spacing w:before="47"/>
              <w:ind w:right="41"/>
              <w:jc w:val="right"/>
              <w:rPr>
                <w:sz w:val="18"/>
              </w:rPr>
            </w:pPr>
            <w:r>
              <w:rPr>
                <w:sz w:val="18"/>
              </w:rPr>
              <w:t>.673</w:t>
            </w:r>
          </w:p>
        </w:tc>
        <w:tc>
          <w:tcPr>
            <w:tcW w:w="1466" w:type="dxa"/>
            <w:tcBorders>
              <w:top w:val="nil"/>
              <w:left w:val="single" w:sz="8" w:space="0" w:color="000000"/>
              <w:bottom w:val="nil"/>
            </w:tcBorders>
          </w:tcPr>
          <w:p>
            <w:pPr>
              <w:pStyle w:val="TableParagraph"/>
              <w:spacing w:before="47"/>
              <w:ind w:right="34"/>
              <w:jc w:val="right"/>
              <w:rPr>
                <w:sz w:val="18"/>
              </w:rPr>
            </w:pPr>
            <w:r>
              <w:rPr>
                <w:sz w:val="18"/>
              </w:rPr>
              <w:t>.827</w:t>
            </w:r>
          </w:p>
        </w:tc>
      </w:tr>
      <w:tr>
        <w:trPr>
          <w:trHeight w:val="310" w:hRule="atLeast"/>
        </w:trPr>
        <w:tc>
          <w:tcPr>
            <w:tcW w:w="934" w:type="dxa"/>
            <w:tcBorders>
              <w:top w:val="nil"/>
              <w:bottom w:val="nil"/>
            </w:tcBorders>
          </w:tcPr>
          <w:p>
            <w:pPr>
              <w:pStyle w:val="TableParagraph"/>
              <w:spacing w:before="48"/>
              <w:ind w:left="75"/>
              <w:rPr>
                <w:sz w:val="18"/>
              </w:rPr>
            </w:pPr>
            <w:r>
              <w:rPr>
                <w:sz w:val="18"/>
              </w:rPr>
              <w:t>ND3</w:t>
            </w:r>
          </w:p>
        </w:tc>
        <w:tc>
          <w:tcPr>
            <w:tcW w:w="1470" w:type="dxa"/>
            <w:tcBorders>
              <w:top w:val="nil"/>
              <w:bottom w:val="nil"/>
              <w:right w:val="single" w:sz="8" w:space="0" w:color="000000"/>
            </w:tcBorders>
          </w:tcPr>
          <w:p>
            <w:pPr>
              <w:pStyle w:val="TableParagraph"/>
              <w:spacing w:before="48"/>
              <w:ind w:right="37"/>
              <w:jc w:val="right"/>
              <w:rPr>
                <w:sz w:val="18"/>
              </w:rPr>
            </w:pPr>
            <w:r>
              <w:rPr>
                <w:sz w:val="18"/>
              </w:rPr>
              <w:t>14.70</w:t>
            </w:r>
          </w:p>
        </w:tc>
        <w:tc>
          <w:tcPr>
            <w:tcW w:w="1469" w:type="dxa"/>
            <w:tcBorders>
              <w:top w:val="nil"/>
              <w:left w:val="single" w:sz="8" w:space="0" w:color="000000"/>
              <w:bottom w:val="nil"/>
              <w:right w:val="single" w:sz="8" w:space="0" w:color="000000"/>
            </w:tcBorders>
          </w:tcPr>
          <w:p>
            <w:pPr>
              <w:pStyle w:val="TableParagraph"/>
              <w:spacing w:before="48"/>
              <w:ind w:right="42"/>
              <w:jc w:val="right"/>
              <w:rPr>
                <w:sz w:val="18"/>
              </w:rPr>
            </w:pPr>
            <w:r>
              <w:rPr>
                <w:sz w:val="18"/>
              </w:rPr>
              <w:t>16.572</w:t>
            </w:r>
          </w:p>
        </w:tc>
        <w:tc>
          <w:tcPr>
            <w:tcW w:w="1469" w:type="dxa"/>
            <w:tcBorders>
              <w:top w:val="nil"/>
              <w:left w:val="single" w:sz="8" w:space="0" w:color="000000"/>
              <w:bottom w:val="nil"/>
              <w:right w:val="single" w:sz="8" w:space="0" w:color="000000"/>
            </w:tcBorders>
          </w:tcPr>
          <w:p>
            <w:pPr>
              <w:pStyle w:val="TableParagraph"/>
              <w:spacing w:before="48"/>
              <w:ind w:right="40"/>
              <w:jc w:val="right"/>
              <w:rPr>
                <w:sz w:val="18"/>
              </w:rPr>
            </w:pPr>
            <w:r>
              <w:rPr>
                <w:sz w:val="18"/>
              </w:rPr>
              <w:t>.619</w:t>
            </w:r>
          </w:p>
        </w:tc>
        <w:tc>
          <w:tcPr>
            <w:tcW w:w="1466" w:type="dxa"/>
            <w:tcBorders>
              <w:top w:val="nil"/>
              <w:left w:val="single" w:sz="8" w:space="0" w:color="000000"/>
              <w:bottom w:val="nil"/>
            </w:tcBorders>
          </w:tcPr>
          <w:p>
            <w:pPr>
              <w:pStyle w:val="TableParagraph"/>
              <w:spacing w:before="48"/>
              <w:ind w:right="36"/>
              <w:jc w:val="right"/>
              <w:rPr>
                <w:sz w:val="18"/>
              </w:rPr>
            </w:pPr>
            <w:r>
              <w:rPr>
                <w:sz w:val="18"/>
              </w:rPr>
              <w:t>.841</w:t>
            </w:r>
          </w:p>
        </w:tc>
      </w:tr>
      <w:tr>
        <w:trPr>
          <w:trHeight w:val="357" w:hRule="atLeast"/>
        </w:trPr>
        <w:tc>
          <w:tcPr>
            <w:tcW w:w="934" w:type="dxa"/>
            <w:tcBorders>
              <w:top w:val="nil"/>
              <w:bottom w:val="nil"/>
            </w:tcBorders>
          </w:tcPr>
          <w:p>
            <w:pPr>
              <w:pStyle w:val="TableParagraph"/>
              <w:spacing w:before="47"/>
              <w:ind w:left="75"/>
              <w:rPr>
                <w:sz w:val="18"/>
              </w:rPr>
            </w:pPr>
            <w:r>
              <w:rPr>
                <w:sz w:val="18"/>
              </w:rPr>
              <w:t>ND4</w:t>
            </w:r>
          </w:p>
        </w:tc>
        <w:tc>
          <w:tcPr>
            <w:tcW w:w="1470" w:type="dxa"/>
            <w:tcBorders>
              <w:top w:val="nil"/>
              <w:bottom w:val="nil"/>
              <w:right w:val="single" w:sz="8" w:space="0" w:color="000000"/>
            </w:tcBorders>
          </w:tcPr>
          <w:p>
            <w:pPr>
              <w:pStyle w:val="TableParagraph"/>
              <w:spacing w:before="47"/>
              <w:ind w:right="37"/>
              <w:jc w:val="right"/>
              <w:rPr>
                <w:sz w:val="18"/>
              </w:rPr>
            </w:pPr>
            <w:r>
              <w:rPr>
                <w:sz w:val="18"/>
              </w:rPr>
              <w:t>14.73</w:t>
            </w:r>
          </w:p>
        </w:tc>
        <w:tc>
          <w:tcPr>
            <w:tcW w:w="1469" w:type="dxa"/>
            <w:tcBorders>
              <w:top w:val="nil"/>
              <w:left w:val="single" w:sz="8" w:space="0" w:color="000000"/>
              <w:bottom w:val="nil"/>
              <w:right w:val="single" w:sz="8" w:space="0" w:color="000000"/>
            </w:tcBorders>
          </w:tcPr>
          <w:p>
            <w:pPr>
              <w:pStyle w:val="TableParagraph"/>
              <w:spacing w:before="47"/>
              <w:ind w:right="40"/>
              <w:jc w:val="right"/>
              <w:rPr>
                <w:sz w:val="18"/>
              </w:rPr>
            </w:pPr>
            <w:r>
              <w:rPr>
                <w:sz w:val="18"/>
              </w:rPr>
              <w:t>15.407</w:t>
            </w:r>
          </w:p>
        </w:tc>
        <w:tc>
          <w:tcPr>
            <w:tcW w:w="1469" w:type="dxa"/>
            <w:tcBorders>
              <w:top w:val="nil"/>
              <w:left w:val="single" w:sz="8" w:space="0" w:color="000000"/>
              <w:bottom w:val="nil"/>
              <w:right w:val="single" w:sz="8" w:space="0" w:color="000000"/>
            </w:tcBorders>
          </w:tcPr>
          <w:p>
            <w:pPr>
              <w:pStyle w:val="TableParagraph"/>
              <w:spacing w:before="47"/>
              <w:ind w:right="40"/>
              <w:jc w:val="right"/>
              <w:rPr>
                <w:sz w:val="18"/>
              </w:rPr>
            </w:pPr>
            <w:r>
              <w:rPr>
                <w:sz w:val="18"/>
              </w:rPr>
              <w:t>.708</w:t>
            </w:r>
          </w:p>
        </w:tc>
        <w:tc>
          <w:tcPr>
            <w:tcW w:w="1466" w:type="dxa"/>
            <w:tcBorders>
              <w:top w:val="nil"/>
              <w:left w:val="single" w:sz="8" w:space="0" w:color="000000"/>
              <w:bottom w:val="nil"/>
            </w:tcBorders>
          </w:tcPr>
          <w:p>
            <w:pPr>
              <w:pStyle w:val="TableParagraph"/>
              <w:spacing w:before="47"/>
              <w:ind w:right="35"/>
              <w:jc w:val="right"/>
              <w:rPr>
                <w:sz w:val="18"/>
              </w:rPr>
            </w:pPr>
            <w:r>
              <w:rPr>
                <w:sz w:val="18"/>
              </w:rPr>
              <w:t>.819</w:t>
            </w:r>
          </w:p>
        </w:tc>
      </w:tr>
    </w:tbl>
    <w:p>
      <w:pPr>
        <w:spacing w:after="0"/>
        <w:jc w:val="right"/>
        <w:rPr>
          <w:sz w:val="18"/>
        </w:rPr>
        <w:sectPr>
          <w:pgSz w:w="11910" w:h="16850"/>
          <w:pgMar w:header="751" w:footer="0" w:top="960" w:bottom="280" w:left="820" w:right="240"/>
        </w:sectPr>
      </w:pPr>
    </w:p>
    <w:p>
      <w:pPr>
        <w:pStyle w:val="BodyText"/>
        <w:spacing w:before="1"/>
        <w:rPr>
          <w:b/>
          <w:sz w:val="22"/>
        </w:rPr>
      </w:pPr>
    </w:p>
    <w:tbl>
      <w:tblPr>
        <w:tblW w:w="0" w:type="auto"/>
        <w:jc w:val="left"/>
        <w:tblInd w:w="907" w:type="dxa"/>
        <w:tblBorders>
          <w:top w:val="single" w:sz="18" w:space="0" w:color="000000"/>
          <w:left w:val="single" w:sz="18" w:space="0" w:color="000000"/>
          <w:bottom w:val="single" w:sz="18" w:space="0" w:color="000000"/>
          <w:right w:val="single" w:sz="18" w:space="0" w:color="000000"/>
          <w:insideH w:val="single" w:sz="18" w:space="0" w:color="000000"/>
          <w:insideV w:val="single" w:sz="18" w:space="0" w:color="000000"/>
        </w:tblBorders>
        <w:tblLayout w:type="fixed"/>
        <w:tblCellMar>
          <w:top w:w="0" w:type="dxa"/>
          <w:left w:w="0" w:type="dxa"/>
          <w:bottom w:w="0" w:type="dxa"/>
          <w:right w:w="0" w:type="dxa"/>
        </w:tblCellMar>
        <w:tblLook w:val="01E0"/>
      </w:tblPr>
      <w:tblGrid>
        <w:gridCol w:w="934"/>
        <w:gridCol w:w="1470"/>
        <w:gridCol w:w="1469"/>
        <w:gridCol w:w="1469"/>
        <w:gridCol w:w="1466"/>
      </w:tblGrid>
      <w:tr>
        <w:trPr>
          <w:trHeight w:val="308" w:hRule="atLeast"/>
        </w:trPr>
        <w:tc>
          <w:tcPr>
            <w:tcW w:w="934" w:type="dxa"/>
            <w:tcBorders>
              <w:top w:val="nil"/>
            </w:tcBorders>
          </w:tcPr>
          <w:p>
            <w:pPr>
              <w:pStyle w:val="TableParagraph"/>
              <w:ind w:left="75"/>
              <w:rPr>
                <w:sz w:val="18"/>
              </w:rPr>
            </w:pPr>
            <w:r>
              <w:rPr>
                <w:sz w:val="18"/>
              </w:rPr>
              <w:t>ND5</w:t>
            </w:r>
          </w:p>
        </w:tc>
        <w:tc>
          <w:tcPr>
            <w:tcW w:w="1470" w:type="dxa"/>
            <w:tcBorders>
              <w:top w:val="nil"/>
              <w:right w:val="single" w:sz="8" w:space="0" w:color="000000"/>
            </w:tcBorders>
          </w:tcPr>
          <w:p>
            <w:pPr>
              <w:pStyle w:val="TableParagraph"/>
              <w:ind w:right="37"/>
              <w:jc w:val="right"/>
              <w:rPr>
                <w:sz w:val="18"/>
              </w:rPr>
            </w:pPr>
            <w:r>
              <w:rPr>
                <w:sz w:val="18"/>
              </w:rPr>
              <w:t>14.96</w:t>
            </w:r>
          </w:p>
        </w:tc>
        <w:tc>
          <w:tcPr>
            <w:tcW w:w="1469" w:type="dxa"/>
            <w:tcBorders>
              <w:top w:val="nil"/>
              <w:left w:val="single" w:sz="8" w:space="0" w:color="000000"/>
              <w:right w:val="single" w:sz="8" w:space="0" w:color="000000"/>
            </w:tcBorders>
          </w:tcPr>
          <w:p>
            <w:pPr>
              <w:pStyle w:val="TableParagraph"/>
              <w:ind w:left="910"/>
              <w:rPr>
                <w:sz w:val="18"/>
              </w:rPr>
            </w:pPr>
            <w:r>
              <w:rPr>
                <w:sz w:val="18"/>
              </w:rPr>
              <w:t>15.134</w:t>
            </w:r>
          </w:p>
        </w:tc>
        <w:tc>
          <w:tcPr>
            <w:tcW w:w="1469" w:type="dxa"/>
            <w:tcBorders>
              <w:top w:val="nil"/>
              <w:left w:val="single" w:sz="8" w:space="0" w:color="000000"/>
              <w:right w:val="single" w:sz="8" w:space="0" w:color="000000"/>
            </w:tcBorders>
          </w:tcPr>
          <w:p>
            <w:pPr>
              <w:pStyle w:val="TableParagraph"/>
              <w:ind w:right="40"/>
              <w:jc w:val="right"/>
              <w:rPr>
                <w:sz w:val="18"/>
              </w:rPr>
            </w:pPr>
            <w:r>
              <w:rPr>
                <w:sz w:val="18"/>
              </w:rPr>
              <w:t>.653</w:t>
            </w:r>
          </w:p>
        </w:tc>
        <w:tc>
          <w:tcPr>
            <w:tcW w:w="1466" w:type="dxa"/>
            <w:tcBorders>
              <w:top w:val="nil"/>
              <w:left w:val="single" w:sz="8" w:space="0" w:color="000000"/>
            </w:tcBorders>
          </w:tcPr>
          <w:p>
            <w:pPr>
              <w:pStyle w:val="TableParagraph"/>
              <w:ind w:right="35"/>
              <w:jc w:val="right"/>
              <w:rPr>
                <w:sz w:val="18"/>
              </w:rPr>
            </w:pPr>
            <w:r>
              <w:rPr>
                <w:sz w:val="18"/>
              </w:rPr>
              <w:t>.834</w:t>
            </w:r>
          </w:p>
        </w:tc>
      </w:tr>
    </w:tbl>
    <w:p>
      <w:pPr>
        <w:pStyle w:val="BodyText"/>
        <w:rPr>
          <w:b/>
          <w:sz w:val="20"/>
        </w:rPr>
      </w:pPr>
    </w:p>
    <w:p>
      <w:pPr>
        <w:pStyle w:val="BodyText"/>
        <w:spacing w:before="9"/>
        <w:rPr>
          <w:b/>
          <w:sz w:val="16"/>
        </w:rPr>
      </w:pPr>
    </w:p>
    <w:tbl>
      <w:tblPr>
        <w:tblW w:w="0" w:type="auto"/>
        <w:jc w:val="left"/>
        <w:tblInd w:w="90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
      <w:tblGrid>
        <w:gridCol w:w="2299"/>
        <w:gridCol w:w="2521"/>
        <w:gridCol w:w="1085"/>
      </w:tblGrid>
      <w:tr>
        <w:trPr>
          <w:trHeight w:val="298" w:hRule="atLeast"/>
        </w:trPr>
        <w:tc>
          <w:tcPr>
            <w:tcW w:w="5905" w:type="dxa"/>
            <w:gridSpan w:val="3"/>
            <w:tcBorders>
              <w:bottom w:val="single" w:sz="18" w:space="0" w:color="000000"/>
            </w:tcBorders>
          </w:tcPr>
          <w:p>
            <w:pPr>
              <w:pStyle w:val="TableParagraph"/>
              <w:spacing w:line="199" w:lineRule="exact"/>
              <w:ind w:left="1988" w:right="1950"/>
              <w:jc w:val="center"/>
              <w:rPr>
                <w:b/>
                <w:sz w:val="18"/>
              </w:rPr>
            </w:pPr>
            <w:r>
              <w:rPr>
                <w:b/>
                <w:sz w:val="18"/>
              </w:rPr>
              <w:t>KMO and Bartlett's Test</w:t>
            </w:r>
          </w:p>
        </w:tc>
      </w:tr>
      <w:tr>
        <w:trPr>
          <w:trHeight w:val="261" w:hRule="atLeast"/>
        </w:trPr>
        <w:tc>
          <w:tcPr>
            <w:tcW w:w="4820" w:type="dxa"/>
            <w:gridSpan w:val="2"/>
            <w:tcBorders>
              <w:top w:val="single" w:sz="18" w:space="0" w:color="000000"/>
              <w:left w:val="single" w:sz="18" w:space="0" w:color="000000"/>
              <w:right w:val="single" w:sz="18" w:space="0" w:color="000000"/>
            </w:tcBorders>
          </w:tcPr>
          <w:p>
            <w:pPr>
              <w:pStyle w:val="TableParagraph"/>
              <w:spacing w:line="206" w:lineRule="exact"/>
              <w:ind w:left="75"/>
              <w:rPr>
                <w:sz w:val="18"/>
              </w:rPr>
            </w:pPr>
            <w:r>
              <w:rPr>
                <w:sz w:val="18"/>
              </w:rPr>
              <w:t>Kaiser-Meyer-Olkin Measure of Sampling Adequacy.</w:t>
            </w:r>
          </w:p>
        </w:tc>
        <w:tc>
          <w:tcPr>
            <w:tcW w:w="1085" w:type="dxa"/>
            <w:tcBorders>
              <w:top w:val="single" w:sz="18" w:space="0" w:color="000000"/>
              <w:left w:val="single" w:sz="18" w:space="0" w:color="000000"/>
              <w:right w:val="single" w:sz="18" w:space="0" w:color="000000"/>
            </w:tcBorders>
          </w:tcPr>
          <w:p>
            <w:pPr>
              <w:pStyle w:val="TableParagraph"/>
              <w:spacing w:line="206" w:lineRule="exact"/>
              <w:ind w:right="36"/>
              <w:jc w:val="right"/>
              <w:rPr>
                <w:sz w:val="18"/>
              </w:rPr>
            </w:pPr>
            <w:r>
              <w:rPr>
                <w:sz w:val="18"/>
              </w:rPr>
              <w:t>.846</w:t>
            </w:r>
          </w:p>
        </w:tc>
      </w:tr>
      <w:tr>
        <w:trPr>
          <w:trHeight w:val="330" w:hRule="atLeast"/>
        </w:trPr>
        <w:tc>
          <w:tcPr>
            <w:tcW w:w="2299" w:type="dxa"/>
            <w:tcBorders>
              <w:left w:val="single" w:sz="18" w:space="0" w:color="000000"/>
            </w:tcBorders>
          </w:tcPr>
          <w:p>
            <w:pPr>
              <w:pStyle w:val="TableParagraph"/>
              <w:rPr>
                <w:sz w:val="18"/>
              </w:rPr>
            </w:pPr>
          </w:p>
        </w:tc>
        <w:tc>
          <w:tcPr>
            <w:tcW w:w="2521" w:type="dxa"/>
            <w:tcBorders>
              <w:right w:val="single" w:sz="18" w:space="0" w:color="000000"/>
            </w:tcBorders>
          </w:tcPr>
          <w:p>
            <w:pPr>
              <w:pStyle w:val="TableParagraph"/>
              <w:spacing w:before="47"/>
              <w:ind w:left="259"/>
              <w:rPr>
                <w:sz w:val="18"/>
              </w:rPr>
            </w:pPr>
            <w:r>
              <w:rPr>
                <w:sz w:val="18"/>
              </w:rPr>
              <w:t>Approx. Chi-Square</w:t>
            </w:r>
          </w:p>
        </w:tc>
        <w:tc>
          <w:tcPr>
            <w:tcW w:w="1085" w:type="dxa"/>
            <w:tcBorders>
              <w:left w:val="single" w:sz="18" w:space="0" w:color="000000"/>
              <w:right w:val="single" w:sz="18" w:space="0" w:color="000000"/>
            </w:tcBorders>
          </w:tcPr>
          <w:p>
            <w:pPr>
              <w:pStyle w:val="TableParagraph"/>
              <w:spacing w:before="47"/>
              <w:ind w:right="36"/>
              <w:jc w:val="right"/>
              <w:rPr>
                <w:sz w:val="18"/>
              </w:rPr>
            </w:pPr>
            <w:r>
              <w:rPr>
                <w:sz w:val="18"/>
              </w:rPr>
              <w:t>1080.908</w:t>
            </w:r>
          </w:p>
        </w:tc>
      </w:tr>
      <w:tr>
        <w:trPr>
          <w:trHeight w:val="350" w:hRule="atLeast"/>
        </w:trPr>
        <w:tc>
          <w:tcPr>
            <w:tcW w:w="2299" w:type="dxa"/>
            <w:tcBorders>
              <w:left w:val="single" w:sz="18" w:space="0" w:color="000000"/>
            </w:tcBorders>
          </w:tcPr>
          <w:p>
            <w:pPr>
              <w:pStyle w:val="TableParagraph"/>
              <w:spacing w:before="68"/>
              <w:ind w:left="75"/>
              <w:rPr>
                <w:sz w:val="18"/>
              </w:rPr>
            </w:pPr>
            <w:r>
              <w:rPr>
                <w:sz w:val="18"/>
              </w:rPr>
              <w:t>Bartlett's Test of Sphericity</w:t>
            </w:r>
          </w:p>
        </w:tc>
        <w:tc>
          <w:tcPr>
            <w:tcW w:w="2521" w:type="dxa"/>
            <w:tcBorders>
              <w:right w:val="single" w:sz="18" w:space="0" w:color="000000"/>
            </w:tcBorders>
          </w:tcPr>
          <w:p>
            <w:pPr>
              <w:pStyle w:val="TableParagraph"/>
              <w:spacing w:before="68"/>
              <w:ind w:left="259"/>
              <w:rPr>
                <w:sz w:val="18"/>
              </w:rPr>
            </w:pPr>
            <w:r>
              <w:rPr>
                <w:sz w:val="18"/>
              </w:rPr>
              <w:t>df</w:t>
            </w:r>
          </w:p>
        </w:tc>
        <w:tc>
          <w:tcPr>
            <w:tcW w:w="1085" w:type="dxa"/>
            <w:tcBorders>
              <w:left w:val="single" w:sz="18" w:space="0" w:color="000000"/>
              <w:right w:val="single" w:sz="18" w:space="0" w:color="000000"/>
            </w:tcBorders>
          </w:tcPr>
          <w:p>
            <w:pPr>
              <w:pStyle w:val="TableParagraph"/>
              <w:spacing w:before="68"/>
              <w:ind w:right="35"/>
              <w:jc w:val="right"/>
              <w:rPr>
                <w:sz w:val="18"/>
              </w:rPr>
            </w:pPr>
            <w:r>
              <w:rPr>
                <w:sz w:val="18"/>
              </w:rPr>
              <w:t>10</w:t>
            </w:r>
          </w:p>
        </w:tc>
      </w:tr>
      <w:tr>
        <w:trPr>
          <w:trHeight w:val="376" w:hRule="atLeast"/>
        </w:trPr>
        <w:tc>
          <w:tcPr>
            <w:tcW w:w="2299" w:type="dxa"/>
            <w:tcBorders>
              <w:left w:val="single" w:sz="18" w:space="0" w:color="000000"/>
              <w:bottom w:val="single" w:sz="18" w:space="0" w:color="000000"/>
            </w:tcBorders>
          </w:tcPr>
          <w:p>
            <w:pPr>
              <w:pStyle w:val="TableParagraph"/>
              <w:rPr>
                <w:sz w:val="18"/>
              </w:rPr>
            </w:pPr>
          </w:p>
        </w:tc>
        <w:tc>
          <w:tcPr>
            <w:tcW w:w="2521" w:type="dxa"/>
            <w:tcBorders>
              <w:bottom w:val="single" w:sz="18" w:space="0" w:color="000000"/>
              <w:right w:val="single" w:sz="18" w:space="0" w:color="000000"/>
            </w:tcBorders>
          </w:tcPr>
          <w:p>
            <w:pPr>
              <w:pStyle w:val="TableParagraph"/>
              <w:spacing w:before="68"/>
              <w:ind w:left="259"/>
              <w:rPr>
                <w:sz w:val="18"/>
              </w:rPr>
            </w:pPr>
            <w:r>
              <w:rPr>
                <w:sz w:val="18"/>
              </w:rPr>
              <w:t>Sig.</w:t>
            </w:r>
          </w:p>
        </w:tc>
        <w:tc>
          <w:tcPr>
            <w:tcW w:w="1085" w:type="dxa"/>
            <w:tcBorders>
              <w:left w:val="single" w:sz="18" w:space="0" w:color="000000"/>
              <w:bottom w:val="single" w:sz="18" w:space="0" w:color="000000"/>
              <w:right w:val="single" w:sz="18" w:space="0" w:color="000000"/>
            </w:tcBorders>
          </w:tcPr>
          <w:p>
            <w:pPr>
              <w:pStyle w:val="TableParagraph"/>
              <w:spacing w:before="68"/>
              <w:ind w:right="36"/>
              <w:jc w:val="right"/>
              <w:rPr>
                <w:sz w:val="18"/>
              </w:rPr>
            </w:pPr>
            <w:r>
              <w:rPr>
                <w:sz w:val="18"/>
              </w:rPr>
              <w:t>.000</w:t>
            </w:r>
          </w:p>
        </w:tc>
      </w:tr>
    </w:tbl>
    <w:p>
      <w:pPr>
        <w:pStyle w:val="BodyText"/>
        <w:rPr>
          <w:b/>
          <w:sz w:val="28"/>
        </w:rPr>
      </w:pPr>
    </w:p>
    <w:p>
      <w:pPr>
        <w:spacing w:before="93"/>
        <w:ind w:left="1019" w:right="952" w:firstLine="0"/>
        <w:jc w:val="center"/>
        <w:rPr>
          <w:b/>
          <w:sz w:val="18"/>
        </w:rPr>
      </w:pPr>
      <w:r>
        <w:rPr>
          <w:b/>
          <w:sz w:val="18"/>
        </w:rPr>
        <w:t>Total Variance Explained</w:t>
      </w:r>
    </w:p>
    <w:p>
      <w:pPr>
        <w:pStyle w:val="BodyText"/>
        <w:spacing w:before="10" w:after="1"/>
        <w:rPr>
          <w:b/>
          <w:sz w:val="8"/>
        </w:rPr>
      </w:pPr>
    </w:p>
    <w:tbl>
      <w:tblPr>
        <w:tblW w:w="0" w:type="auto"/>
        <w:jc w:val="left"/>
        <w:tblInd w:w="907" w:type="dxa"/>
        <w:tblBorders>
          <w:top w:val="single" w:sz="18" w:space="0" w:color="000000"/>
          <w:left w:val="single" w:sz="18" w:space="0" w:color="000000"/>
          <w:bottom w:val="single" w:sz="18" w:space="0" w:color="000000"/>
          <w:right w:val="single" w:sz="18" w:space="0" w:color="000000"/>
          <w:insideH w:val="single" w:sz="18" w:space="0" w:color="000000"/>
          <w:insideV w:val="single" w:sz="18" w:space="0" w:color="000000"/>
        </w:tblBorders>
        <w:tblLayout w:type="fixed"/>
        <w:tblCellMar>
          <w:top w:w="0" w:type="dxa"/>
          <w:left w:w="0" w:type="dxa"/>
          <w:bottom w:w="0" w:type="dxa"/>
          <w:right w:w="0" w:type="dxa"/>
        </w:tblCellMar>
        <w:tblLook w:val="01E0"/>
      </w:tblPr>
      <w:tblGrid>
        <w:gridCol w:w="1279"/>
        <w:gridCol w:w="999"/>
        <w:gridCol w:w="1424"/>
        <w:gridCol w:w="1438"/>
        <w:gridCol w:w="1147"/>
        <w:gridCol w:w="1424"/>
        <w:gridCol w:w="1438"/>
      </w:tblGrid>
      <w:tr>
        <w:trPr>
          <w:trHeight w:val="295" w:hRule="atLeast"/>
        </w:trPr>
        <w:tc>
          <w:tcPr>
            <w:tcW w:w="1279" w:type="dxa"/>
            <w:vMerge w:val="restart"/>
          </w:tcPr>
          <w:p>
            <w:pPr>
              <w:pStyle w:val="TableParagraph"/>
              <w:spacing w:line="206" w:lineRule="exact"/>
              <w:ind w:left="75"/>
              <w:rPr>
                <w:sz w:val="18"/>
              </w:rPr>
            </w:pPr>
            <w:r>
              <w:rPr>
                <w:sz w:val="18"/>
              </w:rPr>
              <w:t>Component</w:t>
            </w:r>
          </w:p>
        </w:tc>
        <w:tc>
          <w:tcPr>
            <w:tcW w:w="3861" w:type="dxa"/>
            <w:gridSpan w:val="3"/>
            <w:tcBorders>
              <w:bottom w:val="single" w:sz="8" w:space="0" w:color="000000"/>
              <w:right w:val="single" w:sz="8" w:space="0" w:color="000000"/>
            </w:tcBorders>
          </w:tcPr>
          <w:p>
            <w:pPr>
              <w:pStyle w:val="TableParagraph"/>
              <w:spacing w:line="206" w:lineRule="exact"/>
              <w:ind w:left="1250"/>
              <w:rPr>
                <w:sz w:val="18"/>
              </w:rPr>
            </w:pPr>
            <w:r>
              <w:rPr>
                <w:sz w:val="18"/>
              </w:rPr>
              <w:t>Initial Eigenvalues</w:t>
            </w:r>
          </w:p>
        </w:tc>
        <w:tc>
          <w:tcPr>
            <w:tcW w:w="4009" w:type="dxa"/>
            <w:gridSpan w:val="3"/>
            <w:tcBorders>
              <w:left w:val="single" w:sz="8" w:space="0" w:color="000000"/>
              <w:bottom w:val="single" w:sz="8" w:space="0" w:color="000000"/>
              <w:right w:val="single" w:sz="8" w:space="0" w:color="000000"/>
            </w:tcBorders>
          </w:tcPr>
          <w:p>
            <w:pPr>
              <w:pStyle w:val="TableParagraph"/>
              <w:spacing w:line="206" w:lineRule="exact"/>
              <w:ind w:left="642"/>
              <w:rPr>
                <w:sz w:val="18"/>
              </w:rPr>
            </w:pPr>
            <w:r>
              <w:rPr>
                <w:sz w:val="18"/>
              </w:rPr>
              <w:t>Extraction Sums of Squared Loadings</w:t>
            </w:r>
          </w:p>
        </w:tc>
      </w:tr>
      <w:tr>
        <w:trPr>
          <w:trHeight w:val="314" w:hRule="atLeast"/>
        </w:trPr>
        <w:tc>
          <w:tcPr>
            <w:tcW w:w="1279" w:type="dxa"/>
            <w:vMerge/>
            <w:tcBorders>
              <w:top w:val="nil"/>
            </w:tcBorders>
          </w:tcPr>
          <w:p>
            <w:pPr>
              <w:rPr>
                <w:sz w:val="2"/>
                <w:szCs w:val="2"/>
              </w:rPr>
            </w:pPr>
          </w:p>
        </w:tc>
        <w:tc>
          <w:tcPr>
            <w:tcW w:w="999" w:type="dxa"/>
            <w:tcBorders>
              <w:top w:val="single" w:sz="8" w:space="0" w:color="000000"/>
              <w:right w:val="single" w:sz="8" w:space="0" w:color="000000"/>
            </w:tcBorders>
          </w:tcPr>
          <w:p>
            <w:pPr>
              <w:pStyle w:val="TableParagraph"/>
              <w:spacing w:before="8"/>
              <w:ind w:left="304"/>
              <w:rPr>
                <w:sz w:val="18"/>
              </w:rPr>
            </w:pPr>
            <w:r>
              <w:rPr>
                <w:sz w:val="18"/>
              </w:rPr>
              <w:t>Total</w:t>
            </w:r>
          </w:p>
        </w:tc>
        <w:tc>
          <w:tcPr>
            <w:tcW w:w="1424" w:type="dxa"/>
            <w:tcBorders>
              <w:top w:val="single" w:sz="8" w:space="0" w:color="000000"/>
              <w:left w:val="single" w:sz="8" w:space="0" w:color="000000"/>
              <w:right w:val="single" w:sz="8" w:space="0" w:color="000000"/>
            </w:tcBorders>
          </w:tcPr>
          <w:p>
            <w:pPr>
              <w:pStyle w:val="TableParagraph"/>
              <w:spacing w:before="8"/>
              <w:ind w:left="201"/>
              <w:rPr>
                <w:sz w:val="18"/>
              </w:rPr>
            </w:pPr>
            <w:r>
              <w:rPr>
                <w:sz w:val="18"/>
              </w:rPr>
              <w:t>% of Variance</w:t>
            </w:r>
          </w:p>
        </w:tc>
        <w:tc>
          <w:tcPr>
            <w:tcW w:w="1438" w:type="dxa"/>
            <w:tcBorders>
              <w:top w:val="single" w:sz="8" w:space="0" w:color="000000"/>
              <w:left w:val="single" w:sz="8" w:space="0" w:color="000000"/>
              <w:right w:val="single" w:sz="8" w:space="0" w:color="000000"/>
            </w:tcBorders>
          </w:tcPr>
          <w:p>
            <w:pPr>
              <w:pStyle w:val="TableParagraph"/>
              <w:spacing w:before="8"/>
              <w:ind w:left="210"/>
              <w:rPr>
                <w:sz w:val="18"/>
              </w:rPr>
            </w:pPr>
            <w:r>
              <w:rPr>
                <w:sz w:val="18"/>
              </w:rPr>
              <w:t>Cumulative %</w:t>
            </w:r>
          </w:p>
        </w:tc>
        <w:tc>
          <w:tcPr>
            <w:tcW w:w="1147" w:type="dxa"/>
            <w:tcBorders>
              <w:top w:val="single" w:sz="8" w:space="0" w:color="000000"/>
              <w:left w:val="single" w:sz="8" w:space="0" w:color="000000"/>
              <w:right w:val="single" w:sz="8" w:space="0" w:color="000000"/>
            </w:tcBorders>
          </w:tcPr>
          <w:p>
            <w:pPr>
              <w:pStyle w:val="TableParagraph"/>
              <w:spacing w:before="8"/>
              <w:ind w:left="392"/>
              <w:rPr>
                <w:sz w:val="18"/>
              </w:rPr>
            </w:pPr>
            <w:r>
              <w:rPr>
                <w:sz w:val="18"/>
              </w:rPr>
              <w:t>Total</w:t>
            </w:r>
          </w:p>
        </w:tc>
        <w:tc>
          <w:tcPr>
            <w:tcW w:w="1424" w:type="dxa"/>
            <w:tcBorders>
              <w:top w:val="single" w:sz="8" w:space="0" w:color="000000"/>
              <w:left w:val="single" w:sz="8" w:space="0" w:color="000000"/>
              <w:right w:val="single" w:sz="8" w:space="0" w:color="000000"/>
            </w:tcBorders>
          </w:tcPr>
          <w:p>
            <w:pPr>
              <w:pStyle w:val="TableParagraph"/>
              <w:spacing w:before="8"/>
              <w:ind w:left="200"/>
              <w:rPr>
                <w:sz w:val="18"/>
              </w:rPr>
            </w:pPr>
            <w:r>
              <w:rPr>
                <w:sz w:val="18"/>
              </w:rPr>
              <w:t>% of Variance</w:t>
            </w:r>
          </w:p>
        </w:tc>
        <w:tc>
          <w:tcPr>
            <w:tcW w:w="1438" w:type="dxa"/>
            <w:tcBorders>
              <w:top w:val="single" w:sz="8" w:space="0" w:color="000000"/>
              <w:left w:val="single" w:sz="8" w:space="0" w:color="000000"/>
            </w:tcBorders>
          </w:tcPr>
          <w:p>
            <w:pPr>
              <w:pStyle w:val="TableParagraph"/>
              <w:spacing w:before="8"/>
              <w:ind w:left="205"/>
              <w:rPr>
                <w:sz w:val="18"/>
              </w:rPr>
            </w:pPr>
            <w:r>
              <w:rPr>
                <w:sz w:val="18"/>
              </w:rPr>
              <w:t>Cumulative %</w:t>
            </w:r>
          </w:p>
        </w:tc>
      </w:tr>
      <w:tr>
        <w:trPr>
          <w:trHeight w:val="265" w:hRule="atLeast"/>
        </w:trPr>
        <w:tc>
          <w:tcPr>
            <w:tcW w:w="1279" w:type="dxa"/>
            <w:tcBorders>
              <w:bottom w:val="nil"/>
            </w:tcBorders>
          </w:tcPr>
          <w:p>
            <w:pPr>
              <w:pStyle w:val="TableParagraph"/>
              <w:spacing w:line="207" w:lineRule="exact"/>
              <w:ind w:left="75"/>
              <w:rPr>
                <w:sz w:val="18"/>
              </w:rPr>
            </w:pPr>
            <w:r>
              <w:rPr>
                <w:sz w:val="18"/>
              </w:rPr>
              <w:t>1</w:t>
            </w:r>
          </w:p>
        </w:tc>
        <w:tc>
          <w:tcPr>
            <w:tcW w:w="999" w:type="dxa"/>
            <w:tcBorders>
              <w:bottom w:val="nil"/>
              <w:right w:val="single" w:sz="8" w:space="0" w:color="000000"/>
            </w:tcBorders>
          </w:tcPr>
          <w:p>
            <w:pPr>
              <w:pStyle w:val="TableParagraph"/>
              <w:spacing w:line="207" w:lineRule="exact"/>
              <w:ind w:right="40"/>
              <w:jc w:val="right"/>
              <w:rPr>
                <w:sz w:val="18"/>
              </w:rPr>
            </w:pPr>
            <w:r>
              <w:rPr>
                <w:sz w:val="18"/>
              </w:rPr>
              <w:t>3.190</w:t>
            </w:r>
          </w:p>
        </w:tc>
        <w:tc>
          <w:tcPr>
            <w:tcW w:w="1424" w:type="dxa"/>
            <w:tcBorders>
              <w:left w:val="single" w:sz="8" w:space="0" w:color="000000"/>
              <w:bottom w:val="nil"/>
              <w:right w:val="single" w:sz="8" w:space="0" w:color="000000"/>
            </w:tcBorders>
          </w:tcPr>
          <w:p>
            <w:pPr>
              <w:pStyle w:val="TableParagraph"/>
              <w:spacing w:line="207" w:lineRule="exact"/>
              <w:ind w:right="39"/>
              <w:jc w:val="right"/>
              <w:rPr>
                <w:sz w:val="18"/>
              </w:rPr>
            </w:pPr>
            <w:r>
              <w:rPr>
                <w:sz w:val="18"/>
              </w:rPr>
              <w:t>63.806</w:t>
            </w:r>
          </w:p>
        </w:tc>
        <w:tc>
          <w:tcPr>
            <w:tcW w:w="1438" w:type="dxa"/>
            <w:tcBorders>
              <w:left w:val="single" w:sz="8" w:space="0" w:color="000000"/>
              <w:bottom w:val="nil"/>
              <w:right w:val="single" w:sz="8" w:space="0" w:color="000000"/>
            </w:tcBorders>
          </w:tcPr>
          <w:p>
            <w:pPr>
              <w:pStyle w:val="TableParagraph"/>
              <w:spacing w:line="207" w:lineRule="exact"/>
              <w:ind w:right="38"/>
              <w:jc w:val="right"/>
              <w:rPr>
                <w:sz w:val="18"/>
              </w:rPr>
            </w:pPr>
            <w:r>
              <w:rPr>
                <w:sz w:val="18"/>
              </w:rPr>
              <w:t>63.806</w:t>
            </w:r>
          </w:p>
        </w:tc>
        <w:tc>
          <w:tcPr>
            <w:tcW w:w="1147" w:type="dxa"/>
            <w:vMerge w:val="restart"/>
            <w:tcBorders>
              <w:left w:val="single" w:sz="8" w:space="0" w:color="000000"/>
              <w:right w:val="single" w:sz="8" w:space="0" w:color="000000"/>
            </w:tcBorders>
          </w:tcPr>
          <w:p>
            <w:pPr>
              <w:pStyle w:val="TableParagraph"/>
              <w:spacing w:line="207" w:lineRule="exact"/>
              <w:ind w:left="680"/>
              <w:rPr>
                <w:sz w:val="18"/>
              </w:rPr>
            </w:pPr>
            <w:r>
              <w:rPr>
                <w:sz w:val="18"/>
              </w:rPr>
              <w:t>3.190</w:t>
            </w:r>
          </w:p>
        </w:tc>
        <w:tc>
          <w:tcPr>
            <w:tcW w:w="1424" w:type="dxa"/>
            <w:vMerge w:val="restart"/>
            <w:tcBorders>
              <w:left w:val="single" w:sz="8" w:space="0" w:color="000000"/>
              <w:right w:val="single" w:sz="8" w:space="0" w:color="000000"/>
            </w:tcBorders>
          </w:tcPr>
          <w:p>
            <w:pPr>
              <w:pStyle w:val="TableParagraph"/>
              <w:spacing w:line="207" w:lineRule="exact"/>
              <w:ind w:left="867"/>
              <w:rPr>
                <w:sz w:val="18"/>
              </w:rPr>
            </w:pPr>
            <w:r>
              <w:rPr>
                <w:sz w:val="18"/>
              </w:rPr>
              <w:t>63.806</w:t>
            </w:r>
          </w:p>
        </w:tc>
        <w:tc>
          <w:tcPr>
            <w:tcW w:w="1438" w:type="dxa"/>
            <w:vMerge w:val="restart"/>
            <w:tcBorders>
              <w:left w:val="single" w:sz="8" w:space="0" w:color="000000"/>
            </w:tcBorders>
          </w:tcPr>
          <w:p>
            <w:pPr>
              <w:pStyle w:val="TableParagraph"/>
              <w:spacing w:line="207" w:lineRule="exact"/>
              <w:ind w:left="872"/>
              <w:rPr>
                <w:sz w:val="18"/>
              </w:rPr>
            </w:pPr>
            <w:r>
              <w:rPr>
                <w:sz w:val="18"/>
              </w:rPr>
              <w:t>63.806</w:t>
            </w:r>
          </w:p>
        </w:tc>
      </w:tr>
      <w:tr>
        <w:trPr>
          <w:trHeight w:val="342" w:hRule="atLeast"/>
        </w:trPr>
        <w:tc>
          <w:tcPr>
            <w:tcW w:w="1279" w:type="dxa"/>
            <w:tcBorders>
              <w:top w:val="nil"/>
              <w:bottom w:val="nil"/>
            </w:tcBorders>
          </w:tcPr>
          <w:p>
            <w:pPr>
              <w:pStyle w:val="TableParagraph"/>
              <w:spacing w:before="51"/>
              <w:ind w:left="75"/>
              <w:rPr>
                <w:sz w:val="18"/>
              </w:rPr>
            </w:pPr>
            <w:r>
              <w:rPr>
                <w:sz w:val="18"/>
              </w:rPr>
              <w:t>2</w:t>
            </w:r>
          </w:p>
        </w:tc>
        <w:tc>
          <w:tcPr>
            <w:tcW w:w="999" w:type="dxa"/>
            <w:tcBorders>
              <w:top w:val="nil"/>
              <w:bottom w:val="nil"/>
              <w:right w:val="single" w:sz="8" w:space="0" w:color="000000"/>
            </w:tcBorders>
          </w:tcPr>
          <w:p>
            <w:pPr>
              <w:pStyle w:val="TableParagraph"/>
              <w:spacing w:before="51"/>
              <w:ind w:right="40"/>
              <w:jc w:val="right"/>
              <w:rPr>
                <w:sz w:val="18"/>
              </w:rPr>
            </w:pPr>
            <w:r>
              <w:rPr>
                <w:sz w:val="18"/>
              </w:rPr>
              <w:t>.600</w:t>
            </w:r>
          </w:p>
        </w:tc>
        <w:tc>
          <w:tcPr>
            <w:tcW w:w="1424" w:type="dxa"/>
            <w:tcBorders>
              <w:top w:val="nil"/>
              <w:left w:val="single" w:sz="8" w:space="0" w:color="000000"/>
              <w:bottom w:val="nil"/>
              <w:right w:val="single" w:sz="8" w:space="0" w:color="000000"/>
            </w:tcBorders>
          </w:tcPr>
          <w:p>
            <w:pPr>
              <w:pStyle w:val="TableParagraph"/>
              <w:spacing w:before="51"/>
              <w:ind w:right="38"/>
              <w:jc w:val="right"/>
              <w:rPr>
                <w:sz w:val="18"/>
              </w:rPr>
            </w:pPr>
            <w:r>
              <w:rPr>
                <w:sz w:val="18"/>
              </w:rPr>
              <w:t>11.999</w:t>
            </w:r>
          </w:p>
        </w:tc>
        <w:tc>
          <w:tcPr>
            <w:tcW w:w="1438" w:type="dxa"/>
            <w:tcBorders>
              <w:top w:val="nil"/>
              <w:left w:val="single" w:sz="8" w:space="0" w:color="000000"/>
              <w:bottom w:val="nil"/>
              <w:right w:val="single" w:sz="8" w:space="0" w:color="000000"/>
            </w:tcBorders>
          </w:tcPr>
          <w:p>
            <w:pPr>
              <w:pStyle w:val="TableParagraph"/>
              <w:spacing w:before="51"/>
              <w:ind w:right="37"/>
              <w:jc w:val="right"/>
              <w:rPr>
                <w:sz w:val="18"/>
              </w:rPr>
            </w:pPr>
            <w:r>
              <w:rPr>
                <w:sz w:val="18"/>
              </w:rPr>
              <w:t>75.805</w:t>
            </w:r>
          </w:p>
        </w:tc>
        <w:tc>
          <w:tcPr>
            <w:tcW w:w="1147" w:type="dxa"/>
            <w:vMerge/>
            <w:tcBorders>
              <w:top w:val="nil"/>
              <w:left w:val="single" w:sz="8" w:space="0" w:color="000000"/>
              <w:right w:val="single" w:sz="8" w:space="0" w:color="000000"/>
            </w:tcBorders>
          </w:tcPr>
          <w:p>
            <w:pPr>
              <w:rPr>
                <w:sz w:val="2"/>
                <w:szCs w:val="2"/>
              </w:rPr>
            </w:pPr>
          </w:p>
        </w:tc>
        <w:tc>
          <w:tcPr>
            <w:tcW w:w="1424" w:type="dxa"/>
            <w:vMerge/>
            <w:tcBorders>
              <w:top w:val="nil"/>
              <w:left w:val="single" w:sz="8" w:space="0" w:color="000000"/>
              <w:right w:val="single" w:sz="8" w:space="0" w:color="000000"/>
            </w:tcBorders>
          </w:tcPr>
          <w:p>
            <w:pPr>
              <w:rPr>
                <w:sz w:val="2"/>
                <w:szCs w:val="2"/>
              </w:rPr>
            </w:pPr>
          </w:p>
        </w:tc>
        <w:tc>
          <w:tcPr>
            <w:tcW w:w="1438" w:type="dxa"/>
            <w:vMerge/>
            <w:tcBorders>
              <w:top w:val="nil"/>
              <w:left w:val="single" w:sz="8" w:space="0" w:color="000000"/>
            </w:tcBorders>
          </w:tcPr>
          <w:p>
            <w:pPr>
              <w:rPr>
                <w:sz w:val="2"/>
                <w:szCs w:val="2"/>
              </w:rPr>
            </w:pPr>
          </w:p>
        </w:tc>
      </w:tr>
      <w:tr>
        <w:trPr>
          <w:trHeight w:val="369" w:hRule="atLeast"/>
        </w:trPr>
        <w:tc>
          <w:tcPr>
            <w:tcW w:w="1279" w:type="dxa"/>
            <w:tcBorders>
              <w:top w:val="nil"/>
              <w:bottom w:val="nil"/>
            </w:tcBorders>
          </w:tcPr>
          <w:p>
            <w:pPr>
              <w:pStyle w:val="TableParagraph"/>
              <w:spacing w:before="76"/>
              <w:ind w:left="75"/>
              <w:rPr>
                <w:sz w:val="18"/>
              </w:rPr>
            </w:pPr>
            <w:r>
              <w:rPr>
                <w:sz w:val="18"/>
              </w:rPr>
              <w:t>3</w:t>
            </w:r>
          </w:p>
        </w:tc>
        <w:tc>
          <w:tcPr>
            <w:tcW w:w="999" w:type="dxa"/>
            <w:tcBorders>
              <w:top w:val="nil"/>
              <w:bottom w:val="nil"/>
              <w:right w:val="single" w:sz="8" w:space="0" w:color="000000"/>
            </w:tcBorders>
          </w:tcPr>
          <w:p>
            <w:pPr>
              <w:pStyle w:val="TableParagraph"/>
              <w:spacing w:before="76"/>
              <w:ind w:right="40"/>
              <w:jc w:val="right"/>
              <w:rPr>
                <w:sz w:val="18"/>
              </w:rPr>
            </w:pPr>
            <w:r>
              <w:rPr>
                <w:sz w:val="18"/>
              </w:rPr>
              <w:t>.473</w:t>
            </w:r>
          </w:p>
        </w:tc>
        <w:tc>
          <w:tcPr>
            <w:tcW w:w="1424" w:type="dxa"/>
            <w:tcBorders>
              <w:top w:val="nil"/>
              <w:left w:val="single" w:sz="8" w:space="0" w:color="000000"/>
              <w:bottom w:val="nil"/>
              <w:right w:val="single" w:sz="8" w:space="0" w:color="000000"/>
            </w:tcBorders>
          </w:tcPr>
          <w:p>
            <w:pPr>
              <w:pStyle w:val="TableParagraph"/>
              <w:spacing w:before="76"/>
              <w:ind w:right="38"/>
              <w:jc w:val="right"/>
              <w:rPr>
                <w:sz w:val="18"/>
              </w:rPr>
            </w:pPr>
            <w:r>
              <w:rPr>
                <w:sz w:val="18"/>
              </w:rPr>
              <w:t>9.454</w:t>
            </w:r>
          </w:p>
        </w:tc>
        <w:tc>
          <w:tcPr>
            <w:tcW w:w="1438" w:type="dxa"/>
            <w:tcBorders>
              <w:top w:val="nil"/>
              <w:left w:val="single" w:sz="8" w:space="0" w:color="000000"/>
              <w:bottom w:val="nil"/>
              <w:right w:val="single" w:sz="8" w:space="0" w:color="000000"/>
            </w:tcBorders>
          </w:tcPr>
          <w:p>
            <w:pPr>
              <w:pStyle w:val="TableParagraph"/>
              <w:spacing w:before="76"/>
              <w:ind w:right="39"/>
              <w:jc w:val="right"/>
              <w:rPr>
                <w:sz w:val="18"/>
              </w:rPr>
            </w:pPr>
            <w:r>
              <w:rPr>
                <w:sz w:val="18"/>
              </w:rPr>
              <w:t>85.258</w:t>
            </w:r>
          </w:p>
        </w:tc>
        <w:tc>
          <w:tcPr>
            <w:tcW w:w="1147" w:type="dxa"/>
            <w:vMerge/>
            <w:tcBorders>
              <w:top w:val="nil"/>
              <w:left w:val="single" w:sz="8" w:space="0" w:color="000000"/>
              <w:right w:val="single" w:sz="8" w:space="0" w:color="000000"/>
            </w:tcBorders>
          </w:tcPr>
          <w:p>
            <w:pPr>
              <w:rPr>
                <w:sz w:val="2"/>
                <w:szCs w:val="2"/>
              </w:rPr>
            </w:pPr>
          </w:p>
        </w:tc>
        <w:tc>
          <w:tcPr>
            <w:tcW w:w="1424" w:type="dxa"/>
            <w:vMerge/>
            <w:tcBorders>
              <w:top w:val="nil"/>
              <w:left w:val="single" w:sz="8" w:space="0" w:color="000000"/>
              <w:right w:val="single" w:sz="8" w:space="0" w:color="000000"/>
            </w:tcBorders>
          </w:tcPr>
          <w:p>
            <w:pPr>
              <w:rPr>
                <w:sz w:val="2"/>
                <w:szCs w:val="2"/>
              </w:rPr>
            </w:pPr>
          </w:p>
        </w:tc>
        <w:tc>
          <w:tcPr>
            <w:tcW w:w="1438" w:type="dxa"/>
            <w:vMerge/>
            <w:tcBorders>
              <w:top w:val="nil"/>
              <w:left w:val="single" w:sz="8" w:space="0" w:color="000000"/>
            </w:tcBorders>
          </w:tcPr>
          <w:p>
            <w:pPr>
              <w:rPr>
                <w:sz w:val="2"/>
                <w:szCs w:val="2"/>
              </w:rPr>
            </w:pPr>
          </w:p>
        </w:tc>
      </w:tr>
      <w:tr>
        <w:trPr>
          <w:trHeight w:val="368" w:hRule="atLeast"/>
        </w:trPr>
        <w:tc>
          <w:tcPr>
            <w:tcW w:w="1279" w:type="dxa"/>
            <w:tcBorders>
              <w:top w:val="nil"/>
              <w:bottom w:val="nil"/>
            </w:tcBorders>
          </w:tcPr>
          <w:p>
            <w:pPr>
              <w:pStyle w:val="TableParagraph"/>
              <w:spacing w:before="77"/>
              <w:ind w:left="75"/>
              <w:rPr>
                <w:sz w:val="18"/>
              </w:rPr>
            </w:pPr>
            <w:r>
              <w:rPr>
                <w:sz w:val="18"/>
              </w:rPr>
              <w:t>4</w:t>
            </w:r>
          </w:p>
        </w:tc>
        <w:tc>
          <w:tcPr>
            <w:tcW w:w="999" w:type="dxa"/>
            <w:tcBorders>
              <w:top w:val="nil"/>
              <w:bottom w:val="nil"/>
              <w:right w:val="single" w:sz="8" w:space="0" w:color="000000"/>
            </w:tcBorders>
          </w:tcPr>
          <w:p>
            <w:pPr>
              <w:pStyle w:val="TableParagraph"/>
              <w:spacing w:before="77"/>
              <w:ind w:right="41"/>
              <w:jc w:val="right"/>
              <w:rPr>
                <w:sz w:val="18"/>
              </w:rPr>
            </w:pPr>
            <w:r>
              <w:rPr>
                <w:sz w:val="18"/>
              </w:rPr>
              <w:t>.410</w:t>
            </w:r>
          </w:p>
        </w:tc>
        <w:tc>
          <w:tcPr>
            <w:tcW w:w="1424" w:type="dxa"/>
            <w:tcBorders>
              <w:top w:val="nil"/>
              <w:left w:val="single" w:sz="8" w:space="0" w:color="000000"/>
              <w:bottom w:val="nil"/>
              <w:right w:val="single" w:sz="8" w:space="0" w:color="000000"/>
            </w:tcBorders>
          </w:tcPr>
          <w:p>
            <w:pPr>
              <w:pStyle w:val="TableParagraph"/>
              <w:spacing w:before="77"/>
              <w:ind w:right="38"/>
              <w:jc w:val="right"/>
              <w:rPr>
                <w:sz w:val="18"/>
              </w:rPr>
            </w:pPr>
            <w:r>
              <w:rPr>
                <w:sz w:val="18"/>
              </w:rPr>
              <w:t>8.194</w:t>
            </w:r>
          </w:p>
        </w:tc>
        <w:tc>
          <w:tcPr>
            <w:tcW w:w="1438" w:type="dxa"/>
            <w:tcBorders>
              <w:top w:val="nil"/>
              <w:left w:val="single" w:sz="8" w:space="0" w:color="000000"/>
              <w:bottom w:val="nil"/>
              <w:right w:val="single" w:sz="8" w:space="0" w:color="000000"/>
            </w:tcBorders>
          </w:tcPr>
          <w:p>
            <w:pPr>
              <w:pStyle w:val="TableParagraph"/>
              <w:spacing w:before="77"/>
              <w:ind w:right="37"/>
              <w:jc w:val="right"/>
              <w:rPr>
                <w:sz w:val="18"/>
              </w:rPr>
            </w:pPr>
            <w:r>
              <w:rPr>
                <w:sz w:val="18"/>
              </w:rPr>
              <w:t>93.452</w:t>
            </w:r>
          </w:p>
        </w:tc>
        <w:tc>
          <w:tcPr>
            <w:tcW w:w="1147" w:type="dxa"/>
            <w:vMerge/>
            <w:tcBorders>
              <w:top w:val="nil"/>
              <w:left w:val="single" w:sz="8" w:space="0" w:color="000000"/>
              <w:right w:val="single" w:sz="8" w:space="0" w:color="000000"/>
            </w:tcBorders>
          </w:tcPr>
          <w:p>
            <w:pPr>
              <w:rPr>
                <w:sz w:val="2"/>
                <w:szCs w:val="2"/>
              </w:rPr>
            </w:pPr>
          </w:p>
        </w:tc>
        <w:tc>
          <w:tcPr>
            <w:tcW w:w="1424" w:type="dxa"/>
            <w:vMerge/>
            <w:tcBorders>
              <w:top w:val="nil"/>
              <w:left w:val="single" w:sz="8" w:space="0" w:color="000000"/>
              <w:right w:val="single" w:sz="8" w:space="0" w:color="000000"/>
            </w:tcBorders>
          </w:tcPr>
          <w:p>
            <w:pPr>
              <w:rPr>
                <w:sz w:val="2"/>
                <w:szCs w:val="2"/>
              </w:rPr>
            </w:pPr>
          </w:p>
        </w:tc>
        <w:tc>
          <w:tcPr>
            <w:tcW w:w="1438" w:type="dxa"/>
            <w:vMerge/>
            <w:tcBorders>
              <w:top w:val="nil"/>
              <w:left w:val="single" w:sz="8" w:space="0" w:color="000000"/>
            </w:tcBorders>
          </w:tcPr>
          <w:p>
            <w:pPr>
              <w:rPr>
                <w:sz w:val="2"/>
                <w:szCs w:val="2"/>
              </w:rPr>
            </w:pPr>
          </w:p>
        </w:tc>
      </w:tr>
      <w:tr>
        <w:trPr>
          <w:trHeight w:val="435" w:hRule="atLeast"/>
        </w:trPr>
        <w:tc>
          <w:tcPr>
            <w:tcW w:w="1279" w:type="dxa"/>
            <w:tcBorders>
              <w:top w:val="nil"/>
            </w:tcBorders>
          </w:tcPr>
          <w:p>
            <w:pPr>
              <w:pStyle w:val="TableParagraph"/>
              <w:spacing w:before="76"/>
              <w:ind w:left="75"/>
              <w:rPr>
                <w:sz w:val="18"/>
              </w:rPr>
            </w:pPr>
            <w:r>
              <w:rPr>
                <w:sz w:val="18"/>
              </w:rPr>
              <w:t>5</w:t>
            </w:r>
          </w:p>
        </w:tc>
        <w:tc>
          <w:tcPr>
            <w:tcW w:w="999" w:type="dxa"/>
            <w:tcBorders>
              <w:top w:val="nil"/>
              <w:right w:val="single" w:sz="8" w:space="0" w:color="000000"/>
            </w:tcBorders>
          </w:tcPr>
          <w:p>
            <w:pPr>
              <w:pStyle w:val="TableParagraph"/>
              <w:spacing w:before="76"/>
              <w:ind w:right="40"/>
              <w:jc w:val="right"/>
              <w:rPr>
                <w:sz w:val="18"/>
              </w:rPr>
            </w:pPr>
            <w:r>
              <w:rPr>
                <w:sz w:val="18"/>
              </w:rPr>
              <w:t>.327</w:t>
            </w:r>
          </w:p>
        </w:tc>
        <w:tc>
          <w:tcPr>
            <w:tcW w:w="1424" w:type="dxa"/>
            <w:tcBorders>
              <w:top w:val="nil"/>
              <w:left w:val="single" w:sz="8" w:space="0" w:color="000000"/>
              <w:right w:val="single" w:sz="8" w:space="0" w:color="000000"/>
            </w:tcBorders>
          </w:tcPr>
          <w:p>
            <w:pPr>
              <w:pStyle w:val="TableParagraph"/>
              <w:spacing w:before="76"/>
              <w:ind w:right="37"/>
              <w:jc w:val="right"/>
              <w:rPr>
                <w:sz w:val="18"/>
              </w:rPr>
            </w:pPr>
            <w:r>
              <w:rPr>
                <w:sz w:val="18"/>
              </w:rPr>
              <w:t>6.548</w:t>
            </w:r>
          </w:p>
        </w:tc>
        <w:tc>
          <w:tcPr>
            <w:tcW w:w="1438" w:type="dxa"/>
            <w:tcBorders>
              <w:top w:val="nil"/>
              <w:left w:val="single" w:sz="8" w:space="0" w:color="000000"/>
              <w:right w:val="single" w:sz="8" w:space="0" w:color="000000"/>
            </w:tcBorders>
          </w:tcPr>
          <w:p>
            <w:pPr>
              <w:pStyle w:val="TableParagraph"/>
              <w:spacing w:before="76"/>
              <w:ind w:right="38"/>
              <w:jc w:val="right"/>
              <w:rPr>
                <w:sz w:val="18"/>
              </w:rPr>
            </w:pPr>
            <w:r>
              <w:rPr>
                <w:sz w:val="18"/>
              </w:rPr>
              <w:t>100.000</w:t>
            </w:r>
          </w:p>
        </w:tc>
        <w:tc>
          <w:tcPr>
            <w:tcW w:w="1147" w:type="dxa"/>
            <w:vMerge/>
            <w:tcBorders>
              <w:top w:val="nil"/>
              <w:left w:val="single" w:sz="8" w:space="0" w:color="000000"/>
              <w:right w:val="single" w:sz="8" w:space="0" w:color="000000"/>
            </w:tcBorders>
          </w:tcPr>
          <w:p>
            <w:pPr>
              <w:rPr>
                <w:sz w:val="2"/>
                <w:szCs w:val="2"/>
              </w:rPr>
            </w:pPr>
          </w:p>
        </w:tc>
        <w:tc>
          <w:tcPr>
            <w:tcW w:w="1424" w:type="dxa"/>
            <w:vMerge/>
            <w:tcBorders>
              <w:top w:val="nil"/>
              <w:left w:val="single" w:sz="8" w:space="0" w:color="000000"/>
              <w:right w:val="single" w:sz="8" w:space="0" w:color="000000"/>
            </w:tcBorders>
          </w:tcPr>
          <w:p>
            <w:pPr>
              <w:rPr>
                <w:sz w:val="2"/>
                <w:szCs w:val="2"/>
              </w:rPr>
            </w:pPr>
          </w:p>
        </w:tc>
        <w:tc>
          <w:tcPr>
            <w:tcW w:w="1438" w:type="dxa"/>
            <w:vMerge/>
            <w:tcBorders>
              <w:top w:val="nil"/>
              <w:left w:val="single" w:sz="8" w:space="0" w:color="000000"/>
            </w:tcBorders>
          </w:tcPr>
          <w:p>
            <w:pPr>
              <w:rPr>
                <w:sz w:val="2"/>
                <w:szCs w:val="2"/>
              </w:rPr>
            </w:pPr>
          </w:p>
        </w:tc>
      </w:tr>
    </w:tbl>
    <w:p>
      <w:pPr>
        <w:spacing w:before="2"/>
        <w:ind w:left="942" w:right="0" w:firstLine="0"/>
        <w:jc w:val="left"/>
        <w:rPr>
          <w:sz w:val="18"/>
        </w:rPr>
      </w:pPr>
      <w:r>
        <w:rPr>
          <w:sz w:val="18"/>
        </w:rPr>
        <w:t>Extraction Method: Principal Component Analysis.</w:t>
      </w:r>
    </w:p>
    <w:p>
      <w:pPr>
        <w:pStyle w:val="BodyText"/>
        <w:rPr>
          <w:sz w:val="20"/>
        </w:rPr>
      </w:pPr>
    </w:p>
    <w:p>
      <w:pPr>
        <w:pStyle w:val="BodyText"/>
        <w:spacing w:before="5"/>
        <w:rPr>
          <w:sz w:val="16"/>
        </w:rPr>
      </w:pPr>
    </w:p>
    <w:p>
      <w:pPr>
        <w:spacing w:before="99"/>
        <w:ind w:left="1210" w:right="0" w:firstLine="0"/>
        <w:jc w:val="left"/>
        <w:rPr>
          <w:b/>
          <w:sz w:val="18"/>
        </w:rPr>
      </w:pPr>
      <w:r>
        <w:rPr>
          <w:b/>
          <w:sz w:val="18"/>
        </w:rPr>
        <w:t>Component Matrix</w:t>
      </w:r>
      <w:r>
        <w:rPr>
          <w:b/>
          <w:sz w:val="18"/>
          <w:vertAlign w:val="superscript"/>
        </w:rPr>
        <w:t>a</w:t>
      </w:r>
    </w:p>
    <w:p>
      <w:pPr>
        <w:pStyle w:val="BodyText"/>
        <w:spacing w:before="10" w:after="1"/>
        <w:rPr>
          <w:b/>
          <w:sz w:val="8"/>
        </w:rPr>
      </w:pPr>
    </w:p>
    <w:tbl>
      <w:tblPr>
        <w:tblW w:w="0" w:type="auto"/>
        <w:jc w:val="left"/>
        <w:tblInd w:w="907" w:type="dxa"/>
        <w:tblBorders>
          <w:top w:val="single" w:sz="18" w:space="0" w:color="000000"/>
          <w:left w:val="single" w:sz="18" w:space="0" w:color="000000"/>
          <w:bottom w:val="single" w:sz="18" w:space="0" w:color="000000"/>
          <w:right w:val="single" w:sz="18" w:space="0" w:color="000000"/>
          <w:insideH w:val="single" w:sz="18" w:space="0" w:color="000000"/>
          <w:insideV w:val="single" w:sz="18" w:space="0" w:color="000000"/>
        </w:tblBorders>
        <w:tblLayout w:type="fixed"/>
        <w:tblCellMar>
          <w:top w:w="0" w:type="dxa"/>
          <w:left w:w="0" w:type="dxa"/>
          <w:bottom w:w="0" w:type="dxa"/>
          <w:right w:w="0" w:type="dxa"/>
        </w:tblCellMar>
        <w:tblLook w:val="01E0"/>
      </w:tblPr>
      <w:tblGrid>
        <w:gridCol w:w="941"/>
        <w:gridCol w:w="1263"/>
      </w:tblGrid>
      <w:tr>
        <w:trPr>
          <w:trHeight w:val="295" w:hRule="atLeast"/>
        </w:trPr>
        <w:tc>
          <w:tcPr>
            <w:tcW w:w="941" w:type="dxa"/>
            <w:vMerge w:val="restart"/>
          </w:tcPr>
          <w:p>
            <w:pPr>
              <w:pStyle w:val="TableParagraph"/>
              <w:rPr>
                <w:sz w:val="18"/>
              </w:rPr>
            </w:pPr>
          </w:p>
        </w:tc>
        <w:tc>
          <w:tcPr>
            <w:tcW w:w="1263" w:type="dxa"/>
            <w:tcBorders>
              <w:bottom w:val="single" w:sz="8" w:space="0" w:color="000000"/>
            </w:tcBorders>
          </w:tcPr>
          <w:p>
            <w:pPr>
              <w:pStyle w:val="TableParagraph"/>
              <w:spacing w:line="206" w:lineRule="exact"/>
              <w:ind w:left="200"/>
              <w:rPr>
                <w:sz w:val="18"/>
              </w:rPr>
            </w:pPr>
            <w:r>
              <w:rPr>
                <w:sz w:val="18"/>
              </w:rPr>
              <w:t>Component</w:t>
            </w:r>
          </w:p>
        </w:tc>
      </w:tr>
      <w:tr>
        <w:trPr>
          <w:trHeight w:val="315" w:hRule="atLeast"/>
        </w:trPr>
        <w:tc>
          <w:tcPr>
            <w:tcW w:w="941" w:type="dxa"/>
            <w:vMerge/>
            <w:tcBorders>
              <w:top w:val="nil"/>
            </w:tcBorders>
          </w:tcPr>
          <w:p>
            <w:pPr>
              <w:rPr>
                <w:sz w:val="2"/>
                <w:szCs w:val="2"/>
              </w:rPr>
            </w:pPr>
          </w:p>
        </w:tc>
        <w:tc>
          <w:tcPr>
            <w:tcW w:w="1263" w:type="dxa"/>
            <w:tcBorders>
              <w:top w:val="single" w:sz="8" w:space="0" w:color="000000"/>
            </w:tcBorders>
          </w:tcPr>
          <w:p>
            <w:pPr>
              <w:pStyle w:val="TableParagraph"/>
              <w:spacing w:before="8"/>
              <w:ind w:left="21"/>
              <w:jc w:val="center"/>
              <w:rPr>
                <w:sz w:val="18"/>
              </w:rPr>
            </w:pPr>
            <w:r>
              <w:rPr>
                <w:sz w:val="18"/>
              </w:rPr>
              <w:t>1</w:t>
            </w:r>
          </w:p>
        </w:tc>
      </w:tr>
      <w:tr>
        <w:trPr>
          <w:trHeight w:val="261" w:hRule="atLeast"/>
        </w:trPr>
        <w:tc>
          <w:tcPr>
            <w:tcW w:w="941" w:type="dxa"/>
            <w:tcBorders>
              <w:bottom w:val="nil"/>
            </w:tcBorders>
          </w:tcPr>
          <w:p>
            <w:pPr>
              <w:pStyle w:val="TableParagraph"/>
              <w:spacing w:line="206" w:lineRule="exact"/>
              <w:ind w:left="75"/>
              <w:rPr>
                <w:sz w:val="18"/>
              </w:rPr>
            </w:pPr>
            <w:r>
              <w:rPr>
                <w:sz w:val="18"/>
              </w:rPr>
              <w:t>ND1</w:t>
            </w:r>
          </w:p>
        </w:tc>
        <w:tc>
          <w:tcPr>
            <w:tcW w:w="1263" w:type="dxa"/>
            <w:tcBorders>
              <w:bottom w:val="nil"/>
            </w:tcBorders>
          </w:tcPr>
          <w:p>
            <w:pPr>
              <w:pStyle w:val="TableParagraph"/>
              <w:spacing w:line="206" w:lineRule="exact"/>
              <w:ind w:right="37"/>
              <w:jc w:val="right"/>
              <w:rPr>
                <w:sz w:val="18"/>
              </w:rPr>
            </w:pPr>
            <w:r>
              <w:rPr>
                <w:sz w:val="18"/>
              </w:rPr>
              <w:t>.829</w:t>
            </w:r>
          </w:p>
        </w:tc>
      </w:tr>
      <w:tr>
        <w:trPr>
          <w:trHeight w:val="309" w:hRule="atLeast"/>
        </w:trPr>
        <w:tc>
          <w:tcPr>
            <w:tcW w:w="941" w:type="dxa"/>
            <w:tcBorders>
              <w:top w:val="nil"/>
              <w:bottom w:val="nil"/>
            </w:tcBorders>
          </w:tcPr>
          <w:p>
            <w:pPr>
              <w:pStyle w:val="TableParagraph"/>
              <w:spacing w:before="47"/>
              <w:ind w:left="75"/>
              <w:rPr>
                <w:sz w:val="18"/>
              </w:rPr>
            </w:pPr>
            <w:r>
              <w:rPr>
                <w:sz w:val="18"/>
              </w:rPr>
              <w:t>ND2</w:t>
            </w:r>
          </w:p>
        </w:tc>
        <w:tc>
          <w:tcPr>
            <w:tcW w:w="1263" w:type="dxa"/>
            <w:tcBorders>
              <w:top w:val="nil"/>
              <w:bottom w:val="nil"/>
            </w:tcBorders>
          </w:tcPr>
          <w:p>
            <w:pPr>
              <w:pStyle w:val="TableParagraph"/>
              <w:spacing w:before="47"/>
              <w:ind w:right="37"/>
              <w:jc w:val="right"/>
              <w:rPr>
                <w:sz w:val="18"/>
              </w:rPr>
            </w:pPr>
            <w:r>
              <w:rPr>
                <w:sz w:val="18"/>
              </w:rPr>
              <w:t>.798</w:t>
            </w:r>
          </w:p>
        </w:tc>
      </w:tr>
      <w:tr>
        <w:trPr>
          <w:trHeight w:val="310" w:hRule="atLeast"/>
        </w:trPr>
        <w:tc>
          <w:tcPr>
            <w:tcW w:w="941" w:type="dxa"/>
            <w:tcBorders>
              <w:top w:val="nil"/>
              <w:bottom w:val="nil"/>
            </w:tcBorders>
          </w:tcPr>
          <w:p>
            <w:pPr>
              <w:pStyle w:val="TableParagraph"/>
              <w:spacing w:before="47"/>
              <w:ind w:left="75"/>
              <w:rPr>
                <w:sz w:val="18"/>
              </w:rPr>
            </w:pPr>
            <w:r>
              <w:rPr>
                <w:sz w:val="18"/>
              </w:rPr>
              <w:t>ND3</w:t>
            </w:r>
          </w:p>
        </w:tc>
        <w:tc>
          <w:tcPr>
            <w:tcW w:w="1263" w:type="dxa"/>
            <w:tcBorders>
              <w:top w:val="nil"/>
              <w:bottom w:val="nil"/>
            </w:tcBorders>
          </w:tcPr>
          <w:p>
            <w:pPr>
              <w:pStyle w:val="TableParagraph"/>
              <w:spacing w:before="47"/>
              <w:ind w:right="38"/>
              <w:jc w:val="right"/>
              <w:rPr>
                <w:sz w:val="18"/>
              </w:rPr>
            </w:pPr>
            <w:r>
              <w:rPr>
                <w:sz w:val="18"/>
              </w:rPr>
              <w:t>.756</w:t>
            </w:r>
          </w:p>
        </w:tc>
      </w:tr>
      <w:tr>
        <w:trPr>
          <w:trHeight w:val="310" w:hRule="atLeast"/>
        </w:trPr>
        <w:tc>
          <w:tcPr>
            <w:tcW w:w="941" w:type="dxa"/>
            <w:tcBorders>
              <w:top w:val="nil"/>
              <w:bottom w:val="nil"/>
            </w:tcBorders>
          </w:tcPr>
          <w:p>
            <w:pPr>
              <w:pStyle w:val="TableParagraph"/>
              <w:spacing w:before="48"/>
              <w:ind w:left="75"/>
              <w:rPr>
                <w:sz w:val="18"/>
              </w:rPr>
            </w:pPr>
            <w:r>
              <w:rPr>
                <w:sz w:val="18"/>
              </w:rPr>
              <w:t>ND4</w:t>
            </w:r>
          </w:p>
        </w:tc>
        <w:tc>
          <w:tcPr>
            <w:tcW w:w="1263" w:type="dxa"/>
            <w:tcBorders>
              <w:top w:val="nil"/>
              <w:bottom w:val="nil"/>
            </w:tcBorders>
          </w:tcPr>
          <w:p>
            <w:pPr>
              <w:pStyle w:val="TableParagraph"/>
              <w:spacing w:before="48"/>
              <w:ind w:right="37"/>
              <w:jc w:val="right"/>
              <w:rPr>
                <w:sz w:val="18"/>
              </w:rPr>
            </w:pPr>
            <w:r>
              <w:rPr>
                <w:sz w:val="18"/>
              </w:rPr>
              <w:t>.827</w:t>
            </w:r>
          </w:p>
        </w:tc>
      </w:tr>
      <w:tr>
        <w:trPr>
          <w:trHeight w:val="356" w:hRule="atLeast"/>
        </w:trPr>
        <w:tc>
          <w:tcPr>
            <w:tcW w:w="941" w:type="dxa"/>
            <w:tcBorders>
              <w:top w:val="nil"/>
            </w:tcBorders>
          </w:tcPr>
          <w:p>
            <w:pPr>
              <w:pStyle w:val="TableParagraph"/>
              <w:spacing w:before="47"/>
              <w:ind w:left="75"/>
              <w:rPr>
                <w:sz w:val="18"/>
              </w:rPr>
            </w:pPr>
            <w:r>
              <w:rPr>
                <w:sz w:val="18"/>
              </w:rPr>
              <w:t>ND5</w:t>
            </w:r>
          </w:p>
        </w:tc>
        <w:tc>
          <w:tcPr>
            <w:tcW w:w="1263" w:type="dxa"/>
            <w:tcBorders>
              <w:top w:val="nil"/>
            </w:tcBorders>
          </w:tcPr>
          <w:p>
            <w:pPr>
              <w:pStyle w:val="TableParagraph"/>
              <w:spacing w:before="47"/>
              <w:ind w:right="37"/>
              <w:jc w:val="right"/>
              <w:rPr>
                <w:sz w:val="18"/>
              </w:rPr>
            </w:pPr>
            <w:r>
              <w:rPr>
                <w:sz w:val="18"/>
              </w:rPr>
              <w:t>.782</w:t>
            </w:r>
          </w:p>
        </w:tc>
      </w:tr>
    </w:tbl>
    <w:p>
      <w:pPr>
        <w:spacing w:before="0"/>
        <w:ind w:left="942" w:right="0" w:firstLine="0"/>
        <w:jc w:val="left"/>
        <w:rPr>
          <w:sz w:val="18"/>
        </w:rPr>
      </w:pPr>
      <w:r>
        <w:rPr>
          <w:sz w:val="18"/>
        </w:rPr>
        <w:t>Extraction Method:</w:t>
      </w:r>
    </w:p>
    <w:p>
      <w:pPr>
        <w:spacing w:line="360" w:lineRule="auto" w:before="105"/>
        <w:ind w:left="942" w:right="8353" w:firstLine="0"/>
        <w:jc w:val="left"/>
        <w:rPr>
          <w:sz w:val="18"/>
        </w:rPr>
      </w:pPr>
      <w:r>
        <w:rPr>
          <w:sz w:val="18"/>
        </w:rPr>
        <w:t>Principal Component Analysis.</w:t>
      </w:r>
    </w:p>
    <w:p>
      <w:pPr>
        <w:spacing w:line="205" w:lineRule="exact" w:before="0"/>
        <w:ind w:left="942" w:right="0" w:firstLine="0"/>
        <w:jc w:val="left"/>
        <w:rPr>
          <w:sz w:val="18"/>
        </w:rPr>
      </w:pPr>
      <w:r>
        <w:rPr>
          <w:sz w:val="18"/>
        </w:rPr>
        <w:t>a. 1 components extracted.</w:t>
      </w:r>
    </w:p>
    <w:p>
      <w:pPr>
        <w:pStyle w:val="ListParagraph"/>
        <w:numPr>
          <w:ilvl w:val="1"/>
          <w:numId w:val="46"/>
        </w:numPr>
        <w:tabs>
          <w:tab w:pos="1310" w:val="left" w:leader="none"/>
        </w:tabs>
        <w:spacing w:line="240" w:lineRule="auto" w:before="104" w:after="0"/>
        <w:ind w:left="1309" w:right="0" w:hanging="428"/>
        <w:jc w:val="left"/>
        <w:rPr>
          <w:b/>
          <w:i/>
          <w:sz w:val="24"/>
        </w:rPr>
      </w:pPr>
      <w:r>
        <w:rPr>
          <w:b/>
          <w:i/>
          <w:sz w:val="24"/>
          <w:u w:val="thick"/>
        </w:rPr>
        <w:t>Thang đo khả năng thu</w:t>
      </w:r>
      <w:r>
        <w:rPr>
          <w:b/>
          <w:i/>
          <w:spacing w:val="-5"/>
          <w:sz w:val="24"/>
          <w:u w:val="thick"/>
        </w:rPr>
        <w:t> </w:t>
      </w:r>
      <w:r>
        <w:rPr>
          <w:b/>
          <w:i/>
          <w:sz w:val="24"/>
          <w:u w:val="thick"/>
        </w:rPr>
        <w:t>hút</w:t>
      </w:r>
    </w:p>
    <w:p>
      <w:pPr>
        <w:pStyle w:val="BodyText"/>
        <w:rPr>
          <w:b/>
          <w:i/>
          <w:sz w:val="20"/>
        </w:rPr>
      </w:pPr>
    </w:p>
    <w:p>
      <w:pPr>
        <w:pStyle w:val="BodyText"/>
        <w:spacing w:before="1"/>
        <w:rPr>
          <w:b/>
          <w:i/>
          <w:sz w:val="20"/>
        </w:rPr>
      </w:pPr>
    </w:p>
    <w:p>
      <w:pPr>
        <w:spacing w:before="92"/>
        <w:ind w:left="1450" w:right="0" w:firstLine="0"/>
        <w:jc w:val="left"/>
        <w:rPr>
          <w:b/>
          <w:sz w:val="18"/>
        </w:rPr>
      </w:pPr>
      <w:r>
        <w:rPr>
          <w:b/>
          <w:sz w:val="18"/>
        </w:rPr>
        <w:t>Reliability Statistics</w:t>
      </w:r>
    </w:p>
    <w:p>
      <w:pPr>
        <w:pStyle w:val="BodyText"/>
        <w:spacing w:before="11"/>
        <w:rPr>
          <w:b/>
          <w:sz w:val="8"/>
        </w:rPr>
      </w:pPr>
    </w:p>
    <w:tbl>
      <w:tblPr>
        <w:tblW w:w="0" w:type="auto"/>
        <w:jc w:val="left"/>
        <w:tblInd w:w="907" w:type="dxa"/>
        <w:tblBorders>
          <w:top w:val="single" w:sz="18" w:space="0" w:color="000000"/>
          <w:left w:val="single" w:sz="18" w:space="0" w:color="000000"/>
          <w:bottom w:val="single" w:sz="18" w:space="0" w:color="000000"/>
          <w:right w:val="single" w:sz="18" w:space="0" w:color="000000"/>
          <w:insideH w:val="single" w:sz="18" w:space="0" w:color="000000"/>
          <w:insideV w:val="single" w:sz="18" w:space="0" w:color="000000"/>
        </w:tblBorders>
        <w:tblLayout w:type="fixed"/>
        <w:tblCellMar>
          <w:top w:w="0" w:type="dxa"/>
          <w:left w:w="0" w:type="dxa"/>
          <w:bottom w:w="0" w:type="dxa"/>
          <w:right w:w="0" w:type="dxa"/>
        </w:tblCellMar>
        <w:tblLook w:val="01E0"/>
      </w:tblPr>
      <w:tblGrid>
        <w:gridCol w:w="1512"/>
        <w:gridCol w:w="1165"/>
      </w:tblGrid>
      <w:tr>
        <w:trPr>
          <w:trHeight w:val="305" w:hRule="atLeast"/>
        </w:trPr>
        <w:tc>
          <w:tcPr>
            <w:tcW w:w="1512" w:type="dxa"/>
            <w:tcBorders>
              <w:right w:val="single" w:sz="8" w:space="0" w:color="000000"/>
            </w:tcBorders>
          </w:tcPr>
          <w:p>
            <w:pPr>
              <w:pStyle w:val="TableParagraph"/>
              <w:spacing w:line="206" w:lineRule="exact"/>
              <w:ind w:right="74"/>
              <w:jc w:val="right"/>
              <w:rPr>
                <w:sz w:val="18"/>
              </w:rPr>
            </w:pPr>
            <w:r>
              <w:rPr>
                <w:sz w:val="18"/>
              </w:rPr>
              <w:t>Cronbach's Alpha</w:t>
            </w:r>
          </w:p>
        </w:tc>
        <w:tc>
          <w:tcPr>
            <w:tcW w:w="1165" w:type="dxa"/>
            <w:tcBorders>
              <w:left w:val="single" w:sz="8" w:space="0" w:color="000000"/>
            </w:tcBorders>
          </w:tcPr>
          <w:p>
            <w:pPr>
              <w:pStyle w:val="TableParagraph"/>
              <w:spacing w:line="206" w:lineRule="exact"/>
              <w:ind w:left="201"/>
              <w:rPr>
                <w:sz w:val="18"/>
              </w:rPr>
            </w:pPr>
            <w:r>
              <w:rPr>
                <w:sz w:val="18"/>
              </w:rPr>
              <w:t>N of Items</w:t>
            </w:r>
          </w:p>
        </w:tc>
      </w:tr>
      <w:tr>
        <w:trPr>
          <w:trHeight w:val="307" w:hRule="atLeast"/>
        </w:trPr>
        <w:tc>
          <w:tcPr>
            <w:tcW w:w="1512" w:type="dxa"/>
            <w:tcBorders>
              <w:right w:val="single" w:sz="8" w:space="0" w:color="000000"/>
            </w:tcBorders>
          </w:tcPr>
          <w:p>
            <w:pPr>
              <w:pStyle w:val="TableParagraph"/>
              <w:spacing w:line="206" w:lineRule="exact"/>
              <w:ind w:right="38"/>
              <w:jc w:val="right"/>
              <w:rPr>
                <w:sz w:val="18"/>
              </w:rPr>
            </w:pPr>
            <w:r>
              <w:rPr>
                <w:sz w:val="18"/>
              </w:rPr>
              <w:t>.876</w:t>
            </w:r>
          </w:p>
        </w:tc>
        <w:tc>
          <w:tcPr>
            <w:tcW w:w="1165" w:type="dxa"/>
            <w:tcBorders>
              <w:left w:val="single" w:sz="8" w:space="0" w:color="000000"/>
            </w:tcBorders>
          </w:tcPr>
          <w:p>
            <w:pPr>
              <w:pStyle w:val="TableParagraph"/>
              <w:spacing w:line="206" w:lineRule="exact"/>
              <w:ind w:right="37"/>
              <w:jc w:val="right"/>
              <w:rPr>
                <w:sz w:val="18"/>
              </w:rPr>
            </w:pPr>
            <w:r>
              <w:rPr>
                <w:sz w:val="18"/>
              </w:rPr>
              <w:t>6</w:t>
            </w:r>
          </w:p>
        </w:tc>
      </w:tr>
    </w:tbl>
    <w:p>
      <w:pPr>
        <w:pStyle w:val="BodyText"/>
        <w:rPr>
          <w:b/>
          <w:sz w:val="20"/>
        </w:rPr>
      </w:pPr>
    </w:p>
    <w:p>
      <w:pPr>
        <w:pStyle w:val="BodyText"/>
        <w:spacing w:before="10"/>
        <w:rPr>
          <w:b/>
          <w:sz w:val="15"/>
        </w:rPr>
      </w:pPr>
    </w:p>
    <w:p>
      <w:pPr>
        <w:spacing w:before="0"/>
        <w:ind w:left="3479" w:right="0" w:firstLine="0"/>
        <w:jc w:val="left"/>
        <w:rPr>
          <w:b/>
          <w:sz w:val="18"/>
        </w:rPr>
      </w:pPr>
      <w:r>
        <w:rPr>
          <w:b/>
          <w:sz w:val="18"/>
        </w:rPr>
        <w:t>Item-Total Statistics</w:t>
      </w:r>
    </w:p>
    <w:p>
      <w:pPr>
        <w:pStyle w:val="BodyText"/>
        <w:spacing w:before="1" w:after="1"/>
        <w:rPr>
          <w:b/>
          <w:sz w:val="9"/>
        </w:rPr>
      </w:pPr>
    </w:p>
    <w:tbl>
      <w:tblPr>
        <w:tblW w:w="0" w:type="auto"/>
        <w:jc w:val="left"/>
        <w:tblInd w:w="907" w:type="dxa"/>
        <w:tblBorders>
          <w:top w:val="single" w:sz="18" w:space="0" w:color="000000"/>
          <w:left w:val="single" w:sz="18" w:space="0" w:color="000000"/>
          <w:bottom w:val="single" w:sz="18" w:space="0" w:color="000000"/>
          <w:right w:val="single" w:sz="18" w:space="0" w:color="000000"/>
          <w:insideH w:val="single" w:sz="18" w:space="0" w:color="000000"/>
          <w:insideV w:val="single" w:sz="18" w:space="0" w:color="000000"/>
        </w:tblBorders>
        <w:tblLayout w:type="fixed"/>
        <w:tblCellMar>
          <w:top w:w="0" w:type="dxa"/>
          <w:left w:w="0" w:type="dxa"/>
          <w:bottom w:w="0" w:type="dxa"/>
          <w:right w:w="0" w:type="dxa"/>
        </w:tblCellMar>
        <w:tblLook w:val="01E0"/>
      </w:tblPr>
      <w:tblGrid>
        <w:gridCol w:w="888"/>
        <w:gridCol w:w="1469"/>
        <w:gridCol w:w="1468"/>
        <w:gridCol w:w="1466"/>
        <w:gridCol w:w="1468"/>
      </w:tblGrid>
      <w:tr>
        <w:trPr>
          <w:trHeight w:val="614" w:hRule="atLeast"/>
        </w:trPr>
        <w:tc>
          <w:tcPr>
            <w:tcW w:w="888" w:type="dxa"/>
          </w:tcPr>
          <w:p>
            <w:pPr>
              <w:pStyle w:val="TableParagraph"/>
              <w:rPr>
                <w:sz w:val="18"/>
              </w:rPr>
            </w:pPr>
          </w:p>
        </w:tc>
        <w:tc>
          <w:tcPr>
            <w:tcW w:w="1469" w:type="dxa"/>
            <w:tcBorders>
              <w:right w:val="single" w:sz="8" w:space="0" w:color="000000"/>
            </w:tcBorders>
          </w:tcPr>
          <w:p>
            <w:pPr>
              <w:pStyle w:val="TableParagraph"/>
              <w:spacing w:line="204" w:lineRule="exact"/>
              <w:ind w:left="234"/>
              <w:rPr>
                <w:sz w:val="18"/>
              </w:rPr>
            </w:pPr>
            <w:r>
              <w:rPr>
                <w:sz w:val="18"/>
              </w:rPr>
              <w:t>Scale Mean</w:t>
            </w:r>
            <w:r>
              <w:rPr>
                <w:spacing w:val="-4"/>
                <w:sz w:val="18"/>
              </w:rPr>
              <w:t> </w:t>
            </w:r>
            <w:r>
              <w:rPr>
                <w:sz w:val="18"/>
              </w:rPr>
              <w:t>if</w:t>
            </w:r>
          </w:p>
          <w:p>
            <w:pPr>
              <w:pStyle w:val="TableParagraph"/>
              <w:spacing w:before="105"/>
              <w:ind w:left="267"/>
              <w:rPr>
                <w:sz w:val="18"/>
              </w:rPr>
            </w:pPr>
            <w:r>
              <w:rPr>
                <w:sz w:val="18"/>
              </w:rPr>
              <w:t>Item</w:t>
            </w:r>
            <w:r>
              <w:rPr>
                <w:spacing w:val="-3"/>
                <w:sz w:val="18"/>
              </w:rPr>
              <w:t> </w:t>
            </w:r>
            <w:r>
              <w:rPr>
                <w:sz w:val="18"/>
              </w:rPr>
              <w:t>Deleted</w:t>
            </w:r>
          </w:p>
        </w:tc>
        <w:tc>
          <w:tcPr>
            <w:tcW w:w="1468" w:type="dxa"/>
            <w:tcBorders>
              <w:left w:val="single" w:sz="8" w:space="0" w:color="000000"/>
              <w:right w:val="single" w:sz="8" w:space="0" w:color="000000"/>
            </w:tcBorders>
          </w:tcPr>
          <w:p>
            <w:pPr>
              <w:pStyle w:val="TableParagraph"/>
              <w:spacing w:line="204" w:lineRule="exact"/>
              <w:ind w:left="98" w:right="64"/>
              <w:jc w:val="center"/>
              <w:rPr>
                <w:sz w:val="18"/>
              </w:rPr>
            </w:pPr>
            <w:r>
              <w:rPr>
                <w:sz w:val="18"/>
              </w:rPr>
              <w:t>Scale Variance if</w:t>
            </w:r>
          </w:p>
          <w:p>
            <w:pPr>
              <w:pStyle w:val="TableParagraph"/>
              <w:spacing w:before="105"/>
              <w:ind w:left="101" w:right="64"/>
              <w:jc w:val="center"/>
              <w:rPr>
                <w:sz w:val="18"/>
              </w:rPr>
            </w:pPr>
            <w:r>
              <w:rPr>
                <w:sz w:val="18"/>
              </w:rPr>
              <w:t>Item Deleted</w:t>
            </w:r>
          </w:p>
        </w:tc>
        <w:tc>
          <w:tcPr>
            <w:tcW w:w="1466" w:type="dxa"/>
            <w:tcBorders>
              <w:left w:val="single" w:sz="8" w:space="0" w:color="000000"/>
              <w:right w:val="single" w:sz="8" w:space="0" w:color="000000"/>
            </w:tcBorders>
          </w:tcPr>
          <w:p>
            <w:pPr>
              <w:pStyle w:val="TableParagraph"/>
              <w:spacing w:line="204" w:lineRule="exact"/>
              <w:ind w:left="171"/>
              <w:rPr>
                <w:sz w:val="18"/>
              </w:rPr>
            </w:pPr>
            <w:r>
              <w:rPr>
                <w:sz w:val="18"/>
              </w:rPr>
              <w:t>Corrected Item-</w:t>
            </w:r>
          </w:p>
          <w:p>
            <w:pPr>
              <w:pStyle w:val="TableParagraph"/>
              <w:spacing w:before="105"/>
              <w:ind w:left="120"/>
              <w:rPr>
                <w:sz w:val="18"/>
              </w:rPr>
            </w:pPr>
            <w:r>
              <w:rPr>
                <w:sz w:val="18"/>
              </w:rPr>
              <w:t>Total Correlation</w:t>
            </w:r>
          </w:p>
        </w:tc>
        <w:tc>
          <w:tcPr>
            <w:tcW w:w="1468" w:type="dxa"/>
            <w:tcBorders>
              <w:left w:val="single" w:sz="8" w:space="0" w:color="000000"/>
            </w:tcBorders>
          </w:tcPr>
          <w:p>
            <w:pPr>
              <w:pStyle w:val="TableParagraph"/>
              <w:spacing w:line="204" w:lineRule="exact"/>
              <w:ind w:left="95"/>
              <w:rPr>
                <w:sz w:val="18"/>
              </w:rPr>
            </w:pPr>
            <w:r>
              <w:rPr>
                <w:sz w:val="18"/>
              </w:rPr>
              <w:t>Cronbach's Alpha</w:t>
            </w:r>
          </w:p>
          <w:p>
            <w:pPr>
              <w:pStyle w:val="TableParagraph"/>
              <w:spacing w:before="105"/>
              <w:ind w:left="193"/>
              <w:rPr>
                <w:sz w:val="18"/>
              </w:rPr>
            </w:pPr>
            <w:r>
              <w:rPr>
                <w:sz w:val="18"/>
              </w:rPr>
              <w:t>if Item Deleted</w:t>
            </w:r>
          </w:p>
        </w:tc>
      </w:tr>
      <w:tr>
        <w:trPr>
          <w:trHeight w:val="308" w:hRule="atLeast"/>
        </w:trPr>
        <w:tc>
          <w:tcPr>
            <w:tcW w:w="888" w:type="dxa"/>
            <w:tcBorders>
              <w:bottom w:val="nil"/>
            </w:tcBorders>
          </w:tcPr>
          <w:p>
            <w:pPr>
              <w:pStyle w:val="TableParagraph"/>
              <w:spacing w:line="206" w:lineRule="exact"/>
              <w:ind w:left="75"/>
              <w:rPr>
                <w:sz w:val="18"/>
              </w:rPr>
            </w:pPr>
            <w:r>
              <w:rPr>
                <w:sz w:val="18"/>
              </w:rPr>
              <w:t>CP1</w:t>
            </w:r>
          </w:p>
        </w:tc>
        <w:tc>
          <w:tcPr>
            <w:tcW w:w="1469" w:type="dxa"/>
            <w:tcBorders>
              <w:bottom w:val="nil"/>
              <w:right w:val="single" w:sz="8" w:space="0" w:color="000000"/>
            </w:tcBorders>
          </w:tcPr>
          <w:p>
            <w:pPr>
              <w:pStyle w:val="TableParagraph"/>
              <w:spacing w:line="206" w:lineRule="exact"/>
              <w:ind w:right="36"/>
              <w:jc w:val="right"/>
              <w:rPr>
                <w:sz w:val="18"/>
              </w:rPr>
            </w:pPr>
            <w:r>
              <w:rPr>
                <w:sz w:val="18"/>
              </w:rPr>
              <w:t>18.55</w:t>
            </w:r>
          </w:p>
        </w:tc>
        <w:tc>
          <w:tcPr>
            <w:tcW w:w="1468" w:type="dxa"/>
            <w:tcBorders>
              <w:left w:val="single" w:sz="8" w:space="0" w:color="000000"/>
              <w:bottom w:val="nil"/>
              <w:right w:val="single" w:sz="8" w:space="0" w:color="000000"/>
            </w:tcBorders>
          </w:tcPr>
          <w:p>
            <w:pPr>
              <w:pStyle w:val="TableParagraph"/>
              <w:spacing w:line="206" w:lineRule="exact"/>
              <w:ind w:left="911"/>
              <w:rPr>
                <w:sz w:val="18"/>
              </w:rPr>
            </w:pPr>
            <w:r>
              <w:rPr>
                <w:sz w:val="18"/>
              </w:rPr>
              <w:t>19.638</w:t>
            </w:r>
          </w:p>
        </w:tc>
        <w:tc>
          <w:tcPr>
            <w:tcW w:w="1466" w:type="dxa"/>
            <w:tcBorders>
              <w:left w:val="single" w:sz="8" w:space="0" w:color="000000"/>
              <w:bottom w:val="nil"/>
              <w:right w:val="single" w:sz="8" w:space="0" w:color="000000"/>
            </w:tcBorders>
          </w:tcPr>
          <w:p>
            <w:pPr>
              <w:pStyle w:val="TableParagraph"/>
              <w:spacing w:line="206" w:lineRule="exact"/>
              <w:ind w:right="36"/>
              <w:jc w:val="right"/>
              <w:rPr>
                <w:sz w:val="18"/>
              </w:rPr>
            </w:pPr>
            <w:r>
              <w:rPr>
                <w:sz w:val="18"/>
              </w:rPr>
              <w:t>.591</w:t>
            </w:r>
          </w:p>
        </w:tc>
        <w:tc>
          <w:tcPr>
            <w:tcW w:w="1468" w:type="dxa"/>
            <w:tcBorders>
              <w:left w:val="single" w:sz="8" w:space="0" w:color="000000"/>
              <w:bottom w:val="nil"/>
            </w:tcBorders>
          </w:tcPr>
          <w:p>
            <w:pPr>
              <w:pStyle w:val="TableParagraph"/>
              <w:spacing w:line="206" w:lineRule="exact"/>
              <w:ind w:right="34"/>
              <w:jc w:val="right"/>
              <w:rPr>
                <w:sz w:val="18"/>
              </w:rPr>
            </w:pPr>
            <w:r>
              <w:rPr>
                <w:sz w:val="18"/>
              </w:rPr>
              <w:t>.872</w:t>
            </w:r>
          </w:p>
        </w:tc>
      </w:tr>
    </w:tbl>
    <w:p>
      <w:pPr>
        <w:spacing w:after="0" w:line="206" w:lineRule="exact"/>
        <w:jc w:val="right"/>
        <w:rPr>
          <w:sz w:val="18"/>
        </w:rPr>
        <w:sectPr>
          <w:pgSz w:w="11910" w:h="16850"/>
          <w:pgMar w:header="751" w:footer="0" w:top="960" w:bottom="280" w:left="820" w:right="240"/>
        </w:sectPr>
      </w:pPr>
    </w:p>
    <w:p>
      <w:pPr>
        <w:pStyle w:val="BodyText"/>
        <w:spacing w:before="9"/>
        <w:rPr>
          <w:b/>
          <w:sz w:val="23"/>
        </w:rPr>
      </w:pPr>
    </w:p>
    <w:tbl>
      <w:tblPr>
        <w:tblW w:w="0" w:type="auto"/>
        <w:jc w:val="left"/>
        <w:tblInd w:w="907" w:type="dxa"/>
        <w:tblBorders>
          <w:top w:val="single" w:sz="18" w:space="0" w:color="000000"/>
          <w:left w:val="single" w:sz="18" w:space="0" w:color="000000"/>
          <w:bottom w:val="single" w:sz="18" w:space="0" w:color="000000"/>
          <w:right w:val="single" w:sz="18" w:space="0" w:color="000000"/>
          <w:insideH w:val="single" w:sz="18" w:space="0" w:color="000000"/>
          <w:insideV w:val="single" w:sz="18" w:space="0" w:color="000000"/>
        </w:tblBorders>
        <w:tblLayout w:type="fixed"/>
        <w:tblCellMar>
          <w:top w:w="0" w:type="dxa"/>
          <w:left w:w="0" w:type="dxa"/>
          <w:bottom w:w="0" w:type="dxa"/>
          <w:right w:w="0" w:type="dxa"/>
        </w:tblCellMar>
        <w:tblLook w:val="01E0"/>
      </w:tblPr>
      <w:tblGrid>
        <w:gridCol w:w="888"/>
        <w:gridCol w:w="1469"/>
        <w:gridCol w:w="1468"/>
        <w:gridCol w:w="1466"/>
        <w:gridCol w:w="1468"/>
      </w:tblGrid>
      <w:tr>
        <w:trPr>
          <w:trHeight w:val="263" w:hRule="atLeast"/>
        </w:trPr>
        <w:tc>
          <w:tcPr>
            <w:tcW w:w="888" w:type="dxa"/>
            <w:tcBorders>
              <w:top w:val="nil"/>
              <w:bottom w:val="nil"/>
            </w:tcBorders>
          </w:tcPr>
          <w:p>
            <w:pPr>
              <w:pStyle w:val="TableParagraph"/>
              <w:ind w:left="75"/>
              <w:rPr>
                <w:sz w:val="18"/>
              </w:rPr>
            </w:pPr>
            <w:r>
              <w:rPr>
                <w:sz w:val="18"/>
              </w:rPr>
              <w:t>CP2</w:t>
            </w:r>
          </w:p>
        </w:tc>
        <w:tc>
          <w:tcPr>
            <w:tcW w:w="1469" w:type="dxa"/>
            <w:tcBorders>
              <w:top w:val="nil"/>
              <w:bottom w:val="nil"/>
              <w:right w:val="single" w:sz="8" w:space="0" w:color="000000"/>
            </w:tcBorders>
          </w:tcPr>
          <w:p>
            <w:pPr>
              <w:pStyle w:val="TableParagraph"/>
              <w:ind w:right="36"/>
              <w:jc w:val="right"/>
              <w:rPr>
                <w:sz w:val="18"/>
              </w:rPr>
            </w:pPr>
            <w:r>
              <w:rPr>
                <w:sz w:val="18"/>
              </w:rPr>
              <w:t>18.47</w:t>
            </w:r>
          </w:p>
        </w:tc>
        <w:tc>
          <w:tcPr>
            <w:tcW w:w="1468" w:type="dxa"/>
            <w:tcBorders>
              <w:top w:val="nil"/>
              <w:left w:val="single" w:sz="8" w:space="0" w:color="000000"/>
              <w:bottom w:val="nil"/>
              <w:right w:val="single" w:sz="8" w:space="0" w:color="000000"/>
            </w:tcBorders>
          </w:tcPr>
          <w:p>
            <w:pPr>
              <w:pStyle w:val="TableParagraph"/>
              <w:ind w:right="38"/>
              <w:jc w:val="right"/>
              <w:rPr>
                <w:sz w:val="18"/>
              </w:rPr>
            </w:pPr>
            <w:r>
              <w:rPr>
                <w:sz w:val="18"/>
              </w:rPr>
              <w:t>19.357</w:t>
            </w:r>
          </w:p>
        </w:tc>
        <w:tc>
          <w:tcPr>
            <w:tcW w:w="1466" w:type="dxa"/>
            <w:tcBorders>
              <w:top w:val="nil"/>
              <w:left w:val="single" w:sz="8" w:space="0" w:color="000000"/>
              <w:bottom w:val="nil"/>
              <w:right w:val="single" w:sz="8" w:space="0" w:color="000000"/>
            </w:tcBorders>
          </w:tcPr>
          <w:p>
            <w:pPr>
              <w:pStyle w:val="TableParagraph"/>
              <w:ind w:right="35"/>
              <w:jc w:val="right"/>
              <w:rPr>
                <w:sz w:val="18"/>
              </w:rPr>
            </w:pPr>
            <w:r>
              <w:rPr>
                <w:sz w:val="18"/>
              </w:rPr>
              <w:t>.681</w:t>
            </w:r>
          </w:p>
        </w:tc>
        <w:tc>
          <w:tcPr>
            <w:tcW w:w="1468" w:type="dxa"/>
            <w:tcBorders>
              <w:top w:val="nil"/>
              <w:left w:val="single" w:sz="8" w:space="0" w:color="000000"/>
              <w:bottom w:val="nil"/>
            </w:tcBorders>
          </w:tcPr>
          <w:p>
            <w:pPr>
              <w:pStyle w:val="TableParagraph"/>
              <w:ind w:right="33"/>
              <w:jc w:val="right"/>
              <w:rPr>
                <w:sz w:val="18"/>
              </w:rPr>
            </w:pPr>
            <w:r>
              <w:rPr>
                <w:sz w:val="18"/>
              </w:rPr>
              <w:t>.855</w:t>
            </w:r>
          </w:p>
        </w:tc>
      </w:tr>
      <w:tr>
        <w:trPr>
          <w:trHeight w:val="310" w:hRule="atLeast"/>
        </w:trPr>
        <w:tc>
          <w:tcPr>
            <w:tcW w:w="888" w:type="dxa"/>
            <w:tcBorders>
              <w:top w:val="nil"/>
              <w:bottom w:val="nil"/>
            </w:tcBorders>
          </w:tcPr>
          <w:p>
            <w:pPr>
              <w:pStyle w:val="TableParagraph"/>
              <w:spacing w:before="48"/>
              <w:ind w:left="75"/>
              <w:rPr>
                <w:sz w:val="18"/>
              </w:rPr>
            </w:pPr>
            <w:r>
              <w:rPr>
                <w:sz w:val="18"/>
              </w:rPr>
              <w:t>CP3</w:t>
            </w:r>
          </w:p>
        </w:tc>
        <w:tc>
          <w:tcPr>
            <w:tcW w:w="1469" w:type="dxa"/>
            <w:tcBorders>
              <w:top w:val="nil"/>
              <w:bottom w:val="nil"/>
              <w:right w:val="single" w:sz="8" w:space="0" w:color="000000"/>
            </w:tcBorders>
          </w:tcPr>
          <w:p>
            <w:pPr>
              <w:pStyle w:val="TableParagraph"/>
              <w:spacing w:before="48"/>
              <w:ind w:right="37"/>
              <w:jc w:val="right"/>
              <w:rPr>
                <w:sz w:val="18"/>
              </w:rPr>
            </w:pPr>
            <w:r>
              <w:rPr>
                <w:sz w:val="18"/>
              </w:rPr>
              <w:t>18.40</w:t>
            </w:r>
          </w:p>
        </w:tc>
        <w:tc>
          <w:tcPr>
            <w:tcW w:w="1468" w:type="dxa"/>
            <w:tcBorders>
              <w:top w:val="nil"/>
              <w:left w:val="single" w:sz="8" w:space="0" w:color="000000"/>
              <w:bottom w:val="nil"/>
              <w:right w:val="single" w:sz="8" w:space="0" w:color="000000"/>
            </w:tcBorders>
          </w:tcPr>
          <w:p>
            <w:pPr>
              <w:pStyle w:val="TableParagraph"/>
              <w:spacing w:before="48"/>
              <w:ind w:right="39"/>
              <w:jc w:val="right"/>
              <w:rPr>
                <w:sz w:val="18"/>
              </w:rPr>
            </w:pPr>
            <w:r>
              <w:rPr>
                <w:sz w:val="18"/>
              </w:rPr>
              <w:t>18.804</w:t>
            </w:r>
          </w:p>
        </w:tc>
        <w:tc>
          <w:tcPr>
            <w:tcW w:w="1466" w:type="dxa"/>
            <w:tcBorders>
              <w:top w:val="nil"/>
              <w:left w:val="single" w:sz="8" w:space="0" w:color="000000"/>
              <w:bottom w:val="nil"/>
              <w:right w:val="single" w:sz="8" w:space="0" w:color="000000"/>
            </w:tcBorders>
          </w:tcPr>
          <w:p>
            <w:pPr>
              <w:pStyle w:val="TableParagraph"/>
              <w:spacing w:before="48"/>
              <w:ind w:right="35"/>
              <w:jc w:val="right"/>
              <w:rPr>
                <w:sz w:val="18"/>
              </w:rPr>
            </w:pPr>
            <w:r>
              <w:rPr>
                <w:sz w:val="18"/>
              </w:rPr>
              <w:t>.742</w:t>
            </w:r>
          </w:p>
        </w:tc>
        <w:tc>
          <w:tcPr>
            <w:tcW w:w="1468" w:type="dxa"/>
            <w:tcBorders>
              <w:top w:val="nil"/>
              <w:left w:val="single" w:sz="8" w:space="0" w:color="000000"/>
              <w:bottom w:val="nil"/>
            </w:tcBorders>
          </w:tcPr>
          <w:p>
            <w:pPr>
              <w:pStyle w:val="TableParagraph"/>
              <w:spacing w:before="48"/>
              <w:ind w:right="34"/>
              <w:jc w:val="right"/>
              <w:rPr>
                <w:sz w:val="18"/>
              </w:rPr>
            </w:pPr>
            <w:r>
              <w:rPr>
                <w:sz w:val="18"/>
              </w:rPr>
              <w:t>.844</w:t>
            </w:r>
          </w:p>
        </w:tc>
      </w:tr>
      <w:tr>
        <w:trPr>
          <w:trHeight w:val="309" w:hRule="atLeast"/>
        </w:trPr>
        <w:tc>
          <w:tcPr>
            <w:tcW w:w="888" w:type="dxa"/>
            <w:tcBorders>
              <w:top w:val="nil"/>
              <w:bottom w:val="nil"/>
            </w:tcBorders>
          </w:tcPr>
          <w:p>
            <w:pPr>
              <w:pStyle w:val="TableParagraph"/>
              <w:spacing w:before="47"/>
              <w:ind w:left="75"/>
              <w:rPr>
                <w:sz w:val="18"/>
              </w:rPr>
            </w:pPr>
            <w:r>
              <w:rPr>
                <w:sz w:val="18"/>
              </w:rPr>
              <w:t>CP4</w:t>
            </w:r>
          </w:p>
        </w:tc>
        <w:tc>
          <w:tcPr>
            <w:tcW w:w="1469" w:type="dxa"/>
            <w:tcBorders>
              <w:top w:val="nil"/>
              <w:bottom w:val="nil"/>
              <w:right w:val="single" w:sz="8" w:space="0" w:color="000000"/>
            </w:tcBorders>
          </w:tcPr>
          <w:p>
            <w:pPr>
              <w:pStyle w:val="TableParagraph"/>
              <w:spacing w:before="47"/>
              <w:ind w:right="37"/>
              <w:jc w:val="right"/>
              <w:rPr>
                <w:sz w:val="18"/>
              </w:rPr>
            </w:pPr>
            <w:r>
              <w:rPr>
                <w:sz w:val="18"/>
              </w:rPr>
              <w:t>18.40</w:t>
            </w:r>
          </w:p>
        </w:tc>
        <w:tc>
          <w:tcPr>
            <w:tcW w:w="1468" w:type="dxa"/>
            <w:tcBorders>
              <w:top w:val="nil"/>
              <w:left w:val="single" w:sz="8" w:space="0" w:color="000000"/>
              <w:bottom w:val="nil"/>
              <w:right w:val="single" w:sz="8" w:space="0" w:color="000000"/>
            </w:tcBorders>
          </w:tcPr>
          <w:p>
            <w:pPr>
              <w:pStyle w:val="TableParagraph"/>
              <w:spacing w:before="47"/>
              <w:ind w:right="38"/>
              <w:jc w:val="right"/>
              <w:rPr>
                <w:sz w:val="18"/>
              </w:rPr>
            </w:pPr>
            <w:r>
              <w:rPr>
                <w:sz w:val="18"/>
              </w:rPr>
              <w:t>19.363</w:t>
            </w:r>
          </w:p>
        </w:tc>
        <w:tc>
          <w:tcPr>
            <w:tcW w:w="1466" w:type="dxa"/>
            <w:tcBorders>
              <w:top w:val="nil"/>
              <w:left w:val="single" w:sz="8" w:space="0" w:color="000000"/>
              <w:bottom w:val="nil"/>
              <w:right w:val="single" w:sz="8" w:space="0" w:color="000000"/>
            </w:tcBorders>
          </w:tcPr>
          <w:p>
            <w:pPr>
              <w:pStyle w:val="TableParagraph"/>
              <w:spacing w:before="47"/>
              <w:ind w:right="35"/>
              <w:jc w:val="right"/>
              <w:rPr>
                <w:sz w:val="18"/>
              </w:rPr>
            </w:pPr>
            <w:r>
              <w:rPr>
                <w:sz w:val="18"/>
              </w:rPr>
              <w:t>.713</w:t>
            </w:r>
          </w:p>
        </w:tc>
        <w:tc>
          <w:tcPr>
            <w:tcW w:w="1468" w:type="dxa"/>
            <w:tcBorders>
              <w:top w:val="nil"/>
              <w:left w:val="single" w:sz="8" w:space="0" w:color="000000"/>
              <w:bottom w:val="nil"/>
            </w:tcBorders>
          </w:tcPr>
          <w:p>
            <w:pPr>
              <w:pStyle w:val="TableParagraph"/>
              <w:spacing w:before="47"/>
              <w:ind w:right="34"/>
              <w:jc w:val="right"/>
              <w:rPr>
                <w:sz w:val="18"/>
              </w:rPr>
            </w:pPr>
            <w:r>
              <w:rPr>
                <w:sz w:val="18"/>
              </w:rPr>
              <w:t>.850</w:t>
            </w:r>
          </w:p>
        </w:tc>
      </w:tr>
      <w:tr>
        <w:trPr>
          <w:trHeight w:val="310" w:hRule="atLeast"/>
        </w:trPr>
        <w:tc>
          <w:tcPr>
            <w:tcW w:w="888" w:type="dxa"/>
            <w:tcBorders>
              <w:top w:val="nil"/>
              <w:bottom w:val="nil"/>
            </w:tcBorders>
          </w:tcPr>
          <w:p>
            <w:pPr>
              <w:pStyle w:val="TableParagraph"/>
              <w:spacing w:before="47"/>
              <w:ind w:left="75"/>
              <w:rPr>
                <w:sz w:val="18"/>
              </w:rPr>
            </w:pPr>
            <w:r>
              <w:rPr>
                <w:sz w:val="18"/>
              </w:rPr>
              <w:t>CP5</w:t>
            </w:r>
          </w:p>
        </w:tc>
        <w:tc>
          <w:tcPr>
            <w:tcW w:w="1469" w:type="dxa"/>
            <w:tcBorders>
              <w:top w:val="nil"/>
              <w:bottom w:val="nil"/>
              <w:right w:val="single" w:sz="8" w:space="0" w:color="000000"/>
            </w:tcBorders>
          </w:tcPr>
          <w:p>
            <w:pPr>
              <w:pStyle w:val="TableParagraph"/>
              <w:spacing w:before="47"/>
              <w:ind w:right="36"/>
              <w:jc w:val="right"/>
              <w:rPr>
                <w:sz w:val="18"/>
              </w:rPr>
            </w:pPr>
            <w:r>
              <w:rPr>
                <w:sz w:val="18"/>
              </w:rPr>
              <w:t>18.42</w:t>
            </w:r>
          </w:p>
        </w:tc>
        <w:tc>
          <w:tcPr>
            <w:tcW w:w="1468" w:type="dxa"/>
            <w:tcBorders>
              <w:top w:val="nil"/>
              <w:left w:val="single" w:sz="8" w:space="0" w:color="000000"/>
              <w:bottom w:val="nil"/>
              <w:right w:val="single" w:sz="8" w:space="0" w:color="000000"/>
            </w:tcBorders>
          </w:tcPr>
          <w:p>
            <w:pPr>
              <w:pStyle w:val="TableParagraph"/>
              <w:spacing w:before="47"/>
              <w:ind w:right="38"/>
              <w:jc w:val="right"/>
              <w:rPr>
                <w:sz w:val="18"/>
              </w:rPr>
            </w:pPr>
            <w:r>
              <w:rPr>
                <w:sz w:val="18"/>
              </w:rPr>
              <w:t>19.572</w:t>
            </w:r>
          </w:p>
        </w:tc>
        <w:tc>
          <w:tcPr>
            <w:tcW w:w="1466" w:type="dxa"/>
            <w:tcBorders>
              <w:top w:val="nil"/>
              <w:left w:val="single" w:sz="8" w:space="0" w:color="000000"/>
              <w:bottom w:val="nil"/>
              <w:right w:val="single" w:sz="8" w:space="0" w:color="000000"/>
            </w:tcBorders>
          </w:tcPr>
          <w:p>
            <w:pPr>
              <w:pStyle w:val="TableParagraph"/>
              <w:spacing w:before="47"/>
              <w:ind w:right="35"/>
              <w:jc w:val="right"/>
              <w:rPr>
                <w:sz w:val="18"/>
              </w:rPr>
            </w:pPr>
            <w:r>
              <w:rPr>
                <w:sz w:val="18"/>
              </w:rPr>
              <w:t>.679</w:t>
            </w:r>
          </w:p>
        </w:tc>
        <w:tc>
          <w:tcPr>
            <w:tcW w:w="1468" w:type="dxa"/>
            <w:tcBorders>
              <w:top w:val="nil"/>
              <w:left w:val="single" w:sz="8" w:space="0" w:color="000000"/>
              <w:bottom w:val="nil"/>
            </w:tcBorders>
          </w:tcPr>
          <w:p>
            <w:pPr>
              <w:pStyle w:val="TableParagraph"/>
              <w:spacing w:before="47"/>
              <w:ind w:right="33"/>
              <w:jc w:val="right"/>
              <w:rPr>
                <w:sz w:val="18"/>
              </w:rPr>
            </w:pPr>
            <w:r>
              <w:rPr>
                <w:sz w:val="18"/>
              </w:rPr>
              <w:t>.855</w:t>
            </w:r>
          </w:p>
        </w:tc>
      </w:tr>
      <w:tr>
        <w:trPr>
          <w:trHeight w:val="357" w:hRule="atLeast"/>
        </w:trPr>
        <w:tc>
          <w:tcPr>
            <w:tcW w:w="888" w:type="dxa"/>
            <w:tcBorders>
              <w:top w:val="nil"/>
            </w:tcBorders>
          </w:tcPr>
          <w:p>
            <w:pPr>
              <w:pStyle w:val="TableParagraph"/>
              <w:spacing w:before="48"/>
              <w:ind w:left="75"/>
              <w:rPr>
                <w:sz w:val="18"/>
              </w:rPr>
            </w:pPr>
            <w:r>
              <w:rPr>
                <w:sz w:val="18"/>
              </w:rPr>
              <w:t>CP6</w:t>
            </w:r>
          </w:p>
        </w:tc>
        <w:tc>
          <w:tcPr>
            <w:tcW w:w="1469" w:type="dxa"/>
            <w:tcBorders>
              <w:top w:val="nil"/>
              <w:right w:val="single" w:sz="8" w:space="0" w:color="000000"/>
            </w:tcBorders>
          </w:tcPr>
          <w:p>
            <w:pPr>
              <w:pStyle w:val="TableParagraph"/>
              <w:spacing w:before="48"/>
              <w:ind w:right="36"/>
              <w:jc w:val="right"/>
              <w:rPr>
                <w:sz w:val="18"/>
              </w:rPr>
            </w:pPr>
            <w:r>
              <w:rPr>
                <w:sz w:val="18"/>
              </w:rPr>
              <w:t>18.32</w:t>
            </w:r>
          </w:p>
        </w:tc>
        <w:tc>
          <w:tcPr>
            <w:tcW w:w="1468" w:type="dxa"/>
            <w:tcBorders>
              <w:top w:val="nil"/>
              <w:left w:val="single" w:sz="8" w:space="0" w:color="000000"/>
              <w:right w:val="single" w:sz="8" w:space="0" w:color="000000"/>
            </w:tcBorders>
          </w:tcPr>
          <w:p>
            <w:pPr>
              <w:pStyle w:val="TableParagraph"/>
              <w:spacing w:before="48"/>
              <w:ind w:right="38"/>
              <w:jc w:val="right"/>
              <w:rPr>
                <w:sz w:val="18"/>
              </w:rPr>
            </w:pPr>
            <w:r>
              <w:rPr>
                <w:sz w:val="18"/>
              </w:rPr>
              <w:t>19.883</w:t>
            </w:r>
          </w:p>
        </w:tc>
        <w:tc>
          <w:tcPr>
            <w:tcW w:w="1466" w:type="dxa"/>
            <w:tcBorders>
              <w:top w:val="nil"/>
              <w:left w:val="single" w:sz="8" w:space="0" w:color="000000"/>
              <w:right w:val="single" w:sz="8" w:space="0" w:color="000000"/>
            </w:tcBorders>
          </w:tcPr>
          <w:p>
            <w:pPr>
              <w:pStyle w:val="TableParagraph"/>
              <w:spacing w:before="48"/>
              <w:ind w:right="35"/>
              <w:jc w:val="right"/>
              <w:rPr>
                <w:sz w:val="18"/>
              </w:rPr>
            </w:pPr>
            <w:r>
              <w:rPr>
                <w:sz w:val="18"/>
              </w:rPr>
              <w:t>.689</w:t>
            </w:r>
          </w:p>
        </w:tc>
        <w:tc>
          <w:tcPr>
            <w:tcW w:w="1468" w:type="dxa"/>
            <w:tcBorders>
              <w:top w:val="nil"/>
              <w:left w:val="single" w:sz="8" w:space="0" w:color="000000"/>
            </w:tcBorders>
          </w:tcPr>
          <w:p>
            <w:pPr>
              <w:pStyle w:val="TableParagraph"/>
              <w:spacing w:before="48"/>
              <w:ind w:right="34"/>
              <w:jc w:val="right"/>
              <w:rPr>
                <w:sz w:val="18"/>
              </w:rPr>
            </w:pPr>
            <w:r>
              <w:rPr>
                <w:sz w:val="18"/>
              </w:rPr>
              <w:t>.854</w:t>
            </w:r>
          </w:p>
        </w:tc>
      </w:tr>
    </w:tbl>
    <w:p>
      <w:pPr>
        <w:pStyle w:val="BodyText"/>
        <w:rPr>
          <w:b/>
          <w:sz w:val="20"/>
        </w:rPr>
      </w:pPr>
    </w:p>
    <w:p>
      <w:pPr>
        <w:pStyle w:val="BodyText"/>
        <w:spacing w:before="6"/>
        <w:rPr>
          <w:b/>
          <w:sz w:val="16"/>
        </w:rPr>
      </w:pPr>
    </w:p>
    <w:tbl>
      <w:tblPr>
        <w:tblW w:w="0" w:type="auto"/>
        <w:jc w:val="left"/>
        <w:tblInd w:w="90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
      <w:tblGrid>
        <w:gridCol w:w="2299"/>
        <w:gridCol w:w="2521"/>
        <w:gridCol w:w="1085"/>
      </w:tblGrid>
      <w:tr>
        <w:trPr>
          <w:trHeight w:val="301" w:hRule="atLeast"/>
        </w:trPr>
        <w:tc>
          <w:tcPr>
            <w:tcW w:w="5905" w:type="dxa"/>
            <w:gridSpan w:val="3"/>
            <w:tcBorders>
              <w:bottom w:val="single" w:sz="18" w:space="0" w:color="000000"/>
            </w:tcBorders>
          </w:tcPr>
          <w:p>
            <w:pPr>
              <w:pStyle w:val="TableParagraph"/>
              <w:spacing w:line="199" w:lineRule="exact"/>
              <w:ind w:left="1988" w:right="1951"/>
              <w:jc w:val="center"/>
              <w:rPr>
                <w:b/>
                <w:sz w:val="18"/>
              </w:rPr>
            </w:pPr>
            <w:r>
              <w:rPr>
                <w:b/>
                <w:sz w:val="18"/>
              </w:rPr>
              <w:t>KMO and Bartlett's Test</w:t>
            </w:r>
          </w:p>
        </w:tc>
      </w:tr>
      <w:tr>
        <w:trPr>
          <w:trHeight w:val="259" w:hRule="atLeast"/>
        </w:trPr>
        <w:tc>
          <w:tcPr>
            <w:tcW w:w="4820" w:type="dxa"/>
            <w:gridSpan w:val="2"/>
            <w:tcBorders>
              <w:top w:val="single" w:sz="18" w:space="0" w:color="000000"/>
              <w:left w:val="single" w:sz="18" w:space="0" w:color="000000"/>
              <w:right w:val="single" w:sz="18" w:space="0" w:color="000000"/>
            </w:tcBorders>
          </w:tcPr>
          <w:p>
            <w:pPr>
              <w:pStyle w:val="TableParagraph"/>
              <w:spacing w:line="204" w:lineRule="exact"/>
              <w:ind w:left="75"/>
              <w:rPr>
                <w:sz w:val="18"/>
              </w:rPr>
            </w:pPr>
            <w:r>
              <w:rPr>
                <w:sz w:val="18"/>
              </w:rPr>
              <w:t>Kaiser-Meyer-Olkin Measure of Sampling Adequacy.</w:t>
            </w:r>
          </w:p>
        </w:tc>
        <w:tc>
          <w:tcPr>
            <w:tcW w:w="1085" w:type="dxa"/>
            <w:tcBorders>
              <w:top w:val="single" w:sz="18" w:space="0" w:color="000000"/>
              <w:left w:val="single" w:sz="18" w:space="0" w:color="000000"/>
              <w:right w:val="single" w:sz="18" w:space="0" w:color="000000"/>
            </w:tcBorders>
          </w:tcPr>
          <w:p>
            <w:pPr>
              <w:pStyle w:val="TableParagraph"/>
              <w:spacing w:line="204" w:lineRule="exact"/>
              <w:ind w:right="36"/>
              <w:jc w:val="right"/>
              <w:rPr>
                <w:sz w:val="18"/>
              </w:rPr>
            </w:pPr>
            <w:r>
              <w:rPr>
                <w:sz w:val="18"/>
              </w:rPr>
              <w:t>.846</w:t>
            </w:r>
          </w:p>
        </w:tc>
      </w:tr>
      <w:tr>
        <w:trPr>
          <w:trHeight w:val="331" w:hRule="atLeast"/>
        </w:trPr>
        <w:tc>
          <w:tcPr>
            <w:tcW w:w="2299" w:type="dxa"/>
            <w:tcBorders>
              <w:left w:val="single" w:sz="18" w:space="0" w:color="000000"/>
            </w:tcBorders>
          </w:tcPr>
          <w:p>
            <w:pPr>
              <w:pStyle w:val="TableParagraph"/>
              <w:rPr>
                <w:sz w:val="18"/>
              </w:rPr>
            </w:pPr>
          </w:p>
        </w:tc>
        <w:tc>
          <w:tcPr>
            <w:tcW w:w="2521" w:type="dxa"/>
            <w:tcBorders>
              <w:right w:val="single" w:sz="18" w:space="0" w:color="000000"/>
            </w:tcBorders>
          </w:tcPr>
          <w:p>
            <w:pPr>
              <w:pStyle w:val="TableParagraph"/>
              <w:spacing w:before="48"/>
              <w:ind w:left="259"/>
              <w:rPr>
                <w:sz w:val="18"/>
              </w:rPr>
            </w:pPr>
            <w:r>
              <w:rPr>
                <w:sz w:val="18"/>
              </w:rPr>
              <w:t>Approx. Chi-Square</w:t>
            </w:r>
          </w:p>
        </w:tc>
        <w:tc>
          <w:tcPr>
            <w:tcW w:w="1085" w:type="dxa"/>
            <w:tcBorders>
              <w:left w:val="single" w:sz="18" w:space="0" w:color="000000"/>
              <w:right w:val="single" w:sz="18" w:space="0" w:color="000000"/>
            </w:tcBorders>
          </w:tcPr>
          <w:p>
            <w:pPr>
              <w:pStyle w:val="TableParagraph"/>
              <w:spacing w:before="48"/>
              <w:ind w:right="36"/>
              <w:jc w:val="right"/>
              <w:rPr>
                <w:sz w:val="18"/>
              </w:rPr>
            </w:pPr>
            <w:r>
              <w:rPr>
                <w:sz w:val="18"/>
              </w:rPr>
              <w:t>1581.023</w:t>
            </w:r>
          </w:p>
        </w:tc>
      </w:tr>
      <w:tr>
        <w:trPr>
          <w:trHeight w:val="350" w:hRule="atLeast"/>
        </w:trPr>
        <w:tc>
          <w:tcPr>
            <w:tcW w:w="2299" w:type="dxa"/>
            <w:tcBorders>
              <w:left w:val="single" w:sz="18" w:space="0" w:color="000000"/>
            </w:tcBorders>
          </w:tcPr>
          <w:p>
            <w:pPr>
              <w:pStyle w:val="TableParagraph"/>
              <w:spacing w:before="68"/>
              <w:ind w:left="75"/>
              <w:rPr>
                <w:sz w:val="18"/>
              </w:rPr>
            </w:pPr>
            <w:r>
              <w:rPr>
                <w:sz w:val="18"/>
              </w:rPr>
              <w:t>Bartlett's Test of Sphericity</w:t>
            </w:r>
          </w:p>
        </w:tc>
        <w:tc>
          <w:tcPr>
            <w:tcW w:w="2521" w:type="dxa"/>
            <w:tcBorders>
              <w:right w:val="single" w:sz="18" w:space="0" w:color="000000"/>
            </w:tcBorders>
          </w:tcPr>
          <w:p>
            <w:pPr>
              <w:pStyle w:val="TableParagraph"/>
              <w:spacing w:before="68"/>
              <w:ind w:left="259"/>
              <w:rPr>
                <w:sz w:val="18"/>
              </w:rPr>
            </w:pPr>
            <w:r>
              <w:rPr>
                <w:sz w:val="18"/>
              </w:rPr>
              <w:t>df</w:t>
            </w:r>
          </w:p>
        </w:tc>
        <w:tc>
          <w:tcPr>
            <w:tcW w:w="1085" w:type="dxa"/>
            <w:tcBorders>
              <w:left w:val="single" w:sz="18" w:space="0" w:color="000000"/>
              <w:right w:val="single" w:sz="18" w:space="0" w:color="000000"/>
            </w:tcBorders>
          </w:tcPr>
          <w:p>
            <w:pPr>
              <w:pStyle w:val="TableParagraph"/>
              <w:spacing w:before="68"/>
              <w:ind w:right="35"/>
              <w:jc w:val="right"/>
              <w:rPr>
                <w:sz w:val="18"/>
              </w:rPr>
            </w:pPr>
            <w:r>
              <w:rPr>
                <w:sz w:val="18"/>
              </w:rPr>
              <w:t>15</w:t>
            </w:r>
          </w:p>
        </w:tc>
      </w:tr>
      <w:tr>
        <w:trPr>
          <w:trHeight w:val="376" w:hRule="atLeast"/>
        </w:trPr>
        <w:tc>
          <w:tcPr>
            <w:tcW w:w="2299" w:type="dxa"/>
            <w:tcBorders>
              <w:left w:val="single" w:sz="18" w:space="0" w:color="000000"/>
              <w:bottom w:val="single" w:sz="18" w:space="0" w:color="000000"/>
            </w:tcBorders>
          </w:tcPr>
          <w:p>
            <w:pPr>
              <w:pStyle w:val="TableParagraph"/>
              <w:rPr>
                <w:sz w:val="18"/>
              </w:rPr>
            </w:pPr>
          </w:p>
        </w:tc>
        <w:tc>
          <w:tcPr>
            <w:tcW w:w="2521" w:type="dxa"/>
            <w:tcBorders>
              <w:bottom w:val="single" w:sz="18" w:space="0" w:color="000000"/>
              <w:right w:val="single" w:sz="18" w:space="0" w:color="000000"/>
            </w:tcBorders>
          </w:tcPr>
          <w:p>
            <w:pPr>
              <w:pStyle w:val="TableParagraph"/>
              <w:spacing w:before="68"/>
              <w:ind w:left="259"/>
              <w:rPr>
                <w:sz w:val="18"/>
              </w:rPr>
            </w:pPr>
            <w:r>
              <w:rPr>
                <w:sz w:val="18"/>
              </w:rPr>
              <w:t>Sig.</w:t>
            </w:r>
          </w:p>
        </w:tc>
        <w:tc>
          <w:tcPr>
            <w:tcW w:w="1085" w:type="dxa"/>
            <w:tcBorders>
              <w:left w:val="single" w:sz="18" w:space="0" w:color="000000"/>
              <w:bottom w:val="single" w:sz="18" w:space="0" w:color="000000"/>
              <w:right w:val="single" w:sz="18" w:space="0" w:color="000000"/>
            </w:tcBorders>
          </w:tcPr>
          <w:p>
            <w:pPr>
              <w:pStyle w:val="TableParagraph"/>
              <w:spacing w:before="68"/>
              <w:ind w:right="36"/>
              <w:jc w:val="right"/>
              <w:rPr>
                <w:sz w:val="18"/>
              </w:rPr>
            </w:pPr>
            <w:r>
              <w:rPr>
                <w:sz w:val="18"/>
              </w:rPr>
              <w:t>.000</w:t>
            </w:r>
          </w:p>
        </w:tc>
      </w:tr>
    </w:tbl>
    <w:p>
      <w:pPr>
        <w:pStyle w:val="BodyText"/>
        <w:rPr>
          <w:b/>
          <w:sz w:val="20"/>
        </w:rPr>
      </w:pPr>
    </w:p>
    <w:p>
      <w:pPr>
        <w:pStyle w:val="BodyText"/>
        <w:rPr>
          <w:b/>
          <w:sz w:val="20"/>
        </w:rPr>
      </w:pPr>
    </w:p>
    <w:p>
      <w:pPr>
        <w:pStyle w:val="BodyText"/>
        <w:rPr>
          <w:b/>
          <w:sz w:val="24"/>
        </w:rPr>
      </w:pPr>
    </w:p>
    <w:p>
      <w:pPr>
        <w:spacing w:before="92"/>
        <w:ind w:left="1018" w:right="952" w:firstLine="0"/>
        <w:jc w:val="center"/>
        <w:rPr>
          <w:b/>
          <w:sz w:val="18"/>
        </w:rPr>
      </w:pPr>
      <w:r>
        <w:rPr>
          <w:b/>
          <w:sz w:val="18"/>
        </w:rPr>
        <w:t>Total Variance Explained</w:t>
      </w:r>
    </w:p>
    <w:p>
      <w:pPr>
        <w:pStyle w:val="BodyText"/>
        <w:spacing w:before="11"/>
        <w:rPr>
          <w:b/>
          <w:sz w:val="8"/>
        </w:rPr>
      </w:pPr>
    </w:p>
    <w:tbl>
      <w:tblPr>
        <w:tblW w:w="0" w:type="auto"/>
        <w:jc w:val="left"/>
        <w:tblInd w:w="907" w:type="dxa"/>
        <w:tblBorders>
          <w:top w:val="single" w:sz="18" w:space="0" w:color="000000"/>
          <w:left w:val="single" w:sz="18" w:space="0" w:color="000000"/>
          <w:bottom w:val="single" w:sz="18" w:space="0" w:color="000000"/>
          <w:right w:val="single" w:sz="18" w:space="0" w:color="000000"/>
          <w:insideH w:val="single" w:sz="18" w:space="0" w:color="000000"/>
          <w:insideV w:val="single" w:sz="18" w:space="0" w:color="000000"/>
        </w:tblBorders>
        <w:tblLayout w:type="fixed"/>
        <w:tblCellMar>
          <w:top w:w="0" w:type="dxa"/>
          <w:left w:w="0" w:type="dxa"/>
          <w:bottom w:w="0" w:type="dxa"/>
          <w:right w:w="0" w:type="dxa"/>
        </w:tblCellMar>
        <w:tblLook w:val="01E0"/>
      </w:tblPr>
      <w:tblGrid>
        <w:gridCol w:w="1279"/>
        <w:gridCol w:w="999"/>
        <w:gridCol w:w="1424"/>
        <w:gridCol w:w="1438"/>
        <w:gridCol w:w="1147"/>
        <w:gridCol w:w="1424"/>
        <w:gridCol w:w="1438"/>
      </w:tblGrid>
      <w:tr>
        <w:trPr>
          <w:trHeight w:val="295" w:hRule="atLeast"/>
        </w:trPr>
        <w:tc>
          <w:tcPr>
            <w:tcW w:w="1279" w:type="dxa"/>
            <w:vMerge w:val="restart"/>
          </w:tcPr>
          <w:p>
            <w:pPr>
              <w:pStyle w:val="TableParagraph"/>
              <w:spacing w:line="206" w:lineRule="exact"/>
              <w:ind w:left="75"/>
              <w:rPr>
                <w:sz w:val="18"/>
              </w:rPr>
            </w:pPr>
            <w:r>
              <w:rPr>
                <w:sz w:val="18"/>
              </w:rPr>
              <w:t>Component</w:t>
            </w:r>
          </w:p>
        </w:tc>
        <w:tc>
          <w:tcPr>
            <w:tcW w:w="3861" w:type="dxa"/>
            <w:gridSpan w:val="3"/>
            <w:tcBorders>
              <w:bottom w:val="single" w:sz="8" w:space="0" w:color="000000"/>
              <w:right w:val="single" w:sz="8" w:space="0" w:color="000000"/>
            </w:tcBorders>
          </w:tcPr>
          <w:p>
            <w:pPr>
              <w:pStyle w:val="TableParagraph"/>
              <w:spacing w:line="206" w:lineRule="exact"/>
              <w:ind w:left="1250"/>
              <w:rPr>
                <w:sz w:val="18"/>
              </w:rPr>
            </w:pPr>
            <w:r>
              <w:rPr>
                <w:sz w:val="18"/>
              </w:rPr>
              <w:t>Initial Eigenvalues</w:t>
            </w:r>
          </w:p>
        </w:tc>
        <w:tc>
          <w:tcPr>
            <w:tcW w:w="4009" w:type="dxa"/>
            <w:gridSpan w:val="3"/>
            <w:tcBorders>
              <w:left w:val="single" w:sz="8" w:space="0" w:color="000000"/>
              <w:bottom w:val="single" w:sz="8" w:space="0" w:color="000000"/>
              <w:right w:val="single" w:sz="8" w:space="0" w:color="000000"/>
            </w:tcBorders>
          </w:tcPr>
          <w:p>
            <w:pPr>
              <w:pStyle w:val="TableParagraph"/>
              <w:spacing w:line="206" w:lineRule="exact"/>
              <w:ind w:left="642"/>
              <w:rPr>
                <w:sz w:val="18"/>
              </w:rPr>
            </w:pPr>
            <w:r>
              <w:rPr>
                <w:sz w:val="18"/>
              </w:rPr>
              <w:t>Extraction Sums of Squared Loadings</w:t>
            </w:r>
          </w:p>
        </w:tc>
      </w:tr>
      <w:tr>
        <w:trPr>
          <w:trHeight w:val="314" w:hRule="atLeast"/>
        </w:trPr>
        <w:tc>
          <w:tcPr>
            <w:tcW w:w="1279" w:type="dxa"/>
            <w:vMerge/>
            <w:tcBorders>
              <w:top w:val="nil"/>
            </w:tcBorders>
          </w:tcPr>
          <w:p>
            <w:pPr>
              <w:rPr>
                <w:sz w:val="2"/>
                <w:szCs w:val="2"/>
              </w:rPr>
            </w:pPr>
          </w:p>
        </w:tc>
        <w:tc>
          <w:tcPr>
            <w:tcW w:w="999" w:type="dxa"/>
            <w:tcBorders>
              <w:top w:val="single" w:sz="8" w:space="0" w:color="000000"/>
              <w:right w:val="single" w:sz="8" w:space="0" w:color="000000"/>
            </w:tcBorders>
          </w:tcPr>
          <w:p>
            <w:pPr>
              <w:pStyle w:val="TableParagraph"/>
              <w:spacing w:before="8"/>
              <w:ind w:left="304"/>
              <w:rPr>
                <w:sz w:val="18"/>
              </w:rPr>
            </w:pPr>
            <w:r>
              <w:rPr>
                <w:sz w:val="18"/>
              </w:rPr>
              <w:t>Total</w:t>
            </w:r>
          </w:p>
        </w:tc>
        <w:tc>
          <w:tcPr>
            <w:tcW w:w="1424" w:type="dxa"/>
            <w:tcBorders>
              <w:top w:val="single" w:sz="8" w:space="0" w:color="000000"/>
              <w:left w:val="single" w:sz="8" w:space="0" w:color="000000"/>
              <w:right w:val="single" w:sz="8" w:space="0" w:color="000000"/>
            </w:tcBorders>
          </w:tcPr>
          <w:p>
            <w:pPr>
              <w:pStyle w:val="TableParagraph"/>
              <w:spacing w:before="8"/>
              <w:ind w:left="201"/>
              <w:rPr>
                <w:sz w:val="18"/>
              </w:rPr>
            </w:pPr>
            <w:r>
              <w:rPr>
                <w:sz w:val="18"/>
              </w:rPr>
              <w:t>% of Variance</w:t>
            </w:r>
          </w:p>
        </w:tc>
        <w:tc>
          <w:tcPr>
            <w:tcW w:w="1438" w:type="dxa"/>
            <w:tcBorders>
              <w:top w:val="single" w:sz="8" w:space="0" w:color="000000"/>
              <w:left w:val="single" w:sz="8" w:space="0" w:color="000000"/>
              <w:right w:val="single" w:sz="8" w:space="0" w:color="000000"/>
            </w:tcBorders>
          </w:tcPr>
          <w:p>
            <w:pPr>
              <w:pStyle w:val="TableParagraph"/>
              <w:spacing w:before="8"/>
              <w:ind w:left="210"/>
              <w:rPr>
                <w:sz w:val="18"/>
              </w:rPr>
            </w:pPr>
            <w:r>
              <w:rPr>
                <w:sz w:val="18"/>
              </w:rPr>
              <w:t>Cumulative %</w:t>
            </w:r>
          </w:p>
        </w:tc>
        <w:tc>
          <w:tcPr>
            <w:tcW w:w="1147" w:type="dxa"/>
            <w:tcBorders>
              <w:top w:val="single" w:sz="8" w:space="0" w:color="000000"/>
              <w:left w:val="single" w:sz="8" w:space="0" w:color="000000"/>
              <w:right w:val="single" w:sz="8" w:space="0" w:color="000000"/>
            </w:tcBorders>
          </w:tcPr>
          <w:p>
            <w:pPr>
              <w:pStyle w:val="TableParagraph"/>
              <w:spacing w:before="8"/>
              <w:ind w:left="392"/>
              <w:rPr>
                <w:sz w:val="18"/>
              </w:rPr>
            </w:pPr>
            <w:r>
              <w:rPr>
                <w:sz w:val="18"/>
              </w:rPr>
              <w:t>Total</w:t>
            </w:r>
          </w:p>
        </w:tc>
        <w:tc>
          <w:tcPr>
            <w:tcW w:w="1424" w:type="dxa"/>
            <w:tcBorders>
              <w:top w:val="single" w:sz="8" w:space="0" w:color="000000"/>
              <w:left w:val="single" w:sz="8" w:space="0" w:color="000000"/>
              <w:right w:val="single" w:sz="8" w:space="0" w:color="000000"/>
            </w:tcBorders>
          </w:tcPr>
          <w:p>
            <w:pPr>
              <w:pStyle w:val="TableParagraph"/>
              <w:spacing w:before="8"/>
              <w:ind w:left="200"/>
              <w:rPr>
                <w:sz w:val="18"/>
              </w:rPr>
            </w:pPr>
            <w:r>
              <w:rPr>
                <w:sz w:val="18"/>
              </w:rPr>
              <w:t>% of Variance</w:t>
            </w:r>
          </w:p>
        </w:tc>
        <w:tc>
          <w:tcPr>
            <w:tcW w:w="1438" w:type="dxa"/>
            <w:tcBorders>
              <w:top w:val="single" w:sz="8" w:space="0" w:color="000000"/>
              <w:left w:val="single" w:sz="8" w:space="0" w:color="000000"/>
            </w:tcBorders>
          </w:tcPr>
          <w:p>
            <w:pPr>
              <w:pStyle w:val="TableParagraph"/>
              <w:spacing w:before="8"/>
              <w:ind w:left="205"/>
              <w:rPr>
                <w:sz w:val="18"/>
              </w:rPr>
            </w:pPr>
            <w:r>
              <w:rPr>
                <w:sz w:val="18"/>
              </w:rPr>
              <w:t>Cumulative %</w:t>
            </w:r>
          </w:p>
        </w:tc>
      </w:tr>
      <w:tr>
        <w:trPr>
          <w:trHeight w:val="265" w:hRule="atLeast"/>
        </w:trPr>
        <w:tc>
          <w:tcPr>
            <w:tcW w:w="1279" w:type="dxa"/>
            <w:tcBorders>
              <w:bottom w:val="nil"/>
            </w:tcBorders>
          </w:tcPr>
          <w:p>
            <w:pPr>
              <w:pStyle w:val="TableParagraph"/>
              <w:spacing w:line="206" w:lineRule="exact"/>
              <w:ind w:left="75"/>
              <w:rPr>
                <w:sz w:val="18"/>
              </w:rPr>
            </w:pPr>
            <w:r>
              <w:rPr>
                <w:sz w:val="18"/>
              </w:rPr>
              <w:t>1</w:t>
            </w:r>
          </w:p>
        </w:tc>
        <w:tc>
          <w:tcPr>
            <w:tcW w:w="999" w:type="dxa"/>
            <w:tcBorders>
              <w:bottom w:val="nil"/>
              <w:right w:val="single" w:sz="8" w:space="0" w:color="000000"/>
            </w:tcBorders>
          </w:tcPr>
          <w:p>
            <w:pPr>
              <w:pStyle w:val="TableParagraph"/>
              <w:spacing w:line="206" w:lineRule="exact"/>
              <w:ind w:right="40"/>
              <w:jc w:val="right"/>
              <w:rPr>
                <w:sz w:val="18"/>
              </w:rPr>
            </w:pPr>
            <w:r>
              <w:rPr>
                <w:sz w:val="18"/>
              </w:rPr>
              <w:t>3.729</w:t>
            </w:r>
          </w:p>
        </w:tc>
        <w:tc>
          <w:tcPr>
            <w:tcW w:w="1424" w:type="dxa"/>
            <w:tcBorders>
              <w:left w:val="single" w:sz="8" w:space="0" w:color="000000"/>
              <w:bottom w:val="nil"/>
              <w:right w:val="single" w:sz="8" w:space="0" w:color="000000"/>
            </w:tcBorders>
          </w:tcPr>
          <w:p>
            <w:pPr>
              <w:pStyle w:val="TableParagraph"/>
              <w:spacing w:line="206" w:lineRule="exact"/>
              <w:ind w:right="37"/>
              <w:jc w:val="right"/>
              <w:rPr>
                <w:sz w:val="18"/>
              </w:rPr>
            </w:pPr>
            <w:r>
              <w:rPr>
                <w:sz w:val="18"/>
              </w:rPr>
              <w:t>62.148</w:t>
            </w:r>
          </w:p>
        </w:tc>
        <w:tc>
          <w:tcPr>
            <w:tcW w:w="1438" w:type="dxa"/>
            <w:tcBorders>
              <w:left w:val="single" w:sz="8" w:space="0" w:color="000000"/>
              <w:bottom w:val="nil"/>
              <w:right w:val="single" w:sz="8" w:space="0" w:color="000000"/>
            </w:tcBorders>
          </w:tcPr>
          <w:p>
            <w:pPr>
              <w:pStyle w:val="TableParagraph"/>
              <w:spacing w:line="206" w:lineRule="exact"/>
              <w:ind w:right="38"/>
              <w:jc w:val="right"/>
              <w:rPr>
                <w:sz w:val="18"/>
              </w:rPr>
            </w:pPr>
            <w:r>
              <w:rPr>
                <w:sz w:val="18"/>
              </w:rPr>
              <w:t>62.148</w:t>
            </w:r>
          </w:p>
        </w:tc>
        <w:tc>
          <w:tcPr>
            <w:tcW w:w="1147" w:type="dxa"/>
            <w:vMerge w:val="restart"/>
            <w:tcBorders>
              <w:left w:val="single" w:sz="8" w:space="0" w:color="000000"/>
              <w:right w:val="single" w:sz="8" w:space="0" w:color="000000"/>
            </w:tcBorders>
          </w:tcPr>
          <w:p>
            <w:pPr>
              <w:pStyle w:val="TableParagraph"/>
              <w:spacing w:line="206" w:lineRule="exact"/>
              <w:ind w:left="680"/>
              <w:rPr>
                <w:sz w:val="18"/>
              </w:rPr>
            </w:pPr>
            <w:r>
              <w:rPr>
                <w:sz w:val="18"/>
              </w:rPr>
              <w:t>3.729</w:t>
            </w:r>
          </w:p>
        </w:tc>
        <w:tc>
          <w:tcPr>
            <w:tcW w:w="1424" w:type="dxa"/>
            <w:vMerge w:val="restart"/>
            <w:tcBorders>
              <w:left w:val="single" w:sz="8" w:space="0" w:color="000000"/>
              <w:right w:val="single" w:sz="8" w:space="0" w:color="000000"/>
            </w:tcBorders>
          </w:tcPr>
          <w:p>
            <w:pPr>
              <w:pStyle w:val="TableParagraph"/>
              <w:spacing w:line="206" w:lineRule="exact"/>
              <w:ind w:left="867"/>
              <w:rPr>
                <w:sz w:val="18"/>
              </w:rPr>
            </w:pPr>
            <w:r>
              <w:rPr>
                <w:sz w:val="18"/>
              </w:rPr>
              <w:t>62.148</w:t>
            </w:r>
          </w:p>
        </w:tc>
        <w:tc>
          <w:tcPr>
            <w:tcW w:w="1438" w:type="dxa"/>
            <w:vMerge w:val="restart"/>
            <w:tcBorders>
              <w:left w:val="single" w:sz="8" w:space="0" w:color="000000"/>
            </w:tcBorders>
          </w:tcPr>
          <w:p>
            <w:pPr>
              <w:pStyle w:val="TableParagraph"/>
              <w:spacing w:line="206" w:lineRule="exact"/>
              <w:ind w:left="872"/>
              <w:rPr>
                <w:sz w:val="18"/>
              </w:rPr>
            </w:pPr>
            <w:r>
              <w:rPr>
                <w:sz w:val="18"/>
              </w:rPr>
              <w:t>62.148</w:t>
            </w:r>
          </w:p>
        </w:tc>
      </w:tr>
      <w:tr>
        <w:trPr>
          <w:trHeight w:val="342" w:hRule="atLeast"/>
        </w:trPr>
        <w:tc>
          <w:tcPr>
            <w:tcW w:w="1279" w:type="dxa"/>
            <w:tcBorders>
              <w:top w:val="nil"/>
              <w:bottom w:val="nil"/>
            </w:tcBorders>
          </w:tcPr>
          <w:p>
            <w:pPr>
              <w:pStyle w:val="TableParagraph"/>
              <w:spacing w:before="51"/>
              <w:ind w:left="75"/>
              <w:rPr>
                <w:sz w:val="18"/>
              </w:rPr>
            </w:pPr>
            <w:r>
              <w:rPr>
                <w:sz w:val="18"/>
              </w:rPr>
              <w:t>2</w:t>
            </w:r>
          </w:p>
        </w:tc>
        <w:tc>
          <w:tcPr>
            <w:tcW w:w="999" w:type="dxa"/>
            <w:tcBorders>
              <w:top w:val="nil"/>
              <w:bottom w:val="nil"/>
              <w:right w:val="single" w:sz="8" w:space="0" w:color="000000"/>
            </w:tcBorders>
          </w:tcPr>
          <w:p>
            <w:pPr>
              <w:pStyle w:val="TableParagraph"/>
              <w:spacing w:before="51"/>
              <w:ind w:right="40"/>
              <w:jc w:val="right"/>
              <w:rPr>
                <w:sz w:val="18"/>
              </w:rPr>
            </w:pPr>
            <w:r>
              <w:rPr>
                <w:sz w:val="18"/>
              </w:rPr>
              <w:t>.818</w:t>
            </w:r>
          </w:p>
        </w:tc>
        <w:tc>
          <w:tcPr>
            <w:tcW w:w="1424" w:type="dxa"/>
            <w:tcBorders>
              <w:top w:val="nil"/>
              <w:left w:val="single" w:sz="8" w:space="0" w:color="000000"/>
              <w:bottom w:val="nil"/>
              <w:right w:val="single" w:sz="8" w:space="0" w:color="000000"/>
            </w:tcBorders>
          </w:tcPr>
          <w:p>
            <w:pPr>
              <w:pStyle w:val="TableParagraph"/>
              <w:spacing w:before="51"/>
              <w:ind w:right="38"/>
              <w:jc w:val="right"/>
              <w:rPr>
                <w:sz w:val="18"/>
              </w:rPr>
            </w:pPr>
            <w:r>
              <w:rPr>
                <w:sz w:val="18"/>
              </w:rPr>
              <w:t>13.634</w:t>
            </w:r>
          </w:p>
        </w:tc>
        <w:tc>
          <w:tcPr>
            <w:tcW w:w="1438" w:type="dxa"/>
            <w:tcBorders>
              <w:top w:val="nil"/>
              <w:left w:val="single" w:sz="8" w:space="0" w:color="000000"/>
              <w:bottom w:val="nil"/>
              <w:right w:val="single" w:sz="8" w:space="0" w:color="000000"/>
            </w:tcBorders>
          </w:tcPr>
          <w:p>
            <w:pPr>
              <w:pStyle w:val="TableParagraph"/>
              <w:spacing w:before="51"/>
              <w:ind w:right="38"/>
              <w:jc w:val="right"/>
              <w:rPr>
                <w:sz w:val="18"/>
              </w:rPr>
            </w:pPr>
            <w:r>
              <w:rPr>
                <w:sz w:val="18"/>
              </w:rPr>
              <w:t>75.783</w:t>
            </w:r>
          </w:p>
        </w:tc>
        <w:tc>
          <w:tcPr>
            <w:tcW w:w="1147" w:type="dxa"/>
            <w:vMerge/>
            <w:tcBorders>
              <w:top w:val="nil"/>
              <w:left w:val="single" w:sz="8" w:space="0" w:color="000000"/>
              <w:right w:val="single" w:sz="8" w:space="0" w:color="000000"/>
            </w:tcBorders>
          </w:tcPr>
          <w:p>
            <w:pPr>
              <w:rPr>
                <w:sz w:val="2"/>
                <w:szCs w:val="2"/>
              </w:rPr>
            </w:pPr>
          </w:p>
        </w:tc>
        <w:tc>
          <w:tcPr>
            <w:tcW w:w="1424" w:type="dxa"/>
            <w:vMerge/>
            <w:tcBorders>
              <w:top w:val="nil"/>
              <w:left w:val="single" w:sz="8" w:space="0" w:color="000000"/>
              <w:right w:val="single" w:sz="8" w:space="0" w:color="000000"/>
            </w:tcBorders>
          </w:tcPr>
          <w:p>
            <w:pPr>
              <w:rPr>
                <w:sz w:val="2"/>
                <w:szCs w:val="2"/>
              </w:rPr>
            </w:pPr>
          </w:p>
        </w:tc>
        <w:tc>
          <w:tcPr>
            <w:tcW w:w="1438" w:type="dxa"/>
            <w:vMerge/>
            <w:tcBorders>
              <w:top w:val="nil"/>
              <w:left w:val="single" w:sz="8" w:space="0" w:color="000000"/>
            </w:tcBorders>
          </w:tcPr>
          <w:p>
            <w:pPr>
              <w:rPr>
                <w:sz w:val="2"/>
                <w:szCs w:val="2"/>
              </w:rPr>
            </w:pPr>
          </w:p>
        </w:tc>
      </w:tr>
      <w:tr>
        <w:trPr>
          <w:trHeight w:val="368" w:hRule="atLeast"/>
        </w:trPr>
        <w:tc>
          <w:tcPr>
            <w:tcW w:w="1279" w:type="dxa"/>
            <w:tcBorders>
              <w:top w:val="nil"/>
              <w:bottom w:val="nil"/>
            </w:tcBorders>
          </w:tcPr>
          <w:p>
            <w:pPr>
              <w:pStyle w:val="TableParagraph"/>
              <w:spacing w:before="76"/>
              <w:ind w:left="75"/>
              <w:rPr>
                <w:sz w:val="18"/>
              </w:rPr>
            </w:pPr>
            <w:r>
              <w:rPr>
                <w:sz w:val="18"/>
              </w:rPr>
              <w:t>3</w:t>
            </w:r>
          </w:p>
        </w:tc>
        <w:tc>
          <w:tcPr>
            <w:tcW w:w="999" w:type="dxa"/>
            <w:tcBorders>
              <w:top w:val="nil"/>
              <w:bottom w:val="nil"/>
              <w:right w:val="single" w:sz="8" w:space="0" w:color="000000"/>
            </w:tcBorders>
          </w:tcPr>
          <w:p>
            <w:pPr>
              <w:pStyle w:val="TableParagraph"/>
              <w:spacing w:before="76"/>
              <w:ind w:right="40"/>
              <w:jc w:val="right"/>
              <w:rPr>
                <w:sz w:val="18"/>
              </w:rPr>
            </w:pPr>
            <w:r>
              <w:rPr>
                <w:sz w:val="18"/>
              </w:rPr>
              <w:t>.540</w:t>
            </w:r>
          </w:p>
        </w:tc>
        <w:tc>
          <w:tcPr>
            <w:tcW w:w="1424" w:type="dxa"/>
            <w:tcBorders>
              <w:top w:val="nil"/>
              <w:left w:val="single" w:sz="8" w:space="0" w:color="000000"/>
              <w:bottom w:val="nil"/>
              <w:right w:val="single" w:sz="8" w:space="0" w:color="000000"/>
            </w:tcBorders>
          </w:tcPr>
          <w:p>
            <w:pPr>
              <w:pStyle w:val="TableParagraph"/>
              <w:spacing w:before="76"/>
              <w:ind w:right="38"/>
              <w:jc w:val="right"/>
              <w:rPr>
                <w:sz w:val="18"/>
              </w:rPr>
            </w:pPr>
            <w:r>
              <w:rPr>
                <w:sz w:val="18"/>
              </w:rPr>
              <w:t>8.992</w:t>
            </w:r>
          </w:p>
        </w:tc>
        <w:tc>
          <w:tcPr>
            <w:tcW w:w="1438" w:type="dxa"/>
            <w:tcBorders>
              <w:top w:val="nil"/>
              <w:left w:val="single" w:sz="8" w:space="0" w:color="000000"/>
              <w:bottom w:val="nil"/>
              <w:right w:val="single" w:sz="8" w:space="0" w:color="000000"/>
            </w:tcBorders>
          </w:tcPr>
          <w:p>
            <w:pPr>
              <w:pStyle w:val="TableParagraph"/>
              <w:spacing w:before="76"/>
              <w:ind w:right="37"/>
              <w:jc w:val="right"/>
              <w:rPr>
                <w:sz w:val="18"/>
              </w:rPr>
            </w:pPr>
            <w:r>
              <w:rPr>
                <w:sz w:val="18"/>
              </w:rPr>
              <w:t>84.774</w:t>
            </w:r>
          </w:p>
        </w:tc>
        <w:tc>
          <w:tcPr>
            <w:tcW w:w="1147" w:type="dxa"/>
            <w:vMerge/>
            <w:tcBorders>
              <w:top w:val="nil"/>
              <w:left w:val="single" w:sz="8" w:space="0" w:color="000000"/>
              <w:right w:val="single" w:sz="8" w:space="0" w:color="000000"/>
            </w:tcBorders>
          </w:tcPr>
          <w:p>
            <w:pPr>
              <w:rPr>
                <w:sz w:val="2"/>
                <w:szCs w:val="2"/>
              </w:rPr>
            </w:pPr>
          </w:p>
        </w:tc>
        <w:tc>
          <w:tcPr>
            <w:tcW w:w="1424" w:type="dxa"/>
            <w:vMerge/>
            <w:tcBorders>
              <w:top w:val="nil"/>
              <w:left w:val="single" w:sz="8" w:space="0" w:color="000000"/>
              <w:right w:val="single" w:sz="8" w:space="0" w:color="000000"/>
            </w:tcBorders>
          </w:tcPr>
          <w:p>
            <w:pPr>
              <w:rPr>
                <w:sz w:val="2"/>
                <w:szCs w:val="2"/>
              </w:rPr>
            </w:pPr>
          </w:p>
        </w:tc>
        <w:tc>
          <w:tcPr>
            <w:tcW w:w="1438" w:type="dxa"/>
            <w:vMerge/>
            <w:tcBorders>
              <w:top w:val="nil"/>
              <w:left w:val="single" w:sz="8" w:space="0" w:color="000000"/>
            </w:tcBorders>
          </w:tcPr>
          <w:p>
            <w:pPr>
              <w:rPr>
                <w:sz w:val="2"/>
                <w:szCs w:val="2"/>
              </w:rPr>
            </w:pPr>
          </w:p>
        </w:tc>
      </w:tr>
      <w:tr>
        <w:trPr>
          <w:trHeight w:val="368" w:hRule="atLeast"/>
        </w:trPr>
        <w:tc>
          <w:tcPr>
            <w:tcW w:w="1279" w:type="dxa"/>
            <w:tcBorders>
              <w:top w:val="nil"/>
              <w:bottom w:val="nil"/>
            </w:tcBorders>
          </w:tcPr>
          <w:p>
            <w:pPr>
              <w:pStyle w:val="TableParagraph"/>
              <w:spacing w:before="77"/>
              <w:ind w:left="75"/>
              <w:rPr>
                <w:sz w:val="18"/>
              </w:rPr>
            </w:pPr>
            <w:r>
              <w:rPr>
                <w:sz w:val="18"/>
              </w:rPr>
              <w:t>4</w:t>
            </w:r>
          </w:p>
        </w:tc>
        <w:tc>
          <w:tcPr>
            <w:tcW w:w="999" w:type="dxa"/>
            <w:tcBorders>
              <w:top w:val="nil"/>
              <w:bottom w:val="nil"/>
              <w:right w:val="single" w:sz="8" w:space="0" w:color="000000"/>
            </w:tcBorders>
          </w:tcPr>
          <w:p>
            <w:pPr>
              <w:pStyle w:val="TableParagraph"/>
              <w:spacing w:before="77"/>
              <w:ind w:right="40"/>
              <w:jc w:val="right"/>
              <w:rPr>
                <w:sz w:val="18"/>
              </w:rPr>
            </w:pPr>
            <w:r>
              <w:rPr>
                <w:sz w:val="18"/>
              </w:rPr>
              <w:t>.346</w:t>
            </w:r>
          </w:p>
        </w:tc>
        <w:tc>
          <w:tcPr>
            <w:tcW w:w="1424" w:type="dxa"/>
            <w:tcBorders>
              <w:top w:val="nil"/>
              <w:left w:val="single" w:sz="8" w:space="0" w:color="000000"/>
              <w:bottom w:val="nil"/>
              <w:right w:val="single" w:sz="8" w:space="0" w:color="000000"/>
            </w:tcBorders>
          </w:tcPr>
          <w:p>
            <w:pPr>
              <w:pStyle w:val="TableParagraph"/>
              <w:spacing w:before="77"/>
              <w:ind w:right="38"/>
              <w:jc w:val="right"/>
              <w:rPr>
                <w:sz w:val="18"/>
              </w:rPr>
            </w:pPr>
            <w:r>
              <w:rPr>
                <w:sz w:val="18"/>
              </w:rPr>
              <w:t>5.772</w:t>
            </w:r>
          </w:p>
        </w:tc>
        <w:tc>
          <w:tcPr>
            <w:tcW w:w="1438" w:type="dxa"/>
            <w:tcBorders>
              <w:top w:val="nil"/>
              <w:left w:val="single" w:sz="8" w:space="0" w:color="000000"/>
              <w:bottom w:val="nil"/>
              <w:right w:val="single" w:sz="8" w:space="0" w:color="000000"/>
            </w:tcBorders>
          </w:tcPr>
          <w:p>
            <w:pPr>
              <w:pStyle w:val="TableParagraph"/>
              <w:spacing w:before="77"/>
              <w:ind w:right="37"/>
              <w:jc w:val="right"/>
              <w:rPr>
                <w:sz w:val="18"/>
              </w:rPr>
            </w:pPr>
            <w:r>
              <w:rPr>
                <w:sz w:val="18"/>
              </w:rPr>
              <w:t>90.546</w:t>
            </w:r>
          </w:p>
        </w:tc>
        <w:tc>
          <w:tcPr>
            <w:tcW w:w="1147" w:type="dxa"/>
            <w:vMerge/>
            <w:tcBorders>
              <w:top w:val="nil"/>
              <w:left w:val="single" w:sz="8" w:space="0" w:color="000000"/>
              <w:right w:val="single" w:sz="8" w:space="0" w:color="000000"/>
            </w:tcBorders>
          </w:tcPr>
          <w:p>
            <w:pPr>
              <w:rPr>
                <w:sz w:val="2"/>
                <w:szCs w:val="2"/>
              </w:rPr>
            </w:pPr>
          </w:p>
        </w:tc>
        <w:tc>
          <w:tcPr>
            <w:tcW w:w="1424" w:type="dxa"/>
            <w:vMerge/>
            <w:tcBorders>
              <w:top w:val="nil"/>
              <w:left w:val="single" w:sz="8" w:space="0" w:color="000000"/>
              <w:right w:val="single" w:sz="8" w:space="0" w:color="000000"/>
            </w:tcBorders>
          </w:tcPr>
          <w:p>
            <w:pPr>
              <w:rPr>
                <w:sz w:val="2"/>
                <w:szCs w:val="2"/>
              </w:rPr>
            </w:pPr>
          </w:p>
        </w:tc>
        <w:tc>
          <w:tcPr>
            <w:tcW w:w="1438" w:type="dxa"/>
            <w:vMerge/>
            <w:tcBorders>
              <w:top w:val="nil"/>
              <w:left w:val="single" w:sz="8" w:space="0" w:color="000000"/>
            </w:tcBorders>
          </w:tcPr>
          <w:p>
            <w:pPr>
              <w:rPr>
                <w:sz w:val="2"/>
                <w:szCs w:val="2"/>
              </w:rPr>
            </w:pPr>
          </w:p>
        </w:tc>
      </w:tr>
      <w:tr>
        <w:trPr>
          <w:trHeight w:val="369" w:hRule="atLeast"/>
        </w:trPr>
        <w:tc>
          <w:tcPr>
            <w:tcW w:w="1279" w:type="dxa"/>
            <w:tcBorders>
              <w:top w:val="nil"/>
              <w:bottom w:val="nil"/>
            </w:tcBorders>
          </w:tcPr>
          <w:p>
            <w:pPr>
              <w:pStyle w:val="TableParagraph"/>
              <w:spacing w:before="76"/>
              <w:ind w:left="75"/>
              <w:rPr>
                <w:sz w:val="18"/>
              </w:rPr>
            </w:pPr>
            <w:r>
              <w:rPr>
                <w:sz w:val="18"/>
              </w:rPr>
              <w:t>5</w:t>
            </w:r>
          </w:p>
        </w:tc>
        <w:tc>
          <w:tcPr>
            <w:tcW w:w="999" w:type="dxa"/>
            <w:tcBorders>
              <w:top w:val="nil"/>
              <w:bottom w:val="nil"/>
              <w:right w:val="single" w:sz="8" w:space="0" w:color="000000"/>
            </w:tcBorders>
          </w:tcPr>
          <w:p>
            <w:pPr>
              <w:pStyle w:val="TableParagraph"/>
              <w:spacing w:before="76"/>
              <w:ind w:right="40"/>
              <w:jc w:val="right"/>
              <w:rPr>
                <w:sz w:val="18"/>
              </w:rPr>
            </w:pPr>
            <w:r>
              <w:rPr>
                <w:sz w:val="18"/>
              </w:rPr>
              <w:t>.302</w:t>
            </w:r>
          </w:p>
        </w:tc>
        <w:tc>
          <w:tcPr>
            <w:tcW w:w="1424" w:type="dxa"/>
            <w:tcBorders>
              <w:top w:val="nil"/>
              <w:left w:val="single" w:sz="8" w:space="0" w:color="000000"/>
              <w:bottom w:val="nil"/>
              <w:right w:val="single" w:sz="8" w:space="0" w:color="000000"/>
            </w:tcBorders>
          </w:tcPr>
          <w:p>
            <w:pPr>
              <w:pStyle w:val="TableParagraph"/>
              <w:spacing w:before="76"/>
              <w:ind w:right="38"/>
              <w:jc w:val="right"/>
              <w:rPr>
                <w:sz w:val="18"/>
              </w:rPr>
            </w:pPr>
            <w:r>
              <w:rPr>
                <w:sz w:val="18"/>
              </w:rPr>
              <w:t>5.041</w:t>
            </w:r>
          </w:p>
        </w:tc>
        <w:tc>
          <w:tcPr>
            <w:tcW w:w="1438" w:type="dxa"/>
            <w:tcBorders>
              <w:top w:val="nil"/>
              <w:left w:val="single" w:sz="8" w:space="0" w:color="000000"/>
              <w:bottom w:val="nil"/>
              <w:right w:val="single" w:sz="8" w:space="0" w:color="000000"/>
            </w:tcBorders>
          </w:tcPr>
          <w:p>
            <w:pPr>
              <w:pStyle w:val="TableParagraph"/>
              <w:spacing w:before="76"/>
              <w:ind w:right="38"/>
              <w:jc w:val="right"/>
              <w:rPr>
                <w:sz w:val="18"/>
              </w:rPr>
            </w:pPr>
            <w:r>
              <w:rPr>
                <w:sz w:val="18"/>
              </w:rPr>
              <w:t>95.587</w:t>
            </w:r>
          </w:p>
        </w:tc>
        <w:tc>
          <w:tcPr>
            <w:tcW w:w="1147" w:type="dxa"/>
            <w:vMerge/>
            <w:tcBorders>
              <w:top w:val="nil"/>
              <w:left w:val="single" w:sz="8" w:space="0" w:color="000000"/>
              <w:right w:val="single" w:sz="8" w:space="0" w:color="000000"/>
            </w:tcBorders>
          </w:tcPr>
          <w:p>
            <w:pPr>
              <w:rPr>
                <w:sz w:val="2"/>
                <w:szCs w:val="2"/>
              </w:rPr>
            </w:pPr>
          </w:p>
        </w:tc>
        <w:tc>
          <w:tcPr>
            <w:tcW w:w="1424" w:type="dxa"/>
            <w:vMerge/>
            <w:tcBorders>
              <w:top w:val="nil"/>
              <w:left w:val="single" w:sz="8" w:space="0" w:color="000000"/>
              <w:right w:val="single" w:sz="8" w:space="0" w:color="000000"/>
            </w:tcBorders>
          </w:tcPr>
          <w:p>
            <w:pPr>
              <w:rPr>
                <w:sz w:val="2"/>
                <w:szCs w:val="2"/>
              </w:rPr>
            </w:pPr>
          </w:p>
        </w:tc>
        <w:tc>
          <w:tcPr>
            <w:tcW w:w="1438" w:type="dxa"/>
            <w:vMerge/>
            <w:tcBorders>
              <w:top w:val="nil"/>
              <w:left w:val="single" w:sz="8" w:space="0" w:color="000000"/>
            </w:tcBorders>
          </w:tcPr>
          <w:p>
            <w:pPr>
              <w:rPr>
                <w:sz w:val="2"/>
                <w:szCs w:val="2"/>
              </w:rPr>
            </w:pPr>
          </w:p>
        </w:tc>
      </w:tr>
      <w:tr>
        <w:trPr>
          <w:trHeight w:val="437" w:hRule="atLeast"/>
        </w:trPr>
        <w:tc>
          <w:tcPr>
            <w:tcW w:w="1279" w:type="dxa"/>
            <w:tcBorders>
              <w:top w:val="nil"/>
            </w:tcBorders>
          </w:tcPr>
          <w:p>
            <w:pPr>
              <w:pStyle w:val="TableParagraph"/>
              <w:spacing w:before="78"/>
              <w:ind w:left="75"/>
              <w:rPr>
                <w:sz w:val="18"/>
              </w:rPr>
            </w:pPr>
            <w:r>
              <w:rPr>
                <w:sz w:val="18"/>
              </w:rPr>
              <w:t>6</w:t>
            </w:r>
          </w:p>
        </w:tc>
        <w:tc>
          <w:tcPr>
            <w:tcW w:w="999" w:type="dxa"/>
            <w:tcBorders>
              <w:top w:val="nil"/>
              <w:right w:val="single" w:sz="8" w:space="0" w:color="000000"/>
            </w:tcBorders>
          </w:tcPr>
          <w:p>
            <w:pPr>
              <w:pStyle w:val="TableParagraph"/>
              <w:spacing w:before="78"/>
              <w:ind w:right="40"/>
              <w:jc w:val="right"/>
              <w:rPr>
                <w:sz w:val="18"/>
              </w:rPr>
            </w:pPr>
            <w:r>
              <w:rPr>
                <w:sz w:val="18"/>
              </w:rPr>
              <w:t>.265</w:t>
            </w:r>
          </w:p>
        </w:tc>
        <w:tc>
          <w:tcPr>
            <w:tcW w:w="1424" w:type="dxa"/>
            <w:tcBorders>
              <w:top w:val="nil"/>
              <w:left w:val="single" w:sz="8" w:space="0" w:color="000000"/>
              <w:right w:val="single" w:sz="8" w:space="0" w:color="000000"/>
            </w:tcBorders>
          </w:tcPr>
          <w:p>
            <w:pPr>
              <w:pStyle w:val="TableParagraph"/>
              <w:spacing w:before="78"/>
              <w:ind w:right="36"/>
              <w:jc w:val="right"/>
              <w:rPr>
                <w:sz w:val="18"/>
              </w:rPr>
            </w:pPr>
            <w:r>
              <w:rPr>
                <w:sz w:val="18"/>
              </w:rPr>
              <w:t>4.413</w:t>
            </w:r>
          </w:p>
        </w:tc>
        <w:tc>
          <w:tcPr>
            <w:tcW w:w="1438" w:type="dxa"/>
            <w:tcBorders>
              <w:top w:val="nil"/>
              <w:left w:val="single" w:sz="8" w:space="0" w:color="000000"/>
              <w:right w:val="single" w:sz="8" w:space="0" w:color="000000"/>
            </w:tcBorders>
          </w:tcPr>
          <w:p>
            <w:pPr>
              <w:pStyle w:val="TableParagraph"/>
              <w:spacing w:before="78"/>
              <w:ind w:right="38"/>
              <w:jc w:val="right"/>
              <w:rPr>
                <w:sz w:val="18"/>
              </w:rPr>
            </w:pPr>
            <w:r>
              <w:rPr>
                <w:sz w:val="18"/>
              </w:rPr>
              <w:t>100.000</w:t>
            </w:r>
          </w:p>
        </w:tc>
        <w:tc>
          <w:tcPr>
            <w:tcW w:w="1147" w:type="dxa"/>
            <w:vMerge/>
            <w:tcBorders>
              <w:top w:val="nil"/>
              <w:left w:val="single" w:sz="8" w:space="0" w:color="000000"/>
              <w:right w:val="single" w:sz="8" w:space="0" w:color="000000"/>
            </w:tcBorders>
          </w:tcPr>
          <w:p>
            <w:pPr>
              <w:rPr>
                <w:sz w:val="2"/>
                <w:szCs w:val="2"/>
              </w:rPr>
            </w:pPr>
          </w:p>
        </w:tc>
        <w:tc>
          <w:tcPr>
            <w:tcW w:w="1424" w:type="dxa"/>
            <w:vMerge/>
            <w:tcBorders>
              <w:top w:val="nil"/>
              <w:left w:val="single" w:sz="8" w:space="0" w:color="000000"/>
              <w:right w:val="single" w:sz="8" w:space="0" w:color="000000"/>
            </w:tcBorders>
          </w:tcPr>
          <w:p>
            <w:pPr>
              <w:rPr>
                <w:sz w:val="2"/>
                <w:szCs w:val="2"/>
              </w:rPr>
            </w:pPr>
          </w:p>
        </w:tc>
        <w:tc>
          <w:tcPr>
            <w:tcW w:w="1438" w:type="dxa"/>
            <w:vMerge/>
            <w:tcBorders>
              <w:top w:val="nil"/>
              <w:left w:val="single" w:sz="8" w:space="0" w:color="000000"/>
            </w:tcBorders>
          </w:tcPr>
          <w:p>
            <w:pPr>
              <w:rPr>
                <w:sz w:val="2"/>
                <w:szCs w:val="2"/>
              </w:rPr>
            </w:pPr>
          </w:p>
        </w:tc>
      </w:tr>
    </w:tbl>
    <w:p>
      <w:pPr>
        <w:spacing w:before="0"/>
        <w:ind w:left="942" w:right="0" w:firstLine="0"/>
        <w:jc w:val="left"/>
        <w:rPr>
          <w:sz w:val="18"/>
        </w:rPr>
      </w:pPr>
      <w:r>
        <w:rPr>
          <w:sz w:val="18"/>
        </w:rPr>
        <w:t>Extraction Method: Principal Component Analysis.</w:t>
      </w:r>
    </w:p>
    <w:p>
      <w:pPr>
        <w:pStyle w:val="BodyText"/>
        <w:rPr>
          <w:sz w:val="20"/>
        </w:rPr>
      </w:pPr>
    </w:p>
    <w:p>
      <w:pPr>
        <w:pStyle w:val="BodyText"/>
        <w:spacing w:before="4"/>
        <w:rPr>
          <w:sz w:val="16"/>
        </w:rPr>
      </w:pPr>
    </w:p>
    <w:p>
      <w:pPr>
        <w:spacing w:before="100"/>
        <w:ind w:left="1186" w:right="0" w:firstLine="0"/>
        <w:jc w:val="left"/>
        <w:rPr>
          <w:b/>
          <w:sz w:val="18"/>
        </w:rPr>
      </w:pPr>
      <w:r>
        <w:rPr>
          <w:b/>
          <w:sz w:val="18"/>
        </w:rPr>
        <w:t>Component Matrix</w:t>
      </w:r>
      <w:r>
        <w:rPr>
          <w:b/>
          <w:sz w:val="18"/>
          <w:vertAlign w:val="superscript"/>
        </w:rPr>
        <w:t>a</w:t>
      </w:r>
    </w:p>
    <w:p>
      <w:pPr>
        <w:pStyle w:val="BodyText"/>
        <w:spacing w:before="10"/>
        <w:rPr>
          <w:b/>
          <w:sz w:val="8"/>
        </w:rPr>
      </w:pPr>
    </w:p>
    <w:tbl>
      <w:tblPr>
        <w:tblW w:w="0" w:type="auto"/>
        <w:jc w:val="left"/>
        <w:tblInd w:w="907" w:type="dxa"/>
        <w:tblBorders>
          <w:top w:val="single" w:sz="18" w:space="0" w:color="000000"/>
          <w:left w:val="single" w:sz="18" w:space="0" w:color="000000"/>
          <w:bottom w:val="single" w:sz="18" w:space="0" w:color="000000"/>
          <w:right w:val="single" w:sz="18" w:space="0" w:color="000000"/>
          <w:insideH w:val="single" w:sz="18" w:space="0" w:color="000000"/>
          <w:insideV w:val="single" w:sz="18" w:space="0" w:color="000000"/>
        </w:tblBorders>
        <w:tblLayout w:type="fixed"/>
        <w:tblCellMar>
          <w:top w:w="0" w:type="dxa"/>
          <w:left w:w="0" w:type="dxa"/>
          <w:bottom w:w="0" w:type="dxa"/>
          <w:right w:w="0" w:type="dxa"/>
        </w:tblCellMar>
        <w:tblLook w:val="01E0"/>
      </w:tblPr>
      <w:tblGrid>
        <w:gridCol w:w="895"/>
        <w:gridCol w:w="1260"/>
      </w:tblGrid>
      <w:tr>
        <w:trPr>
          <w:trHeight w:val="295" w:hRule="atLeast"/>
        </w:trPr>
        <w:tc>
          <w:tcPr>
            <w:tcW w:w="895" w:type="dxa"/>
            <w:vMerge w:val="restart"/>
          </w:tcPr>
          <w:p>
            <w:pPr>
              <w:pStyle w:val="TableParagraph"/>
              <w:rPr>
                <w:sz w:val="18"/>
              </w:rPr>
            </w:pPr>
          </w:p>
        </w:tc>
        <w:tc>
          <w:tcPr>
            <w:tcW w:w="1260" w:type="dxa"/>
            <w:tcBorders>
              <w:bottom w:val="single" w:sz="8" w:space="0" w:color="000000"/>
            </w:tcBorders>
          </w:tcPr>
          <w:p>
            <w:pPr>
              <w:pStyle w:val="TableParagraph"/>
              <w:spacing w:line="206" w:lineRule="exact"/>
              <w:ind w:left="200"/>
              <w:rPr>
                <w:sz w:val="18"/>
              </w:rPr>
            </w:pPr>
            <w:r>
              <w:rPr>
                <w:sz w:val="18"/>
              </w:rPr>
              <w:t>Component</w:t>
            </w:r>
          </w:p>
        </w:tc>
      </w:tr>
      <w:tr>
        <w:trPr>
          <w:trHeight w:val="314" w:hRule="atLeast"/>
        </w:trPr>
        <w:tc>
          <w:tcPr>
            <w:tcW w:w="895" w:type="dxa"/>
            <w:vMerge/>
            <w:tcBorders>
              <w:top w:val="nil"/>
            </w:tcBorders>
          </w:tcPr>
          <w:p>
            <w:pPr>
              <w:rPr>
                <w:sz w:val="2"/>
                <w:szCs w:val="2"/>
              </w:rPr>
            </w:pPr>
          </w:p>
        </w:tc>
        <w:tc>
          <w:tcPr>
            <w:tcW w:w="1260" w:type="dxa"/>
            <w:tcBorders>
              <w:top w:val="single" w:sz="8" w:space="0" w:color="000000"/>
            </w:tcBorders>
          </w:tcPr>
          <w:p>
            <w:pPr>
              <w:pStyle w:val="TableParagraph"/>
              <w:spacing w:before="8"/>
              <w:ind w:left="25"/>
              <w:jc w:val="center"/>
              <w:rPr>
                <w:sz w:val="18"/>
              </w:rPr>
            </w:pPr>
            <w:r>
              <w:rPr>
                <w:sz w:val="18"/>
              </w:rPr>
              <w:t>1</w:t>
            </w:r>
          </w:p>
        </w:tc>
      </w:tr>
      <w:tr>
        <w:trPr>
          <w:trHeight w:val="261" w:hRule="atLeast"/>
        </w:trPr>
        <w:tc>
          <w:tcPr>
            <w:tcW w:w="895" w:type="dxa"/>
            <w:tcBorders>
              <w:bottom w:val="nil"/>
            </w:tcBorders>
          </w:tcPr>
          <w:p>
            <w:pPr>
              <w:pStyle w:val="TableParagraph"/>
              <w:spacing w:line="206" w:lineRule="exact"/>
              <w:ind w:left="75"/>
              <w:rPr>
                <w:sz w:val="18"/>
              </w:rPr>
            </w:pPr>
            <w:r>
              <w:rPr>
                <w:sz w:val="18"/>
              </w:rPr>
              <w:t>CP3</w:t>
            </w:r>
          </w:p>
        </w:tc>
        <w:tc>
          <w:tcPr>
            <w:tcW w:w="1260" w:type="dxa"/>
            <w:tcBorders>
              <w:bottom w:val="nil"/>
            </w:tcBorders>
          </w:tcPr>
          <w:p>
            <w:pPr>
              <w:pStyle w:val="TableParagraph"/>
              <w:spacing w:line="206" w:lineRule="exact"/>
              <w:ind w:right="34"/>
              <w:jc w:val="right"/>
              <w:rPr>
                <w:sz w:val="18"/>
              </w:rPr>
            </w:pPr>
            <w:r>
              <w:rPr>
                <w:sz w:val="18"/>
              </w:rPr>
              <w:t>.827</w:t>
            </w:r>
          </w:p>
        </w:tc>
      </w:tr>
      <w:tr>
        <w:trPr>
          <w:trHeight w:val="310" w:hRule="atLeast"/>
        </w:trPr>
        <w:tc>
          <w:tcPr>
            <w:tcW w:w="895" w:type="dxa"/>
            <w:tcBorders>
              <w:top w:val="nil"/>
              <w:bottom w:val="nil"/>
            </w:tcBorders>
          </w:tcPr>
          <w:p>
            <w:pPr>
              <w:pStyle w:val="TableParagraph"/>
              <w:spacing w:before="47"/>
              <w:ind w:left="75"/>
              <w:rPr>
                <w:sz w:val="18"/>
              </w:rPr>
            </w:pPr>
            <w:r>
              <w:rPr>
                <w:sz w:val="18"/>
              </w:rPr>
              <w:t>CP4</w:t>
            </w:r>
          </w:p>
        </w:tc>
        <w:tc>
          <w:tcPr>
            <w:tcW w:w="1260" w:type="dxa"/>
            <w:tcBorders>
              <w:top w:val="nil"/>
              <w:bottom w:val="nil"/>
            </w:tcBorders>
          </w:tcPr>
          <w:p>
            <w:pPr>
              <w:pStyle w:val="TableParagraph"/>
              <w:spacing w:before="47"/>
              <w:ind w:right="34"/>
              <w:jc w:val="right"/>
              <w:rPr>
                <w:sz w:val="18"/>
              </w:rPr>
            </w:pPr>
            <w:r>
              <w:rPr>
                <w:sz w:val="18"/>
              </w:rPr>
              <w:t>.817</w:t>
            </w:r>
          </w:p>
        </w:tc>
      </w:tr>
      <w:tr>
        <w:trPr>
          <w:trHeight w:val="310" w:hRule="atLeast"/>
        </w:trPr>
        <w:tc>
          <w:tcPr>
            <w:tcW w:w="895" w:type="dxa"/>
            <w:tcBorders>
              <w:top w:val="nil"/>
              <w:bottom w:val="nil"/>
            </w:tcBorders>
          </w:tcPr>
          <w:p>
            <w:pPr>
              <w:pStyle w:val="TableParagraph"/>
              <w:spacing w:before="48"/>
              <w:ind w:left="75"/>
              <w:rPr>
                <w:sz w:val="18"/>
              </w:rPr>
            </w:pPr>
            <w:r>
              <w:rPr>
                <w:sz w:val="18"/>
              </w:rPr>
              <w:t>CP6</w:t>
            </w:r>
          </w:p>
        </w:tc>
        <w:tc>
          <w:tcPr>
            <w:tcW w:w="1260" w:type="dxa"/>
            <w:tcBorders>
              <w:top w:val="nil"/>
              <w:bottom w:val="nil"/>
            </w:tcBorders>
          </w:tcPr>
          <w:p>
            <w:pPr>
              <w:pStyle w:val="TableParagraph"/>
              <w:spacing w:before="48"/>
              <w:ind w:right="34"/>
              <w:jc w:val="right"/>
              <w:rPr>
                <w:sz w:val="18"/>
              </w:rPr>
            </w:pPr>
            <w:r>
              <w:rPr>
                <w:sz w:val="18"/>
              </w:rPr>
              <w:t>.798</w:t>
            </w:r>
          </w:p>
        </w:tc>
      </w:tr>
      <w:tr>
        <w:trPr>
          <w:trHeight w:val="310" w:hRule="atLeast"/>
        </w:trPr>
        <w:tc>
          <w:tcPr>
            <w:tcW w:w="895" w:type="dxa"/>
            <w:tcBorders>
              <w:top w:val="nil"/>
              <w:bottom w:val="nil"/>
            </w:tcBorders>
          </w:tcPr>
          <w:p>
            <w:pPr>
              <w:pStyle w:val="TableParagraph"/>
              <w:spacing w:before="47"/>
              <w:ind w:left="75"/>
              <w:rPr>
                <w:sz w:val="18"/>
              </w:rPr>
            </w:pPr>
            <w:r>
              <w:rPr>
                <w:sz w:val="18"/>
              </w:rPr>
              <w:t>CP5</w:t>
            </w:r>
          </w:p>
        </w:tc>
        <w:tc>
          <w:tcPr>
            <w:tcW w:w="1260" w:type="dxa"/>
            <w:tcBorders>
              <w:top w:val="nil"/>
              <w:bottom w:val="nil"/>
            </w:tcBorders>
          </w:tcPr>
          <w:p>
            <w:pPr>
              <w:pStyle w:val="TableParagraph"/>
              <w:spacing w:before="47"/>
              <w:ind w:right="35"/>
              <w:jc w:val="right"/>
              <w:rPr>
                <w:sz w:val="18"/>
              </w:rPr>
            </w:pPr>
            <w:r>
              <w:rPr>
                <w:sz w:val="18"/>
              </w:rPr>
              <w:t>.792</w:t>
            </w:r>
          </w:p>
        </w:tc>
      </w:tr>
      <w:tr>
        <w:trPr>
          <w:trHeight w:val="311" w:hRule="atLeast"/>
        </w:trPr>
        <w:tc>
          <w:tcPr>
            <w:tcW w:w="895" w:type="dxa"/>
            <w:tcBorders>
              <w:top w:val="nil"/>
              <w:bottom w:val="nil"/>
            </w:tcBorders>
          </w:tcPr>
          <w:p>
            <w:pPr>
              <w:pStyle w:val="TableParagraph"/>
              <w:spacing w:before="48"/>
              <w:ind w:left="75"/>
              <w:rPr>
                <w:sz w:val="18"/>
              </w:rPr>
            </w:pPr>
            <w:r>
              <w:rPr>
                <w:sz w:val="18"/>
              </w:rPr>
              <w:t>CP2</w:t>
            </w:r>
          </w:p>
        </w:tc>
        <w:tc>
          <w:tcPr>
            <w:tcW w:w="1260" w:type="dxa"/>
            <w:tcBorders>
              <w:top w:val="nil"/>
              <w:bottom w:val="nil"/>
            </w:tcBorders>
          </w:tcPr>
          <w:p>
            <w:pPr>
              <w:pStyle w:val="TableParagraph"/>
              <w:spacing w:before="48"/>
              <w:ind w:right="35"/>
              <w:jc w:val="right"/>
              <w:rPr>
                <w:sz w:val="18"/>
              </w:rPr>
            </w:pPr>
            <w:r>
              <w:rPr>
                <w:sz w:val="18"/>
              </w:rPr>
              <w:t>.784</w:t>
            </w:r>
          </w:p>
        </w:tc>
      </w:tr>
      <w:tr>
        <w:trPr>
          <w:trHeight w:val="354" w:hRule="atLeast"/>
        </w:trPr>
        <w:tc>
          <w:tcPr>
            <w:tcW w:w="895" w:type="dxa"/>
            <w:tcBorders>
              <w:top w:val="nil"/>
            </w:tcBorders>
          </w:tcPr>
          <w:p>
            <w:pPr>
              <w:pStyle w:val="TableParagraph"/>
              <w:spacing w:before="47"/>
              <w:ind w:left="75"/>
              <w:rPr>
                <w:sz w:val="18"/>
              </w:rPr>
            </w:pPr>
            <w:r>
              <w:rPr>
                <w:sz w:val="18"/>
              </w:rPr>
              <w:t>CP1</w:t>
            </w:r>
          </w:p>
        </w:tc>
        <w:tc>
          <w:tcPr>
            <w:tcW w:w="1260" w:type="dxa"/>
            <w:tcBorders>
              <w:top w:val="nil"/>
            </w:tcBorders>
          </w:tcPr>
          <w:p>
            <w:pPr>
              <w:pStyle w:val="TableParagraph"/>
              <w:spacing w:before="47"/>
              <w:ind w:right="34"/>
              <w:jc w:val="right"/>
              <w:rPr>
                <w:sz w:val="18"/>
              </w:rPr>
            </w:pPr>
            <w:r>
              <w:rPr>
                <w:sz w:val="18"/>
              </w:rPr>
              <w:t>.707</w:t>
            </w:r>
          </w:p>
        </w:tc>
      </w:tr>
    </w:tbl>
    <w:p>
      <w:pPr>
        <w:spacing w:before="2"/>
        <w:ind w:left="942" w:right="0" w:firstLine="0"/>
        <w:jc w:val="left"/>
        <w:rPr>
          <w:sz w:val="18"/>
        </w:rPr>
      </w:pPr>
      <w:r>
        <w:rPr>
          <w:sz w:val="18"/>
        </w:rPr>
        <w:t>Extraction Method:</w:t>
      </w:r>
    </w:p>
    <w:p>
      <w:pPr>
        <w:spacing w:line="362" w:lineRule="auto" w:before="103"/>
        <w:ind w:left="942" w:right="8353" w:firstLine="0"/>
        <w:jc w:val="left"/>
        <w:rPr>
          <w:sz w:val="18"/>
        </w:rPr>
      </w:pPr>
      <w:r>
        <w:rPr>
          <w:sz w:val="18"/>
        </w:rPr>
        <w:t>Principal Component Analysis.</w:t>
      </w:r>
    </w:p>
    <w:p>
      <w:pPr>
        <w:spacing w:line="203" w:lineRule="exact" w:before="0"/>
        <w:ind w:left="942" w:right="0" w:firstLine="0"/>
        <w:jc w:val="left"/>
        <w:rPr>
          <w:sz w:val="18"/>
        </w:rPr>
      </w:pPr>
      <w:r>
        <w:rPr>
          <w:sz w:val="18"/>
        </w:rPr>
        <w:t>a. 1 components extracted.</w:t>
      </w:r>
    </w:p>
    <w:p>
      <w:pPr>
        <w:pStyle w:val="ListParagraph"/>
        <w:numPr>
          <w:ilvl w:val="1"/>
          <w:numId w:val="46"/>
        </w:numPr>
        <w:tabs>
          <w:tab w:pos="1310" w:val="left" w:leader="none"/>
        </w:tabs>
        <w:spacing w:line="240" w:lineRule="auto" w:before="101" w:after="0"/>
        <w:ind w:left="1309" w:right="0" w:hanging="428"/>
        <w:jc w:val="left"/>
        <w:rPr>
          <w:b/>
          <w:i/>
          <w:sz w:val="24"/>
        </w:rPr>
      </w:pPr>
      <w:r>
        <w:rPr>
          <w:b/>
          <w:i/>
          <w:sz w:val="24"/>
          <w:u w:val="thick"/>
        </w:rPr>
        <w:t>Thang đo tính năng</w:t>
      </w:r>
      <w:r>
        <w:rPr>
          <w:b/>
          <w:i/>
          <w:spacing w:val="-4"/>
          <w:sz w:val="24"/>
          <w:u w:val="thick"/>
        </w:rPr>
        <w:t> </w:t>
      </w:r>
      <w:r>
        <w:rPr>
          <w:b/>
          <w:i/>
          <w:sz w:val="24"/>
          <w:u w:val="thick"/>
        </w:rPr>
        <w:t>động</w:t>
      </w:r>
    </w:p>
    <w:p>
      <w:pPr>
        <w:spacing w:after="0" w:line="240" w:lineRule="auto"/>
        <w:jc w:val="left"/>
        <w:rPr>
          <w:sz w:val="24"/>
        </w:rPr>
        <w:sectPr>
          <w:pgSz w:w="11910" w:h="16850"/>
          <w:pgMar w:header="751" w:footer="0" w:top="960" w:bottom="280" w:left="820" w:right="240"/>
        </w:sectPr>
      </w:pPr>
    </w:p>
    <w:p>
      <w:pPr>
        <w:pStyle w:val="BodyText"/>
        <w:spacing w:before="8"/>
        <w:rPr>
          <w:b/>
          <w:i/>
          <w:sz w:val="15"/>
        </w:rPr>
      </w:pPr>
    </w:p>
    <w:p>
      <w:pPr>
        <w:spacing w:before="93"/>
        <w:ind w:left="1450" w:right="0" w:firstLine="0"/>
        <w:jc w:val="left"/>
        <w:rPr>
          <w:b/>
          <w:sz w:val="18"/>
        </w:rPr>
      </w:pPr>
      <w:r>
        <w:rPr>
          <w:b/>
          <w:sz w:val="18"/>
        </w:rPr>
        <w:t>Reliability Statistics</w:t>
      </w:r>
    </w:p>
    <w:p>
      <w:pPr>
        <w:pStyle w:val="BodyText"/>
        <w:spacing w:before="1"/>
        <w:rPr>
          <w:b/>
          <w:sz w:val="9"/>
        </w:rPr>
      </w:pPr>
    </w:p>
    <w:tbl>
      <w:tblPr>
        <w:tblW w:w="0" w:type="auto"/>
        <w:jc w:val="left"/>
        <w:tblInd w:w="907" w:type="dxa"/>
        <w:tblBorders>
          <w:top w:val="single" w:sz="18" w:space="0" w:color="000000"/>
          <w:left w:val="single" w:sz="18" w:space="0" w:color="000000"/>
          <w:bottom w:val="single" w:sz="18" w:space="0" w:color="000000"/>
          <w:right w:val="single" w:sz="18" w:space="0" w:color="000000"/>
          <w:insideH w:val="single" w:sz="18" w:space="0" w:color="000000"/>
          <w:insideV w:val="single" w:sz="18" w:space="0" w:color="000000"/>
        </w:tblBorders>
        <w:tblLayout w:type="fixed"/>
        <w:tblCellMar>
          <w:top w:w="0" w:type="dxa"/>
          <w:left w:w="0" w:type="dxa"/>
          <w:bottom w:w="0" w:type="dxa"/>
          <w:right w:w="0" w:type="dxa"/>
        </w:tblCellMar>
        <w:tblLook w:val="01E0"/>
      </w:tblPr>
      <w:tblGrid>
        <w:gridCol w:w="1512"/>
        <w:gridCol w:w="1165"/>
      </w:tblGrid>
      <w:tr>
        <w:trPr>
          <w:trHeight w:val="305" w:hRule="atLeast"/>
        </w:trPr>
        <w:tc>
          <w:tcPr>
            <w:tcW w:w="1512" w:type="dxa"/>
            <w:tcBorders>
              <w:right w:val="single" w:sz="8" w:space="0" w:color="000000"/>
            </w:tcBorders>
          </w:tcPr>
          <w:p>
            <w:pPr>
              <w:pStyle w:val="TableParagraph"/>
              <w:spacing w:line="204" w:lineRule="exact"/>
              <w:ind w:right="72"/>
              <w:jc w:val="right"/>
              <w:rPr>
                <w:sz w:val="18"/>
              </w:rPr>
            </w:pPr>
            <w:r>
              <w:rPr>
                <w:sz w:val="18"/>
              </w:rPr>
              <w:t>Cronbach's Alpha</w:t>
            </w:r>
          </w:p>
        </w:tc>
        <w:tc>
          <w:tcPr>
            <w:tcW w:w="1165" w:type="dxa"/>
            <w:tcBorders>
              <w:left w:val="single" w:sz="8" w:space="0" w:color="000000"/>
            </w:tcBorders>
          </w:tcPr>
          <w:p>
            <w:pPr>
              <w:pStyle w:val="TableParagraph"/>
              <w:spacing w:line="204" w:lineRule="exact"/>
              <w:ind w:left="201"/>
              <w:rPr>
                <w:sz w:val="18"/>
              </w:rPr>
            </w:pPr>
            <w:r>
              <w:rPr>
                <w:sz w:val="18"/>
              </w:rPr>
              <w:t>N of Items</w:t>
            </w:r>
          </w:p>
        </w:tc>
      </w:tr>
      <w:tr>
        <w:trPr>
          <w:trHeight w:val="305" w:hRule="atLeast"/>
        </w:trPr>
        <w:tc>
          <w:tcPr>
            <w:tcW w:w="1512" w:type="dxa"/>
            <w:tcBorders>
              <w:right w:val="single" w:sz="8" w:space="0" w:color="000000"/>
            </w:tcBorders>
          </w:tcPr>
          <w:p>
            <w:pPr>
              <w:pStyle w:val="TableParagraph"/>
              <w:spacing w:line="204" w:lineRule="exact"/>
              <w:ind w:right="37"/>
              <w:jc w:val="right"/>
              <w:rPr>
                <w:sz w:val="18"/>
              </w:rPr>
            </w:pPr>
            <w:r>
              <w:rPr>
                <w:sz w:val="18"/>
              </w:rPr>
              <w:t>.846</w:t>
            </w:r>
          </w:p>
        </w:tc>
        <w:tc>
          <w:tcPr>
            <w:tcW w:w="1165" w:type="dxa"/>
            <w:tcBorders>
              <w:left w:val="single" w:sz="8" w:space="0" w:color="000000"/>
            </w:tcBorders>
          </w:tcPr>
          <w:p>
            <w:pPr>
              <w:pStyle w:val="TableParagraph"/>
              <w:spacing w:line="204" w:lineRule="exact"/>
              <w:ind w:right="37"/>
              <w:jc w:val="right"/>
              <w:rPr>
                <w:sz w:val="18"/>
              </w:rPr>
            </w:pPr>
            <w:r>
              <w:rPr>
                <w:sz w:val="18"/>
              </w:rPr>
              <w:t>4</w:t>
            </w:r>
          </w:p>
        </w:tc>
      </w:tr>
    </w:tbl>
    <w:p>
      <w:pPr>
        <w:pStyle w:val="BodyText"/>
        <w:rPr>
          <w:b/>
          <w:sz w:val="20"/>
        </w:rPr>
      </w:pPr>
    </w:p>
    <w:p>
      <w:pPr>
        <w:pStyle w:val="BodyText"/>
        <w:spacing w:before="1"/>
        <w:rPr>
          <w:b/>
          <w:sz w:val="16"/>
        </w:rPr>
      </w:pPr>
    </w:p>
    <w:p>
      <w:pPr>
        <w:spacing w:before="0"/>
        <w:ind w:left="1095" w:right="3029" w:firstLine="0"/>
        <w:jc w:val="center"/>
        <w:rPr>
          <w:b/>
          <w:sz w:val="18"/>
        </w:rPr>
      </w:pPr>
      <w:r>
        <w:rPr>
          <w:b/>
          <w:sz w:val="18"/>
        </w:rPr>
        <w:t>Item-Total Statistics</w:t>
      </w:r>
    </w:p>
    <w:p>
      <w:pPr>
        <w:pStyle w:val="BodyText"/>
        <w:spacing w:before="10" w:after="1"/>
        <w:rPr>
          <w:b/>
          <w:sz w:val="8"/>
        </w:rPr>
      </w:pPr>
    </w:p>
    <w:tbl>
      <w:tblPr>
        <w:tblW w:w="0" w:type="auto"/>
        <w:jc w:val="left"/>
        <w:tblInd w:w="907" w:type="dxa"/>
        <w:tblBorders>
          <w:top w:val="single" w:sz="18" w:space="0" w:color="000000"/>
          <w:left w:val="single" w:sz="18" w:space="0" w:color="000000"/>
          <w:bottom w:val="single" w:sz="18" w:space="0" w:color="000000"/>
          <w:right w:val="single" w:sz="18" w:space="0" w:color="000000"/>
          <w:insideH w:val="single" w:sz="18" w:space="0" w:color="000000"/>
          <w:insideV w:val="single" w:sz="18" w:space="0" w:color="000000"/>
        </w:tblBorders>
        <w:tblLayout w:type="fixed"/>
        <w:tblCellMar>
          <w:top w:w="0" w:type="dxa"/>
          <w:left w:w="0" w:type="dxa"/>
          <w:bottom w:w="0" w:type="dxa"/>
          <w:right w:w="0" w:type="dxa"/>
        </w:tblCellMar>
        <w:tblLook w:val="01E0"/>
      </w:tblPr>
      <w:tblGrid>
        <w:gridCol w:w="1270"/>
        <w:gridCol w:w="1470"/>
        <w:gridCol w:w="1469"/>
        <w:gridCol w:w="1469"/>
        <w:gridCol w:w="1466"/>
      </w:tblGrid>
      <w:tr>
        <w:trPr>
          <w:trHeight w:val="617" w:hRule="atLeast"/>
        </w:trPr>
        <w:tc>
          <w:tcPr>
            <w:tcW w:w="1270" w:type="dxa"/>
          </w:tcPr>
          <w:p>
            <w:pPr>
              <w:pStyle w:val="TableParagraph"/>
              <w:rPr>
                <w:sz w:val="18"/>
              </w:rPr>
            </w:pPr>
          </w:p>
        </w:tc>
        <w:tc>
          <w:tcPr>
            <w:tcW w:w="1470" w:type="dxa"/>
            <w:tcBorders>
              <w:right w:val="single" w:sz="8" w:space="0" w:color="000000"/>
            </w:tcBorders>
          </w:tcPr>
          <w:p>
            <w:pPr>
              <w:pStyle w:val="TableParagraph"/>
              <w:spacing w:line="206" w:lineRule="exact"/>
              <w:ind w:left="233"/>
              <w:rPr>
                <w:sz w:val="18"/>
              </w:rPr>
            </w:pPr>
            <w:r>
              <w:rPr>
                <w:sz w:val="18"/>
              </w:rPr>
              <w:t>Scale Mean</w:t>
            </w:r>
            <w:r>
              <w:rPr>
                <w:spacing w:val="-3"/>
                <w:sz w:val="18"/>
              </w:rPr>
              <w:t> </w:t>
            </w:r>
            <w:r>
              <w:rPr>
                <w:sz w:val="18"/>
              </w:rPr>
              <w:t>if</w:t>
            </w:r>
          </w:p>
          <w:p>
            <w:pPr>
              <w:pStyle w:val="TableParagraph"/>
              <w:spacing w:before="102"/>
              <w:ind w:left="267"/>
              <w:rPr>
                <w:sz w:val="18"/>
              </w:rPr>
            </w:pPr>
            <w:r>
              <w:rPr>
                <w:sz w:val="18"/>
              </w:rPr>
              <w:t>Item</w:t>
            </w:r>
            <w:r>
              <w:rPr>
                <w:spacing w:val="-4"/>
                <w:sz w:val="18"/>
              </w:rPr>
              <w:t> </w:t>
            </w:r>
            <w:r>
              <w:rPr>
                <w:sz w:val="18"/>
              </w:rPr>
              <w:t>Deleted</w:t>
            </w:r>
          </w:p>
        </w:tc>
        <w:tc>
          <w:tcPr>
            <w:tcW w:w="1469" w:type="dxa"/>
            <w:tcBorders>
              <w:left w:val="single" w:sz="8" w:space="0" w:color="000000"/>
              <w:right w:val="single" w:sz="8" w:space="0" w:color="000000"/>
            </w:tcBorders>
          </w:tcPr>
          <w:p>
            <w:pPr>
              <w:pStyle w:val="TableParagraph"/>
              <w:spacing w:line="206" w:lineRule="exact"/>
              <w:ind w:left="96" w:right="66"/>
              <w:jc w:val="center"/>
              <w:rPr>
                <w:sz w:val="18"/>
              </w:rPr>
            </w:pPr>
            <w:r>
              <w:rPr>
                <w:sz w:val="18"/>
              </w:rPr>
              <w:t>Scale Variance if</w:t>
            </w:r>
          </w:p>
          <w:p>
            <w:pPr>
              <w:pStyle w:val="TableParagraph"/>
              <w:spacing w:before="102"/>
              <w:ind w:left="99" w:right="64"/>
              <w:jc w:val="center"/>
              <w:rPr>
                <w:sz w:val="18"/>
              </w:rPr>
            </w:pPr>
            <w:r>
              <w:rPr>
                <w:sz w:val="18"/>
              </w:rPr>
              <w:t>Item Deleted</w:t>
            </w:r>
          </w:p>
        </w:tc>
        <w:tc>
          <w:tcPr>
            <w:tcW w:w="1469" w:type="dxa"/>
            <w:tcBorders>
              <w:left w:val="single" w:sz="8" w:space="0" w:color="000000"/>
              <w:right w:val="single" w:sz="8" w:space="0" w:color="000000"/>
            </w:tcBorders>
          </w:tcPr>
          <w:p>
            <w:pPr>
              <w:pStyle w:val="TableParagraph"/>
              <w:spacing w:line="206" w:lineRule="exact"/>
              <w:ind w:left="168"/>
              <w:rPr>
                <w:sz w:val="18"/>
              </w:rPr>
            </w:pPr>
            <w:r>
              <w:rPr>
                <w:sz w:val="18"/>
              </w:rPr>
              <w:t>Corrected Item-</w:t>
            </w:r>
          </w:p>
          <w:p>
            <w:pPr>
              <w:pStyle w:val="TableParagraph"/>
              <w:spacing w:before="102"/>
              <w:ind w:left="118"/>
              <w:rPr>
                <w:sz w:val="18"/>
              </w:rPr>
            </w:pPr>
            <w:r>
              <w:rPr>
                <w:sz w:val="18"/>
              </w:rPr>
              <w:t>Total Correlation</w:t>
            </w:r>
          </w:p>
        </w:tc>
        <w:tc>
          <w:tcPr>
            <w:tcW w:w="1466" w:type="dxa"/>
            <w:tcBorders>
              <w:left w:val="single" w:sz="8" w:space="0" w:color="000000"/>
            </w:tcBorders>
          </w:tcPr>
          <w:p>
            <w:pPr>
              <w:pStyle w:val="TableParagraph"/>
              <w:spacing w:line="206" w:lineRule="exact"/>
              <w:ind w:left="92"/>
              <w:rPr>
                <w:sz w:val="18"/>
              </w:rPr>
            </w:pPr>
            <w:r>
              <w:rPr>
                <w:sz w:val="18"/>
              </w:rPr>
              <w:t>Cronbach's Alpha</w:t>
            </w:r>
          </w:p>
          <w:p>
            <w:pPr>
              <w:pStyle w:val="TableParagraph"/>
              <w:spacing w:before="102"/>
              <w:ind w:left="190"/>
              <w:rPr>
                <w:sz w:val="18"/>
              </w:rPr>
            </w:pPr>
            <w:r>
              <w:rPr>
                <w:sz w:val="18"/>
              </w:rPr>
              <w:t>if Item Deleted</w:t>
            </w:r>
          </w:p>
        </w:tc>
      </w:tr>
      <w:tr>
        <w:trPr>
          <w:trHeight w:val="259" w:hRule="atLeast"/>
        </w:trPr>
        <w:tc>
          <w:tcPr>
            <w:tcW w:w="1270" w:type="dxa"/>
            <w:tcBorders>
              <w:bottom w:val="nil"/>
            </w:tcBorders>
          </w:tcPr>
          <w:p>
            <w:pPr>
              <w:pStyle w:val="TableParagraph"/>
              <w:spacing w:line="204" w:lineRule="exact"/>
              <w:ind w:left="75"/>
              <w:rPr>
                <w:sz w:val="18"/>
              </w:rPr>
            </w:pPr>
            <w:r>
              <w:rPr>
                <w:sz w:val="18"/>
              </w:rPr>
              <w:t>TC1</w:t>
            </w:r>
          </w:p>
        </w:tc>
        <w:tc>
          <w:tcPr>
            <w:tcW w:w="1470" w:type="dxa"/>
            <w:tcBorders>
              <w:bottom w:val="nil"/>
              <w:right w:val="single" w:sz="8" w:space="0" w:color="000000"/>
            </w:tcBorders>
          </w:tcPr>
          <w:p>
            <w:pPr>
              <w:pStyle w:val="TableParagraph"/>
              <w:spacing w:line="204" w:lineRule="exact"/>
              <w:ind w:right="37"/>
              <w:jc w:val="right"/>
              <w:rPr>
                <w:sz w:val="18"/>
              </w:rPr>
            </w:pPr>
            <w:r>
              <w:rPr>
                <w:sz w:val="18"/>
              </w:rPr>
              <w:t>10.97</w:t>
            </w:r>
          </w:p>
        </w:tc>
        <w:tc>
          <w:tcPr>
            <w:tcW w:w="1469" w:type="dxa"/>
            <w:tcBorders>
              <w:left w:val="single" w:sz="8" w:space="0" w:color="000000"/>
              <w:bottom w:val="nil"/>
              <w:right w:val="single" w:sz="8" w:space="0" w:color="000000"/>
            </w:tcBorders>
          </w:tcPr>
          <w:p>
            <w:pPr>
              <w:pStyle w:val="TableParagraph"/>
              <w:spacing w:line="204" w:lineRule="exact"/>
              <w:ind w:right="42"/>
              <w:jc w:val="right"/>
              <w:rPr>
                <w:sz w:val="18"/>
              </w:rPr>
            </w:pPr>
            <w:r>
              <w:rPr>
                <w:sz w:val="18"/>
              </w:rPr>
              <w:t>10.446</w:t>
            </w:r>
          </w:p>
        </w:tc>
        <w:tc>
          <w:tcPr>
            <w:tcW w:w="1469" w:type="dxa"/>
            <w:tcBorders>
              <w:left w:val="single" w:sz="8" w:space="0" w:color="000000"/>
              <w:bottom w:val="nil"/>
              <w:right w:val="single" w:sz="8" w:space="0" w:color="000000"/>
            </w:tcBorders>
          </w:tcPr>
          <w:p>
            <w:pPr>
              <w:pStyle w:val="TableParagraph"/>
              <w:spacing w:line="204" w:lineRule="exact"/>
              <w:ind w:right="41"/>
              <w:jc w:val="right"/>
              <w:rPr>
                <w:sz w:val="18"/>
              </w:rPr>
            </w:pPr>
            <w:r>
              <w:rPr>
                <w:sz w:val="18"/>
              </w:rPr>
              <w:t>.726</w:t>
            </w:r>
          </w:p>
        </w:tc>
        <w:tc>
          <w:tcPr>
            <w:tcW w:w="1466" w:type="dxa"/>
            <w:tcBorders>
              <w:left w:val="single" w:sz="8" w:space="0" w:color="000000"/>
              <w:bottom w:val="nil"/>
            </w:tcBorders>
          </w:tcPr>
          <w:p>
            <w:pPr>
              <w:pStyle w:val="TableParagraph"/>
              <w:spacing w:line="204" w:lineRule="exact"/>
              <w:ind w:right="34"/>
              <w:jc w:val="right"/>
              <w:rPr>
                <w:sz w:val="18"/>
              </w:rPr>
            </w:pPr>
            <w:r>
              <w:rPr>
                <w:sz w:val="18"/>
              </w:rPr>
              <w:t>.787</w:t>
            </w:r>
          </w:p>
        </w:tc>
      </w:tr>
      <w:tr>
        <w:trPr>
          <w:trHeight w:val="310" w:hRule="atLeast"/>
        </w:trPr>
        <w:tc>
          <w:tcPr>
            <w:tcW w:w="1270" w:type="dxa"/>
            <w:tcBorders>
              <w:top w:val="nil"/>
              <w:bottom w:val="nil"/>
            </w:tcBorders>
          </w:tcPr>
          <w:p>
            <w:pPr>
              <w:pStyle w:val="TableParagraph"/>
              <w:spacing w:before="48"/>
              <w:ind w:left="75"/>
              <w:rPr>
                <w:sz w:val="18"/>
              </w:rPr>
            </w:pPr>
            <w:r>
              <w:rPr>
                <w:sz w:val="18"/>
              </w:rPr>
              <w:t>TC2</w:t>
            </w:r>
          </w:p>
        </w:tc>
        <w:tc>
          <w:tcPr>
            <w:tcW w:w="1470" w:type="dxa"/>
            <w:tcBorders>
              <w:top w:val="nil"/>
              <w:bottom w:val="nil"/>
              <w:right w:val="single" w:sz="8" w:space="0" w:color="000000"/>
            </w:tcBorders>
          </w:tcPr>
          <w:p>
            <w:pPr>
              <w:pStyle w:val="TableParagraph"/>
              <w:spacing w:before="48"/>
              <w:ind w:right="38"/>
              <w:jc w:val="right"/>
              <w:rPr>
                <w:sz w:val="18"/>
              </w:rPr>
            </w:pPr>
            <w:r>
              <w:rPr>
                <w:sz w:val="18"/>
              </w:rPr>
              <w:t>11.16</w:t>
            </w:r>
          </w:p>
        </w:tc>
        <w:tc>
          <w:tcPr>
            <w:tcW w:w="1469" w:type="dxa"/>
            <w:tcBorders>
              <w:top w:val="nil"/>
              <w:left w:val="single" w:sz="8" w:space="0" w:color="000000"/>
              <w:bottom w:val="nil"/>
              <w:right w:val="single" w:sz="8" w:space="0" w:color="000000"/>
            </w:tcBorders>
          </w:tcPr>
          <w:p>
            <w:pPr>
              <w:pStyle w:val="TableParagraph"/>
              <w:spacing w:before="48"/>
              <w:ind w:right="41"/>
              <w:jc w:val="right"/>
              <w:rPr>
                <w:sz w:val="18"/>
              </w:rPr>
            </w:pPr>
            <w:r>
              <w:rPr>
                <w:sz w:val="18"/>
              </w:rPr>
              <w:t>10.317</w:t>
            </w:r>
          </w:p>
        </w:tc>
        <w:tc>
          <w:tcPr>
            <w:tcW w:w="1469" w:type="dxa"/>
            <w:tcBorders>
              <w:top w:val="nil"/>
              <w:left w:val="single" w:sz="8" w:space="0" w:color="000000"/>
              <w:bottom w:val="nil"/>
              <w:right w:val="single" w:sz="8" w:space="0" w:color="000000"/>
            </w:tcBorders>
          </w:tcPr>
          <w:p>
            <w:pPr>
              <w:pStyle w:val="TableParagraph"/>
              <w:spacing w:before="48"/>
              <w:ind w:right="40"/>
              <w:jc w:val="right"/>
              <w:rPr>
                <w:sz w:val="18"/>
              </w:rPr>
            </w:pPr>
            <w:r>
              <w:rPr>
                <w:sz w:val="18"/>
              </w:rPr>
              <w:t>.655</w:t>
            </w:r>
          </w:p>
        </w:tc>
        <w:tc>
          <w:tcPr>
            <w:tcW w:w="1466" w:type="dxa"/>
            <w:tcBorders>
              <w:top w:val="nil"/>
              <w:left w:val="single" w:sz="8" w:space="0" w:color="000000"/>
              <w:bottom w:val="nil"/>
            </w:tcBorders>
          </w:tcPr>
          <w:p>
            <w:pPr>
              <w:pStyle w:val="TableParagraph"/>
              <w:spacing w:before="48"/>
              <w:ind w:right="35"/>
              <w:jc w:val="right"/>
              <w:rPr>
                <w:sz w:val="18"/>
              </w:rPr>
            </w:pPr>
            <w:r>
              <w:rPr>
                <w:sz w:val="18"/>
              </w:rPr>
              <w:t>.818</w:t>
            </w:r>
          </w:p>
        </w:tc>
      </w:tr>
      <w:tr>
        <w:trPr>
          <w:trHeight w:val="309" w:hRule="atLeast"/>
        </w:trPr>
        <w:tc>
          <w:tcPr>
            <w:tcW w:w="1270" w:type="dxa"/>
            <w:tcBorders>
              <w:top w:val="nil"/>
              <w:bottom w:val="nil"/>
            </w:tcBorders>
          </w:tcPr>
          <w:p>
            <w:pPr>
              <w:pStyle w:val="TableParagraph"/>
              <w:spacing w:before="47"/>
              <w:ind w:left="75"/>
              <w:rPr>
                <w:sz w:val="18"/>
              </w:rPr>
            </w:pPr>
            <w:r>
              <w:rPr>
                <w:sz w:val="18"/>
              </w:rPr>
              <w:t>TC3</w:t>
            </w:r>
          </w:p>
        </w:tc>
        <w:tc>
          <w:tcPr>
            <w:tcW w:w="1470" w:type="dxa"/>
            <w:tcBorders>
              <w:top w:val="nil"/>
              <w:bottom w:val="nil"/>
              <w:right w:val="single" w:sz="8" w:space="0" w:color="000000"/>
            </w:tcBorders>
          </w:tcPr>
          <w:p>
            <w:pPr>
              <w:pStyle w:val="TableParagraph"/>
              <w:spacing w:before="47"/>
              <w:ind w:right="37"/>
              <w:jc w:val="right"/>
              <w:rPr>
                <w:sz w:val="18"/>
              </w:rPr>
            </w:pPr>
            <w:r>
              <w:rPr>
                <w:sz w:val="18"/>
              </w:rPr>
              <w:t>11.12</w:t>
            </w:r>
          </w:p>
        </w:tc>
        <w:tc>
          <w:tcPr>
            <w:tcW w:w="1469" w:type="dxa"/>
            <w:tcBorders>
              <w:top w:val="nil"/>
              <w:left w:val="single" w:sz="8" w:space="0" w:color="000000"/>
              <w:bottom w:val="nil"/>
              <w:right w:val="single" w:sz="8" w:space="0" w:color="000000"/>
            </w:tcBorders>
          </w:tcPr>
          <w:p>
            <w:pPr>
              <w:pStyle w:val="TableParagraph"/>
              <w:spacing w:before="47"/>
              <w:ind w:right="42"/>
              <w:jc w:val="right"/>
              <w:rPr>
                <w:sz w:val="18"/>
              </w:rPr>
            </w:pPr>
            <w:r>
              <w:rPr>
                <w:sz w:val="18"/>
              </w:rPr>
              <w:t>10.597</w:t>
            </w:r>
          </w:p>
        </w:tc>
        <w:tc>
          <w:tcPr>
            <w:tcW w:w="1469" w:type="dxa"/>
            <w:tcBorders>
              <w:top w:val="nil"/>
              <w:left w:val="single" w:sz="8" w:space="0" w:color="000000"/>
              <w:bottom w:val="nil"/>
              <w:right w:val="single" w:sz="8" w:space="0" w:color="000000"/>
            </w:tcBorders>
          </w:tcPr>
          <w:p>
            <w:pPr>
              <w:pStyle w:val="TableParagraph"/>
              <w:spacing w:before="47"/>
              <w:ind w:right="40"/>
              <w:jc w:val="right"/>
              <w:rPr>
                <w:sz w:val="18"/>
              </w:rPr>
            </w:pPr>
            <w:r>
              <w:rPr>
                <w:sz w:val="18"/>
              </w:rPr>
              <w:t>.633</w:t>
            </w:r>
          </w:p>
        </w:tc>
        <w:tc>
          <w:tcPr>
            <w:tcW w:w="1466" w:type="dxa"/>
            <w:tcBorders>
              <w:top w:val="nil"/>
              <w:left w:val="single" w:sz="8" w:space="0" w:color="000000"/>
              <w:bottom w:val="nil"/>
            </w:tcBorders>
          </w:tcPr>
          <w:p>
            <w:pPr>
              <w:pStyle w:val="TableParagraph"/>
              <w:spacing w:before="47"/>
              <w:ind w:right="35"/>
              <w:jc w:val="right"/>
              <w:rPr>
                <w:sz w:val="18"/>
              </w:rPr>
            </w:pPr>
            <w:r>
              <w:rPr>
                <w:sz w:val="18"/>
              </w:rPr>
              <w:t>.827</w:t>
            </w:r>
          </w:p>
        </w:tc>
      </w:tr>
      <w:tr>
        <w:trPr>
          <w:trHeight w:val="356" w:hRule="atLeast"/>
        </w:trPr>
        <w:tc>
          <w:tcPr>
            <w:tcW w:w="1270" w:type="dxa"/>
            <w:tcBorders>
              <w:top w:val="nil"/>
            </w:tcBorders>
          </w:tcPr>
          <w:p>
            <w:pPr>
              <w:pStyle w:val="TableParagraph"/>
              <w:spacing w:before="47"/>
              <w:ind w:left="75"/>
              <w:rPr>
                <w:sz w:val="18"/>
              </w:rPr>
            </w:pPr>
            <w:r>
              <w:rPr>
                <w:sz w:val="18"/>
              </w:rPr>
              <w:t>TC4</w:t>
            </w:r>
          </w:p>
        </w:tc>
        <w:tc>
          <w:tcPr>
            <w:tcW w:w="1470" w:type="dxa"/>
            <w:tcBorders>
              <w:top w:val="nil"/>
              <w:right w:val="single" w:sz="8" w:space="0" w:color="000000"/>
            </w:tcBorders>
          </w:tcPr>
          <w:p>
            <w:pPr>
              <w:pStyle w:val="TableParagraph"/>
              <w:spacing w:before="47"/>
              <w:ind w:right="37"/>
              <w:jc w:val="right"/>
              <w:rPr>
                <w:sz w:val="18"/>
              </w:rPr>
            </w:pPr>
            <w:r>
              <w:rPr>
                <w:sz w:val="18"/>
              </w:rPr>
              <w:t>11.01</w:t>
            </w:r>
          </w:p>
        </w:tc>
        <w:tc>
          <w:tcPr>
            <w:tcW w:w="1469" w:type="dxa"/>
            <w:tcBorders>
              <w:top w:val="nil"/>
              <w:left w:val="single" w:sz="8" w:space="0" w:color="000000"/>
              <w:right w:val="single" w:sz="8" w:space="0" w:color="000000"/>
            </w:tcBorders>
          </w:tcPr>
          <w:p>
            <w:pPr>
              <w:pStyle w:val="TableParagraph"/>
              <w:spacing w:before="47"/>
              <w:ind w:right="40"/>
              <w:jc w:val="right"/>
              <w:rPr>
                <w:sz w:val="18"/>
              </w:rPr>
            </w:pPr>
            <w:r>
              <w:rPr>
                <w:sz w:val="18"/>
              </w:rPr>
              <w:t>10.390</w:t>
            </w:r>
          </w:p>
        </w:tc>
        <w:tc>
          <w:tcPr>
            <w:tcW w:w="1469" w:type="dxa"/>
            <w:tcBorders>
              <w:top w:val="nil"/>
              <w:left w:val="single" w:sz="8" w:space="0" w:color="000000"/>
              <w:right w:val="single" w:sz="8" w:space="0" w:color="000000"/>
            </w:tcBorders>
          </w:tcPr>
          <w:p>
            <w:pPr>
              <w:pStyle w:val="TableParagraph"/>
              <w:spacing w:before="47"/>
              <w:ind w:right="40"/>
              <w:jc w:val="right"/>
              <w:rPr>
                <w:sz w:val="18"/>
              </w:rPr>
            </w:pPr>
            <w:r>
              <w:rPr>
                <w:sz w:val="18"/>
              </w:rPr>
              <w:t>.725</w:t>
            </w:r>
          </w:p>
        </w:tc>
        <w:tc>
          <w:tcPr>
            <w:tcW w:w="1466" w:type="dxa"/>
            <w:tcBorders>
              <w:top w:val="nil"/>
              <w:left w:val="single" w:sz="8" w:space="0" w:color="000000"/>
            </w:tcBorders>
          </w:tcPr>
          <w:p>
            <w:pPr>
              <w:pStyle w:val="TableParagraph"/>
              <w:spacing w:before="47"/>
              <w:ind w:right="35"/>
              <w:jc w:val="right"/>
              <w:rPr>
                <w:sz w:val="18"/>
              </w:rPr>
            </w:pPr>
            <w:r>
              <w:rPr>
                <w:sz w:val="18"/>
              </w:rPr>
              <w:t>.787</w:t>
            </w:r>
          </w:p>
        </w:tc>
      </w:tr>
    </w:tbl>
    <w:p>
      <w:pPr>
        <w:pStyle w:val="BodyText"/>
        <w:rPr>
          <w:b/>
          <w:sz w:val="20"/>
        </w:rPr>
      </w:pPr>
    </w:p>
    <w:p>
      <w:pPr>
        <w:pStyle w:val="BodyText"/>
        <w:rPr>
          <w:b/>
          <w:sz w:val="20"/>
        </w:rPr>
      </w:pPr>
    </w:p>
    <w:p>
      <w:pPr>
        <w:pStyle w:val="BodyText"/>
        <w:spacing w:before="8"/>
        <w:rPr>
          <w:b/>
          <w:sz w:val="23"/>
        </w:rPr>
      </w:pPr>
    </w:p>
    <w:tbl>
      <w:tblPr>
        <w:tblW w:w="0" w:type="auto"/>
        <w:jc w:val="left"/>
        <w:tblInd w:w="90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
      <w:tblGrid>
        <w:gridCol w:w="2298"/>
        <w:gridCol w:w="2523"/>
        <w:gridCol w:w="1022"/>
      </w:tblGrid>
      <w:tr>
        <w:trPr>
          <w:trHeight w:val="301" w:hRule="atLeast"/>
        </w:trPr>
        <w:tc>
          <w:tcPr>
            <w:tcW w:w="5843" w:type="dxa"/>
            <w:gridSpan w:val="3"/>
            <w:tcBorders>
              <w:bottom w:val="single" w:sz="18" w:space="0" w:color="000000"/>
            </w:tcBorders>
          </w:tcPr>
          <w:p>
            <w:pPr>
              <w:pStyle w:val="TableParagraph"/>
              <w:spacing w:line="199" w:lineRule="exact"/>
              <w:ind w:left="1977"/>
              <w:rPr>
                <w:b/>
                <w:sz w:val="18"/>
              </w:rPr>
            </w:pPr>
            <w:r>
              <w:rPr>
                <w:b/>
                <w:sz w:val="18"/>
              </w:rPr>
              <w:t>KMO and Bartlett's Test</w:t>
            </w:r>
          </w:p>
        </w:tc>
      </w:tr>
      <w:tr>
        <w:trPr>
          <w:trHeight w:val="259" w:hRule="atLeast"/>
        </w:trPr>
        <w:tc>
          <w:tcPr>
            <w:tcW w:w="4821" w:type="dxa"/>
            <w:gridSpan w:val="2"/>
            <w:tcBorders>
              <w:top w:val="single" w:sz="18" w:space="0" w:color="000000"/>
              <w:left w:val="single" w:sz="18" w:space="0" w:color="000000"/>
              <w:right w:val="single" w:sz="18" w:space="0" w:color="000000"/>
            </w:tcBorders>
          </w:tcPr>
          <w:p>
            <w:pPr>
              <w:pStyle w:val="TableParagraph"/>
              <w:spacing w:line="204" w:lineRule="exact"/>
              <w:ind w:left="75"/>
              <w:rPr>
                <w:sz w:val="18"/>
              </w:rPr>
            </w:pPr>
            <w:r>
              <w:rPr>
                <w:sz w:val="18"/>
              </w:rPr>
              <w:t>Kaiser-Meyer-Olkin Measure of Sampling Adequacy.</w:t>
            </w:r>
          </w:p>
        </w:tc>
        <w:tc>
          <w:tcPr>
            <w:tcW w:w="1022" w:type="dxa"/>
            <w:tcBorders>
              <w:top w:val="single" w:sz="18" w:space="0" w:color="000000"/>
              <w:left w:val="single" w:sz="18" w:space="0" w:color="000000"/>
              <w:right w:val="single" w:sz="18" w:space="0" w:color="000000"/>
            </w:tcBorders>
          </w:tcPr>
          <w:p>
            <w:pPr>
              <w:pStyle w:val="TableParagraph"/>
              <w:spacing w:line="204" w:lineRule="exact"/>
              <w:ind w:right="34"/>
              <w:jc w:val="right"/>
              <w:rPr>
                <w:sz w:val="18"/>
              </w:rPr>
            </w:pPr>
            <w:r>
              <w:rPr>
                <w:sz w:val="18"/>
              </w:rPr>
              <w:t>.811</w:t>
            </w:r>
          </w:p>
        </w:tc>
      </w:tr>
      <w:tr>
        <w:trPr>
          <w:trHeight w:val="331" w:hRule="atLeast"/>
        </w:trPr>
        <w:tc>
          <w:tcPr>
            <w:tcW w:w="2298" w:type="dxa"/>
            <w:tcBorders>
              <w:left w:val="single" w:sz="18" w:space="0" w:color="000000"/>
            </w:tcBorders>
          </w:tcPr>
          <w:p>
            <w:pPr>
              <w:pStyle w:val="TableParagraph"/>
              <w:rPr>
                <w:sz w:val="18"/>
              </w:rPr>
            </w:pPr>
          </w:p>
        </w:tc>
        <w:tc>
          <w:tcPr>
            <w:tcW w:w="2523" w:type="dxa"/>
            <w:tcBorders>
              <w:right w:val="single" w:sz="18" w:space="0" w:color="000000"/>
            </w:tcBorders>
          </w:tcPr>
          <w:p>
            <w:pPr>
              <w:pStyle w:val="TableParagraph"/>
              <w:spacing w:before="48"/>
              <w:ind w:left="260"/>
              <w:rPr>
                <w:sz w:val="18"/>
              </w:rPr>
            </w:pPr>
            <w:r>
              <w:rPr>
                <w:sz w:val="18"/>
              </w:rPr>
              <w:t>Approx. Chi-Square</w:t>
            </w:r>
          </w:p>
        </w:tc>
        <w:tc>
          <w:tcPr>
            <w:tcW w:w="1022" w:type="dxa"/>
            <w:tcBorders>
              <w:left w:val="single" w:sz="18" w:space="0" w:color="000000"/>
              <w:right w:val="single" w:sz="18" w:space="0" w:color="000000"/>
            </w:tcBorders>
          </w:tcPr>
          <w:p>
            <w:pPr>
              <w:pStyle w:val="TableParagraph"/>
              <w:spacing w:before="48"/>
              <w:ind w:right="33"/>
              <w:jc w:val="right"/>
              <w:rPr>
                <w:sz w:val="18"/>
              </w:rPr>
            </w:pPr>
            <w:r>
              <w:rPr>
                <w:sz w:val="18"/>
              </w:rPr>
              <w:t>854.031</w:t>
            </w:r>
          </w:p>
        </w:tc>
      </w:tr>
      <w:tr>
        <w:trPr>
          <w:trHeight w:val="350" w:hRule="atLeast"/>
        </w:trPr>
        <w:tc>
          <w:tcPr>
            <w:tcW w:w="2298" w:type="dxa"/>
            <w:tcBorders>
              <w:left w:val="single" w:sz="18" w:space="0" w:color="000000"/>
            </w:tcBorders>
          </w:tcPr>
          <w:p>
            <w:pPr>
              <w:pStyle w:val="TableParagraph"/>
              <w:spacing w:before="68"/>
              <w:ind w:left="75"/>
              <w:rPr>
                <w:sz w:val="18"/>
              </w:rPr>
            </w:pPr>
            <w:r>
              <w:rPr>
                <w:sz w:val="18"/>
              </w:rPr>
              <w:t>Bartlett's Test of Sphericity</w:t>
            </w:r>
          </w:p>
        </w:tc>
        <w:tc>
          <w:tcPr>
            <w:tcW w:w="2523" w:type="dxa"/>
            <w:tcBorders>
              <w:right w:val="single" w:sz="18" w:space="0" w:color="000000"/>
            </w:tcBorders>
          </w:tcPr>
          <w:p>
            <w:pPr>
              <w:pStyle w:val="TableParagraph"/>
              <w:spacing w:before="68"/>
              <w:ind w:left="260"/>
              <w:rPr>
                <w:sz w:val="18"/>
              </w:rPr>
            </w:pPr>
            <w:r>
              <w:rPr>
                <w:sz w:val="18"/>
              </w:rPr>
              <w:t>df</w:t>
            </w:r>
          </w:p>
        </w:tc>
        <w:tc>
          <w:tcPr>
            <w:tcW w:w="1022" w:type="dxa"/>
            <w:tcBorders>
              <w:left w:val="single" w:sz="18" w:space="0" w:color="000000"/>
              <w:right w:val="single" w:sz="18" w:space="0" w:color="000000"/>
            </w:tcBorders>
          </w:tcPr>
          <w:p>
            <w:pPr>
              <w:pStyle w:val="TableParagraph"/>
              <w:spacing w:before="68"/>
              <w:ind w:right="37"/>
              <w:jc w:val="right"/>
              <w:rPr>
                <w:sz w:val="18"/>
              </w:rPr>
            </w:pPr>
            <w:r>
              <w:rPr>
                <w:sz w:val="18"/>
              </w:rPr>
              <w:t>6</w:t>
            </w:r>
          </w:p>
        </w:tc>
      </w:tr>
      <w:tr>
        <w:trPr>
          <w:trHeight w:val="376" w:hRule="atLeast"/>
        </w:trPr>
        <w:tc>
          <w:tcPr>
            <w:tcW w:w="2298" w:type="dxa"/>
            <w:tcBorders>
              <w:left w:val="single" w:sz="18" w:space="0" w:color="000000"/>
              <w:bottom w:val="single" w:sz="18" w:space="0" w:color="000000"/>
            </w:tcBorders>
          </w:tcPr>
          <w:p>
            <w:pPr>
              <w:pStyle w:val="TableParagraph"/>
              <w:rPr>
                <w:sz w:val="18"/>
              </w:rPr>
            </w:pPr>
          </w:p>
        </w:tc>
        <w:tc>
          <w:tcPr>
            <w:tcW w:w="2523" w:type="dxa"/>
            <w:tcBorders>
              <w:bottom w:val="single" w:sz="18" w:space="0" w:color="000000"/>
              <w:right w:val="single" w:sz="18" w:space="0" w:color="000000"/>
            </w:tcBorders>
          </w:tcPr>
          <w:p>
            <w:pPr>
              <w:pStyle w:val="TableParagraph"/>
              <w:spacing w:before="68"/>
              <w:ind w:left="260"/>
              <w:rPr>
                <w:sz w:val="18"/>
              </w:rPr>
            </w:pPr>
            <w:r>
              <w:rPr>
                <w:sz w:val="18"/>
              </w:rPr>
              <w:t>Sig.</w:t>
            </w:r>
          </w:p>
        </w:tc>
        <w:tc>
          <w:tcPr>
            <w:tcW w:w="1022" w:type="dxa"/>
            <w:tcBorders>
              <w:left w:val="single" w:sz="18" w:space="0" w:color="000000"/>
              <w:bottom w:val="single" w:sz="18" w:space="0" w:color="000000"/>
              <w:right w:val="single" w:sz="18" w:space="0" w:color="000000"/>
            </w:tcBorders>
          </w:tcPr>
          <w:p>
            <w:pPr>
              <w:pStyle w:val="TableParagraph"/>
              <w:spacing w:before="68"/>
              <w:ind w:right="35"/>
              <w:jc w:val="right"/>
              <w:rPr>
                <w:sz w:val="18"/>
              </w:rPr>
            </w:pPr>
            <w:r>
              <w:rPr>
                <w:sz w:val="18"/>
              </w:rPr>
              <w:t>.000</w:t>
            </w:r>
          </w:p>
        </w:tc>
      </w:tr>
    </w:tbl>
    <w:p>
      <w:pPr>
        <w:pStyle w:val="BodyText"/>
        <w:spacing w:before="9"/>
        <w:rPr>
          <w:b/>
          <w:sz w:val="27"/>
        </w:rPr>
      </w:pPr>
    </w:p>
    <w:p>
      <w:pPr>
        <w:spacing w:before="93"/>
        <w:ind w:left="1019" w:right="952" w:firstLine="0"/>
        <w:jc w:val="center"/>
        <w:rPr>
          <w:b/>
          <w:sz w:val="18"/>
        </w:rPr>
      </w:pPr>
      <w:r>
        <w:rPr>
          <w:b/>
          <w:sz w:val="18"/>
        </w:rPr>
        <w:t>Total Variance Explained</w:t>
      </w:r>
    </w:p>
    <w:p>
      <w:pPr>
        <w:pStyle w:val="BodyText"/>
        <w:spacing w:before="1" w:after="1"/>
        <w:rPr>
          <w:b/>
          <w:sz w:val="9"/>
        </w:rPr>
      </w:pPr>
    </w:p>
    <w:tbl>
      <w:tblPr>
        <w:tblW w:w="0" w:type="auto"/>
        <w:jc w:val="left"/>
        <w:tblInd w:w="907" w:type="dxa"/>
        <w:tblBorders>
          <w:top w:val="single" w:sz="18" w:space="0" w:color="000000"/>
          <w:left w:val="single" w:sz="18" w:space="0" w:color="000000"/>
          <w:bottom w:val="single" w:sz="18" w:space="0" w:color="000000"/>
          <w:right w:val="single" w:sz="18" w:space="0" w:color="000000"/>
          <w:insideH w:val="single" w:sz="18" w:space="0" w:color="000000"/>
          <w:insideV w:val="single" w:sz="18" w:space="0" w:color="000000"/>
        </w:tblBorders>
        <w:tblLayout w:type="fixed"/>
        <w:tblCellMar>
          <w:top w:w="0" w:type="dxa"/>
          <w:left w:w="0" w:type="dxa"/>
          <w:bottom w:w="0" w:type="dxa"/>
          <w:right w:w="0" w:type="dxa"/>
        </w:tblCellMar>
        <w:tblLook w:val="01E0"/>
      </w:tblPr>
      <w:tblGrid>
        <w:gridCol w:w="1279"/>
        <w:gridCol w:w="999"/>
        <w:gridCol w:w="1424"/>
        <w:gridCol w:w="1438"/>
        <w:gridCol w:w="1147"/>
        <w:gridCol w:w="1424"/>
        <w:gridCol w:w="1438"/>
      </w:tblGrid>
      <w:tr>
        <w:trPr>
          <w:trHeight w:val="295" w:hRule="atLeast"/>
        </w:trPr>
        <w:tc>
          <w:tcPr>
            <w:tcW w:w="1279" w:type="dxa"/>
            <w:vMerge w:val="restart"/>
          </w:tcPr>
          <w:p>
            <w:pPr>
              <w:pStyle w:val="TableParagraph"/>
              <w:spacing w:line="204" w:lineRule="exact"/>
              <w:ind w:left="75"/>
              <w:rPr>
                <w:sz w:val="18"/>
              </w:rPr>
            </w:pPr>
            <w:r>
              <w:rPr>
                <w:sz w:val="18"/>
              </w:rPr>
              <w:t>Component</w:t>
            </w:r>
          </w:p>
        </w:tc>
        <w:tc>
          <w:tcPr>
            <w:tcW w:w="3861" w:type="dxa"/>
            <w:gridSpan w:val="3"/>
            <w:tcBorders>
              <w:bottom w:val="single" w:sz="8" w:space="0" w:color="000000"/>
              <w:right w:val="single" w:sz="8" w:space="0" w:color="000000"/>
            </w:tcBorders>
          </w:tcPr>
          <w:p>
            <w:pPr>
              <w:pStyle w:val="TableParagraph"/>
              <w:spacing w:line="204" w:lineRule="exact"/>
              <w:ind w:left="1250"/>
              <w:rPr>
                <w:sz w:val="18"/>
              </w:rPr>
            </w:pPr>
            <w:r>
              <w:rPr>
                <w:sz w:val="18"/>
              </w:rPr>
              <w:t>Initial Eigenvalues</w:t>
            </w:r>
          </w:p>
        </w:tc>
        <w:tc>
          <w:tcPr>
            <w:tcW w:w="4009" w:type="dxa"/>
            <w:gridSpan w:val="3"/>
            <w:tcBorders>
              <w:left w:val="single" w:sz="8" w:space="0" w:color="000000"/>
              <w:bottom w:val="single" w:sz="8" w:space="0" w:color="000000"/>
              <w:right w:val="single" w:sz="8" w:space="0" w:color="000000"/>
            </w:tcBorders>
          </w:tcPr>
          <w:p>
            <w:pPr>
              <w:pStyle w:val="TableParagraph"/>
              <w:spacing w:line="204" w:lineRule="exact"/>
              <w:ind w:left="642"/>
              <w:rPr>
                <w:sz w:val="18"/>
              </w:rPr>
            </w:pPr>
            <w:r>
              <w:rPr>
                <w:sz w:val="18"/>
              </w:rPr>
              <w:t>Extraction Sums of Squared Loadings</w:t>
            </w:r>
          </w:p>
        </w:tc>
      </w:tr>
      <w:tr>
        <w:trPr>
          <w:trHeight w:val="315" w:hRule="atLeast"/>
        </w:trPr>
        <w:tc>
          <w:tcPr>
            <w:tcW w:w="1279" w:type="dxa"/>
            <w:vMerge/>
            <w:tcBorders>
              <w:top w:val="nil"/>
            </w:tcBorders>
          </w:tcPr>
          <w:p>
            <w:pPr>
              <w:rPr>
                <w:sz w:val="2"/>
                <w:szCs w:val="2"/>
              </w:rPr>
            </w:pPr>
          </w:p>
        </w:tc>
        <w:tc>
          <w:tcPr>
            <w:tcW w:w="999" w:type="dxa"/>
            <w:tcBorders>
              <w:top w:val="single" w:sz="8" w:space="0" w:color="000000"/>
              <w:right w:val="single" w:sz="8" w:space="0" w:color="000000"/>
            </w:tcBorders>
          </w:tcPr>
          <w:p>
            <w:pPr>
              <w:pStyle w:val="TableParagraph"/>
              <w:spacing w:before="6"/>
              <w:ind w:left="304"/>
              <w:rPr>
                <w:sz w:val="18"/>
              </w:rPr>
            </w:pPr>
            <w:r>
              <w:rPr>
                <w:sz w:val="18"/>
              </w:rPr>
              <w:t>Total</w:t>
            </w:r>
          </w:p>
        </w:tc>
        <w:tc>
          <w:tcPr>
            <w:tcW w:w="1424" w:type="dxa"/>
            <w:tcBorders>
              <w:top w:val="single" w:sz="8" w:space="0" w:color="000000"/>
              <w:left w:val="single" w:sz="8" w:space="0" w:color="000000"/>
              <w:right w:val="single" w:sz="8" w:space="0" w:color="000000"/>
            </w:tcBorders>
          </w:tcPr>
          <w:p>
            <w:pPr>
              <w:pStyle w:val="TableParagraph"/>
              <w:spacing w:before="6"/>
              <w:ind w:left="201"/>
              <w:rPr>
                <w:sz w:val="18"/>
              </w:rPr>
            </w:pPr>
            <w:r>
              <w:rPr>
                <w:sz w:val="18"/>
              </w:rPr>
              <w:t>% of Variance</w:t>
            </w:r>
          </w:p>
        </w:tc>
        <w:tc>
          <w:tcPr>
            <w:tcW w:w="1438" w:type="dxa"/>
            <w:tcBorders>
              <w:top w:val="single" w:sz="8" w:space="0" w:color="000000"/>
              <w:left w:val="single" w:sz="8" w:space="0" w:color="000000"/>
              <w:right w:val="single" w:sz="8" w:space="0" w:color="000000"/>
            </w:tcBorders>
          </w:tcPr>
          <w:p>
            <w:pPr>
              <w:pStyle w:val="TableParagraph"/>
              <w:spacing w:before="6"/>
              <w:ind w:left="210"/>
              <w:rPr>
                <w:sz w:val="18"/>
              </w:rPr>
            </w:pPr>
            <w:r>
              <w:rPr>
                <w:sz w:val="18"/>
              </w:rPr>
              <w:t>Cumulative %</w:t>
            </w:r>
          </w:p>
        </w:tc>
        <w:tc>
          <w:tcPr>
            <w:tcW w:w="1147" w:type="dxa"/>
            <w:tcBorders>
              <w:top w:val="single" w:sz="8" w:space="0" w:color="000000"/>
              <w:left w:val="single" w:sz="8" w:space="0" w:color="000000"/>
              <w:right w:val="single" w:sz="8" w:space="0" w:color="000000"/>
            </w:tcBorders>
          </w:tcPr>
          <w:p>
            <w:pPr>
              <w:pStyle w:val="TableParagraph"/>
              <w:spacing w:before="6"/>
              <w:ind w:left="392"/>
              <w:rPr>
                <w:sz w:val="18"/>
              </w:rPr>
            </w:pPr>
            <w:r>
              <w:rPr>
                <w:sz w:val="18"/>
              </w:rPr>
              <w:t>Total</w:t>
            </w:r>
          </w:p>
        </w:tc>
        <w:tc>
          <w:tcPr>
            <w:tcW w:w="1424" w:type="dxa"/>
            <w:tcBorders>
              <w:top w:val="single" w:sz="8" w:space="0" w:color="000000"/>
              <w:left w:val="single" w:sz="8" w:space="0" w:color="000000"/>
              <w:right w:val="single" w:sz="8" w:space="0" w:color="000000"/>
            </w:tcBorders>
          </w:tcPr>
          <w:p>
            <w:pPr>
              <w:pStyle w:val="TableParagraph"/>
              <w:spacing w:before="6"/>
              <w:ind w:left="200"/>
              <w:rPr>
                <w:sz w:val="18"/>
              </w:rPr>
            </w:pPr>
            <w:r>
              <w:rPr>
                <w:sz w:val="18"/>
              </w:rPr>
              <w:t>% of Variance</w:t>
            </w:r>
          </w:p>
        </w:tc>
        <w:tc>
          <w:tcPr>
            <w:tcW w:w="1438" w:type="dxa"/>
            <w:tcBorders>
              <w:top w:val="single" w:sz="8" w:space="0" w:color="000000"/>
              <w:left w:val="single" w:sz="8" w:space="0" w:color="000000"/>
            </w:tcBorders>
          </w:tcPr>
          <w:p>
            <w:pPr>
              <w:pStyle w:val="TableParagraph"/>
              <w:spacing w:before="6"/>
              <w:ind w:left="205"/>
              <w:rPr>
                <w:sz w:val="18"/>
              </w:rPr>
            </w:pPr>
            <w:r>
              <w:rPr>
                <w:sz w:val="18"/>
              </w:rPr>
              <w:t>Cumulative %</w:t>
            </w:r>
          </w:p>
        </w:tc>
      </w:tr>
      <w:tr>
        <w:trPr>
          <w:trHeight w:val="262" w:hRule="atLeast"/>
        </w:trPr>
        <w:tc>
          <w:tcPr>
            <w:tcW w:w="1279" w:type="dxa"/>
            <w:tcBorders>
              <w:bottom w:val="nil"/>
            </w:tcBorders>
          </w:tcPr>
          <w:p>
            <w:pPr>
              <w:pStyle w:val="TableParagraph"/>
              <w:spacing w:line="204" w:lineRule="exact"/>
              <w:ind w:left="75"/>
              <w:rPr>
                <w:sz w:val="18"/>
              </w:rPr>
            </w:pPr>
            <w:r>
              <w:rPr>
                <w:sz w:val="18"/>
              </w:rPr>
              <w:t>1</w:t>
            </w:r>
          </w:p>
        </w:tc>
        <w:tc>
          <w:tcPr>
            <w:tcW w:w="999" w:type="dxa"/>
            <w:tcBorders>
              <w:bottom w:val="nil"/>
              <w:right w:val="single" w:sz="8" w:space="0" w:color="000000"/>
            </w:tcBorders>
          </w:tcPr>
          <w:p>
            <w:pPr>
              <w:pStyle w:val="TableParagraph"/>
              <w:spacing w:line="204" w:lineRule="exact"/>
              <w:ind w:right="40"/>
              <w:jc w:val="right"/>
              <w:rPr>
                <w:sz w:val="18"/>
              </w:rPr>
            </w:pPr>
            <w:r>
              <w:rPr>
                <w:sz w:val="18"/>
              </w:rPr>
              <w:t>2.748</w:t>
            </w:r>
          </w:p>
        </w:tc>
        <w:tc>
          <w:tcPr>
            <w:tcW w:w="1424" w:type="dxa"/>
            <w:tcBorders>
              <w:left w:val="single" w:sz="8" w:space="0" w:color="000000"/>
              <w:bottom w:val="nil"/>
              <w:right w:val="single" w:sz="8" w:space="0" w:color="000000"/>
            </w:tcBorders>
          </w:tcPr>
          <w:p>
            <w:pPr>
              <w:pStyle w:val="TableParagraph"/>
              <w:spacing w:line="204" w:lineRule="exact"/>
              <w:ind w:right="38"/>
              <w:jc w:val="right"/>
              <w:rPr>
                <w:sz w:val="18"/>
              </w:rPr>
            </w:pPr>
            <w:r>
              <w:rPr>
                <w:sz w:val="18"/>
              </w:rPr>
              <w:t>68.709</w:t>
            </w:r>
          </w:p>
        </w:tc>
        <w:tc>
          <w:tcPr>
            <w:tcW w:w="1438" w:type="dxa"/>
            <w:tcBorders>
              <w:left w:val="single" w:sz="8" w:space="0" w:color="000000"/>
              <w:bottom w:val="nil"/>
              <w:right w:val="single" w:sz="8" w:space="0" w:color="000000"/>
            </w:tcBorders>
          </w:tcPr>
          <w:p>
            <w:pPr>
              <w:pStyle w:val="TableParagraph"/>
              <w:spacing w:line="204" w:lineRule="exact"/>
              <w:ind w:right="38"/>
              <w:jc w:val="right"/>
              <w:rPr>
                <w:sz w:val="18"/>
              </w:rPr>
            </w:pPr>
            <w:r>
              <w:rPr>
                <w:sz w:val="18"/>
              </w:rPr>
              <w:t>68.709</w:t>
            </w:r>
          </w:p>
        </w:tc>
        <w:tc>
          <w:tcPr>
            <w:tcW w:w="1147" w:type="dxa"/>
            <w:vMerge w:val="restart"/>
            <w:tcBorders>
              <w:left w:val="single" w:sz="8" w:space="0" w:color="000000"/>
              <w:right w:val="single" w:sz="8" w:space="0" w:color="000000"/>
            </w:tcBorders>
          </w:tcPr>
          <w:p>
            <w:pPr>
              <w:pStyle w:val="TableParagraph"/>
              <w:spacing w:line="204" w:lineRule="exact"/>
              <w:ind w:left="680"/>
              <w:rPr>
                <w:sz w:val="18"/>
              </w:rPr>
            </w:pPr>
            <w:r>
              <w:rPr>
                <w:sz w:val="18"/>
              </w:rPr>
              <w:t>2.748</w:t>
            </w:r>
          </w:p>
        </w:tc>
        <w:tc>
          <w:tcPr>
            <w:tcW w:w="1424" w:type="dxa"/>
            <w:vMerge w:val="restart"/>
            <w:tcBorders>
              <w:left w:val="single" w:sz="8" w:space="0" w:color="000000"/>
              <w:right w:val="single" w:sz="8" w:space="0" w:color="000000"/>
            </w:tcBorders>
          </w:tcPr>
          <w:p>
            <w:pPr>
              <w:pStyle w:val="TableParagraph"/>
              <w:spacing w:line="204" w:lineRule="exact"/>
              <w:ind w:left="867"/>
              <w:rPr>
                <w:sz w:val="18"/>
              </w:rPr>
            </w:pPr>
            <w:r>
              <w:rPr>
                <w:sz w:val="18"/>
              </w:rPr>
              <w:t>68.709</w:t>
            </w:r>
          </w:p>
        </w:tc>
        <w:tc>
          <w:tcPr>
            <w:tcW w:w="1438" w:type="dxa"/>
            <w:vMerge w:val="restart"/>
            <w:tcBorders>
              <w:left w:val="single" w:sz="8" w:space="0" w:color="000000"/>
            </w:tcBorders>
          </w:tcPr>
          <w:p>
            <w:pPr>
              <w:pStyle w:val="TableParagraph"/>
              <w:spacing w:line="204" w:lineRule="exact"/>
              <w:ind w:left="872"/>
              <w:rPr>
                <w:sz w:val="18"/>
              </w:rPr>
            </w:pPr>
            <w:r>
              <w:rPr>
                <w:sz w:val="18"/>
              </w:rPr>
              <w:t>68.709</w:t>
            </w:r>
          </w:p>
        </w:tc>
      </w:tr>
      <w:tr>
        <w:trPr>
          <w:trHeight w:val="343" w:hRule="atLeast"/>
        </w:trPr>
        <w:tc>
          <w:tcPr>
            <w:tcW w:w="1279" w:type="dxa"/>
            <w:tcBorders>
              <w:top w:val="nil"/>
              <w:bottom w:val="nil"/>
            </w:tcBorders>
          </w:tcPr>
          <w:p>
            <w:pPr>
              <w:pStyle w:val="TableParagraph"/>
              <w:spacing w:before="51"/>
              <w:ind w:left="75"/>
              <w:rPr>
                <w:sz w:val="18"/>
              </w:rPr>
            </w:pPr>
            <w:r>
              <w:rPr>
                <w:sz w:val="18"/>
              </w:rPr>
              <w:t>2</w:t>
            </w:r>
          </w:p>
        </w:tc>
        <w:tc>
          <w:tcPr>
            <w:tcW w:w="999" w:type="dxa"/>
            <w:tcBorders>
              <w:top w:val="nil"/>
              <w:bottom w:val="nil"/>
              <w:right w:val="single" w:sz="8" w:space="0" w:color="000000"/>
            </w:tcBorders>
          </w:tcPr>
          <w:p>
            <w:pPr>
              <w:pStyle w:val="TableParagraph"/>
              <w:spacing w:before="51"/>
              <w:ind w:right="40"/>
              <w:jc w:val="right"/>
              <w:rPr>
                <w:sz w:val="18"/>
              </w:rPr>
            </w:pPr>
            <w:r>
              <w:rPr>
                <w:sz w:val="18"/>
              </w:rPr>
              <w:t>.505</w:t>
            </w:r>
          </w:p>
        </w:tc>
        <w:tc>
          <w:tcPr>
            <w:tcW w:w="1424" w:type="dxa"/>
            <w:tcBorders>
              <w:top w:val="nil"/>
              <w:left w:val="single" w:sz="8" w:space="0" w:color="000000"/>
              <w:bottom w:val="nil"/>
              <w:right w:val="single" w:sz="8" w:space="0" w:color="000000"/>
            </w:tcBorders>
          </w:tcPr>
          <w:p>
            <w:pPr>
              <w:pStyle w:val="TableParagraph"/>
              <w:spacing w:before="51"/>
              <w:ind w:right="39"/>
              <w:jc w:val="right"/>
              <w:rPr>
                <w:sz w:val="18"/>
              </w:rPr>
            </w:pPr>
            <w:r>
              <w:rPr>
                <w:sz w:val="18"/>
              </w:rPr>
              <w:t>12.634</w:t>
            </w:r>
          </w:p>
        </w:tc>
        <w:tc>
          <w:tcPr>
            <w:tcW w:w="1438" w:type="dxa"/>
            <w:tcBorders>
              <w:top w:val="nil"/>
              <w:left w:val="single" w:sz="8" w:space="0" w:color="000000"/>
              <w:bottom w:val="nil"/>
              <w:right w:val="single" w:sz="8" w:space="0" w:color="000000"/>
            </w:tcBorders>
          </w:tcPr>
          <w:p>
            <w:pPr>
              <w:pStyle w:val="TableParagraph"/>
              <w:spacing w:before="51"/>
              <w:ind w:right="37"/>
              <w:jc w:val="right"/>
              <w:rPr>
                <w:sz w:val="18"/>
              </w:rPr>
            </w:pPr>
            <w:r>
              <w:rPr>
                <w:sz w:val="18"/>
              </w:rPr>
              <w:t>81.343</w:t>
            </w:r>
          </w:p>
        </w:tc>
        <w:tc>
          <w:tcPr>
            <w:tcW w:w="1147" w:type="dxa"/>
            <w:vMerge/>
            <w:tcBorders>
              <w:top w:val="nil"/>
              <w:left w:val="single" w:sz="8" w:space="0" w:color="000000"/>
              <w:right w:val="single" w:sz="8" w:space="0" w:color="000000"/>
            </w:tcBorders>
          </w:tcPr>
          <w:p>
            <w:pPr>
              <w:rPr>
                <w:sz w:val="2"/>
                <w:szCs w:val="2"/>
              </w:rPr>
            </w:pPr>
          </w:p>
        </w:tc>
        <w:tc>
          <w:tcPr>
            <w:tcW w:w="1424" w:type="dxa"/>
            <w:vMerge/>
            <w:tcBorders>
              <w:top w:val="nil"/>
              <w:left w:val="single" w:sz="8" w:space="0" w:color="000000"/>
              <w:right w:val="single" w:sz="8" w:space="0" w:color="000000"/>
            </w:tcBorders>
          </w:tcPr>
          <w:p>
            <w:pPr>
              <w:rPr>
                <w:sz w:val="2"/>
                <w:szCs w:val="2"/>
              </w:rPr>
            </w:pPr>
          </w:p>
        </w:tc>
        <w:tc>
          <w:tcPr>
            <w:tcW w:w="1438" w:type="dxa"/>
            <w:vMerge/>
            <w:tcBorders>
              <w:top w:val="nil"/>
              <w:left w:val="single" w:sz="8" w:space="0" w:color="000000"/>
            </w:tcBorders>
          </w:tcPr>
          <w:p>
            <w:pPr>
              <w:rPr>
                <w:sz w:val="2"/>
                <w:szCs w:val="2"/>
              </w:rPr>
            </w:pPr>
          </w:p>
        </w:tc>
      </w:tr>
      <w:tr>
        <w:trPr>
          <w:trHeight w:val="368" w:hRule="atLeast"/>
        </w:trPr>
        <w:tc>
          <w:tcPr>
            <w:tcW w:w="1279" w:type="dxa"/>
            <w:tcBorders>
              <w:top w:val="nil"/>
              <w:bottom w:val="nil"/>
            </w:tcBorders>
          </w:tcPr>
          <w:p>
            <w:pPr>
              <w:pStyle w:val="TableParagraph"/>
              <w:spacing w:before="77"/>
              <w:ind w:left="75"/>
              <w:rPr>
                <w:sz w:val="18"/>
              </w:rPr>
            </w:pPr>
            <w:r>
              <w:rPr>
                <w:sz w:val="18"/>
              </w:rPr>
              <w:t>3</w:t>
            </w:r>
          </w:p>
        </w:tc>
        <w:tc>
          <w:tcPr>
            <w:tcW w:w="999" w:type="dxa"/>
            <w:tcBorders>
              <w:top w:val="nil"/>
              <w:bottom w:val="nil"/>
              <w:right w:val="single" w:sz="8" w:space="0" w:color="000000"/>
            </w:tcBorders>
          </w:tcPr>
          <w:p>
            <w:pPr>
              <w:pStyle w:val="TableParagraph"/>
              <w:spacing w:before="77"/>
              <w:ind w:right="40"/>
              <w:jc w:val="right"/>
              <w:rPr>
                <w:sz w:val="18"/>
              </w:rPr>
            </w:pPr>
            <w:r>
              <w:rPr>
                <w:sz w:val="18"/>
              </w:rPr>
              <w:t>.428</w:t>
            </w:r>
          </w:p>
        </w:tc>
        <w:tc>
          <w:tcPr>
            <w:tcW w:w="1424" w:type="dxa"/>
            <w:tcBorders>
              <w:top w:val="nil"/>
              <w:left w:val="single" w:sz="8" w:space="0" w:color="000000"/>
              <w:bottom w:val="nil"/>
              <w:right w:val="single" w:sz="8" w:space="0" w:color="000000"/>
            </w:tcBorders>
          </w:tcPr>
          <w:p>
            <w:pPr>
              <w:pStyle w:val="TableParagraph"/>
              <w:spacing w:before="77"/>
              <w:ind w:right="37"/>
              <w:jc w:val="right"/>
              <w:rPr>
                <w:sz w:val="18"/>
              </w:rPr>
            </w:pPr>
            <w:r>
              <w:rPr>
                <w:sz w:val="18"/>
              </w:rPr>
              <w:t>10.712</w:t>
            </w:r>
          </w:p>
        </w:tc>
        <w:tc>
          <w:tcPr>
            <w:tcW w:w="1438" w:type="dxa"/>
            <w:tcBorders>
              <w:top w:val="nil"/>
              <w:left w:val="single" w:sz="8" w:space="0" w:color="000000"/>
              <w:bottom w:val="nil"/>
              <w:right w:val="single" w:sz="8" w:space="0" w:color="000000"/>
            </w:tcBorders>
          </w:tcPr>
          <w:p>
            <w:pPr>
              <w:pStyle w:val="TableParagraph"/>
              <w:spacing w:before="77"/>
              <w:ind w:right="37"/>
              <w:jc w:val="right"/>
              <w:rPr>
                <w:sz w:val="18"/>
              </w:rPr>
            </w:pPr>
            <w:r>
              <w:rPr>
                <w:sz w:val="18"/>
              </w:rPr>
              <w:t>92.055</w:t>
            </w:r>
          </w:p>
        </w:tc>
        <w:tc>
          <w:tcPr>
            <w:tcW w:w="1147" w:type="dxa"/>
            <w:vMerge/>
            <w:tcBorders>
              <w:top w:val="nil"/>
              <w:left w:val="single" w:sz="8" w:space="0" w:color="000000"/>
              <w:right w:val="single" w:sz="8" w:space="0" w:color="000000"/>
            </w:tcBorders>
          </w:tcPr>
          <w:p>
            <w:pPr>
              <w:rPr>
                <w:sz w:val="2"/>
                <w:szCs w:val="2"/>
              </w:rPr>
            </w:pPr>
          </w:p>
        </w:tc>
        <w:tc>
          <w:tcPr>
            <w:tcW w:w="1424" w:type="dxa"/>
            <w:vMerge/>
            <w:tcBorders>
              <w:top w:val="nil"/>
              <w:left w:val="single" w:sz="8" w:space="0" w:color="000000"/>
              <w:right w:val="single" w:sz="8" w:space="0" w:color="000000"/>
            </w:tcBorders>
          </w:tcPr>
          <w:p>
            <w:pPr>
              <w:rPr>
                <w:sz w:val="2"/>
                <w:szCs w:val="2"/>
              </w:rPr>
            </w:pPr>
          </w:p>
        </w:tc>
        <w:tc>
          <w:tcPr>
            <w:tcW w:w="1438" w:type="dxa"/>
            <w:vMerge/>
            <w:tcBorders>
              <w:top w:val="nil"/>
              <w:left w:val="single" w:sz="8" w:space="0" w:color="000000"/>
            </w:tcBorders>
          </w:tcPr>
          <w:p>
            <w:pPr>
              <w:rPr>
                <w:sz w:val="2"/>
                <w:szCs w:val="2"/>
              </w:rPr>
            </w:pPr>
          </w:p>
        </w:tc>
      </w:tr>
      <w:tr>
        <w:trPr>
          <w:trHeight w:val="435" w:hRule="atLeast"/>
        </w:trPr>
        <w:tc>
          <w:tcPr>
            <w:tcW w:w="1279" w:type="dxa"/>
            <w:tcBorders>
              <w:top w:val="nil"/>
            </w:tcBorders>
          </w:tcPr>
          <w:p>
            <w:pPr>
              <w:pStyle w:val="TableParagraph"/>
              <w:spacing w:before="76"/>
              <w:ind w:left="75"/>
              <w:rPr>
                <w:sz w:val="18"/>
              </w:rPr>
            </w:pPr>
            <w:r>
              <w:rPr>
                <w:sz w:val="18"/>
              </w:rPr>
              <w:t>4</w:t>
            </w:r>
          </w:p>
        </w:tc>
        <w:tc>
          <w:tcPr>
            <w:tcW w:w="999" w:type="dxa"/>
            <w:tcBorders>
              <w:top w:val="nil"/>
              <w:right w:val="single" w:sz="8" w:space="0" w:color="000000"/>
            </w:tcBorders>
          </w:tcPr>
          <w:p>
            <w:pPr>
              <w:pStyle w:val="TableParagraph"/>
              <w:spacing w:before="76"/>
              <w:ind w:right="40"/>
              <w:jc w:val="right"/>
              <w:rPr>
                <w:sz w:val="18"/>
              </w:rPr>
            </w:pPr>
            <w:r>
              <w:rPr>
                <w:sz w:val="18"/>
              </w:rPr>
              <w:t>.318</w:t>
            </w:r>
          </w:p>
        </w:tc>
        <w:tc>
          <w:tcPr>
            <w:tcW w:w="1424" w:type="dxa"/>
            <w:tcBorders>
              <w:top w:val="nil"/>
              <w:left w:val="single" w:sz="8" w:space="0" w:color="000000"/>
              <w:right w:val="single" w:sz="8" w:space="0" w:color="000000"/>
            </w:tcBorders>
          </w:tcPr>
          <w:p>
            <w:pPr>
              <w:pStyle w:val="TableParagraph"/>
              <w:spacing w:before="76"/>
              <w:ind w:right="37"/>
              <w:jc w:val="right"/>
              <w:rPr>
                <w:sz w:val="18"/>
              </w:rPr>
            </w:pPr>
            <w:r>
              <w:rPr>
                <w:sz w:val="18"/>
              </w:rPr>
              <w:t>7.945</w:t>
            </w:r>
          </w:p>
        </w:tc>
        <w:tc>
          <w:tcPr>
            <w:tcW w:w="1438" w:type="dxa"/>
            <w:tcBorders>
              <w:top w:val="nil"/>
              <w:left w:val="single" w:sz="8" w:space="0" w:color="000000"/>
              <w:right w:val="single" w:sz="8" w:space="0" w:color="000000"/>
            </w:tcBorders>
          </w:tcPr>
          <w:p>
            <w:pPr>
              <w:pStyle w:val="TableParagraph"/>
              <w:spacing w:before="76"/>
              <w:ind w:right="38"/>
              <w:jc w:val="right"/>
              <w:rPr>
                <w:sz w:val="18"/>
              </w:rPr>
            </w:pPr>
            <w:r>
              <w:rPr>
                <w:sz w:val="18"/>
              </w:rPr>
              <w:t>100.000</w:t>
            </w:r>
          </w:p>
        </w:tc>
        <w:tc>
          <w:tcPr>
            <w:tcW w:w="1147" w:type="dxa"/>
            <w:vMerge/>
            <w:tcBorders>
              <w:top w:val="nil"/>
              <w:left w:val="single" w:sz="8" w:space="0" w:color="000000"/>
              <w:right w:val="single" w:sz="8" w:space="0" w:color="000000"/>
            </w:tcBorders>
          </w:tcPr>
          <w:p>
            <w:pPr>
              <w:rPr>
                <w:sz w:val="2"/>
                <w:szCs w:val="2"/>
              </w:rPr>
            </w:pPr>
          </w:p>
        </w:tc>
        <w:tc>
          <w:tcPr>
            <w:tcW w:w="1424" w:type="dxa"/>
            <w:vMerge/>
            <w:tcBorders>
              <w:top w:val="nil"/>
              <w:left w:val="single" w:sz="8" w:space="0" w:color="000000"/>
              <w:right w:val="single" w:sz="8" w:space="0" w:color="000000"/>
            </w:tcBorders>
          </w:tcPr>
          <w:p>
            <w:pPr>
              <w:rPr>
                <w:sz w:val="2"/>
                <w:szCs w:val="2"/>
              </w:rPr>
            </w:pPr>
          </w:p>
        </w:tc>
        <w:tc>
          <w:tcPr>
            <w:tcW w:w="1438" w:type="dxa"/>
            <w:vMerge/>
            <w:tcBorders>
              <w:top w:val="nil"/>
              <w:left w:val="single" w:sz="8" w:space="0" w:color="000000"/>
            </w:tcBorders>
          </w:tcPr>
          <w:p>
            <w:pPr>
              <w:rPr>
                <w:sz w:val="2"/>
                <w:szCs w:val="2"/>
              </w:rPr>
            </w:pPr>
          </w:p>
        </w:tc>
      </w:tr>
    </w:tbl>
    <w:p>
      <w:pPr>
        <w:spacing w:before="2"/>
        <w:ind w:left="1371" w:right="0" w:firstLine="0"/>
        <w:jc w:val="left"/>
        <w:rPr>
          <w:b/>
          <w:sz w:val="18"/>
        </w:rPr>
      </w:pPr>
      <w:r>
        <w:rPr>
          <w:b/>
          <w:sz w:val="18"/>
        </w:rPr>
        <w:t>Component Matrix</w:t>
      </w:r>
      <w:r>
        <w:rPr>
          <w:b/>
          <w:sz w:val="18"/>
          <w:vertAlign w:val="superscript"/>
        </w:rPr>
        <w:t>a</w:t>
      </w:r>
    </w:p>
    <w:p>
      <w:pPr>
        <w:pStyle w:val="BodyText"/>
        <w:spacing w:before="9"/>
        <w:rPr>
          <w:b/>
          <w:sz w:val="10"/>
        </w:rPr>
      </w:pPr>
    </w:p>
    <w:tbl>
      <w:tblPr>
        <w:tblW w:w="0" w:type="auto"/>
        <w:jc w:val="left"/>
        <w:tblInd w:w="907" w:type="dxa"/>
        <w:tblBorders>
          <w:top w:val="single" w:sz="18" w:space="0" w:color="000000"/>
          <w:left w:val="single" w:sz="18" w:space="0" w:color="000000"/>
          <w:bottom w:val="single" w:sz="18" w:space="0" w:color="000000"/>
          <w:right w:val="single" w:sz="18" w:space="0" w:color="000000"/>
          <w:insideH w:val="single" w:sz="18" w:space="0" w:color="000000"/>
          <w:insideV w:val="single" w:sz="18" w:space="0" w:color="000000"/>
        </w:tblBorders>
        <w:tblLayout w:type="fixed"/>
        <w:tblCellMar>
          <w:top w:w="0" w:type="dxa"/>
          <w:left w:w="0" w:type="dxa"/>
          <w:bottom w:w="0" w:type="dxa"/>
          <w:right w:w="0" w:type="dxa"/>
        </w:tblCellMar>
        <w:tblLook w:val="01E0"/>
      </w:tblPr>
      <w:tblGrid>
        <w:gridCol w:w="1272"/>
        <w:gridCol w:w="1256"/>
      </w:tblGrid>
      <w:tr>
        <w:trPr>
          <w:trHeight w:val="305" w:hRule="atLeast"/>
        </w:trPr>
        <w:tc>
          <w:tcPr>
            <w:tcW w:w="1272" w:type="dxa"/>
            <w:vMerge w:val="restart"/>
          </w:tcPr>
          <w:p>
            <w:pPr>
              <w:pStyle w:val="TableParagraph"/>
              <w:rPr>
                <w:sz w:val="18"/>
              </w:rPr>
            </w:pPr>
          </w:p>
        </w:tc>
        <w:tc>
          <w:tcPr>
            <w:tcW w:w="1256" w:type="dxa"/>
            <w:tcBorders>
              <w:bottom w:val="single" w:sz="8" w:space="0" w:color="000000"/>
            </w:tcBorders>
          </w:tcPr>
          <w:p>
            <w:pPr>
              <w:pStyle w:val="TableParagraph"/>
              <w:spacing w:line="206" w:lineRule="exact"/>
              <w:ind w:left="198"/>
              <w:rPr>
                <w:sz w:val="18"/>
              </w:rPr>
            </w:pPr>
            <w:r>
              <w:rPr>
                <w:sz w:val="18"/>
              </w:rPr>
              <w:t>Component</w:t>
            </w:r>
          </w:p>
        </w:tc>
      </w:tr>
      <w:tr>
        <w:trPr>
          <w:trHeight w:val="377" w:hRule="atLeast"/>
        </w:trPr>
        <w:tc>
          <w:tcPr>
            <w:tcW w:w="1272" w:type="dxa"/>
            <w:vMerge/>
            <w:tcBorders>
              <w:top w:val="nil"/>
            </w:tcBorders>
          </w:tcPr>
          <w:p>
            <w:pPr>
              <w:rPr>
                <w:sz w:val="2"/>
                <w:szCs w:val="2"/>
              </w:rPr>
            </w:pPr>
          </w:p>
        </w:tc>
        <w:tc>
          <w:tcPr>
            <w:tcW w:w="1256" w:type="dxa"/>
            <w:tcBorders>
              <w:top w:val="single" w:sz="8" w:space="0" w:color="000000"/>
            </w:tcBorders>
          </w:tcPr>
          <w:p>
            <w:pPr>
              <w:pStyle w:val="TableParagraph"/>
              <w:spacing w:before="8"/>
              <w:ind w:left="24"/>
              <w:jc w:val="center"/>
              <w:rPr>
                <w:sz w:val="18"/>
              </w:rPr>
            </w:pPr>
            <w:r>
              <w:rPr>
                <w:sz w:val="18"/>
              </w:rPr>
              <w:t>1</w:t>
            </w:r>
          </w:p>
        </w:tc>
      </w:tr>
      <w:tr>
        <w:trPr>
          <w:trHeight w:val="279" w:hRule="atLeast"/>
        </w:trPr>
        <w:tc>
          <w:tcPr>
            <w:tcW w:w="1272" w:type="dxa"/>
            <w:tcBorders>
              <w:bottom w:val="nil"/>
            </w:tcBorders>
          </w:tcPr>
          <w:p>
            <w:pPr>
              <w:pStyle w:val="TableParagraph"/>
              <w:spacing w:before="8"/>
              <w:ind w:left="75"/>
              <w:rPr>
                <w:sz w:val="18"/>
              </w:rPr>
            </w:pPr>
            <w:r>
              <w:rPr>
                <w:sz w:val="18"/>
              </w:rPr>
              <w:t>TC1</w:t>
            </w:r>
          </w:p>
        </w:tc>
        <w:tc>
          <w:tcPr>
            <w:tcW w:w="1256" w:type="dxa"/>
            <w:tcBorders>
              <w:bottom w:val="nil"/>
            </w:tcBorders>
          </w:tcPr>
          <w:p>
            <w:pPr>
              <w:pStyle w:val="TableParagraph"/>
              <w:spacing w:before="8"/>
              <w:ind w:right="37"/>
              <w:jc w:val="right"/>
              <w:rPr>
                <w:sz w:val="18"/>
              </w:rPr>
            </w:pPr>
            <w:r>
              <w:rPr>
                <w:sz w:val="18"/>
              </w:rPr>
              <w:t>.858</w:t>
            </w:r>
          </w:p>
        </w:tc>
      </w:tr>
      <w:tr>
        <w:trPr>
          <w:trHeight w:val="326" w:hRule="atLeast"/>
        </w:trPr>
        <w:tc>
          <w:tcPr>
            <w:tcW w:w="1272" w:type="dxa"/>
            <w:tcBorders>
              <w:top w:val="nil"/>
              <w:bottom w:val="nil"/>
            </w:tcBorders>
          </w:tcPr>
          <w:p>
            <w:pPr>
              <w:pStyle w:val="TableParagraph"/>
              <w:spacing w:before="56"/>
              <w:ind w:left="75"/>
              <w:rPr>
                <w:sz w:val="18"/>
              </w:rPr>
            </w:pPr>
            <w:r>
              <w:rPr>
                <w:sz w:val="18"/>
              </w:rPr>
              <w:t>TC4</w:t>
            </w:r>
          </w:p>
        </w:tc>
        <w:tc>
          <w:tcPr>
            <w:tcW w:w="1256" w:type="dxa"/>
            <w:tcBorders>
              <w:top w:val="nil"/>
              <w:bottom w:val="nil"/>
            </w:tcBorders>
          </w:tcPr>
          <w:p>
            <w:pPr>
              <w:pStyle w:val="TableParagraph"/>
              <w:spacing w:before="56"/>
              <w:ind w:right="36"/>
              <w:jc w:val="right"/>
              <w:rPr>
                <w:sz w:val="18"/>
              </w:rPr>
            </w:pPr>
            <w:r>
              <w:rPr>
                <w:sz w:val="18"/>
              </w:rPr>
              <w:t>.858</w:t>
            </w:r>
          </w:p>
        </w:tc>
      </w:tr>
      <w:tr>
        <w:trPr>
          <w:trHeight w:val="326" w:hRule="atLeast"/>
        </w:trPr>
        <w:tc>
          <w:tcPr>
            <w:tcW w:w="1272" w:type="dxa"/>
            <w:tcBorders>
              <w:top w:val="nil"/>
              <w:bottom w:val="nil"/>
            </w:tcBorders>
          </w:tcPr>
          <w:p>
            <w:pPr>
              <w:pStyle w:val="TableParagraph"/>
              <w:spacing w:before="56"/>
              <w:ind w:left="75"/>
              <w:rPr>
                <w:sz w:val="18"/>
              </w:rPr>
            </w:pPr>
            <w:r>
              <w:rPr>
                <w:sz w:val="18"/>
              </w:rPr>
              <w:t>TC2</w:t>
            </w:r>
          </w:p>
        </w:tc>
        <w:tc>
          <w:tcPr>
            <w:tcW w:w="1256" w:type="dxa"/>
            <w:tcBorders>
              <w:top w:val="nil"/>
              <w:bottom w:val="nil"/>
            </w:tcBorders>
          </w:tcPr>
          <w:p>
            <w:pPr>
              <w:pStyle w:val="TableParagraph"/>
              <w:spacing w:before="56"/>
              <w:ind w:right="38"/>
              <w:jc w:val="right"/>
              <w:rPr>
                <w:sz w:val="18"/>
              </w:rPr>
            </w:pPr>
            <w:r>
              <w:rPr>
                <w:sz w:val="18"/>
              </w:rPr>
              <w:t>.808</w:t>
            </w:r>
          </w:p>
        </w:tc>
      </w:tr>
      <w:tr>
        <w:trPr>
          <w:trHeight w:val="369" w:hRule="atLeast"/>
        </w:trPr>
        <w:tc>
          <w:tcPr>
            <w:tcW w:w="1272" w:type="dxa"/>
            <w:tcBorders>
              <w:top w:val="nil"/>
            </w:tcBorders>
          </w:tcPr>
          <w:p>
            <w:pPr>
              <w:pStyle w:val="TableParagraph"/>
              <w:spacing w:before="56"/>
              <w:ind w:left="75"/>
              <w:rPr>
                <w:sz w:val="18"/>
              </w:rPr>
            </w:pPr>
            <w:r>
              <w:rPr>
                <w:sz w:val="18"/>
              </w:rPr>
              <w:t>TC3</w:t>
            </w:r>
          </w:p>
        </w:tc>
        <w:tc>
          <w:tcPr>
            <w:tcW w:w="1256" w:type="dxa"/>
            <w:tcBorders>
              <w:top w:val="nil"/>
            </w:tcBorders>
          </w:tcPr>
          <w:p>
            <w:pPr>
              <w:pStyle w:val="TableParagraph"/>
              <w:spacing w:before="56"/>
              <w:ind w:right="36"/>
              <w:jc w:val="right"/>
              <w:rPr>
                <w:sz w:val="18"/>
              </w:rPr>
            </w:pPr>
            <w:r>
              <w:rPr>
                <w:sz w:val="18"/>
              </w:rPr>
              <w:t>.790</w:t>
            </w:r>
          </w:p>
        </w:tc>
      </w:tr>
    </w:tbl>
    <w:p>
      <w:pPr>
        <w:pStyle w:val="ListParagraph"/>
        <w:numPr>
          <w:ilvl w:val="1"/>
          <w:numId w:val="46"/>
        </w:numPr>
        <w:tabs>
          <w:tab w:pos="1310" w:val="left" w:leader="none"/>
        </w:tabs>
        <w:spacing w:line="240" w:lineRule="auto" w:before="0" w:after="0"/>
        <w:ind w:left="1309" w:right="0" w:hanging="428"/>
        <w:jc w:val="left"/>
        <w:rPr>
          <w:b/>
          <w:i/>
          <w:sz w:val="24"/>
        </w:rPr>
      </w:pPr>
      <w:r>
        <w:rPr>
          <w:b/>
          <w:i/>
          <w:sz w:val="24"/>
          <w:u w:val="thick"/>
        </w:rPr>
        <w:t>Thang đo tổ chức hoạt động dịch vụ</w:t>
      </w:r>
      <w:r>
        <w:rPr>
          <w:b/>
          <w:i/>
          <w:spacing w:val="-1"/>
          <w:sz w:val="24"/>
          <w:u w:val="thick"/>
        </w:rPr>
        <w:t> </w:t>
      </w:r>
      <w:r>
        <w:rPr>
          <w:b/>
          <w:i/>
          <w:sz w:val="24"/>
          <w:u w:val="thick"/>
        </w:rPr>
        <w:t>Logistics</w:t>
      </w:r>
    </w:p>
    <w:p>
      <w:pPr>
        <w:pStyle w:val="BodyText"/>
        <w:rPr>
          <w:b/>
          <w:i/>
          <w:sz w:val="20"/>
        </w:rPr>
      </w:pPr>
    </w:p>
    <w:p>
      <w:pPr>
        <w:pStyle w:val="BodyText"/>
        <w:rPr>
          <w:b/>
          <w:i/>
          <w:sz w:val="20"/>
        </w:rPr>
      </w:pPr>
    </w:p>
    <w:p>
      <w:pPr>
        <w:spacing w:before="93"/>
        <w:ind w:left="3472" w:right="0" w:firstLine="0"/>
        <w:jc w:val="left"/>
        <w:rPr>
          <w:b/>
          <w:sz w:val="18"/>
        </w:rPr>
      </w:pPr>
      <w:r>
        <w:rPr>
          <w:b/>
          <w:sz w:val="18"/>
        </w:rPr>
        <w:t>Item-Total Statistics</w:t>
      </w:r>
    </w:p>
    <w:p>
      <w:pPr>
        <w:pStyle w:val="BodyText"/>
        <w:spacing w:before="1"/>
        <w:rPr>
          <w:b/>
          <w:sz w:val="9"/>
        </w:rPr>
      </w:pPr>
    </w:p>
    <w:tbl>
      <w:tblPr>
        <w:tblW w:w="0" w:type="auto"/>
        <w:jc w:val="left"/>
        <w:tblInd w:w="907" w:type="dxa"/>
        <w:tblBorders>
          <w:top w:val="single" w:sz="18" w:space="0" w:color="000000"/>
          <w:left w:val="single" w:sz="18" w:space="0" w:color="000000"/>
          <w:bottom w:val="single" w:sz="18" w:space="0" w:color="000000"/>
          <w:right w:val="single" w:sz="18" w:space="0" w:color="000000"/>
          <w:insideH w:val="single" w:sz="18" w:space="0" w:color="000000"/>
          <w:insideV w:val="single" w:sz="18" w:space="0" w:color="000000"/>
        </w:tblBorders>
        <w:tblLayout w:type="fixed"/>
        <w:tblCellMar>
          <w:top w:w="0" w:type="dxa"/>
          <w:left w:w="0" w:type="dxa"/>
          <w:bottom w:w="0" w:type="dxa"/>
          <w:right w:w="0" w:type="dxa"/>
        </w:tblCellMar>
        <w:tblLook w:val="01E0"/>
      </w:tblPr>
      <w:tblGrid>
        <w:gridCol w:w="871"/>
        <w:gridCol w:w="1469"/>
        <w:gridCol w:w="1468"/>
        <w:gridCol w:w="1468"/>
        <w:gridCol w:w="1468"/>
      </w:tblGrid>
      <w:tr>
        <w:trPr>
          <w:trHeight w:val="615" w:hRule="atLeast"/>
        </w:trPr>
        <w:tc>
          <w:tcPr>
            <w:tcW w:w="871" w:type="dxa"/>
          </w:tcPr>
          <w:p>
            <w:pPr>
              <w:pStyle w:val="TableParagraph"/>
              <w:rPr>
                <w:sz w:val="18"/>
              </w:rPr>
            </w:pPr>
          </w:p>
        </w:tc>
        <w:tc>
          <w:tcPr>
            <w:tcW w:w="1469" w:type="dxa"/>
            <w:tcBorders>
              <w:right w:val="single" w:sz="8" w:space="0" w:color="000000"/>
            </w:tcBorders>
          </w:tcPr>
          <w:p>
            <w:pPr>
              <w:pStyle w:val="TableParagraph"/>
              <w:spacing w:line="204" w:lineRule="exact"/>
              <w:ind w:left="234"/>
              <w:rPr>
                <w:sz w:val="18"/>
              </w:rPr>
            </w:pPr>
            <w:r>
              <w:rPr>
                <w:sz w:val="18"/>
              </w:rPr>
              <w:t>Scale Mean</w:t>
            </w:r>
            <w:r>
              <w:rPr>
                <w:spacing w:val="-4"/>
                <w:sz w:val="18"/>
              </w:rPr>
              <w:t> </w:t>
            </w:r>
            <w:r>
              <w:rPr>
                <w:sz w:val="18"/>
              </w:rPr>
              <w:t>if</w:t>
            </w:r>
          </w:p>
          <w:p>
            <w:pPr>
              <w:pStyle w:val="TableParagraph"/>
              <w:spacing w:before="105"/>
              <w:ind w:left="268"/>
              <w:rPr>
                <w:sz w:val="18"/>
              </w:rPr>
            </w:pPr>
            <w:r>
              <w:rPr>
                <w:sz w:val="18"/>
              </w:rPr>
              <w:t>Item</w:t>
            </w:r>
            <w:r>
              <w:rPr>
                <w:spacing w:val="-3"/>
                <w:sz w:val="18"/>
              </w:rPr>
              <w:t> </w:t>
            </w:r>
            <w:r>
              <w:rPr>
                <w:sz w:val="18"/>
              </w:rPr>
              <w:t>Deleted</w:t>
            </w:r>
          </w:p>
        </w:tc>
        <w:tc>
          <w:tcPr>
            <w:tcW w:w="1468" w:type="dxa"/>
            <w:tcBorders>
              <w:left w:val="single" w:sz="8" w:space="0" w:color="000000"/>
              <w:right w:val="single" w:sz="8" w:space="0" w:color="000000"/>
            </w:tcBorders>
          </w:tcPr>
          <w:p>
            <w:pPr>
              <w:pStyle w:val="TableParagraph"/>
              <w:spacing w:line="204" w:lineRule="exact"/>
              <w:ind w:left="101" w:right="61"/>
              <w:jc w:val="center"/>
              <w:rPr>
                <w:sz w:val="18"/>
              </w:rPr>
            </w:pPr>
            <w:r>
              <w:rPr>
                <w:sz w:val="18"/>
              </w:rPr>
              <w:t>Scale Variance if</w:t>
            </w:r>
          </w:p>
          <w:p>
            <w:pPr>
              <w:pStyle w:val="TableParagraph"/>
              <w:spacing w:before="105"/>
              <w:ind w:left="101" w:right="62"/>
              <w:jc w:val="center"/>
              <w:rPr>
                <w:sz w:val="18"/>
              </w:rPr>
            </w:pPr>
            <w:r>
              <w:rPr>
                <w:sz w:val="18"/>
              </w:rPr>
              <w:t>Item Deleted</w:t>
            </w:r>
          </w:p>
        </w:tc>
        <w:tc>
          <w:tcPr>
            <w:tcW w:w="1468" w:type="dxa"/>
            <w:tcBorders>
              <w:left w:val="single" w:sz="8" w:space="0" w:color="000000"/>
              <w:right w:val="single" w:sz="8" w:space="0" w:color="000000"/>
            </w:tcBorders>
          </w:tcPr>
          <w:p>
            <w:pPr>
              <w:pStyle w:val="TableParagraph"/>
              <w:spacing w:line="204" w:lineRule="exact"/>
              <w:ind w:left="171"/>
              <w:rPr>
                <w:sz w:val="18"/>
              </w:rPr>
            </w:pPr>
            <w:r>
              <w:rPr>
                <w:sz w:val="18"/>
              </w:rPr>
              <w:t>Corrected Item-</w:t>
            </w:r>
          </w:p>
          <w:p>
            <w:pPr>
              <w:pStyle w:val="TableParagraph"/>
              <w:spacing w:before="105"/>
              <w:ind w:left="120"/>
              <w:rPr>
                <w:sz w:val="18"/>
              </w:rPr>
            </w:pPr>
            <w:r>
              <w:rPr>
                <w:sz w:val="18"/>
              </w:rPr>
              <w:t>Total Correlation</w:t>
            </w:r>
          </w:p>
        </w:tc>
        <w:tc>
          <w:tcPr>
            <w:tcW w:w="1468" w:type="dxa"/>
            <w:tcBorders>
              <w:left w:val="single" w:sz="8" w:space="0" w:color="000000"/>
            </w:tcBorders>
          </w:tcPr>
          <w:p>
            <w:pPr>
              <w:pStyle w:val="TableParagraph"/>
              <w:spacing w:line="204" w:lineRule="exact"/>
              <w:ind w:left="76" w:right="31"/>
              <w:jc w:val="center"/>
              <w:rPr>
                <w:sz w:val="18"/>
              </w:rPr>
            </w:pPr>
            <w:r>
              <w:rPr>
                <w:sz w:val="18"/>
              </w:rPr>
              <w:t>Cronbach's Alpha</w:t>
            </w:r>
          </w:p>
          <w:p>
            <w:pPr>
              <w:pStyle w:val="TableParagraph"/>
              <w:spacing w:before="105"/>
              <w:ind w:left="76" w:right="29"/>
              <w:jc w:val="center"/>
              <w:rPr>
                <w:sz w:val="18"/>
              </w:rPr>
            </w:pPr>
            <w:r>
              <w:rPr>
                <w:sz w:val="18"/>
              </w:rPr>
              <w:t>if Item Deleted</w:t>
            </w:r>
          </w:p>
        </w:tc>
      </w:tr>
      <w:tr>
        <w:trPr>
          <w:trHeight w:val="261" w:hRule="atLeast"/>
        </w:trPr>
        <w:tc>
          <w:tcPr>
            <w:tcW w:w="871" w:type="dxa"/>
            <w:tcBorders>
              <w:bottom w:val="nil"/>
            </w:tcBorders>
          </w:tcPr>
          <w:p>
            <w:pPr>
              <w:pStyle w:val="TableParagraph"/>
              <w:spacing w:line="206" w:lineRule="exact"/>
              <w:ind w:left="75"/>
              <w:rPr>
                <w:sz w:val="18"/>
              </w:rPr>
            </w:pPr>
            <w:r>
              <w:rPr>
                <w:sz w:val="18"/>
              </w:rPr>
              <w:t>CLDV1</w:t>
            </w:r>
          </w:p>
        </w:tc>
        <w:tc>
          <w:tcPr>
            <w:tcW w:w="1469" w:type="dxa"/>
            <w:tcBorders>
              <w:bottom w:val="nil"/>
              <w:right w:val="single" w:sz="8" w:space="0" w:color="000000"/>
            </w:tcBorders>
          </w:tcPr>
          <w:p>
            <w:pPr>
              <w:pStyle w:val="TableParagraph"/>
              <w:spacing w:line="206" w:lineRule="exact"/>
              <w:ind w:right="37"/>
              <w:jc w:val="right"/>
              <w:rPr>
                <w:sz w:val="18"/>
              </w:rPr>
            </w:pPr>
            <w:r>
              <w:rPr>
                <w:sz w:val="18"/>
              </w:rPr>
              <w:t>30.88</w:t>
            </w:r>
          </w:p>
        </w:tc>
        <w:tc>
          <w:tcPr>
            <w:tcW w:w="1468" w:type="dxa"/>
            <w:tcBorders>
              <w:left w:val="single" w:sz="8" w:space="0" w:color="000000"/>
              <w:bottom w:val="nil"/>
              <w:right w:val="single" w:sz="8" w:space="0" w:color="000000"/>
            </w:tcBorders>
          </w:tcPr>
          <w:p>
            <w:pPr>
              <w:pStyle w:val="TableParagraph"/>
              <w:spacing w:line="206" w:lineRule="exact"/>
              <w:ind w:right="36"/>
              <w:jc w:val="right"/>
              <w:rPr>
                <w:sz w:val="18"/>
              </w:rPr>
            </w:pPr>
            <w:r>
              <w:rPr>
                <w:sz w:val="18"/>
              </w:rPr>
              <w:t>38.253</w:t>
            </w:r>
          </w:p>
        </w:tc>
        <w:tc>
          <w:tcPr>
            <w:tcW w:w="1468" w:type="dxa"/>
            <w:tcBorders>
              <w:left w:val="single" w:sz="8" w:space="0" w:color="000000"/>
              <w:bottom w:val="nil"/>
              <w:right w:val="single" w:sz="8" w:space="0" w:color="000000"/>
            </w:tcBorders>
          </w:tcPr>
          <w:p>
            <w:pPr>
              <w:pStyle w:val="TableParagraph"/>
              <w:spacing w:line="206" w:lineRule="exact"/>
              <w:ind w:right="35"/>
              <w:jc w:val="right"/>
              <w:rPr>
                <w:sz w:val="18"/>
              </w:rPr>
            </w:pPr>
            <w:r>
              <w:rPr>
                <w:sz w:val="18"/>
              </w:rPr>
              <w:t>.597</w:t>
            </w:r>
          </w:p>
        </w:tc>
        <w:tc>
          <w:tcPr>
            <w:tcW w:w="1468" w:type="dxa"/>
            <w:tcBorders>
              <w:left w:val="single" w:sz="8" w:space="0" w:color="000000"/>
              <w:bottom w:val="nil"/>
            </w:tcBorders>
          </w:tcPr>
          <w:p>
            <w:pPr>
              <w:pStyle w:val="TableParagraph"/>
              <w:spacing w:line="206" w:lineRule="exact"/>
              <w:ind w:right="30"/>
              <w:jc w:val="right"/>
              <w:rPr>
                <w:sz w:val="18"/>
              </w:rPr>
            </w:pPr>
            <w:r>
              <w:rPr>
                <w:sz w:val="18"/>
              </w:rPr>
              <w:t>.707</w:t>
            </w:r>
          </w:p>
        </w:tc>
      </w:tr>
      <w:tr>
        <w:trPr>
          <w:trHeight w:val="357" w:hRule="atLeast"/>
        </w:trPr>
        <w:tc>
          <w:tcPr>
            <w:tcW w:w="871" w:type="dxa"/>
            <w:tcBorders>
              <w:top w:val="nil"/>
              <w:bottom w:val="nil"/>
            </w:tcBorders>
          </w:tcPr>
          <w:p>
            <w:pPr>
              <w:pStyle w:val="TableParagraph"/>
              <w:spacing w:before="47"/>
              <w:ind w:left="75"/>
              <w:rPr>
                <w:sz w:val="18"/>
              </w:rPr>
            </w:pPr>
            <w:r>
              <w:rPr>
                <w:sz w:val="18"/>
              </w:rPr>
              <w:t>CLDV2</w:t>
            </w:r>
          </w:p>
        </w:tc>
        <w:tc>
          <w:tcPr>
            <w:tcW w:w="1469" w:type="dxa"/>
            <w:tcBorders>
              <w:top w:val="nil"/>
              <w:bottom w:val="nil"/>
              <w:right w:val="single" w:sz="8" w:space="0" w:color="000000"/>
            </w:tcBorders>
          </w:tcPr>
          <w:p>
            <w:pPr>
              <w:pStyle w:val="TableParagraph"/>
              <w:spacing w:before="47"/>
              <w:ind w:right="37"/>
              <w:jc w:val="right"/>
              <w:rPr>
                <w:sz w:val="18"/>
              </w:rPr>
            </w:pPr>
            <w:r>
              <w:rPr>
                <w:sz w:val="18"/>
              </w:rPr>
              <w:t>32.62</w:t>
            </w:r>
          </w:p>
        </w:tc>
        <w:tc>
          <w:tcPr>
            <w:tcW w:w="1468" w:type="dxa"/>
            <w:tcBorders>
              <w:top w:val="nil"/>
              <w:left w:val="single" w:sz="8" w:space="0" w:color="000000"/>
              <w:bottom w:val="nil"/>
              <w:right w:val="single" w:sz="8" w:space="0" w:color="000000"/>
            </w:tcBorders>
          </w:tcPr>
          <w:p>
            <w:pPr>
              <w:pStyle w:val="TableParagraph"/>
              <w:spacing w:before="47"/>
              <w:ind w:right="36"/>
              <w:jc w:val="right"/>
              <w:rPr>
                <w:sz w:val="18"/>
              </w:rPr>
            </w:pPr>
            <w:r>
              <w:rPr>
                <w:sz w:val="18"/>
              </w:rPr>
              <w:t>40.116</w:t>
            </w:r>
          </w:p>
        </w:tc>
        <w:tc>
          <w:tcPr>
            <w:tcW w:w="1468" w:type="dxa"/>
            <w:tcBorders>
              <w:top w:val="nil"/>
              <w:left w:val="single" w:sz="8" w:space="0" w:color="000000"/>
              <w:bottom w:val="nil"/>
              <w:right w:val="single" w:sz="8" w:space="0" w:color="000000"/>
            </w:tcBorders>
          </w:tcPr>
          <w:p>
            <w:pPr>
              <w:pStyle w:val="TableParagraph"/>
              <w:spacing w:before="47"/>
              <w:ind w:right="34"/>
              <w:jc w:val="right"/>
              <w:rPr>
                <w:sz w:val="18"/>
              </w:rPr>
            </w:pPr>
            <w:r>
              <w:rPr>
                <w:sz w:val="18"/>
              </w:rPr>
              <w:t>.213</w:t>
            </w:r>
          </w:p>
        </w:tc>
        <w:tc>
          <w:tcPr>
            <w:tcW w:w="1468" w:type="dxa"/>
            <w:tcBorders>
              <w:top w:val="nil"/>
              <w:left w:val="single" w:sz="8" w:space="0" w:color="000000"/>
              <w:bottom w:val="nil"/>
            </w:tcBorders>
          </w:tcPr>
          <w:p>
            <w:pPr>
              <w:pStyle w:val="TableParagraph"/>
              <w:spacing w:before="47"/>
              <w:ind w:right="31"/>
              <w:jc w:val="right"/>
              <w:rPr>
                <w:sz w:val="18"/>
              </w:rPr>
            </w:pPr>
            <w:r>
              <w:rPr>
                <w:sz w:val="18"/>
              </w:rPr>
              <w:t>.768</w:t>
            </w:r>
          </w:p>
        </w:tc>
      </w:tr>
    </w:tbl>
    <w:p>
      <w:pPr>
        <w:spacing w:after="0"/>
        <w:jc w:val="right"/>
        <w:rPr>
          <w:sz w:val="18"/>
        </w:rPr>
        <w:sectPr>
          <w:pgSz w:w="11910" w:h="16850"/>
          <w:pgMar w:header="751" w:footer="0" w:top="960" w:bottom="280" w:left="820" w:right="240"/>
        </w:sectPr>
      </w:pPr>
    </w:p>
    <w:p>
      <w:pPr>
        <w:pStyle w:val="BodyText"/>
        <w:spacing w:before="9"/>
        <w:rPr>
          <w:b/>
          <w:sz w:val="23"/>
        </w:rPr>
      </w:pPr>
    </w:p>
    <w:tbl>
      <w:tblPr>
        <w:tblW w:w="0" w:type="auto"/>
        <w:jc w:val="left"/>
        <w:tblInd w:w="907" w:type="dxa"/>
        <w:tblBorders>
          <w:top w:val="single" w:sz="18" w:space="0" w:color="000000"/>
          <w:left w:val="single" w:sz="18" w:space="0" w:color="000000"/>
          <w:bottom w:val="single" w:sz="18" w:space="0" w:color="000000"/>
          <w:right w:val="single" w:sz="18" w:space="0" w:color="000000"/>
          <w:insideH w:val="single" w:sz="18" w:space="0" w:color="000000"/>
          <w:insideV w:val="single" w:sz="18" w:space="0" w:color="000000"/>
        </w:tblBorders>
        <w:tblLayout w:type="fixed"/>
        <w:tblCellMar>
          <w:top w:w="0" w:type="dxa"/>
          <w:left w:w="0" w:type="dxa"/>
          <w:bottom w:w="0" w:type="dxa"/>
          <w:right w:w="0" w:type="dxa"/>
        </w:tblCellMar>
        <w:tblLook w:val="01E0"/>
      </w:tblPr>
      <w:tblGrid>
        <w:gridCol w:w="871"/>
        <w:gridCol w:w="1469"/>
        <w:gridCol w:w="1468"/>
        <w:gridCol w:w="1468"/>
        <w:gridCol w:w="1468"/>
      </w:tblGrid>
      <w:tr>
        <w:trPr>
          <w:trHeight w:val="263" w:hRule="atLeast"/>
        </w:trPr>
        <w:tc>
          <w:tcPr>
            <w:tcW w:w="871" w:type="dxa"/>
            <w:tcBorders>
              <w:top w:val="nil"/>
              <w:bottom w:val="nil"/>
            </w:tcBorders>
          </w:tcPr>
          <w:p>
            <w:pPr>
              <w:pStyle w:val="TableParagraph"/>
              <w:ind w:left="57" w:right="149"/>
              <w:jc w:val="center"/>
              <w:rPr>
                <w:sz w:val="18"/>
              </w:rPr>
            </w:pPr>
            <w:r>
              <w:rPr>
                <w:sz w:val="18"/>
              </w:rPr>
              <w:t>CLDV3</w:t>
            </w:r>
          </w:p>
        </w:tc>
        <w:tc>
          <w:tcPr>
            <w:tcW w:w="1469" w:type="dxa"/>
            <w:tcBorders>
              <w:top w:val="nil"/>
              <w:bottom w:val="nil"/>
              <w:right w:val="single" w:sz="8" w:space="0" w:color="000000"/>
            </w:tcBorders>
          </w:tcPr>
          <w:p>
            <w:pPr>
              <w:pStyle w:val="TableParagraph"/>
              <w:ind w:right="36"/>
              <w:jc w:val="right"/>
              <w:rPr>
                <w:sz w:val="18"/>
              </w:rPr>
            </w:pPr>
            <w:r>
              <w:rPr>
                <w:sz w:val="18"/>
              </w:rPr>
              <w:t>30.81</w:t>
            </w:r>
          </w:p>
        </w:tc>
        <w:tc>
          <w:tcPr>
            <w:tcW w:w="1468" w:type="dxa"/>
            <w:tcBorders>
              <w:top w:val="nil"/>
              <w:left w:val="single" w:sz="8" w:space="0" w:color="000000"/>
              <w:bottom w:val="nil"/>
              <w:right w:val="single" w:sz="8" w:space="0" w:color="000000"/>
            </w:tcBorders>
          </w:tcPr>
          <w:p>
            <w:pPr>
              <w:pStyle w:val="TableParagraph"/>
              <w:ind w:right="36"/>
              <w:jc w:val="right"/>
              <w:rPr>
                <w:sz w:val="18"/>
              </w:rPr>
            </w:pPr>
            <w:r>
              <w:rPr>
                <w:sz w:val="18"/>
              </w:rPr>
              <w:t>38.899</w:t>
            </w:r>
          </w:p>
        </w:tc>
        <w:tc>
          <w:tcPr>
            <w:tcW w:w="1468" w:type="dxa"/>
            <w:tcBorders>
              <w:top w:val="nil"/>
              <w:left w:val="single" w:sz="8" w:space="0" w:color="000000"/>
              <w:bottom w:val="nil"/>
              <w:right w:val="single" w:sz="8" w:space="0" w:color="000000"/>
            </w:tcBorders>
          </w:tcPr>
          <w:p>
            <w:pPr>
              <w:pStyle w:val="TableParagraph"/>
              <w:ind w:right="35"/>
              <w:jc w:val="right"/>
              <w:rPr>
                <w:sz w:val="18"/>
              </w:rPr>
            </w:pPr>
            <w:r>
              <w:rPr>
                <w:sz w:val="18"/>
              </w:rPr>
              <w:t>.571</w:t>
            </w:r>
          </w:p>
        </w:tc>
        <w:tc>
          <w:tcPr>
            <w:tcW w:w="1468" w:type="dxa"/>
            <w:tcBorders>
              <w:top w:val="nil"/>
              <w:left w:val="single" w:sz="8" w:space="0" w:color="000000"/>
              <w:bottom w:val="nil"/>
            </w:tcBorders>
          </w:tcPr>
          <w:p>
            <w:pPr>
              <w:pStyle w:val="TableParagraph"/>
              <w:ind w:right="31"/>
              <w:jc w:val="right"/>
              <w:rPr>
                <w:sz w:val="18"/>
              </w:rPr>
            </w:pPr>
            <w:r>
              <w:rPr>
                <w:sz w:val="18"/>
              </w:rPr>
              <w:t>.711</w:t>
            </w:r>
          </w:p>
        </w:tc>
      </w:tr>
      <w:tr>
        <w:trPr>
          <w:trHeight w:val="310" w:hRule="atLeast"/>
        </w:trPr>
        <w:tc>
          <w:tcPr>
            <w:tcW w:w="871" w:type="dxa"/>
            <w:tcBorders>
              <w:top w:val="nil"/>
              <w:bottom w:val="nil"/>
            </w:tcBorders>
          </w:tcPr>
          <w:p>
            <w:pPr>
              <w:pStyle w:val="TableParagraph"/>
              <w:spacing w:before="48"/>
              <w:ind w:left="57" w:right="149"/>
              <w:jc w:val="center"/>
              <w:rPr>
                <w:sz w:val="18"/>
              </w:rPr>
            </w:pPr>
            <w:r>
              <w:rPr>
                <w:sz w:val="18"/>
              </w:rPr>
              <w:t>CLDV4</w:t>
            </w:r>
          </w:p>
        </w:tc>
        <w:tc>
          <w:tcPr>
            <w:tcW w:w="1469" w:type="dxa"/>
            <w:tcBorders>
              <w:top w:val="nil"/>
              <w:bottom w:val="nil"/>
              <w:right w:val="single" w:sz="8" w:space="0" w:color="000000"/>
            </w:tcBorders>
          </w:tcPr>
          <w:p>
            <w:pPr>
              <w:pStyle w:val="TableParagraph"/>
              <w:spacing w:before="48"/>
              <w:ind w:right="36"/>
              <w:jc w:val="right"/>
              <w:rPr>
                <w:sz w:val="18"/>
              </w:rPr>
            </w:pPr>
            <w:r>
              <w:rPr>
                <w:sz w:val="18"/>
              </w:rPr>
              <w:t>30.82</w:t>
            </w:r>
          </w:p>
        </w:tc>
        <w:tc>
          <w:tcPr>
            <w:tcW w:w="1468" w:type="dxa"/>
            <w:tcBorders>
              <w:top w:val="nil"/>
              <w:left w:val="single" w:sz="8" w:space="0" w:color="000000"/>
              <w:bottom w:val="nil"/>
              <w:right w:val="single" w:sz="8" w:space="0" w:color="000000"/>
            </w:tcBorders>
          </w:tcPr>
          <w:p>
            <w:pPr>
              <w:pStyle w:val="TableParagraph"/>
              <w:spacing w:before="48"/>
              <w:ind w:right="36"/>
              <w:jc w:val="right"/>
              <w:rPr>
                <w:sz w:val="18"/>
              </w:rPr>
            </w:pPr>
            <w:r>
              <w:rPr>
                <w:sz w:val="18"/>
              </w:rPr>
              <w:t>38.364</w:t>
            </w:r>
          </w:p>
        </w:tc>
        <w:tc>
          <w:tcPr>
            <w:tcW w:w="1468" w:type="dxa"/>
            <w:tcBorders>
              <w:top w:val="nil"/>
              <w:left w:val="single" w:sz="8" w:space="0" w:color="000000"/>
              <w:bottom w:val="nil"/>
              <w:right w:val="single" w:sz="8" w:space="0" w:color="000000"/>
            </w:tcBorders>
          </w:tcPr>
          <w:p>
            <w:pPr>
              <w:pStyle w:val="TableParagraph"/>
              <w:spacing w:before="48"/>
              <w:ind w:right="35"/>
              <w:jc w:val="right"/>
              <w:rPr>
                <w:sz w:val="18"/>
              </w:rPr>
            </w:pPr>
            <w:r>
              <w:rPr>
                <w:sz w:val="18"/>
              </w:rPr>
              <w:t>.598</w:t>
            </w:r>
          </w:p>
        </w:tc>
        <w:tc>
          <w:tcPr>
            <w:tcW w:w="1468" w:type="dxa"/>
            <w:tcBorders>
              <w:top w:val="nil"/>
              <w:left w:val="single" w:sz="8" w:space="0" w:color="000000"/>
              <w:bottom w:val="nil"/>
            </w:tcBorders>
          </w:tcPr>
          <w:p>
            <w:pPr>
              <w:pStyle w:val="TableParagraph"/>
              <w:spacing w:before="48"/>
              <w:ind w:right="31"/>
              <w:jc w:val="right"/>
              <w:rPr>
                <w:sz w:val="18"/>
              </w:rPr>
            </w:pPr>
            <w:r>
              <w:rPr>
                <w:sz w:val="18"/>
              </w:rPr>
              <w:t>.707</w:t>
            </w:r>
          </w:p>
        </w:tc>
      </w:tr>
      <w:tr>
        <w:trPr>
          <w:trHeight w:val="309" w:hRule="atLeast"/>
        </w:trPr>
        <w:tc>
          <w:tcPr>
            <w:tcW w:w="871" w:type="dxa"/>
            <w:tcBorders>
              <w:top w:val="nil"/>
              <w:bottom w:val="nil"/>
            </w:tcBorders>
          </w:tcPr>
          <w:p>
            <w:pPr>
              <w:pStyle w:val="TableParagraph"/>
              <w:spacing w:before="47"/>
              <w:ind w:left="57" w:right="149"/>
              <w:jc w:val="center"/>
              <w:rPr>
                <w:sz w:val="18"/>
              </w:rPr>
            </w:pPr>
            <w:r>
              <w:rPr>
                <w:sz w:val="18"/>
              </w:rPr>
              <w:t>CLDV5</w:t>
            </w:r>
          </w:p>
        </w:tc>
        <w:tc>
          <w:tcPr>
            <w:tcW w:w="1469" w:type="dxa"/>
            <w:tcBorders>
              <w:top w:val="nil"/>
              <w:bottom w:val="nil"/>
              <w:right w:val="single" w:sz="8" w:space="0" w:color="000000"/>
            </w:tcBorders>
          </w:tcPr>
          <w:p>
            <w:pPr>
              <w:pStyle w:val="TableParagraph"/>
              <w:spacing w:before="47"/>
              <w:ind w:right="36"/>
              <w:jc w:val="right"/>
              <w:rPr>
                <w:sz w:val="18"/>
              </w:rPr>
            </w:pPr>
            <w:r>
              <w:rPr>
                <w:sz w:val="18"/>
              </w:rPr>
              <w:t>32.78</w:t>
            </w:r>
          </w:p>
        </w:tc>
        <w:tc>
          <w:tcPr>
            <w:tcW w:w="1468" w:type="dxa"/>
            <w:tcBorders>
              <w:top w:val="nil"/>
              <w:left w:val="single" w:sz="8" w:space="0" w:color="000000"/>
              <w:bottom w:val="nil"/>
              <w:right w:val="single" w:sz="8" w:space="0" w:color="000000"/>
            </w:tcBorders>
          </w:tcPr>
          <w:p>
            <w:pPr>
              <w:pStyle w:val="TableParagraph"/>
              <w:spacing w:before="47"/>
              <w:ind w:right="36"/>
              <w:jc w:val="right"/>
              <w:rPr>
                <w:sz w:val="18"/>
              </w:rPr>
            </w:pPr>
            <w:r>
              <w:rPr>
                <w:sz w:val="18"/>
              </w:rPr>
              <w:t>40.417</w:t>
            </w:r>
          </w:p>
        </w:tc>
        <w:tc>
          <w:tcPr>
            <w:tcW w:w="1468" w:type="dxa"/>
            <w:tcBorders>
              <w:top w:val="nil"/>
              <w:left w:val="single" w:sz="8" w:space="0" w:color="000000"/>
              <w:bottom w:val="nil"/>
              <w:right w:val="single" w:sz="8" w:space="0" w:color="000000"/>
            </w:tcBorders>
          </w:tcPr>
          <w:p>
            <w:pPr>
              <w:pStyle w:val="TableParagraph"/>
              <w:spacing w:before="47"/>
              <w:ind w:right="34"/>
              <w:jc w:val="right"/>
              <w:rPr>
                <w:sz w:val="18"/>
              </w:rPr>
            </w:pPr>
            <w:r>
              <w:rPr>
                <w:sz w:val="18"/>
              </w:rPr>
              <w:t>.221</w:t>
            </w:r>
          </w:p>
        </w:tc>
        <w:tc>
          <w:tcPr>
            <w:tcW w:w="1468" w:type="dxa"/>
            <w:tcBorders>
              <w:top w:val="nil"/>
              <w:left w:val="single" w:sz="8" w:space="0" w:color="000000"/>
              <w:bottom w:val="nil"/>
            </w:tcBorders>
          </w:tcPr>
          <w:p>
            <w:pPr>
              <w:pStyle w:val="TableParagraph"/>
              <w:spacing w:before="47"/>
              <w:ind w:right="30"/>
              <w:jc w:val="right"/>
              <w:rPr>
                <w:sz w:val="18"/>
              </w:rPr>
            </w:pPr>
            <w:r>
              <w:rPr>
                <w:sz w:val="18"/>
              </w:rPr>
              <w:t>.763</w:t>
            </w:r>
          </w:p>
        </w:tc>
      </w:tr>
      <w:tr>
        <w:trPr>
          <w:trHeight w:val="310" w:hRule="atLeast"/>
        </w:trPr>
        <w:tc>
          <w:tcPr>
            <w:tcW w:w="871" w:type="dxa"/>
            <w:tcBorders>
              <w:top w:val="nil"/>
              <w:bottom w:val="nil"/>
            </w:tcBorders>
          </w:tcPr>
          <w:p>
            <w:pPr>
              <w:pStyle w:val="TableParagraph"/>
              <w:spacing w:before="47"/>
              <w:ind w:left="57" w:right="149"/>
              <w:jc w:val="center"/>
              <w:rPr>
                <w:sz w:val="18"/>
              </w:rPr>
            </w:pPr>
            <w:r>
              <w:rPr>
                <w:sz w:val="18"/>
              </w:rPr>
              <w:t>CLDV6</w:t>
            </w:r>
          </w:p>
        </w:tc>
        <w:tc>
          <w:tcPr>
            <w:tcW w:w="1469" w:type="dxa"/>
            <w:tcBorders>
              <w:top w:val="nil"/>
              <w:bottom w:val="nil"/>
              <w:right w:val="single" w:sz="8" w:space="0" w:color="000000"/>
            </w:tcBorders>
          </w:tcPr>
          <w:p>
            <w:pPr>
              <w:pStyle w:val="TableParagraph"/>
              <w:spacing w:before="47"/>
              <w:ind w:right="36"/>
              <w:jc w:val="right"/>
              <w:rPr>
                <w:sz w:val="18"/>
              </w:rPr>
            </w:pPr>
            <w:r>
              <w:rPr>
                <w:sz w:val="18"/>
              </w:rPr>
              <w:t>31.16</w:t>
            </w:r>
          </w:p>
        </w:tc>
        <w:tc>
          <w:tcPr>
            <w:tcW w:w="1468" w:type="dxa"/>
            <w:tcBorders>
              <w:top w:val="nil"/>
              <w:left w:val="single" w:sz="8" w:space="0" w:color="000000"/>
              <w:bottom w:val="nil"/>
              <w:right w:val="single" w:sz="8" w:space="0" w:color="000000"/>
            </w:tcBorders>
          </w:tcPr>
          <w:p>
            <w:pPr>
              <w:pStyle w:val="TableParagraph"/>
              <w:spacing w:before="47"/>
              <w:ind w:right="37"/>
              <w:jc w:val="right"/>
              <w:rPr>
                <w:sz w:val="18"/>
              </w:rPr>
            </w:pPr>
            <w:r>
              <w:rPr>
                <w:sz w:val="18"/>
              </w:rPr>
              <w:t>37.783</w:t>
            </w:r>
          </w:p>
        </w:tc>
        <w:tc>
          <w:tcPr>
            <w:tcW w:w="1468" w:type="dxa"/>
            <w:tcBorders>
              <w:top w:val="nil"/>
              <w:left w:val="single" w:sz="8" w:space="0" w:color="000000"/>
              <w:bottom w:val="nil"/>
              <w:right w:val="single" w:sz="8" w:space="0" w:color="000000"/>
            </w:tcBorders>
          </w:tcPr>
          <w:p>
            <w:pPr>
              <w:pStyle w:val="TableParagraph"/>
              <w:spacing w:before="47"/>
              <w:ind w:right="35"/>
              <w:jc w:val="right"/>
              <w:rPr>
                <w:sz w:val="18"/>
              </w:rPr>
            </w:pPr>
            <w:r>
              <w:rPr>
                <w:sz w:val="18"/>
              </w:rPr>
              <w:t>.515</w:t>
            </w:r>
          </w:p>
        </w:tc>
        <w:tc>
          <w:tcPr>
            <w:tcW w:w="1468" w:type="dxa"/>
            <w:tcBorders>
              <w:top w:val="nil"/>
              <w:left w:val="single" w:sz="8" w:space="0" w:color="000000"/>
              <w:bottom w:val="nil"/>
            </w:tcBorders>
          </w:tcPr>
          <w:p>
            <w:pPr>
              <w:pStyle w:val="TableParagraph"/>
              <w:spacing w:before="47"/>
              <w:ind w:right="30"/>
              <w:jc w:val="right"/>
              <w:rPr>
                <w:sz w:val="18"/>
              </w:rPr>
            </w:pPr>
            <w:r>
              <w:rPr>
                <w:sz w:val="18"/>
              </w:rPr>
              <w:t>.714</w:t>
            </w:r>
          </w:p>
        </w:tc>
      </w:tr>
      <w:tr>
        <w:trPr>
          <w:trHeight w:val="310" w:hRule="atLeast"/>
        </w:trPr>
        <w:tc>
          <w:tcPr>
            <w:tcW w:w="871" w:type="dxa"/>
            <w:tcBorders>
              <w:top w:val="nil"/>
              <w:bottom w:val="nil"/>
            </w:tcBorders>
          </w:tcPr>
          <w:p>
            <w:pPr>
              <w:pStyle w:val="TableParagraph"/>
              <w:spacing w:before="48"/>
              <w:ind w:left="57" w:right="149"/>
              <w:jc w:val="center"/>
              <w:rPr>
                <w:sz w:val="18"/>
              </w:rPr>
            </w:pPr>
            <w:r>
              <w:rPr>
                <w:sz w:val="18"/>
              </w:rPr>
              <w:t>CLDV7</w:t>
            </w:r>
          </w:p>
        </w:tc>
        <w:tc>
          <w:tcPr>
            <w:tcW w:w="1469" w:type="dxa"/>
            <w:tcBorders>
              <w:top w:val="nil"/>
              <w:bottom w:val="nil"/>
              <w:right w:val="single" w:sz="8" w:space="0" w:color="000000"/>
            </w:tcBorders>
          </w:tcPr>
          <w:p>
            <w:pPr>
              <w:pStyle w:val="TableParagraph"/>
              <w:spacing w:before="48"/>
              <w:ind w:right="36"/>
              <w:jc w:val="right"/>
              <w:rPr>
                <w:sz w:val="18"/>
              </w:rPr>
            </w:pPr>
            <w:r>
              <w:rPr>
                <w:sz w:val="18"/>
              </w:rPr>
              <w:t>31.02</w:t>
            </w:r>
          </w:p>
        </w:tc>
        <w:tc>
          <w:tcPr>
            <w:tcW w:w="1468" w:type="dxa"/>
            <w:tcBorders>
              <w:top w:val="nil"/>
              <w:left w:val="single" w:sz="8" w:space="0" w:color="000000"/>
              <w:bottom w:val="nil"/>
              <w:right w:val="single" w:sz="8" w:space="0" w:color="000000"/>
            </w:tcBorders>
          </w:tcPr>
          <w:p>
            <w:pPr>
              <w:pStyle w:val="TableParagraph"/>
              <w:spacing w:before="48"/>
              <w:ind w:right="36"/>
              <w:jc w:val="right"/>
              <w:rPr>
                <w:sz w:val="18"/>
              </w:rPr>
            </w:pPr>
            <w:r>
              <w:rPr>
                <w:sz w:val="18"/>
              </w:rPr>
              <w:t>36.895</w:t>
            </w:r>
          </w:p>
        </w:tc>
        <w:tc>
          <w:tcPr>
            <w:tcW w:w="1468" w:type="dxa"/>
            <w:tcBorders>
              <w:top w:val="nil"/>
              <w:left w:val="single" w:sz="8" w:space="0" w:color="000000"/>
              <w:bottom w:val="nil"/>
              <w:right w:val="single" w:sz="8" w:space="0" w:color="000000"/>
            </w:tcBorders>
          </w:tcPr>
          <w:p>
            <w:pPr>
              <w:pStyle w:val="TableParagraph"/>
              <w:spacing w:before="48"/>
              <w:ind w:right="34"/>
              <w:jc w:val="right"/>
              <w:rPr>
                <w:sz w:val="18"/>
              </w:rPr>
            </w:pPr>
            <w:r>
              <w:rPr>
                <w:sz w:val="18"/>
              </w:rPr>
              <w:t>.650</w:t>
            </w:r>
          </w:p>
        </w:tc>
        <w:tc>
          <w:tcPr>
            <w:tcW w:w="1468" w:type="dxa"/>
            <w:tcBorders>
              <w:top w:val="nil"/>
              <w:left w:val="single" w:sz="8" w:space="0" w:color="000000"/>
              <w:bottom w:val="nil"/>
            </w:tcBorders>
          </w:tcPr>
          <w:p>
            <w:pPr>
              <w:pStyle w:val="TableParagraph"/>
              <w:spacing w:before="48"/>
              <w:ind w:right="30"/>
              <w:jc w:val="right"/>
              <w:rPr>
                <w:sz w:val="18"/>
              </w:rPr>
            </w:pPr>
            <w:r>
              <w:rPr>
                <w:sz w:val="18"/>
              </w:rPr>
              <w:t>.697</w:t>
            </w:r>
          </w:p>
        </w:tc>
      </w:tr>
      <w:tr>
        <w:trPr>
          <w:trHeight w:val="309" w:hRule="atLeast"/>
        </w:trPr>
        <w:tc>
          <w:tcPr>
            <w:tcW w:w="871" w:type="dxa"/>
            <w:tcBorders>
              <w:top w:val="nil"/>
              <w:bottom w:val="nil"/>
            </w:tcBorders>
          </w:tcPr>
          <w:p>
            <w:pPr>
              <w:pStyle w:val="TableParagraph"/>
              <w:spacing w:before="47"/>
              <w:ind w:left="57" w:right="149"/>
              <w:jc w:val="center"/>
              <w:rPr>
                <w:sz w:val="18"/>
              </w:rPr>
            </w:pPr>
            <w:r>
              <w:rPr>
                <w:sz w:val="18"/>
              </w:rPr>
              <w:t>CLDV8</w:t>
            </w:r>
          </w:p>
        </w:tc>
        <w:tc>
          <w:tcPr>
            <w:tcW w:w="1469" w:type="dxa"/>
            <w:tcBorders>
              <w:top w:val="nil"/>
              <w:bottom w:val="nil"/>
              <w:right w:val="single" w:sz="8" w:space="0" w:color="000000"/>
            </w:tcBorders>
          </w:tcPr>
          <w:p>
            <w:pPr>
              <w:pStyle w:val="TableParagraph"/>
              <w:spacing w:before="47"/>
              <w:ind w:right="37"/>
              <w:jc w:val="right"/>
              <w:rPr>
                <w:sz w:val="18"/>
              </w:rPr>
            </w:pPr>
            <w:r>
              <w:rPr>
                <w:sz w:val="18"/>
              </w:rPr>
              <w:t>30.88</w:t>
            </w:r>
          </w:p>
        </w:tc>
        <w:tc>
          <w:tcPr>
            <w:tcW w:w="1468" w:type="dxa"/>
            <w:tcBorders>
              <w:top w:val="nil"/>
              <w:left w:val="single" w:sz="8" w:space="0" w:color="000000"/>
              <w:bottom w:val="nil"/>
              <w:right w:val="single" w:sz="8" w:space="0" w:color="000000"/>
            </w:tcBorders>
          </w:tcPr>
          <w:p>
            <w:pPr>
              <w:pStyle w:val="TableParagraph"/>
              <w:spacing w:before="47"/>
              <w:ind w:right="36"/>
              <w:jc w:val="right"/>
              <w:rPr>
                <w:sz w:val="18"/>
              </w:rPr>
            </w:pPr>
            <w:r>
              <w:rPr>
                <w:sz w:val="18"/>
              </w:rPr>
              <w:t>38.463</w:t>
            </w:r>
          </w:p>
        </w:tc>
        <w:tc>
          <w:tcPr>
            <w:tcW w:w="1468" w:type="dxa"/>
            <w:tcBorders>
              <w:top w:val="nil"/>
              <w:left w:val="single" w:sz="8" w:space="0" w:color="000000"/>
              <w:bottom w:val="nil"/>
              <w:right w:val="single" w:sz="8" w:space="0" w:color="000000"/>
            </w:tcBorders>
          </w:tcPr>
          <w:p>
            <w:pPr>
              <w:pStyle w:val="TableParagraph"/>
              <w:spacing w:before="47"/>
              <w:ind w:right="34"/>
              <w:jc w:val="right"/>
              <w:rPr>
                <w:sz w:val="18"/>
              </w:rPr>
            </w:pPr>
            <w:r>
              <w:rPr>
                <w:sz w:val="18"/>
              </w:rPr>
              <w:t>.603</w:t>
            </w:r>
          </w:p>
        </w:tc>
        <w:tc>
          <w:tcPr>
            <w:tcW w:w="1468" w:type="dxa"/>
            <w:tcBorders>
              <w:top w:val="nil"/>
              <w:left w:val="single" w:sz="8" w:space="0" w:color="000000"/>
              <w:bottom w:val="nil"/>
            </w:tcBorders>
          </w:tcPr>
          <w:p>
            <w:pPr>
              <w:pStyle w:val="TableParagraph"/>
              <w:spacing w:before="47"/>
              <w:ind w:right="32"/>
              <w:jc w:val="right"/>
              <w:rPr>
                <w:sz w:val="18"/>
              </w:rPr>
            </w:pPr>
            <w:r>
              <w:rPr>
                <w:sz w:val="18"/>
              </w:rPr>
              <w:t>.707</w:t>
            </w:r>
          </w:p>
        </w:tc>
      </w:tr>
      <w:tr>
        <w:trPr>
          <w:trHeight w:val="310" w:hRule="atLeast"/>
        </w:trPr>
        <w:tc>
          <w:tcPr>
            <w:tcW w:w="871" w:type="dxa"/>
            <w:tcBorders>
              <w:top w:val="nil"/>
              <w:bottom w:val="nil"/>
            </w:tcBorders>
          </w:tcPr>
          <w:p>
            <w:pPr>
              <w:pStyle w:val="TableParagraph"/>
              <w:spacing w:before="47"/>
              <w:ind w:left="57" w:right="149"/>
              <w:jc w:val="center"/>
              <w:rPr>
                <w:sz w:val="18"/>
              </w:rPr>
            </w:pPr>
            <w:r>
              <w:rPr>
                <w:sz w:val="18"/>
              </w:rPr>
              <w:t>CLDV9</w:t>
            </w:r>
          </w:p>
        </w:tc>
        <w:tc>
          <w:tcPr>
            <w:tcW w:w="1469" w:type="dxa"/>
            <w:tcBorders>
              <w:top w:val="nil"/>
              <w:bottom w:val="nil"/>
              <w:right w:val="single" w:sz="8" w:space="0" w:color="000000"/>
            </w:tcBorders>
          </w:tcPr>
          <w:p>
            <w:pPr>
              <w:pStyle w:val="TableParagraph"/>
              <w:spacing w:before="47"/>
              <w:ind w:right="36"/>
              <w:jc w:val="right"/>
              <w:rPr>
                <w:sz w:val="18"/>
              </w:rPr>
            </w:pPr>
            <w:r>
              <w:rPr>
                <w:sz w:val="18"/>
              </w:rPr>
              <w:t>32.11</w:t>
            </w:r>
          </w:p>
        </w:tc>
        <w:tc>
          <w:tcPr>
            <w:tcW w:w="1468" w:type="dxa"/>
            <w:tcBorders>
              <w:top w:val="nil"/>
              <w:left w:val="single" w:sz="8" w:space="0" w:color="000000"/>
              <w:bottom w:val="nil"/>
              <w:right w:val="single" w:sz="8" w:space="0" w:color="000000"/>
            </w:tcBorders>
          </w:tcPr>
          <w:p>
            <w:pPr>
              <w:pStyle w:val="TableParagraph"/>
              <w:spacing w:before="47"/>
              <w:ind w:right="36"/>
              <w:jc w:val="right"/>
              <w:rPr>
                <w:sz w:val="18"/>
              </w:rPr>
            </w:pPr>
            <w:r>
              <w:rPr>
                <w:sz w:val="18"/>
              </w:rPr>
              <w:t>42.240</w:t>
            </w:r>
          </w:p>
        </w:tc>
        <w:tc>
          <w:tcPr>
            <w:tcW w:w="1468" w:type="dxa"/>
            <w:tcBorders>
              <w:top w:val="nil"/>
              <w:left w:val="single" w:sz="8" w:space="0" w:color="000000"/>
              <w:bottom w:val="nil"/>
              <w:right w:val="single" w:sz="8" w:space="0" w:color="000000"/>
            </w:tcBorders>
          </w:tcPr>
          <w:p>
            <w:pPr>
              <w:pStyle w:val="TableParagraph"/>
              <w:spacing w:before="47"/>
              <w:ind w:right="34"/>
              <w:jc w:val="right"/>
              <w:rPr>
                <w:sz w:val="18"/>
              </w:rPr>
            </w:pPr>
            <w:r>
              <w:rPr>
                <w:sz w:val="18"/>
              </w:rPr>
              <w:t>.115</w:t>
            </w:r>
          </w:p>
        </w:tc>
        <w:tc>
          <w:tcPr>
            <w:tcW w:w="1468" w:type="dxa"/>
            <w:tcBorders>
              <w:top w:val="nil"/>
              <w:left w:val="single" w:sz="8" w:space="0" w:color="000000"/>
              <w:bottom w:val="nil"/>
            </w:tcBorders>
          </w:tcPr>
          <w:p>
            <w:pPr>
              <w:pStyle w:val="TableParagraph"/>
              <w:spacing w:before="47"/>
              <w:ind w:right="30"/>
              <w:jc w:val="right"/>
              <w:rPr>
                <w:sz w:val="18"/>
              </w:rPr>
            </w:pPr>
            <w:r>
              <w:rPr>
                <w:sz w:val="18"/>
              </w:rPr>
              <w:t>.782</w:t>
            </w:r>
          </w:p>
        </w:tc>
      </w:tr>
      <w:tr>
        <w:trPr>
          <w:trHeight w:val="357" w:hRule="atLeast"/>
        </w:trPr>
        <w:tc>
          <w:tcPr>
            <w:tcW w:w="871" w:type="dxa"/>
            <w:tcBorders>
              <w:top w:val="nil"/>
            </w:tcBorders>
          </w:tcPr>
          <w:p>
            <w:pPr>
              <w:pStyle w:val="TableParagraph"/>
              <w:spacing w:before="48"/>
              <w:ind w:left="57" w:right="58"/>
              <w:jc w:val="center"/>
              <w:rPr>
                <w:sz w:val="18"/>
              </w:rPr>
            </w:pPr>
            <w:r>
              <w:rPr>
                <w:sz w:val="18"/>
              </w:rPr>
              <w:t>CLDV10</w:t>
            </w:r>
          </w:p>
        </w:tc>
        <w:tc>
          <w:tcPr>
            <w:tcW w:w="1469" w:type="dxa"/>
            <w:tcBorders>
              <w:top w:val="nil"/>
              <w:right w:val="single" w:sz="8" w:space="0" w:color="000000"/>
            </w:tcBorders>
          </w:tcPr>
          <w:p>
            <w:pPr>
              <w:pStyle w:val="TableParagraph"/>
              <w:spacing w:before="48"/>
              <w:ind w:right="36"/>
              <w:jc w:val="right"/>
              <w:rPr>
                <w:sz w:val="18"/>
              </w:rPr>
            </w:pPr>
            <w:r>
              <w:rPr>
                <w:sz w:val="18"/>
              </w:rPr>
              <w:t>31.09</w:t>
            </w:r>
          </w:p>
        </w:tc>
        <w:tc>
          <w:tcPr>
            <w:tcW w:w="1468" w:type="dxa"/>
            <w:tcBorders>
              <w:top w:val="nil"/>
              <w:left w:val="single" w:sz="8" w:space="0" w:color="000000"/>
              <w:right w:val="single" w:sz="8" w:space="0" w:color="000000"/>
            </w:tcBorders>
          </w:tcPr>
          <w:p>
            <w:pPr>
              <w:pStyle w:val="TableParagraph"/>
              <w:spacing w:before="48"/>
              <w:ind w:right="36"/>
              <w:jc w:val="right"/>
              <w:rPr>
                <w:sz w:val="18"/>
              </w:rPr>
            </w:pPr>
            <w:r>
              <w:rPr>
                <w:sz w:val="18"/>
              </w:rPr>
              <w:t>39.506</w:t>
            </w:r>
          </w:p>
        </w:tc>
        <w:tc>
          <w:tcPr>
            <w:tcW w:w="1468" w:type="dxa"/>
            <w:tcBorders>
              <w:top w:val="nil"/>
              <w:left w:val="single" w:sz="8" w:space="0" w:color="000000"/>
              <w:right w:val="single" w:sz="8" w:space="0" w:color="000000"/>
            </w:tcBorders>
          </w:tcPr>
          <w:p>
            <w:pPr>
              <w:pStyle w:val="TableParagraph"/>
              <w:spacing w:before="48"/>
              <w:ind w:right="35"/>
              <w:jc w:val="right"/>
              <w:rPr>
                <w:sz w:val="18"/>
              </w:rPr>
            </w:pPr>
            <w:r>
              <w:rPr>
                <w:sz w:val="18"/>
              </w:rPr>
              <w:t>.443</w:t>
            </w:r>
          </w:p>
        </w:tc>
        <w:tc>
          <w:tcPr>
            <w:tcW w:w="1468" w:type="dxa"/>
            <w:tcBorders>
              <w:top w:val="nil"/>
              <w:left w:val="single" w:sz="8" w:space="0" w:color="000000"/>
            </w:tcBorders>
          </w:tcPr>
          <w:p>
            <w:pPr>
              <w:pStyle w:val="TableParagraph"/>
              <w:spacing w:before="48"/>
              <w:ind w:right="30"/>
              <w:jc w:val="right"/>
              <w:rPr>
                <w:sz w:val="18"/>
              </w:rPr>
            </w:pPr>
            <w:r>
              <w:rPr>
                <w:sz w:val="18"/>
              </w:rPr>
              <w:t>.725</w:t>
            </w:r>
          </w:p>
        </w:tc>
      </w:tr>
    </w:tbl>
    <w:p>
      <w:pPr>
        <w:pStyle w:val="BodyText"/>
        <w:rPr>
          <w:b/>
          <w:sz w:val="20"/>
        </w:rPr>
      </w:pPr>
    </w:p>
    <w:p>
      <w:pPr>
        <w:pStyle w:val="BodyText"/>
        <w:rPr>
          <w:b/>
          <w:sz w:val="20"/>
        </w:rPr>
      </w:pPr>
    </w:p>
    <w:p>
      <w:pPr>
        <w:pStyle w:val="BodyText"/>
        <w:rPr>
          <w:b/>
          <w:sz w:val="20"/>
        </w:rPr>
      </w:pPr>
    </w:p>
    <w:p>
      <w:pPr>
        <w:pStyle w:val="BodyText"/>
        <w:spacing w:before="10"/>
        <w:rPr>
          <w:b/>
          <w:sz w:val="21"/>
        </w:rPr>
      </w:pPr>
    </w:p>
    <w:p>
      <w:pPr>
        <w:spacing w:before="93"/>
        <w:ind w:left="1450" w:right="0" w:firstLine="0"/>
        <w:jc w:val="left"/>
        <w:rPr>
          <w:b/>
          <w:sz w:val="18"/>
        </w:rPr>
      </w:pPr>
      <w:r>
        <w:rPr>
          <w:b/>
          <w:sz w:val="18"/>
        </w:rPr>
        <w:t>Reliability Statistics</w:t>
      </w:r>
    </w:p>
    <w:p>
      <w:pPr>
        <w:pStyle w:val="BodyText"/>
        <w:spacing w:before="10"/>
        <w:rPr>
          <w:b/>
          <w:sz w:val="8"/>
        </w:rPr>
      </w:pPr>
    </w:p>
    <w:tbl>
      <w:tblPr>
        <w:tblW w:w="0" w:type="auto"/>
        <w:jc w:val="left"/>
        <w:tblInd w:w="907" w:type="dxa"/>
        <w:tblBorders>
          <w:top w:val="single" w:sz="18" w:space="0" w:color="000000"/>
          <w:left w:val="single" w:sz="18" w:space="0" w:color="000000"/>
          <w:bottom w:val="single" w:sz="18" w:space="0" w:color="000000"/>
          <w:right w:val="single" w:sz="18" w:space="0" w:color="000000"/>
          <w:insideH w:val="single" w:sz="18" w:space="0" w:color="000000"/>
          <w:insideV w:val="single" w:sz="18" w:space="0" w:color="000000"/>
        </w:tblBorders>
        <w:tblLayout w:type="fixed"/>
        <w:tblCellMar>
          <w:top w:w="0" w:type="dxa"/>
          <w:left w:w="0" w:type="dxa"/>
          <w:bottom w:w="0" w:type="dxa"/>
          <w:right w:w="0" w:type="dxa"/>
        </w:tblCellMar>
        <w:tblLook w:val="01E0"/>
      </w:tblPr>
      <w:tblGrid>
        <w:gridCol w:w="1512"/>
        <w:gridCol w:w="1165"/>
      </w:tblGrid>
      <w:tr>
        <w:trPr>
          <w:trHeight w:val="305" w:hRule="atLeast"/>
        </w:trPr>
        <w:tc>
          <w:tcPr>
            <w:tcW w:w="1512" w:type="dxa"/>
            <w:tcBorders>
              <w:right w:val="single" w:sz="8" w:space="0" w:color="000000"/>
            </w:tcBorders>
          </w:tcPr>
          <w:p>
            <w:pPr>
              <w:pStyle w:val="TableParagraph"/>
              <w:spacing w:line="206" w:lineRule="exact"/>
              <w:ind w:right="75"/>
              <w:jc w:val="right"/>
              <w:rPr>
                <w:sz w:val="18"/>
              </w:rPr>
            </w:pPr>
            <w:r>
              <w:rPr>
                <w:sz w:val="18"/>
              </w:rPr>
              <w:t>Cronbach's Alpha</w:t>
            </w:r>
          </w:p>
        </w:tc>
        <w:tc>
          <w:tcPr>
            <w:tcW w:w="1165" w:type="dxa"/>
            <w:tcBorders>
              <w:left w:val="single" w:sz="8" w:space="0" w:color="000000"/>
            </w:tcBorders>
          </w:tcPr>
          <w:p>
            <w:pPr>
              <w:pStyle w:val="TableParagraph"/>
              <w:spacing w:line="206" w:lineRule="exact"/>
              <w:ind w:left="201"/>
              <w:rPr>
                <w:sz w:val="18"/>
              </w:rPr>
            </w:pPr>
            <w:r>
              <w:rPr>
                <w:sz w:val="18"/>
              </w:rPr>
              <w:t>N of Items</w:t>
            </w:r>
          </w:p>
        </w:tc>
      </w:tr>
      <w:tr>
        <w:trPr>
          <w:trHeight w:val="307" w:hRule="atLeast"/>
        </w:trPr>
        <w:tc>
          <w:tcPr>
            <w:tcW w:w="1512" w:type="dxa"/>
            <w:tcBorders>
              <w:right w:val="single" w:sz="8" w:space="0" w:color="000000"/>
            </w:tcBorders>
          </w:tcPr>
          <w:p>
            <w:pPr>
              <w:pStyle w:val="TableParagraph"/>
              <w:spacing w:line="206" w:lineRule="exact"/>
              <w:ind w:right="37"/>
              <w:jc w:val="right"/>
              <w:rPr>
                <w:sz w:val="18"/>
              </w:rPr>
            </w:pPr>
            <w:r>
              <w:rPr>
                <w:sz w:val="18"/>
              </w:rPr>
              <w:t>.868</w:t>
            </w:r>
          </w:p>
        </w:tc>
        <w:tc>
          <w:tcPr>
            <w:tcW w:w="1165" w:type="dxa"/>
            <w:tcBorders>
              <w:left w:val="single" w:sz="8" w:space="0" w:color="000000"/>
            </w:tcBorders>
          </w:tcPr>
          <w:p>
            <w:pPr>
              <w:pStyle w:val="TableParagraph"/>
              <w:spacing w:line="206" w:lineRule="exact"/>
              <w:ind w:right="37"/>
              <w:jc w:val="right"/>
              <w:rPr>
                <w:sz w:val="18"/>
              </w:rPr>
            </w:pPr>
            <w:r>
              <w:rPr>
                <w:sz w:val="18"/>
              </w:rPr>
              <w:t>7</w:t>
            </w:r>
          </w:p>
        </w:tc>
      </w:tr>
    </w:tbl>
    <w:p>
      <w:pPr>
        <w:pStyle w:val="BodyText"/>
        <w:rPr>
          <w:b/>
          <w:sz w:val="20"/>
        </w:rPr>
      </w:pPr>
    </w:p>
    <w:p>
      <w:pPr>
        <w:pStyle w:val="BodyText"/>
        <w:spacing w:before="1"/>
        <w:rPr>
          <w:b/>
          <w:sz w:val="16"/>
        </w:rPr>
      </w:pPr>
    </w:p>
    <w:p>
      <w:pPr>
        <w:spacing w:before="0"/>
        <w:ind w:left="3472" w:right="0" w:firstLine="0"/>
        <w:jc w:val="left"/>
        <w:rPr>
          <w:b/>
          <w:sz w:val="18"/>
        </w:rPr>
      </w:pPr>
      <w:r>
        <w:rPr>
          <w:b/>
          <w:sz w:val="18"/>
        </w:rPr>
        <w:t>Item-Total Statistics</w:t>
      </w:r>
    </w:p>
    <w:p>
      <w:pPr>
        <w:pStyle w:val="BodyText"/>
        <w:spacing w:before="10" w:after="1"/>
        <w:rPr>
          <w:b/>
          <w:sz w:val="8"/>
        </w:rPr>
      </w:pPr>
    </w:p>
    <w:tbl>
      <w:tblPr>
        <w:tblW w:w="0" w:type="auto"/>
        <w:jc w:val="left"/>
        <w:tblInd w:w="907" w:type="dxa"/>
        <w:tblBorders>
          <w:top w:val="single" w:sz="18" w:space="0" w:color="000000"/>
          <w:left w:val="single" w:sz="18" w:space="0" w:color="000000"/>
          <w:bottom w:val="single" w:sz="18" w:space="0" w:color="000000"/>
          <w:right w:val="single" w:sz="18" w:space="0" w:color="000000"/>
          <w:insideH w:val="single" w:sz="18" w:space="0" w:color="000000"/>
          <w:insideV w:val="single" w:sz="18" w:space="0" w:color="000000"/>
        </w:tblBorders>
        <w:tblLayout w:type="fixed"/>
        <w:tblCellMar>
          <w:top w:w="0" w:type="dxa"/>
          <w:left w:w="0" w:type="dxa"/>
          <w:bottom w:w="0" w:type="dxa"/>
          <w:right w:w="0" w:type="dxa"/>
        </w:tblCellMar>
        <w:tblLook w:val="01E0"/>
      </w:tblPr>
      <w:tblGrid>
        <w:gridCol w:w="871"/>
        <w:gridCol w:w="1469"/>
        <w:gridCol w:w="1468"/>
        <w:gridCol w:w="1468"/>
        <w:gridCol w:w="1468"/>
      </w:tblGrid>
      <w:tr>
        <w:trPr>
          <w:trHeight w:val="614" w:hRule="atLeast"/>
        </w:trPr>
        <w:tc>
          <w:tcPr>
            <w:tcW w:w="871" w:type="dxa"/>
          </w:tcPr>
          <w:p>
            <w:pPr>
              <w:pStyle w:val="TableParagraph"/>
              <w:rPr>
                <w:sz w:val="18"/>
              </w:rPr>
            </w:pPr>
          </w:p>
        </w:tc>
        <w:tc>
          <w:tcPr>
            <w:tcW w:w="1469" w:type="dxa"/>
            <w:tcBorders>
              <w:right w:val="single" w:sz="8" w:space="0" w:color="000000"/>
            </w:tcBorders>
          </w:tcPr>
          <w:p>
            <w:pPr>
              <w:pStyle w:val="TableParagraph"/>
              <w:spacing w:line="206" w:lineRule="exact"/>
              <w:ind w:left="234"/>
              <w:rPr>
                <w:sz w:val="18"/>
              </w:rPr>
            </w:pPr>
            <w:r>
              <w:rPr>
                <w:sz w:val="18"/>
              </w:rPr>
              <w:t>Scale Mean</w:t>
            </w:r>
            <w:r>
              <w:rPr>
                <w:spacing w:val="-4"/>
                <w:sz w:val="18"/>
              </w:rPr>
              <w:t> </w:t>
            </w:r>
            <w:r>
              <w:rPr>
                <w:sz w:val="18"/>
              </w:rPr>
              <w:t>if</w:t>
            </w:r>
          </w:p>
          <w:p>
            <w:pPr>
              <w:pStyle w:val="TableParagraph"/>
              <w:spacing w:before="102"/>
              <w:ind w:left="268"/>
              <w:rPr>
                <w:sz w:val="18"/>
              </w:rPr>
            </w:pPr>
            <w:r>
              <w:rPr>
                <w:sz w:val="18"/>
              </w:rPr>
              <w:t>Item</w:t>
            </w:r>
            <w:r>
              <w:rPr>
                <w:spacing w:val="-3"/>
                <w:sz w:val="18"/>
              </w:rPr>
              <w:t> </w:t>
            </w:r>
            <w:r>
              <w:rPr>
                <w:sz w:val="18"/>
              </w:rPr>
              <w:t>Deleted</w:t>
            </w:r>
          </w:p>
        </w:tc>
        <w:tc>
          <w:tcPr>
            <w:tcW w:w="1468" w:type="dxa"/>
            <w:tcBorders>
              <w:left w:val="single" w:sz="8" w:space="0" w:color="000000"/>
              <w:right w:val="single" w:sz="8" w:space="0" w:color="000000"/>
            </w:tcBorders>
          </w:tcPr>
          <w:p>
            <w:pPr>
              <w:pStyle w:val="TableParagraph"/>
              <w:spacing w:line="206" w:lineRule="exact"/>
              <w:ind w:left="101" w:right="62"/>
              <w:jc w:val="center"/>
              <w:rPr>
                <w:sz w:val="18"/>
              </w:rPr>
            </w:pPr>
            <w:r>
              <w:rPr>
                <w:sz w:val="18"/>
              </w:rPr>
              <w:t>Scale Variance if</w:t>
            </w:r>
          </w:p>
          <w:p>
            <w:pPr>
              <w:pStyle w:val="TableParagraph"/>
              <w:spacing w:before="102"/>
              <w:ind w:left="101" w:right="62"/>
              <w:jc w:val="center"/>
              <w:rPr>
                <w:sz w:val="18"/>
              </w:rPr>
            </w:pPr>
            <w:r>
              <w:rPr>
                <w:sz w:val="18"/>
              </w:rPr>
              <w:t>Item Deleted</w:t>
            </w:r>
          </w:p>
        </w:tc>
        <w:tc>
          <w:tcPr>
            <w:tcW w:w="1468" w:type="dxa"/>
            <w:tcBorders>
              <w:left w:val="single" w:sz="8" w:space="0" w:color="000000"/>
              <w:right w:val="single" w:sz="8" w:space="0" w:color="000000"/>
            </w:tcBorders>
          </w:tcPr>
          <w:p>
            <w:pPr>
              <w:pStyle w:val="TableParagraph"/>
              <w:spacing w:line="206" w:lineRule="exact"/>
              <w:ind w:left="171"/>
              <w:rPr>
                <w:sz w:val="18"/>
              </w:rPr>
            </w:pPr>
            <w:r>
              <w:rPr>
                <w:sz w:val="18"/>
              </w:rPr>
              <w:t>Corrected Item-</w:t>
            </w:r>
          </w:p>
          <w:p>
            <w:pPr>
              <w:pStyle w:val="TableParagraph"/>
              <w:spacing w:before="102"/>
              <w:ind w:left="120"/>
              <w:rPr>
                <w:sz w:val="18"/>
              </w:rPr>
            </w:pPr>
            <w:r>
              <w:rPr>
                <w:sz w:val="18"/>
              </w:rPr>
              <w:t>Total Correlation</w:t>
            </w:r>
          </w:p>
        </w:tc>
        <w:tc>
          <w:tcPr>
            <w:tcW w:w="1468" w:type="dxa"/>
            <w:tcBorders>
              <w:left w:val="single" w:sz="8" w:space="0" w:color="000000"/>
            </w:tcBorders>
          </w:tcPr>
          <w:p>
            <w:pPr>
              <w:pStyle w:val="TableParagraph"/>
              <w:spacing w:line="206" w:lineRule="exact"/>
              <w:ind w:right="48"/>
              <w:jc w:val="right"/>
              <w:rPr>
                <w:sz w:val="18"/>
              </w:rPr>
            </w:pPr>
            <w:r>
              <w:rPr>
                <w:sz w:val="18"/>
              </w:rPr>
              <w:t>Cronbach's Alpha</w:t>
            </w:r>
          </w:p>
          <w:p>
            <w:pPr>
              <w:pStyle w:val="TableParagraph"/>
              <w:spacing w:before="102"/>
              <w:ind w:right="146"/>
              <w:jc w:val="right"/>
              <w:rPr>
                <w:sz w:val="18"/>
              </w:rPr>
            </w:pPr>
            <w:r>
              <w:rPr>
                <w:sz w:val="18"/>
              </w:rPr>
              <w:t>if Item Deleted</w:t>
            </w:r>
          </w:p>
        </w:tc>
      </w:tr>
      <w:tr>
        <w:trPr>
          <w:trHeight w:val="261" w:hRule="atLeast"/>
        </w:trPr>
        <w:tc>
          <w:tcPr>
            <w:tcW w:w="871" w:type="dxa"/>
            <w:tcBorders>
              <w:bottom w:val="nil"/>
            </w:tcBorders>
          </w:tcPr>
          <w:p>
            <w:pPr>
              <w:pStyle w:val="TableParagraph"/>
              <w:spacing w:line="206" w:lineRule="exact"/>
              <w:ind w:left="57" w:right="149"/>
              <w:jc w:val="center"/>
              <w:rPr>
                <w:sz w:val="18"/>
              </w:rPr>
            </w:pPr>
            <w:r>
              <w:rPr>
                <w:sz w:val="18"/>
              </w:rPr>
              <w:t>CLDV1</w:t>
            </w:r>
          </w:p>
        </w:tc>
        <w:tc>
          <w:tcPr>
            <w:tcW w:w="1469" w:type="dxa"/>
            <w:tcBorders>
              <w:bottom w:val="nil"/>
              <w:right w:val="single" w:sz="8" w:space="0" w:color="000000"/>
            </w:tcBorders>
          </w:tcPr>
          <w:p>
            <w:pPr>
              <w:pStyle w:val="TableParagraph"/>
              <w:spacing w:line="206" w:lineRule="exact"/>
              <w:ind w:right="37"/>
              <w:jc w:val="right"/>
              <w:rPr>
                <w:sz w:val="18"/>
              </w:rPr>
            </w:pPr>
            <w:r>
              <w:rPr>
                <w:sz w:val="18"/>
              </w:rPr>
              <w:t>23.66</w:t>
            </w:r>
          </w:p>
        </w:tc>
        <w:tc>
          <w:tcPr>
            <w:tcW w:w="1468" w:type="dxa"/>
            <w:tcBorders>
              <w:left w:val="single" w:sz="8" w:space="0" w:color="000000"/>
              <w:bottom w:val="nil"/>
              <w:right w:val="single" w:sz="8" w:space="0" w:color="000000"/>
            </w:tcBorders>
          </w:tcPr>
          <w:p>
            <w:pPr>
              <w:pStyle w:val="TableParagraph"/>
              <w:spacing w:line="206" w:lineRule="exact"/>
              <w:ind w:right="35"/>
              <w:jc w:val="right"/>
              <w:rPr>
                <w:sz w:val="18"/>
              </w:rPr>
            </w:pPr>
            <w:r>
              <w:rPr>
                <w:sz w:val="18"/>
              </w:rPr>
              <w:t>23.373</w:t>
            </w:r>
          </w:p>
        </w:tc>
        <w:tc>
          <w:tcPr>
            <w:tcW w:w="1468" w:type="dxa"/>
            <w:tcBorders>
              <w:left w:val="single" w:sz="8" w:space="0" w:color="000000"/>
              <w:bottom w:val="nil"/>
              <w:right w:val="single" w:sz="8" w:space="0" w:color="000000"/>
            </w:tcBorders>
          </w:tcPr>
          <w:p>
            <w:pPr>
              <w:pStyle w:val="TableParagraph"/>
              <w:spacing w:line="206" w:lineRule="exact"/>
              <w:ind w:right="34"/>
              <w:jc w:val="right"/>
              <w:rPr>
                <w:sz w:val="18"/>
              </w:rPr>
            </w:pPr>
            <w:r>
              <w:rPr>
                <w:sz w:val="18"/>
              </w:rPr>
              <w:t>.709</w:t>
            </w:r>
          </w:p>
        </w:tc>
        <w:tc>
          <w:tcPr>
            <w:tcW w:w="1468" w:type="dxa"/>
            <w:tcBorders>
              <w:left w:val="single" w:sz="8" w:space="0" w:color="000000"/>
              <w:bottom w:val="nil"/>
            </w:tcBorders>
          </w:tcPr>
          <w:p>
            <w:pPr>
              <w:pStyle w:val="TableParagraph"/>
              <w:spacing w:line="206" w:lineRule="exact"/>
              <w:ind w:right="30"/>
              <w:jc w:val="right"/>
              <w:rPr>
                <w:sz w:val="18"/>
              </w:rPr>
            </w:pPr>
            <w:r>
              <w:rPr>
                <w:sz w:val="18"/>
              </w:rPr>
              <w:t>.841</w:t>
            </w:r>
          </w:p>
        </w:tc>
      </w:tr>
      <w:tr>
        <w:trPr>
          <w:trHeight w:val="310" w:hRule="atLeast"/>
        </w:trPr>
        <w:tc>
          <w:tcPr>
            <w:tcW w:w="871" w:type="dxa"/>
            <w:tcBorders>
              <w:top w:val="nil"/>
              <w:bottom w:val="nil"/>
            </w:tcBorders>
          </w:tcPr>
          <w:p>
            <w:pPr>
              <w:pStyle w:val="TableParagraph"/>
              <w:spacing w:before="47"/>
              <w:ind w:left="57" w:right="149"/>
              <w:jc w:val="center"/>
              <w:rPr>
                <w:sz w:val="18"/>
              </w:rPr>
            </w:pPr>
            <w:r>
              <w:rPr>
                <w:sz w:val="18"/>
              </w:rPr>
              <w:t>CLDV3</w:t>
            </w:r>
          </w:p>
        </w:tc>
        <w:tc>
          <w:tcPr>
            <w:tcW w:w="1469" w:type="dxa"/>
            <w:tcBorders>
              <w:top w:val="nil"/>
              <w:bottom w:val="nil"/>
              <w:right w:val="single" w:sz="8" w:space="0" w:color="000000"/>
            </w:tcBorders>
          </w:tcPr>
          <w:p>
            <w:pPr>
              <w:pStyle w:val="TableParagraph"/>
              <w:spacing w:before="47"/>
              <w:ind w:right="36"/>
              <w:jc w:val="right"/>
              <w:rPr>
                <w:sz w:val="18"/>
              </w:rPr>
            </w:pPr>
            <w:r>
              <w:rPr>
                <w:sz w:val="18"/>
              </w:rPr>
              <w:t>23.59</w:t>
            </w:r>
          </w:p>
        </w:tc>
        <w:tc>
          <w:tcPr>
            <w:tcW w:w="1468" w:type="dxa"/>
            <w:tcBorders>
              <w:top w:val="nil"/>
              <w:left w:val="single" w:sz="8" w:space="0" w:color="000000"/>
              <w:bottom w:val="nil"/>
              <w:right w:val="single" w:sz="8" w:space="0" w:color="000000"/>
            </w:tcBorders>
          </w:tcPr>
          <w:p>
            <w:pPr>
              <w:pStyle w:val="TableParagraph"/>
              <w:spacing w:before="47"/>
              <w:ind w:right="35"/>
              <w:jc w:val="right"/>
              <w:rPr>
                <w:sz w:val="18"/>
              </w:rPr>
            </w:pPr>
            <w:r>
              <w:rPr>
                <w:sz w:val="18"/>
              </w:rPr>
              <w:t>23.973</w:t>
            </w:r>
          </w:p>
        </w:tc>
        <w:tc>
          <w:tcPr>
            <w:tcW w:w="1468" w:type="dxa"/>
            <w:tcBorders>
              <w:top w:val="nil"/>
              <w:left w:val="single" w:sz="8" w:space="0" w:color="000000"/>
              <w:bottom w:val="nil"/>
              <w:right w:val="single" w:sz="8" w:space="0" w:color="000000"/>
            </w:tcBorders>
          </w:tcPr>
          <w:p>
            <w:pPr>
              <w:pStyle w:val="TableParagraph"/>
              <w:spacing w:before="47"/>
              <w:ind w:right="34"/>
              <w:jc w:val="right"/>
              <w:rPr>
                <w:sz w:val="18"/>
              </w:rPr>
            </w:pPr>
            <w:r>
              <w:rPr>
                <w:sz w:val="18"/>
              </w:rPr>
              <w:t>.676</w:t>
            </w:r>
          </w:p>
        </w:tc>
        <w:tc>
          <w:tcPr>
            <w:tcW w:w="1468" w:type="dxa"/>
            <w:tcBorders>
              <w:top w:val="nil"/>
              <w:left w:val="single" w:sz="8" w:space="0" w:color="000000"/>
              <w:bottom w:val="nil"/>
            </w:tcBorders>
          </w:tcPr>
          <w:p>
            <w:pPr>
              <w:pStyle w:val="TableParagraph"/>
              <w:spacing w:before="47"/>
              <w:ind w:right="32"/>
              <w:jc w:val="right"/>
              <w:rPr>
                <w:sz w:val="18"/>
              </w:rPr>
            </w:pPr>
            <w:r>
              <w:rPr>
                <w:sz w:val="18"/>
              </w:rPr>
              <w:t>.846</w:t>
            </w:r>
          </w:p>
        </w:tc>
      </w:tr>
      <w:tr>
        <w:trPr>
          <w:trHeight w:val="310" w:hRule="atLeast"/>
        </w:trPr>
        <w:tc>
          <w:tcPr>
            <w:tcW w:w="871" w:type="dxa"/>
            <w:tcBorders>
              <w:top w:val="nil"/>
              <w:bottom w:val="nil"/>
            </w:tcBorders>
          </w:tcPr>
          <w:p>
            <w:pPr>
              <w:pStyle w:val="TableParagraph"/>
              <w:spacing w:before="48"/>
              <w:ind w:left="57" w:right="149"/>
              <w:jc w:val="center"/>
              <w:rPr>
                <w:sz w:val="18"/>
              </w:rPr>
            </w:pPr>
            <w:r>
              <w:rPr>
                <w:sz w:val="18"/>
              </w:rPr>
              <w:t>CLDV4</w:t>
            </w:r>
          </w:p>
        </w:tc>
        <w:tc>
          <w:tcPr>
            <w:tcW w:w="1469" w:type="dxa"/>
            <w:tcBorders>
              <w:top w:val="nil"/>
              <w:bottom w:val="nil"/>
              <w:right w:val="single" w:sz="8" w:space="0" w:color="000000"/>
            </w:tcBorders>
          </w:tcPr>
          <w:p>
            <w:pPr>
              <w:pStyle w:val="TableParagraph"/>
              <w:spacing w:before="48"/>
              <w:ind w:right="36"/>
              <w:jc w:val="right"/>
              <w:rPr>
                <w:sz w:val="18"/>
              </w:rPr>
            </w:pPr>
            <w:r>
              <w:rPr>
                <w:sz w:val="18"/>
              </w:rPr>
              <w:t>23.60</w:t>
            </w:r>
          </w:p>
        </w:tc>
        <w:tc>
          <w:tcPr>
            <w:tcW w:w="1468" w:type="dxa"/>
            <w:tcBorders>
              <w:top w:val="nil"/>
              <w:left w:val="single" w:sz="8" w:space="0" w:color="000000"/>
              <w:bottom w:val="nil"/>
              <w:right w:val="single" w:sz="8" w:space="0" w:color="000000"/>
            </w:tcBorders>
          </w:tcPr>
          <w:p>
            <w:pPr>
              <w:pStyle w:val="TableParagraph"/>
              <w:spacing w:before="48"/>
              <w:ind w:right="36"/>
              <w:jc w:val="right"/>
              <w:rPr>
                <w:sz w:val="18"/>
              </w:rPr>
            </w:pPr>
            <w:r>
              <w:rPr>
                <w:sz w:val="18"/>
              </w:rPr>
              <w:t>23.455</w:t>
            </w:r>
          </w:p>
        </w:tc>
        <w:tc>
          <w:tcPr>
            <w:tcW w:w="1468" w:type="dxa"/>
            <w:tcBorders>
              <w:top w:val="nil"/>
              <w:left w:val="single" w:sz="8" w:space="0" w:color="000000"/>
              <w:bottom w:val="nil"/>
              <w:right w:val="single" w:sz="8" w:space="0" w:color="000000"/>
            </w:tcBorders>
          </w:tcPr>
          <w:p>
            <w:pPr>
              <w:pStyle w:val="TableParagraph"/>
              <w:spacing w:before="48"/>
              <w:ind w:right="35"/>
              <w:jc w:val="right"/>
              <w:rPr>
                <w:sz w:val="18"/>
              </w:rPr>
            </w:pPr>
            <w:r>
              <w:rPr>
                <w:sz w:val="18"/>
              </w:rPr>
              <w:t>.713</w:t>
            </w:r>
          </w:p>
        </w:tc>
        <w:tc>
          <w:tcPr>
            <w:tcW w:w="1468" w:type="dxa"/>
            <w:tcBorders>
              <w:top w:val="nil"/>
              <w:left w:val="single" w:sz="8" w:space="0" w:color="000000"/>
              <w:bottom w:val="nil"/>
            </w:tcBorders>
          </w:tcPr>
          <w:p>
            <w:pPr>
              <w:pStyle w:val="TableParagraph"/>
              <w:spacing w:before="48"/>
              <w:ind w:right="31"/>
              <w:jc w:val="right"/>
              <w:rPr>
                <w:sz w:val="18"/>
              </w:rPr>
            </w:pPr>
            <w:r>
              <w:rPr>
                <w:sz w:val="18"/>
              </w:rPr>
              <w:t>.841</w:t>
            </w:r>
          </w:p>
        </w:tc>
      </w:tr>
      <w:tr>
        <w:trPr>
          <w:trHeight w:val="309" w:hRule="atLeast"/>
        </w:trPr>
        <w:tc>
          <w:tcPr>
            <w:tcW w:w="871" w:type="dxa"/>
            <w:tcBorders>
              <w:top w:val="nil"/>
              <w:bottom w:val="nil"/>
            </w:tcBorders>
          </w:tcPr>
          <w:p>
            <w:pPr>
              <w:pStyle w:val="TableParagraph"/>
              <w:spacing w:before="47"/>
              <w:ind w:left="57" w:right="149"/>
              <w:jc w:val="center"/>
              <w:rPr>
                <w:sz w:val="18"/>
              </w:rPr>
            </w:pPr>
            <w:r>
              <w:rPr>
                <w:sz w:val="18"/>
              </w:rPr>
              <w:t>CLDV6</w:t>
            </w:r>
          </w:p>
        </w:tc>
        <w:tc>
          <w:tcPr>
            <w:tcW w:w="1469" w:type="dxa"/>
            <w:tcBorders>
              <w:top w:val="nil"/>
              <w:bottom w:val="nil"/>
              <w:right w:val="single" w:sz="8" w:space="0" w:color="000000"/>
            </w:tcBorders>
          </w:tcPr>
          <w:p>
            <w:pPr>
              <w:pStyle w:val="TableParagraph"/>
              <w:spacing w:before="47"/>
              <w:ind w:right="36"/>
              <w:jc w:val="right"/>
              <w:rPr>
                <w:sz w:val="18"/>
              </w:rPr>
            </w:pPr>
            <w:r>
              <w:rPr>
                <w:sz w:val="18"/>
              </w:rPr>
              <w:t>23.95</w:t>
            </w:r>
          </w:p>
        </w:tc>
        <w:tc>
          <w:tcPr>
            <w:tcW w:w="1468" w:type="dxa"/>
            <w:tcBorders>
              <w:top w:val="nil"/>
              <w:left w:val="single" w:sz="8" w:space="0" w:color="000000"/>
              <w:bottom w:val="nil"/>
              <w:right w:val="single" w:sz="8" w:space="0" w:color="000000"/>
            </w:tcBorders>
          </w:tcPr>
          <w:p>
            <w:pPr>
              <w:pStyle w:val="TableParagraph"/>
              <w:spacing w:before="47"/>
              <w:ind w:right="36"/>
              <w:jc w:val="right"/>
              <w:rPr>
                <w:sz w:val="18"/>
              </w:rPr>
            </w:pPr>
            <w:r>
              <w:rPr>
                <w:sz w:val="18"/>
              </w:rPr>
              <w:t>23.368</w:t>
            </w:r>
          </w:p>
        </w:tc>
        <w:tc>
          <w:tcPr>
            <w:tcW w:w="1468" w:type="dxa"/>
            <w:tcBorders>
              <w:top w:val="nil"/>
              <w:left w:val="single" w:sz="8" w:space="0" w:color="000000"/>
              <w:bottom w:val="nil"/>
              <w:right w:val="single" w:sz="8" w:space="0" w:color="000000"/>
            </w:tcBorders>
          </w:tcPr>
          <w:p>
            <w:pPr>
              <w:pStyle w:val="TableParagraph"/>
              <w:spacing w:before="47"/>
              <w:ind w:right="34"/>
              <w:jc w:val="right"/>
              <w:rPr>
                <w:sz w:val="18"/>
              </w:rPr>
            </w:pPr>
            <w:r>
              <w:rPr>
                <w:sz w:val="18"/>
              </w:rPr>
              <w:t>.568</w:t>
            </w:r>
          </w:p>
        </w:tc>
        <w:tc>
          <w:tcPr>
            <w:tcW w:w="1468" w:type="dxa"/>
            <w:tcBorders>
              <w:top w:val="nil"/>
              <w:left w:val="single" w:sz="8" w:space="0" w:color="000000"/>
              <w:bottom w:val="nil"/>
            </w:tcBorders>
          </w:tcPr>
          <w:p>
            <w:pPr>
              <w:pStyle w:val="TableParagraph"/>
              <w:spacing w:before="47"/>
              <w:ind w:right="31"/>
              <w:jc w:val="right"/>
              <w:rPr>
                <w:sz w:val="18"/>
              </w:rPr>
            </w:pPr>
            <w:r>
              <w:rPr>
                <w:sz w:val="18"/>
              </w:rPr>
              <w:t>.862</w:t>
            </w:r>
          </w:p>
        </w:tc>
      </w:tr>
      <w:tr>
        <w:trPr>
          <w:trHeight w:val="311" w:hRule="atLeast"/>
        </w:trPr>
        <w:tc>
          <w:tcPr>
            <w:tcW w:w="871" w:type="dxa"/>
            <w:tcBorders>
              <w:top w:val="nil"/>
              <w:bottom w:val="nil"/>
            </w:tcBorders>
          </w:tcPr>
          <w:p>
            <w:pPr>
              <w:pStyle w:val="TableParagraph"/>
              <w:spacing w:before="47"/>
              <w:ind w:left="57" w:right="149"/>
              <w:jc w:val="center"/>
              <w:rPr>
                <w:sz w:val="18"/>
              </w:rPr>
            </w:pPr>
            <w:r>
              <w:rPr>
                <w:sz w:val="18"/>
              </w:rPr>
              <w:t>CLDV7</w:t>
            </w:r>
          </w:p>
        </w:tc>
        <w:tc>
          <w:tcPr>
            <w:tcW w:w="1469" w:type="dxa"/>
            <w:tcBorders>
              <w:top w:val="nil"/>
              <w:bottom w:val="nil"/>
              <w:right w:val="single" w:sz="8" w:space="0" w:color="000000"/>
            </w:tcBorders>
          </w:tcPr>
          <w:p>
            <w:pPr>
              <w:pStyle w:val="TableParagraph"/>
              <w:spacing w:before="47"/>
              <w:ind w:right="36"/>
              <w:jc w:val="right"/>
              <w:rPr>
                <w:sz w:val="18"/>
              </w:rPr>
            </w:pPr>
            <w:r>
              <w:rPr>
                <w:sz w:val="18"/>
              </w:rPr>
              <w:t>23.80</w:t>
            </w:r>
          </w:p>
        </w:tc>
        <w:tc>
          <w:tcPr>
            <w:tcW w:w="1468" w:type="dxa"/>
            <w:tcBorders>
              <w:top w:val="nil"/>
              <w:left w:val="single" w:sz="8" w:space="0" w:color="000000"/>
              <w:bottom w:val="nil"/>
              <w:right w:val="single" w:sz="8" w:space="0" w:color="000000"/>
            </w:tcBorders>
          </w:tcPr>
          <w:p>
            <w:pPr>
              <w:pStyle w:val="TableParagraph"/>
              <w:spacing w:before="47"/>
              <w:ind w:right="35"/>
              <w:jc w:val="right"/>
              <w:rPr>
                <w:sz w:val="18"/>
              </w:rPr>
            </w:pPr>
            <w:r>
              <w:rPr>
                <w:sz w:val="18"/>
              </w:rPr>
              <w:t>22.907</w:t>
            </w:r>
          </w:p>
        </w:tc>
        <w:tc>
          <w:tcPr>
            <w:tcW w:w="1468" w:type="dxa"/>
            <w:tcBorders>
              <w:top w:val="nil"/>
              <w:left w:val="single" w:sz="8" w:space="0" w:color="000000"/>
              <w:bottom w:val="nil"/>
              <w:right w:val="single" w:sz="8" w:space="0" w:color="000000"/>
            </w:tcBorders>
          </w:tcPr>
          <w:p>
            <w:pPr>
              <w:pStyle w:val="TableParagraph"/>
              <w:spacing w:before="47"/>
              <w:ind w:right="34"/>
              <w:jc w:val="right"/>
              <w:rPr>
                <w:sz w:val="18"/>
              </w:rPr>
            </w:pPr>
            <w:r>
              <w:rPr>
                <w:sz w:val="18"/>
              </w:rPr>
              <w:t>.691</w:t>
            </w:r>
          </w:p>
        </w:tc>
        <w:tc>
          <w:tcPr>
            <w:tcW w:w="1468" w:type="dxa"/>
            <w:tcBorders>
              <w:top w:val="nil"/>
              <w:left w:val="single" w:sz="8" w:space="0" w:color="000000"/>
              <w:bottom w:val="nil"/>
            </w:tcBorders>
          </w:tcPr>
          <w:p>
            <w:pPr>
              <w:pStyle w:val="TableParagraph"/>
              <w:spacing w:before="47"/>
              <w:ind w:right="31"/>
              <w:jc w:val="right"/>
              <w:rPr>
                <w:sz w:val="18"/>
              </w:rPr>
            </w:pPr>
            <w:r>
              <w:rPr>
                <w:sz w:val="18"/>
              </w:rPr>
              <w:t>.843</w:t>
            </w:r>
          </w:p>
        </w:tc>
      </w:tr>
      <w:tr>
        <w:trPr>
          <w:trHeight w:val="311" w:hRule="atLeast"/>
        </w:trPr>
        <w:tc>
          <w:tcPr>
            <w:tcW w:w="871" w:type="dxa"/>
            <w:tcBorders>
              <w:top w:val="nil"/>
              <w:bottom w:val="nil"/>
            </w:tcBorders>
          </w:tcPr>
          <w:p>
            <w:pPr>
              <w:pStyle w:val="TableParagraph"/>
              <w:spacing w:before="49"/>
              <w:ind w:left="57" w:right="149"/>
              <w:jc w:val="center"/>
              <w:rPr>
                <w:sz w:val="18"/>
              </w:rPr>
            </w:pPr>
            <w:r>
              <w:rPr>
                <w:sz w:val="18"/>
              </w:rPr>
              <w:t>CLDV8</w:t>
            </w:r>
          </w:p>
        </w:tc>
        <w:tc>
          <w:tcPr>
            <w:tcW w:w="1469" w:type="dxa"/>
            <w:tcBorders>
              <w:top w:val="nil"/>
              <w:bottom w:val="nil"/>
              <w:right w:val="single" w:sz="8" w:space="0" w:color="000000"/>
            </w:tcBorders>
          </w:tcPr>
          <w:p>
            <w:pPr>
              <w:pStyle w:val="TableParagraph"/>
              <w:spacing w:before="49"/>
              <w:ind w:right="36"/>
              <w:jc w:val="right"/>
              <w:rPr>
                <w:sz w:val="18"/>
              </w:rPr>
            </w:pPr>
            <w:r>
              <w:rPr>
                <w:sz w:val="18"/>
              </w:rPr>
              <w:t>23.66</w:t>
            </w:r>
          </w:p>
        </w:tc>
        <w:tc>
          <w:tcPr>
            <w:tcW w:w="1468" w:type="dxa"/>
            <w:tcBorders>
              <w:top w:val="nil"/>
              <w:left w:val="single" w:sz="8" w:space="0" w:color="000000"/>
              <w:bottom w:val="nil"/>
              <w:right w:val="single" w:sz="8" w:space="0" w:color="000000"/>
            </w:tcBorders>
          </w:tcPr>
          <w:p>
            <w:pPr>
              <w:pStyle w:val="TableParagraph"/>
              <w:spacing w:before="49"/>
              <w:ind w:right="36"/>
              <w:jc w:val="right"/>
              <w:rPr>
                <w:sz w:val="18"/>
              </w:rPr>
            </w:pPr>
            <w:r>
              <w:rPr>
                <w:sz w:val="18"/>
              </w:rPr>
              <w:t>23.638</w:t>
            </w:r>
          </w:p>
        </w:tc>
        <w:tc>
          <w:tcPr>
            <w:tcW w:w="1468" w:type="dxa"/>
            <w:tcBorders>
              <w:top w:val="nil"/>
              <w:left w:val="single" w:sz="8" w:space="0" w:color="000000"/>
              <w:bottom w:val="nil"/>
              <w:right w:val="single" w:sz="8" w:space="0" w:color="000000"/>
            </w:tcBorders>
          </w:tcPr>
          <w:p>
            <w:pPr>
              <w:pStyle w:val="TableParagraph"/>
              <w:spacing w:before="49"/>
              <w:ind w:right="34"/>
              <w:jc w:val="right"/>
              <w:rPr>
                <w:sz w:val="18"/>
              </w:rPr>
            </w:pPr>
            <w:r>
              <w:rPr>
                <w:sz w:val="18"/>
              </w:rPr>
              <w:t>.707</w:t>
            </w:r>
          </w:p>
        </w:tc>
        <w:tc>
          <w:tcPr>
            <w:tcW w:w="1468" w:type="dxa"/>
            <w:tcBorders>
              <w:top w:val="nil"/>
              <w:left w:val="single" w:sz="8" w:space="0" w:color="000000"/>
              <w:bottom w:val="nil"/>
            </w:tcBorders>
          </w:tcPr>
          <w:p>
            <w:pPr>
              <w:pStyle w:val="TableParagraph"/>
              <w:spacing w:before="49"/>
              <w:ind w:right="32"/>
              <w:jc w:val="right"/>
              <w:rPr>
                <w:sz w:val="18"/>
              </w:rPr>
            </w:pPr>
            <w:r>
              <w:rPr>
                <w:sz w:val="18"/>
              </w:rPr>
              <w:t>.842</w:t>
            </w:r>
          </w:p>
        </w:tc>
      </w:tr>
      <w:tr>
        <w:trPr>
          <w:trHeight w:val="356" w:hRule="atLeast"/>
        </w:trPr>
        <w:tc>
          <w:tcPr>
            <w:tcW w:w="871" w:type="dxa"/>
            <w:tcBorders>
              <w:top w:val="nil"/>
            </w:tcBorders>
          </w:tcPr>
          <w:p>
            <w:pPr>
              <w:pStyle w:val="TableParagraph"/>
              <w:spacing w:before="47"/>
              <w:ind w:left="57" w:right="57"/>
              <w:jc w:val="center"/>
              <w:rPr>
                <w:sz w:val="18"/>
              </w:rPr>
            </w:pPr>
            <w:r>
              <w:rPr>
                <w:sz w:val="18"/>
              </w:rPr>
              <w:t>CLDV10</w:t>
            </w:r>
          </w:p>
        </w:tc>
        <w:tc>
          <w:tcPr>
            <w:tcW w:w="1469" w:type="dxa"/>
            <w:tcBorders>
              <w:top w:val="nil"/>
              <w:right w:val="single" w:sz="8" w:space="0" w:color="000000"/>
            </w:tcBorders>
          </w:tcPr>
          <w:p>
            <w:pPr>
              <w:pStyle w:val="TableParagraph"/>
              <w:spacing w:before="47"/>
              <w:ind w:right="37"/>
              <w:jc w:val="right"/>
              <w:rPr>
                <w:sz w:val="18"/>
              </w:rPr>
            </w:pPr>
            <w:r>
              <w:rPr>
                <w:sz w:val="18"/>
              </w:rPr>
              <w:t>23.88</w:t>
            </w:r>
          </w:p>
        </w:tc>
        <w:tc>
          <w:tcPr>
            <w:tcW w:w="1468" w:type="dxa"/>
            <w:tcBorders>
              <w:top w:val="nil"/>
              <w:left w:val="single" w:sz="8" w:space="0" w:color="000000"/>
              <w:right w:val="single" w:sz="8" w:space="0" w:color="000000"/>
            </w:tcBorders>
          </w:tcPr>
          <w:p>
            <w:pPr>
              <w:pStyle w:val="TableParagraph"/>
              <w:spacing w:before="47"/>
              <w:ind w:right="36"/>
              <w:jc w:val="right"/>
              <w:rPr>
                <w:sz w:val="18"/>
              </w:rPr>
            </w:pPr>
            <w:r>
              <w:rPr>
                <w:sz w:val="18"/>
              </w:rPr>
              <w:t>24.998</w:t>
            </w:r>
          </w:p>
        </w:tc>
        <w:tc>
          <w:tcPr>
            <w:tcW w:w="1468" w:type="dxa"/>
            <w:tcBorders>
              <w:top w:val="nil"/>
              <w:left w:val="single" w:sz="8" w:space="0" w:color="000000"/>
              <w:right w:val="single" w:sz="8" w:space="0" w:color="000000"/>
            </w:tcBorders>
          </w:tcPr>
          <w:p>
            <w:pPr>
              <w:pStyle w:val="TableParagraph"/>
              <w:spacing w:before="47"/>
              <w:ind w:right="35"/>
              <w:jc w:val="right"/>
              <w:rPr>
                <w:sz w:val="18"/>
              </w:rPr>
            </w:pPr>
            <w:r>
              <w:rPr>
                <w:sz w:val="18"/>
              </w:rPr>
              <w:t>.475</w:t>
            </w:r>
          </w:p>
        </w:tc>
        <w:tc>
          <w:tcPr>
            <w:tcW w:w="1468" w:type="dxa"/>
            <w:tcBorders>
              <w:top w:val="nil"/>
              <w:left w:val="single" w:sz="8" w:space="0" w:color="000000"/>
            </w:tcBorders>
          </w:tcPr>
          <w:p>
            <w:pPr>
              <w:pStyle w:val="TableParagraph"/>
              <w:spacing w:before="47"/>
              <w:ind w:right="31"/>
              <w:jc w:val="right"/>
              <w:rPr>
                <w:sz w:val="18"/>
              </w:rPr>
            </w:pPr>
            <w:r>
              <w:rPr>
                <w:sz w:val="18"/>
              </w:rPr>
              <w:t>.873</w:t>
            </w:r>
          </w:p>
        </w:tc>
      </w:tr>
    </w:tbl>
    <w:p>
      <w:pPr>
        <w:pStyle w:val="BodyText"/>
        <w:rPr>
          <w:b/>
          <w:sz w:val="20"/>
        </w:rPr>
      </w:pPr>
    </w:p>
    <w:p>
      <w:pPr>
        <w:pStyle w:val="BodyText"/>
        <w:spacing w:before="8" w:after="1"/>
        <w:rPr>
          <w:b/>
          <w:sz w:val="16"/>
        </w:rPr>
      </w:pPr>
    </w:p>
    <w:tbl>
      <w:tblPr>
        <w:tblW w:w="0" w:type="auto"/>
        <w:jc w:val="left"/>
        <w:tblInd w:w="90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
      <w:tblGrid>
        <w:gridCol w:w="2299"/>
        <w:gridCol w:w="2521"/>
        <w:gridCol w:w="1085"/>
      </w:tblGrid>
      <w:tr>
        <w:trPr>
          <w:trHeight w:val="298" w:hRule="atLeast"/>
        </w:trPr>
        <w:tc>
          <w:tcPr>
            <w:tcW w:w="5905" w:type="dxa"/>
            <w:gridSpan w:val="3"/>
            <w:tcBorders>
              <w:bottom w:val="single" w:sz="18" w:space="0" w:color="000000"/>
            </w:tcBorders>
          </w:tcPr>
          <w:p>
            <w:pPr>
              <w:pStyle w:val="TableParagraph"/>
              <w:spacing w:line="199" w:lineRule="exact"/>
              <w:ind w:left="1988" w:right="1950"/>
              <w:jc w:val="center"/>
              <w:rPr>
                <w:b/>
                <w:sz w:val="18"/>
              </w:rPr>
            </w:pPr>
            <w:r>
              <w:rPr>
                <w:b/>
                <w:sz w:val="18"/>
              </w:rPr>
              <w:t>KMO and Bartlett's Test</w:t>
            </w:r>
          </w:p>
        </w:tc>
      </w:tr>
      <w:tr>
        <w:trPr>
          <w:trHeight w:val="261" w:hRule="atLeast"/>
        </w:trPr>
        <w:tc>
          <w:tcPr>
            <w:tcW w:w="4820" w:type="dxa"/>
            <w:gridSpan w:val="2"/>
            <w:tcBorders>
              <w:top w:val="single" w:sz="18" w:space="0" w:color="000000"/>
              <w:left w:val="single" w:sz="18" w:space="0" w:color="000000"/>
              <w:right w:val="single" w:sz="18" w:space="0" w:color="000000"/>
            </w:tcBorders>
          </w:tcPr>
          <w:p>
            <w:pPr>
              <w:pStyle w:val="TableParagraph"/>
              <w:spacing w:line="206" w:lineRule="exact"/>
              <w:ind w:left="75"/>
              <w:rPr>
                <w:sz w:val="18"/>
              </w:rPr>
            </w:pPr>
            <w:r>
              <w:rPr>
                <w:sz w:val="18"/>
              </w:rPr>
              <w:t>Kaiser-Meyer-Olkin Measure of Sampling Adequacy.</w:t>
            </w:r>
          </w:p>
        </w:tc>
        <w:tc>
          <w:tcPr>
            <w:tcW w:w="1085" w:type="dxa"/>
            <w:tcBorders>
              <w:top w:val="single" w:sz="18" w:space="0" w:color="000000"/>
              <w:left w:val="single" w:sz="18" w:space="0" w:color="000000"/>
              <w:right w:val="single" w:sz="18" w:space="0" w:color="000000"/>
            </w:tcBorders>
          </w:tcPr>
          <w:p>
            <w:pPr>
              <w:pStyle w:val="TableParagraph"/>
              <w:spacing w:line="206" w:lineRule="exact"/>
              <w:ind w:right="36"/>
              <w:jc w:val="right"/>
              <w:rPr>
                <w:sz w:val="18"/>
              </w:rPr>
            </w:pPr>
            <w:r>
              <w:rPr>
                <w:sz w:val="18"/>
              </w:rPr>
              <w:t>.907</w:t>
            </w:r>
          </w:p>
        </w:tc>
      </w:tr>
      <w:tr>
        <w:trPr>
          <w:trHeight w:val="330" w:hRule="atLeast"/>
        </w:trPr>
        <w:tc>
          <w:tcPr>
            <w:tcW w:w="2299" w:type="dxa"/>
            <w:tcBorders>
              <w:left w:val="single" w:sz="18" w:space="0" w:color="000000"/>
            </w:tcBorders>
          </w:tcPr>
          <w:p>
            <w:pPr>
              <w:pStyle w:val="TableParagraph"/>
              <w:rPr>
                <w:sz w:val="18"/>
              </w:rPr>
            </w:pPr>
          </w:p>
        </w:tc>
        <w:tc>
          <w:tcPr>
            <w:tcW w:w="2521" w:type="dxa"/>
            <w:tcBorders>
              <w:right w:val="single" w:sz="18" w:space="0" w:color="000000"/>
            </w:tcBorders>
          </w:tcPr>
          <w:p>
            <w:pPr>
              <w:pStyle w:val="TableParagraph"/>
              <w:spacing w:before="47"/>
              <w:ind w:left="259"/>
              <w:rPr>
                <w:sz w:val="18"/>
              </w:rPr>
            </w:pPr>
            <w:r>
              <w:rPr>
                <w:sz w:val="18"/>
              </w:rPr>
              <w:t>Approx. Chi-Square</w:t>
            </w:r>
          </w:p>
        </w:tc>
        <w:tc>
          <w:tcPr>
            <w:tcW w:w="1085" w:type="dxa"/>
            <w:tcBorders>
              <w:left w:val="single" w:sz="18" w:space="0" w:color="000000"/>
              <w:right w:val="single" w:sz="18" w:space="0" w:color="000000"/>
            </w:tcBorders>
          </w:tcPr>
          <w:p>
            <w:pPr>
              <w:pStyle w:val="TableParagraph"/>
              <w:spacing w:before="47"/>
              <w:ind w:right="36"/>
              <w:jc w:val="right"/>
              <w:rPr>
                <w:sz w:val="18"/>
              </w:rPr>
            </w:pPr>
            <w:r>
              <w:rPr>
                <w:sz w:val="18"/>
              </w:rPr>
              <w:t>1541.664</w:t>
            </w:r>
          </w:p>
        </w:tc>
      </w:tr>
      <w:tr>
        <w:trPr>
          <w:trHeight w:val="350" w:hRule="atLeast"/>
        </w:trPr>
        <w:tc>
          <w:tcPr>
            <w:tcW w:w="2299" w:type="dxa"/>
            <w:tcBorders>
              <w:left w:val="single" w:sz="18" w:space="0" w:color="000000"/>
            </w:tcBorders>
          </w:tcPr>
          <w:p>
            <w:pPr>
              <w:pStyle w:val="TableParagraph"/>
              <w:spacing w:before="68"/>
              <w:ind w:left="75"/>
              <w:rPr>
                <w:sz w:val="18"/>
              </w:rPr>
            </w:pPr>
            <w:r>
              <w:rPr>
                <w:sz w:val="18"/>
              </w:rPr>
              <w:t>Bartlett's Test of Sphericity</w:t>
            </w:r>
          </w:p>
        </w:tc>
        <w:tc>
          <w:tcPr>
            <w:tcW w:w="2521" w:type="dxa"/>
            <w:tcBorders>
              <w:right w:val="single" w:sz="18" w:space="0" w:color="000000"/>
            </w:tcBorders>
          </w:tcPr>
          <w:p>
            <w:pPr>
              <w:pStyle w:val="TableParagraph"/>
              <w:spacing w:before="68"/>
              <w:ind w:left="259"/>
              <w:rPr>
                <w:sz w:val="18"/>
              </w:rPr>
            </w:pPr>
            <w:r>
              <w:rPr>
                <w:sz w:val="18"/>
              </w:rPr>
              <w:t>df</w:t>
            </w:r>
          </w:p>
        </w:tc>
        <w:tc>
          <w:tcPr>
            <w:tcW w:w="1085" w:type="dxa"/>
            <w:tcBorders>
              <w:left w:val="single" w:sz="18" w:space="0" w:color="000000"/>
              <w:right w:val="single" w:sz="18" w:space="0" w:color="000000"/>
            </w:tcBorders>
          </w:tcPr>
          <w:p>
            <w:pPr>
              <w:pStyle w:val="TableParagraph"/>
              <w:spacing w:before="68"/>
              <w:ind w:right="35"/>
              <w:jc w:val="right"/>
              <w:rPr>
                <w:sz w:val="18"/>
              </w:rPr>
            </w:pPr>
            <w:r>
              <w:rPr>
                <w:sz w:val="18"/>
              </w:rPr>
              <w:t>21</w:t>
            </w:r>
          </w:p>
        </w:tc>
      </w:tr>
      <w:tr>
        <w:trPr>
          <w:trHeight w:val="376" w:hRule="atLeast"/>
        </w:trPr>
        <w:tc>
          <w:tcPr>
            <w:tcW w:w="2299" w:type="dxa"/>
            <w:tcBorders>
              <w:left w:val="single" w:sz="18" w:space="0" w:color="000000"/>
              <w:bottom w:val="single" w:sz="18" w:space="0" w:color="000000"/>
            </w:tcBorders>
          </w:tcPr>
          <w:p>
            <w:pPr>
              <w:pStyle w:val="TableParagraph"/>
              <w:rPr>
                <w:sz w:val="18"/>
              </w:rPr>
            </w:pPr>
          </w:p>
        </w:tc>
        <w:tc>
          <w:tcPr>
            <w:tcW w:w="2521" w:type="dxa"/>
            <w:tcBorders>
              <w:bottom w:val="single" w:sz="18" w:space="0" w:color="000000"/>
              <w:right w:val="single" w:sz="18" w:space="0" w:color="000000"/>
            </w:tcBorders>
          </w:tcPr>
          <w:p>
            <w:pPr>
              <w:pStyle w:val="TableParagraph"/>
              <w:spacing w:before="68"/>
              <w:ind w:left="259"/>
              <w:rPr>
                <w:sz w:val="18"/>
              </w:rPr>
            </w:pPr>
            <w:r>
              <w:rPr>
                <w:sz w:val="18"/>
              </w:rPr>
              <w:t>Sig.</w:t>
            </w:r>
          </w:p>
        </w:tc>
        <w:tc>
          <w:tcPr>
            <w:tcW w:w="1085" w:type="dxa"/>
            <w:tcBorders>
              <w:left w:val="single" w:sz="18" w:space="0" w:color="000000"/>
              <w:bottom w:val="single" w:sz="18" w:space="0" w:color="000000"/>
              <w:right w:val="single" w:sz="18" w:space="0" w:color="000000"/>
            </w:tcBorders>
          </w:tcPr>
          <w:p>
            <w:pPr>
              <w:pStyle w:val="TableParagraph"/>
              <w:spacing w:before="68"/>
              <w:ind w:right="36"/>
              <w:jc w:val="right"/>
              <w:rPr>
                <w:sz w:val="18"/>
              </w:rPr>
            </w:pPr>
            <w:r>
              <w:rPr>
                <w:sz w:val="18"/>
              </w:rPr>
              <w:t>.000</w:t>
            </w:r>
          </w:p>
        </w:tc>
      </w:tr>
    </w:tbl>
    <w:p>
      <w:pPr>
        <w:pStyle w:val="BodyText"/>
        <w:rPr>
          <w:b/>
          <w:sz w:val="20"/>
        </w:rPr>
      </w:pPr>
    </w:p>
    <w:p>
      <w:pPr>
        <w:pStyle w:val="BodyText"/>
        <w:rPr>
          <w:b/>
          <w:sz w:val="20"/>
        </w:rPr>
      </w:pPr>
    </w:p>
    <w:p>
      <w:pPr>
        <w:pStyle w:val="BodyText"/>
        <w:rPr>
          <w:b/>
          <w:sz w:val="20"/>
        </w:rPr>
      </w:pPr>
    </w:p>
    <w:p>
      <w:pPr>
        <w:spacing w:before="138"/>
        <w:ind w:left="1019" w:right="952" w:firstLine="0"/>
        <w:jc w:val="center"/>
        <w:rPr>
          <w:b/>
          <w:sz w:val="18"/>
        </w:rPr>
      </w:pPr>
      <w:r>
        <w:rPr>
          <w:b/>
          <w:sz w:val="18"/>
        </w:rPr>
        <w:t>Total Variance Explained</w:t>
      </w:r>
    </w:p>
    <w:p>
      <w:pPr>
        <w:pStyle w:val="BodyText"/>
        <w:spacing w:before="2"/>
        <w:rPr>
          <w:b/>
          <w:sz w:val="9"/>
        </w:rPr>
      </w:pPr>
    </w:p>
    <w:tbl>
      <w:tblPr>
        <w:tblW w:w="0" w:type="auto"/>
        <w:jc w:val="left"/>
        <w:tblInd w:w="907" w:type="dxa"/>
        <w:tblBorders>
          <w:top w:val="single" w:sz="18" w:space="0" w:color="000000"/>
          <w:left w:val="single" w:sz="18" w:space="0" w:color="000000"/>
          <w:bottom w:val="single" w:sz="18" w:space="0" w:color="000000"/>
          <w:right w:val="single" w:sz="18" w:space="0" w:color="000000"/>
          <w:insideH w:val="single" w:sz="18" w:space="0" w:color="000000"/>
          <w:insideV w:val="single" w:sz="18" w:space="0" w:color="000000"/>
        </w:tblBorders>
        <w:tblLayout w:type="fixed"/>
        <w:tblCellMar>
          <w:top w:w="0" w:type="dxa"/>
          <w:left w:w="0" w:type="dxa"/>
          <w:bottom w:w="0" w:type="dxa"/>
          <w:right w:w="0" w:type="dxa"/>
        </w:tblCellMar>
        <w:tblLook w:val="01E0"/>
      </w:tblPr>
      <w:tblGrid>
        <w:gridCol w:w="1279"/>
        <w:gridCol w:w="999"/>
        <w:gridCol w:w="1424"/>
        <w:gridCol w:w="1438"/>
        <w:gridCol w:w="1147"/>
        <w:gridCol w:w="1424"/>
        <w:gridCol w:w="1438"/>
      </w:tblGrid>
      <w:tr>
        <w:trPr>
          <w:trHeight w:val="295" w:hRule="atLeast"/>
        </w:trPr>
        <w:tc>
          <w:tcPr>
            <w:tcW w:w="1279" w:type="dxa"/>
            <w:vMerge w:val="restart"/>
          </w:tcPr>
          <w:p>
            <w:pPr>
              <w:pStyle w:val="TableParagraph"/>
              <w:spacing w:line="204" w:lineRule="exact"/>
              <w:ind w:left="75"/>
              <w:rPr>
                <w:sz w:val="18"/>
              </w:rPr>
            </w:pPr>
            <w:r>
              <w:rPr>
                <w:sz w:val="18"/>
              </w:rPr>
              <w:t>Component</w:t>
            </w:r>
          </w:p>
        </w:tc>
        <w:tc>
          <w:tcPr>
            <w:tcW w:w="3861" w:type="dxa"/>
            <w:gridSpan w:val="3"/>
            <w:tcBorders>
              <w:bottom w:val="single" w:sz="8" w:space="0" w:color="000000"/>
              <w:right w:val="single" w:sz="8" w:space="0" w:color="000000"/>
            </w:tcBorders>
          </w:tcPr>
          <w:p>
            <w:pPr>
              <w:pStyle w:val="TableParagraph"/>
              <w:spacing w:line="204" w:lineRule="exact"/>
              <w:ind w:left="1250"/>
              <w:rPr>
                <w:sz w:val="18"/>
              </w:rPr>
            </w:pPr>
            <w:r>
              <w:rPr>
                <w:sz w:val="18"/>
              </w:rPr>
              <w:t>Initial Eigenvalues</w:t>
            </w:r>
          </w:p>
        </w:tc>
        <w:tc>
          <w:tcPr>
            <w:tcW w:w="4009" w:type="dxa"/>
            <w:gridSpan w:val="3"/>
            <w:tcBorders>
              <w:left w:val="single" w:sz="8" w:space="0" w:color="000000"/>
              <w:bottom w:val="single" w:sz="8" w:space="0" w:color="000000"/>
              <w:right w:val="single" w:sz="8" w:space="0" w:color="000000"/>
            </w:tcBorders>
          </w:tcPr>
          <w:p>
            <w:pPr>
              <w:pStyle w:val="TableParagraph"/>
              <w:spacing w:line="204" w:lineRule="exact"/>
              <w:ind w:left="642"/>
              <w:rPr>
                <w:sz w:val="18"/>
              </w:rPr>
            </w:pPr>
            <w:r>
              <w:rPr>
                <w:sz w:val="18"/>
              </w:rPr>
              <w:t>Extraction Sums of Squared Loadings</w:t>
            </w:r>
          </w:p>
        </w:tc>
      </w:tr>
      <w:tr>
        <w:trPr>
          <w:trHeight w:val="315" w:hRule="atLeast"/>
        </w:trPr>
        <w:tc>
          <w:tcPr>
            <w:tcW w:w="1279" w:type="dxa"/>
            <w:vMerge/>
            <w:tcBorders>
              <w:top w:val="nil"/>
            </w:tcBorders>
          </w:tcPr>
          <w:p>
            <w:pPr>
              <w:rPr>
                <w:sz w:val="2"/>
                <w:szCs w:val="2"/>
              </w:rPr>
            </w:pPr>
          </w:p>
        </w:tc>
        <w:tc>
          <w:tcPr>
            <w:tcW w:w="999" w:type="dxa"/>
            <w:tcBorders>
              <w:top w:val="single" w:sz="8" w:space="0" w:color="000000"/>
              <w:right w:val="single" w:sz="8" w:space="0" w:color="000000"/>
            </w:tcBorders>
          </w:tcPr>
          <w:p>
            <w:pPr>
              <w:pStyle w:val="TableParagraph"/>
              <w:spacing w:before="6"/>
              <w:ind w:left="304"/>
              <w:rPr>
                <w:sz w:val="18"/>
              </w:rPr>
            </w:pPr>
            <w:r>
              <w:rPr>
                <w:sz w:val="18"/>
              </w:rPr>
              <w:t>Total</w:t>
            </w:r>
          </w:p>
        </w:tc>
        <w:tc>
          <w:tcPr>
            <w:tcW w:w="1424" w:type="dxa"/>
            <w:tcBorders>
              <w:top w:val="single" w:sz="8" w:space="0" w:color="000000"/>
              <w:left w:val="single" w:sz="8" w:space="0" w:color="000000"/>
              <w:right w:val="single" w:sz="8" w:space="0" w:color="000000"/>
            </w:tcBorders>
          </w:tcPr>
          <w:p>
            <w:pPr>
              <w:pStyle w:val="TableParagraph"/>
              <w:spacing w:before="6"/>
              <w:ind w:left="201"/>
              <w:rPr>
                <w:sz w:val="18"/>
              </w:rPr>
            </w:pPr>
            <w:r>
              <w:rPr>
                <w:sz w:val="18"/>
              </w:rPr>
              <w:t>% of Variance</w:t>
            </w:r>
          </w:p>
        </w:tc>
        <w:tc>
          <w:tcPr>
            <w:tcW w:w="1438" w:type="dxa"/>
            <w:tcBorders>
              <w:top w:val="single" w:sz="8" w:space="0" w:color="000000"/>
              <w:left w:val="single" w:sz="8" w:space="0" w:color="000000"/>
              <w:right w:val="single" w:sz="8" w:space="0" w:color="000000"/>
            </w:tcBorders>
          </w:tcPr>
          <w:p>
            <w:pPr>
              <w:pStyle w:val="TableParagraph"/>
              <w:spacing w:before="6"/>
              <w:ind w:left="210"/>
              <w:rPr>
                <w:sz w:val="18"/>
              </w:rPr>
            </w:pPr>
            <w:r>
              <w:rPr>
                <w:sz w:val="18"/>
              </w:rPr>
              <w:t>Cumulative %</w:t>
            </w:r>
          </w:p>
        </w:tc>
        <w:tc>
          <w:tcPr>
            <w:tcW w:w="1147" w:type="dxa"/>
            <w:tcBorders>
              <w:top w:val="single" w:sz="8" w:space="0" w:color="000000"/>
              <w:left w:val="single" w:sz="8" w:space="0" w:color="000000"/>
              <w:right w:val="single" w:sz="8" w:space="0" w:color="000000"/>
            </w:tcBorders>
          </w:tcPr>
          <w:p>
            <w:pPr>
              <w:pStyle w:val="TableParagraph"/>
              <w:spacing w:before="6"/>
              <w:ind w:left="392"/>
              <w:rPr>
                <w:sz w:val="18"/>
              </w:rPr>
            </w:pPr>
            <w:r>
              <w:rPr>
                <w:sz w:val="18"/>
              </w:rPr>
              <w:t>Total</w:t>
            </w:r>
          </w:p>
        </w:tc>
        <w:tc>
          <w:tcPr>
            <w:tcW w:w="1424" w:type="dxa"/>
            <w:tcBorders>
              <w:top w:val="single" w:sz="8" w:space="0" w:color="000000"/>
              <w:left w:val="single" w:sz="8" w:space="0" w:color="000000"/>
              <w:right w:val="single" w:sz="8" w:space="0" w:color="000000"/>
            </w:tcBorders>
          </w:tcPr>
          <w:p>
            <w:pPr>
              <w:pStyle w:val="TableParagraph"/>
              <w:spacing w:before="6"/>
              <w:ind w:left="200"/>
              <w:rPr>
                <w:sz w:val="18"/>
              </w:rPr>
            </w:pPr>
            <w:r>
              <w:rPr>
                <w:sz w:val="18"/>
              </w:rPr>
              <w:t>% of Variance</w:t>
            </w:r>
          </w:p>
        </w:tc>
        <w:tc>
          <w:tcPr>
            <w:tcW w:w="1438" w:type="dxa"/>
            <w:tcBorders>
              <w:top w:val="single" w:sz="8" w:space="0" w:color="000000"/>
              <w:left w:val="single" w:sz="8" w:space="0" w:color="000000"/>
            </w:tcBorders>
          </w:tcPr>
          <w:p>
            <w:pPr>
              <w:pStyle w:val="TableParagraph"/>
              <w:spacing w:before="6"/>
              <w:ind w:left="205"/>
              <w:rPr>
                <w:sz w:val="18"/>
              </w:rPr>
            </w:pPr>
            <w:r>
              <w:rPr>
                <w:sz w:val="18"/>
              </w:rPr>
              <w:t>Cumulative %</w:t>
            </w:r>
          </w:p>
        </w:tc>
      </w:tr>
      <w:tr>
        <w:trPr>
          <w:trHeight w:val="285" w:hRule="atLeast"/>
        </w:trPr>
        <w:tc>
          <w:tcPr>
            <w:tcW w:w="1279" w:type="dxa"/>
            <w:tcBorders>
              <w:bottom w:val="nil"/>
            </w:tcBorders>
          </w:tcPr>
          <w:p>
            <w:pPr>
              <w:pStyle w:val="TableParagraph"/>
              <w:spacing w:line="204" w:lineRule="exact"/>
              <w:ind w:left="75"/>
              <w:rPr>
                <w:sz w:val="18"/>
              </w:rPr>
            </w:pPr>
            <w:r>
              <w:rPr>
                <w:sz w:val="18"/>
              </w:rPr>
              <w:t>1</w:t>
            </w:r>
          </w:p>
        </w:tc>
        <w:tc>
          <w:tcPr>
            <w:tcW w:w="999" w:type="dxa"/>
            <w:tcBorders>
              <w:bottom w:val="nil"/>
              <w:right w:val="single" w:sz="8" w:space="0" w:color="000000"/>
            </w:tcBorders>
          </w:tcPr>
          <w:p>
            <w:pPr>
              <w:pStyle w:val="TableParagraph"/>
              <w:spacing w:line="204" w:lineRule="exact"/>
              <w:ind w:right="40"/>
              <w:jc w:val="right"/>
              <w:rPr>
                <w:sz w:val="18"/>
              </w:rPr>
            </w:pPr>
            <w:r>
              <w:rPr>
                <w:sz w:val="18"/>
              </w:rPr>
              <w:t>3.997</w:t>
            </w:r>
          </w:p>
        </w:tc>
        <w:tc>
          <w:tcPr>
            <w:tcW w:w="1424" w:type="dxa"/>
            <w:tcBorders>
              <w:left w:val="single" w:sz="8" w:space="0" w:color="000000"/>
              <w:bottom w:val="nil"/>
              <w:right w:val="single" w:sz="8" w:space="0" w:color="000000"/>
            </w:tcBorders>
          </w:tcPr>
          <w:p>
            <w:pPr>
              <w:pStyle w:val="TableParagraph"/>
              <w:spacing w:line="204" w:lineRule="exact"/>
              <w:ind w:right="39"/>
              <w:jc w:val="right"/>
              <w:rPr>
                <w:sz w:val="18"/>
              </w:rPr>
            </w:pPr>
            <w:r>
              <w:rPr>
                <w:sz w:val="18"/>
              </w:rPr>
              <w:t>57.107</w:t>
            </w:r>
          </w:p>
        </w:tc>
        <w:tc>
          <w:tcPr>
            <w:tcW w:w="1438" w:type="dxa"/>
            <w:tcBorders>
              <w:left w:val="single" w:sz="8" w:space="0" w:color="000000"/>
              <w:bottom w:val="nil"/>
              <w:right w:val="single" w:sz="8" w:space="0" w:color="000000"/>
            </w:tcBorders>
          </w:tcPr>
          <w:p>
            <w:pPr>
              <w:pStyle w:val="TableParagraph"/>
              <w:spacing w:line="204" w:lineRule="exact"/>
              <w:ind w:right="37"/>
              <w:jc w:val="right"/>
              <w:rPr>
                <w:sz w:val="18"/>
              </w:rPr>
            </w:pPr>
            <w:r>
              <w:rPr>
                <w:sz w:val="18"/>
              </w:rPr>
              <w:t>57.107</w:t>
            </w:r>
          </w:p>
        </w:tc>
        <w:tc>
          <w:tcPr>
            <w:tcW w:w="1147" w:type="dxa"/>
            <w:vMerge w:val="restart"/>
            <w:tcBorders>
              <w:left w:val="single" w:sz="8" w:space="0" w:color="000000"/>
              <w:bottom w:val="nil"/>
              <w:right w:val="single" w:sz="8" w:space="0" w:color="000000"/>
            </w:tcBorders>
          </w:tcPr>
          <w:p>
            <w:pPr>
              <w:pStyle w:val="TableParagraph"/>
              <w:spacing w:line="204" w:lineRule="exact"/>
              <w:ind w:left="680"/>
              <w:rPr>
                <w:sz w:val="18"/>
              </w:rPr>
            </w:pPr>
            <w:r>
              <w:rPr>
                <w:sz w:val="18"/>
              </w:rPr>
              <w:t>3.997</w:t>
            </w:r>
          </w:p>
        </w:tc>
        <w:tc>
          <w:tcPr>
            <w:tcW w:w="1424" w:type="dxa"/>
            <w:vMerge w:val="restart"/>
            <w:tcBorders>
              <w:left w:val="single" w:sz="8" w:space="0" w:color="000000"/>
              <w:bottom w:val="nil"/>
              <w:right w:val="single" w:sz="8" w:space="0" w:color="000000"/>
            </w:tcBorders>
          </w:tcPr>
          <w:p>
            <w:pPr>
              <w:pStyle w:val="TableParagraph"/>
              <w:spacing w:line="204" w:lineRule="exact"/>
              <w:ind w:left="867"/>
              <w:rPr>
                <w:sz w:val="18"/>
              </w:rPr>
            </w:pPr>
            <w:r>
              <w:rPr>
                <w:sz w:val="18"/>
              </w:rPr>
              <w:t>57.107</w:t>
            </w:r>
          </w:p>
        </w:tc>
        <w:tc>
          <w:tcPr>
            <w:tcW w:w="1438" w:type="dxa"/>
            <w:vMerge w:val="restart"/>
            <w:tcBorders>
              <w:left w:val="single" w:sz="8" w:space="0" w:color="000000"/>
              <w:bottom w:val="nil"/>
            </w:tcBorders>
          </w:tcPr>
          <w:p>
            <w:pPr>
              <w:pStyle w:val="TableParagraph"/>
              <w:spacing w:line="204" w:lineRule="exact"/>
              <w:ind w:left="872"/>
              <w:rPr>
                <w:sz w:val="18"/>
              </w:rPr>
            </w:pPr>
            <w:r>
              <w:rPr>
                <w:sz w:val="18"/>
              </w:rPr>
              <w:t>57.107</w:t>
            </w:r>
          </w:p>
        </w:tc>
      </w:tr>
      <w:tr>
        <w:trPr>
          <w:trHeight w:val="388" w:hRule="atLeast"/>
        </w:trPr>
        <w:tc>
          <w:tcPr>
            <w:tcW w:w="1279" w:type="dxa"/>
            <w:tcBorders>
              <w:top w:val="nil"/>
              <w:bottom w:val="nil"/>
            </w:tcBorders>
          </w:tcPr>
          <w:p>
            <w:pPr>
              <w:pStyle w:val="TableParagraph"/>
              <w:spacing w:before="74"/>
              <w:ind w:left="75"/>
              <w:rPr>
                <w:sz w:val="18"/>
              </w:rPr>
            </w:pPr>
            <w:r>
              <w:rPr>
                <w:sz w:val="18"/>
              </w:rPr>
              <w:t>2</w:t>
            </w:r>
          </w:p>
        </w:tc>
        <w:tc>
          <w:tcPr>
            <w:tcW w:w="999" w:type="dxa"/>
            <w:tcBorders>
              <w:top w:val="nil"/>
              <w:bottom w:val="nil"/>
              <w:right w:val="single" w:sz="8" w:space="0" w:color="000000"/>
            </w:tcBorders>
          </w:tcPr>
          <w:p>
            <w:pPr>
              <w:pStyle w:val="TableParagraph"/>
              <w:spacing w:before="74"/>
              <w:ind w:right="40"/>
              <w:jc w:val="right"/>
              <w:rPr>
                <w:sz w:val="18"/>
              </w:rPr>
            </w:pPr>
            <w:r>
              <w:rPr>
                <w:sz w:val="18"/>
              </w:rPr>
              <w:t>.764</w:t>
            </w:r>
          </w:p>
        </w:tc>
        <w:tc>
          <w:tcPr>
            <w:tcW w:w="1424" w:type="dxa"/>
            <w:tcBorders>
              <w:top w:val="nil"/>
              <w:left w:val="single" w:sz="8" w:space="0" w:color="000000"/>
              <w:bottom w:val="nil"/>
              <w:right w:val="single" w:sz="8" w:space="0" w:color="000000"/>
            </w:tcBorders>
          </w:tcPr>
          <w:p>
            <w:pPr>
              <w:pStyle w:val="TableParagraph"/>
              <w:spacing w:before="74"/>
              <w:ind w:right="39"/>
              <w:jc w:val="right"/>
              <w:rPr>
                <w:sz w:val="18"/>
              </w:rPr>
            </w:pPr>
            <w:r>
              <w:rPr>
                <w:sz w:val="18"/>
              </w:rPr>
              <w:t>10.909</w:t>
            </w:r>
          </w:p>
        </w:tc>
        <w:tc>
          <w:tcPr>
            <w:tcW w:w="1438" w:type="dxa"/>
            <w:tcBorders>
              <w:top w:val="nil"/>
              <w:left w:val="single" w:sz="8" w:space="0" w:color="000000"/>
              <w:bottom w:val="nil"/>
              <w:right w:val="single" w:sz="8" w:space="0" w:color="000000"/>
            </w:tcBorders>
          </w:tcPr>
          <w:p>
            <w:pPr>
              <w:pStyle w:val="TableParagraph"/>
              <w:spacing w:before="74"/>
              <w:ind w:right="39"/>
              <w:jc w:val="right"/>
              <w:rPr>
                <w:sz w:val="18"/>
              </w:rPr>
            </w:pPr>
            <w:r>
              <w:rPr>
                <w:sz w:val="18"/>
              </w:rPr>
              <w:t>68.017</w:t>
            </w:r>
          </w:p>
        </w:tc>
        <w:tc>
          <w:tcPr>
            <w:tcW w:w="1147" w:type="dxa"/>
            <w:vMerge/>
            <w:tcBorders>
              <w:top w:val="nil"/>
              <w:left w:val="single" w:sz="8" w:space="0" w:color="000000"/>
              <w:bottom w:val="nil"/>
              <w:right w:val="single" w:sz="8" w:space="0" w:color="000000"/>
            </w:tcBorders>
          </w:tcPr>
          <w:p>
            <w:pPr>
              <w:rPr>
                <w:sz w:val="2"/>
                <w:szCs w:val="2"/>
              </w:rPr>
            </w:pPr>
          </w:p>
        </w:tc>
        <w:tc>
          <w:tcPr>
            <w:tcW w:w="1424" w:type="dxa"/>
            <w:vMerge/>
            <w:tcBorders>
              <w:top w:val="nil"/>
              <w:left w:val="single" w:sz="8" w:space="0" w:color="000000"/>
              <w:bottom w:val="nil"/>
              <w:right w:val="single" w:sz="8" w:space="0" w:color="000000"/>
            </w:tcBorders>
          </w:tcPr>
          <w:p>
            <w:pPr>
              <w:rPr>
                <w:sz w:val="2"/>
                <w:szCs w:val="2"/>
              </w:rPr>
            </w:pPr>
          </w:p>
        </w:tc>
        <w:tc>
          <w:tcPr>
            <w:tcW w:w="1438" w:type="dxa"/>
            <w:vMerge/>
            <w:tcBorders>
              <w:top w:val="nil"/>
              <w:left w:val="single" w:sz="8" w:space="0" w:color="000000"/>
              <w:bottom w:val="nil"/>
            </w:tcBorders>
          </w:tcPr>
          <w:p>
            <w:pPr>
              <w:rPr>
                <w:sz w:val="2"/>
                <w:szCs w:val="2"/>
              </w:rPr>
            </w:pPr>
          </w:p>
        </w:tc>
      </w:tr>
      <w:tr>
        <w:trPr>
          <w:trHeight w:val="413" w:hRule="atLeast"/>
        </w:trPr>
        <w:tc>
          <w:tcPr>
            <w:tcW w:w="1279" w:type="dxa"/>
            <w:tcBorders>
              <w:top w:val="nil"/>
              <w:bottom w:val="nil"/>
            </w:tcBorders>
          </w:tcPr>
          <w:p>
            <w:pPr>
              <w:pStyle w:val="TableParagraph"/>
              <w:spacing w:before="100"/>
              <w:ind w:left="75"/>
              <w:rPr>
                <w:sz w:val="18"/>
              </w:rPr>
            </w:pPr>
            <w:r>
              <w:rPr>
                <w:sz w:val="18"/>
              </w:rPr>
              <w:t>3</w:t>
            </w:r>
          </w:p>
        </w:tc>
        <w:tc>
          <w:tcPr>
            <w:tcW w:w="999" w:type="dxa"/>
            <w:tcBorders>
              <w:top w:val="nil"/>
              <w:bottom w:val="nil"/>
              <w:right w:val="single" w:sz="8" w:space="0" w:color="000000"/>
            </w:tcBorders>
          </w:tcPr>
          <w:p>
            <w:pPr>
              <w:pStyle w:val="TableParagraph"/>
              <w:spacing w:before="100"/>
              <w:ind w:right="40"/>
              <w:jc w:val="right"/>
              <w:rPr>
                <w:sz w:val="18"/>
              </w:rPr>
            </w:pPr>
            <w:r>
              <w:rPr>
                <w:sz w:val="18"/>
              </w:rPr>
              <w:t>.634</w:t>
            </w:r>
          </w:p>
        </w:tc>
        <w:tc>
          <w:tcPr>
            <w:tcW w:w="1424" w:type="dxa"/>
            <w:tcBorders>
              <w:top w:val="nil"/>
              <w:left w:val="single" w:sz="8" w:space="0" w:color="000000"/>
              <w:bottom w:val="nil"/>
              <w:right w:val="single" w:sz="8" w:space="0" w:color="000000"/>
            </w:tcBorders>
          </w:tcPr>
          <w:p>
            <w:pPr>
              <w:pStyle w:val="TableParagraph"/>
              <w:spacing w:before="100"/>
              <w:ind w:right="38"/>
              <w:jc w:val="right"/>
              <w:rPr>
                <w:sz w:val="18"/>
              </w:rPr>
            </w:pPr>
            <w:r>
              <w:rPr>
                <w:sz w:val="18"/>
              </w:rPr>
              <w:t>9.054</w:t>
            </w:r>
          </w:p>
        </w:tc>
        <w:tc>
          <w:tcPr>
            <w:tcW w:w="1438" w:type="dxa"/>
            <w:tcBorders>
              <w:top w:val="nil"/>
              <w:left w:val="single" w:sz="8" w:space="0" w:color="000000"/>
              <w:bottom w:val="nil"/>
              <w:right w:val="single" w:sz="8" w:space="0" w:color="000000"/>
            </w:tcBorders>
          </w:tcPr>
          <w:p>
            <w:pPr>
              <w:pStyle w:val="TableParagraph"/>
              <w:spacing w:before="100"/>
              <w:ind w:right="38"/>
              <w:jc w:val="right"/>
              <w:rPr>
                <w:sz w:val="18"/>
              </w:rPr>
            </w:pPr>
            <w:r>
              <w:rPr>
                <w:sz w:val="18"/>
              </w:rPr>
              <w:t>77.070</w:t>
            </w:r>
          </w:p>
        </w:tc>
        <w:tc>
          <w:tcPr>
            <w:tcW w:w="1147" w:type="dxa"/>
            <w:vMerge/>
            <w:tcBorders>
              <w:top w:val="nil"/>
              <w:left w:val="single" w:sz="8" w:space="0" w:color="000000"/>
              <w:bottom w:val="nil"/>
              <w:right w:val="single" w:sz="8" w:space="0" w:color="000000"/>
            </w:tcBorders>
          </w:tcPr>
          <w:p>
            <w:pPr>
              <w:rPr>
                <w:sz w:val="2"/>
                <w:szCs w:val="2"/>
              </w:rPr>
            </w:pPr>
          </w:p>
        </w:tc>
        <w:tc>
          <w:tcPr>
            <w:tcW w:w="1424" w:type="dxa"/>
            <w:vMerge/>
            <w:tcBorders>
              <w:top w:val="nil"/>
              <w:left w:val="single" w:sz="8" w:space="0" w:color="000000"/>
              <w:bottom w:val="nil"/>
              <w:right w:val="single" w:sz="8" w:space="0" w:color="000000"/>
            </w:tcBorders>
          </w:tcPr>
          <w:p>
            <w:pPr>
              <w:rPr>
                <w:sz w:val="2"/>
                <w:szCs w:val="2"/>
              </w:rPr>
            </w:pPr>
          </w:p>
        </w:tc>
        <w:tc>
          <w:tcPr>
            <w:tcW w:w="1438" w:type="dxa"/>
            <w:vMerge/>
            <w:tcBorders>
              <w:top w:val="nil"/>
              <w:left w:val="single" w:sz="8" w:space="0" w:color="000000"/>
              <w:bottom w:val="nil"/>
            </w:tcBorders>
          </w:tcPr>
          <w:p>
            <w:pPr>
              <w:rPr>
                <w:sz w:val="2"/>
                <w:szCs w:val="2"/>
              </w:rPr>
            </w:pPr>
          </w:p>
        </w:tc>
      </w:tr>
      <w:tr>
        <w:trPr>
          <w:trHeight w:val="413" w:hRule="atLeast"/>
        </w:trPr>
        <w:tc>
          <w:tcPr>
            <w:tcW w:w="1279" w:type="dxa"/>
            <w:tcBorders>
              <w:top w:val="nil"/>
              <w:bottom w:val="nil"/>
            </w:tcBorders>
          </w:tcPr>
          <w:p>
            <w:pPr>
              <w:pStyle w:val="TableParagraph"/>
              <w:spacing w:before="99"/>
              <w:ind w:left="75"/>
              <w:rPr>
                <w:sz w:val="18"/>
              </w:rPr>
            </w:pPr>
            <w:r>
              <w:rPr>
                <w:sz w:val="18"/>
              </w:rPr>
              <w:t>4</w:t>
            </w:r>
          </w:p>
        </w:tc>
        <w:tc>
          <w:tcPr>
            <w:tcW w:w="999" w:type="dxa"/>
            <w:tcBorders>
              <w:top w:val="nil"/>
              <w:bottom w:val="nil"/>
              <w:right w:val="single" w:sz="8" w:space="0" w:color="000000"/>
            </w:tcBorders>
          </w:tcPr>
          <w:p>
            <w:pPr>
              <w:pStyle w:val="TableParagraph"/>
              <w:spacing w:before="99"/>
              <w:ind w:right="40"/>
              <w:jc w:val="right"/>
              <w:rPr>
                <w:sz w:val="18"/>
              </w:rPr>
            </w:pPr>
            <w:r>
              <w:rPr>
                <w:sz w:val="18"/>
              </w:rPr>
              <w:t>.464</w:t>
            </w:r>
          </w:p>
        </w:tc>
        <w:tc>
          <w:tcPr>
            <w:tcW w:w="1424" w:type="dxa"/>
            <w:tcBorders>
              <w:top w:val="nil"/>
              <w:left w:val="single" w:sz="8" w:space="0" w:color="000000"/>
              <w:bottom w:val="nil"/>
              <w:right w:val="single" w:sz="8" w:space="0" w:color="000000"/>
            </w:tcBorders>
          </w:tcPr>
          <w:p>
            <w:pPr>
              <w:pStyle w:val="TableParagraph"/>
              <w:spacing w:before="99"/>
              <w:ind w:right="38"/>
              <w:jc w:val="right"/>
              <w:rPr>
                <w:sz w:val="18"/>
              </w:rPr>
            </w:pPr>
            <w:r>
              <w:rPr>
                <w:sz w:val="18"/>
              </w:rPr>
              <w:t>6.632</w:t>
            </w:r>
          </w:p>
        </w:tc>
        <w:tc>
          <w:tcPr>
            <w:tcW w:w="1438" w:type="dxa"/>
            <w:tcBorders>
              <w:top w:val="nil"/>
              <w:left w:val="single" w:sz="8" w:space="0" w:color="000000"/>
              <w:bottom w:val="nil"/>
              <w:right w:val="single" w:sz="8" w:space="0" w:color="000000"/>
            </w:tcBorders>
          </w:tcPr>
          <w:p>
            <w:pPr>
              <w:pStyle w:val="TableParagraph"/>
              <w:spacing w:before="99"/>
              <w:ind w:right="38"/>
              <w:jc w:val="right"/>
              <w:rPr>
                <w:sz w:val="18"/>
              </w:rPr>
            </w:pPr>
            <w:r>
              <w:rPr>
                <w:sz w:val="18"/>
              </w:rPr>
              <w:t>83.702</w:t>
            </w:r>
          </w:p>
        </w:tc>
        <w:tc>
          <w:tcPr>
            <w:tcW w:w="1147" w:type="dxa"/>
            <w:vMerge/>
            <w:tcBorders>
              <w:top w:val="nil"/>
              <w:left w:val="single" w:sz="8" w:space="0" w:color="000000"/>
              <w:bottom w:val="nil"/>
              <w:right w:val="single" w:sz="8" w:space="0" w:color="000000"/>
            </w:tcBorders>
          </w:tcPr>
          <w:p>
            <w:pPr>
              <w:rPr>
                <w:sz w:val="2"/>
                <w:szCs w:val="2"/>
              </w:rPr>
            </w:pPr>
          </w:p>
        </w:tc>
        <w:tc>
          <w:tcPr>
            <w:tcW w:w="1424" w:type="dxa"/>
            <w:vMerge/>
            <w:tcBorders>
              <w:top w:val="nil"/>
              <w:left w:val="single" w:sz="8" w:space="0" w:color="000000"/>
              <w:bottom w:val="nil"/>
              <w:right w:val="single" w:sz="8" w:space="0" w:color="000000"/>
            </w:tcBorders>
          </w:tcPr>
          <w:p>
            <w:pPr>
              <w:rPr>
                <w:sz w:val="2"/>
                <w:szCs w:val="2"/>
              </w:rPr>
            </w:pPr>
          </w:p>
        </w:tc>
        <w:tc>
          <w:tcPr>
            <w:tcW w:w="1438" w:type="dxa"/>
            <w:vMerge/>
            <w:tcBorders>
              <w:top w:val="nil"/>
              <w:left w:val="single" w:sz="8" w:space="0" w:color="000000"/>
              <w:bottom w:val="nil"/>
            </w:tcBorders>
          </w:tcPr>
          <w:p>
            <w:pPr>
              <w:rPr>
                <w:sz w:val="2"/>
                <w:szCs w:val="2"/>
              </w:rPr>
            </w:pPr>
          </w:p>
        </w:tc>
      </w:tr>
      <w:tr>
        <w:trPr>
          <w:trHeight w:val="462" w:hRule="atLeast"/>
        </w:trPr>
        <w:tc>
          <w:tcPr>
            <w:tcW w:w="1279" w:type="dxa"/>
            <w:tcBorders>
              <w:top w:val="nil"/>
              <w:bottom w:val="nil"/>
            </w:tcBorders>
          </w:tcPr>
          <w:p>
            <w:pPr>
              <w:pStyle w:val="TableParagraph"/>
              <w:spacing w:before="100"/>
              <w:ind w:left="75"/>
              <w:rPr>
                <w:sz w:val="18"/>
              </w:rPr>
            </w:pPr>
            <w:r>
              <w:rPr>
                <w:sz w:val="18"/>
              </w:rPr>
              <w:t>5</w:t>
            </w:r>
          </w:p>
        </w:tc>
        <w:tc>
          <w:tcPr>
            <w:tcW w:w="999" w:type="dxa"/>
            <w:tcBorders>
              <w:top w:val="nil"/>
              <w:bottom w:val="nil"/>
              <w:right w:val="single" w:sz="8" w:space="0" w:color="000000"/>
            </w:tcBorders>
          </w:tcPr>
          <w:p>
            <w:pPr>
              <w:pStyle w:val="TableParagraph"/>
              <w:spacing w:before="100"/>
              <w:ind w:right="40"/>
              <w:jc w:val="right"/>
              <w:rPr>
                <w:sz w:val="18"/>
              </w:rPr>
            </w:pPr>
            <w:r>
              <w:rPr>
                <w:sz w:val="18"/>
              </w:rPr>
              <w:t>.409</w:t>
            </w:r>
          </w:p>
        </w:tc>
        <w:tc>
          <w:tcPr>
            <w:tcW w:w="1424" w:type="dxa"/>
            <w:tcBorders>
              <w:top w:val="nil"/>
              <w:left w:val="single" w:sz="8" w:space="0" w:color="000000"/>
              <w:bottom w:val="nil"/>
              <w:right w:val="single" w:sz="8" w:space="0" w:color="000000"/>
            </w:tcBorders>
          </w:tcPr>
          <w:p>
            <w:pPr>
              <w:pStyle w:val="TableParagraph"/>
              <w:spacing w:before="100"/>
              <w:ind w:right="38"/>
              <w:jc w:val="right"/>
              <w:rPr>
                <w:sz w:val="18"/>
              </w:rPr>
            </w:pPr>
            <w:r>
              <w:rPr>
                <w:sz w:val="18"/>
              </w:rPr>
              <w:t>5.837</w:t>
            </w:r>
          </w:p>
        </w:tc>
        <w:tc>
          <w:tcPr>
            <w:tcW w:w="1438" w:type="dxa"/>
            <w:tcBorders>
              <w:top w:val="nil"/>
              <w:left w:val="single" w:sz="8" w:space="0" w:color="000000"/>
              <w:bottom w:val="nil"/>
              <w:right w:val="single" w:sz="8" w:space="0" w:color="000000"/>
            </w:tcBorders>
          </w:tcPr>
          <w:p>
            <w:pPr>
              <w:pStyle w:val="TableParagraph"/>
              <w:spacing w:before="100"/>
              <w:ind w:right="38"/>
              <w:jc w:val="right"/>
              <w:rPr>
                <w:sz w:val="18"/>
              </w:rPr>
            </w:pPr>
            <w:r>
              <w:rPr>
                <w:sz w:val="18"/>
              </w:rPr>
              <w:t>89.539</w:t>
            </w:r>
          </w:p>
        </w:tc>
        <w:tc>
          <w:tcPr>
            <w:tcW w:w="1147" w:type="dxa"/>
            <w:vMerge/>
            <w:tcBorders>
              <w:top w:val="nil"/>
              <w:left w:val="single" w:sz="8" w:space="0" w:color="000000"/>
              <w:bottom w:val="nil"/>
              <w:right w:val="single" w:sz="8" w:space="0" w:color="000000"/>
            </w:tcBorders>
          </w:tcPr>
          <w:p>
            <w:pPr>
              <w:rPr>
                <w:sz w:val="2"/>
                <w:szCs w:val="2"/>
              </w:rPr>
            </w:pPr>
          </w:p>
        </w:tc>
        <w:tc>
          <w:tcPr>
            <w:tcW w:w="1424" w:type="dxa"/>
            <w:vMerge/>
            <w:tcBorders>
              <w:top w:val="nil"/>
              <w:left w:val="single" w:sz="8" w:space="0" w:color="000000"/>
              <w:bottom w:val="nil"/>
              <w:right w:val="single" w:sz="8" w:space="0" w:color="000000"/>
            </w:tcBorders>
          </w:tcPr>
          <w:p>
            <w:pPr>
              <w:rPr>
                <w:sz w:val="2"/>
                <w:szCs w:val="2"/>
              </w:rPr>
            </w:pPr>
          </w:p>
        </w:tc>
        <w:tc>
          <w:tcPr>
            <w:tcW w:w="1438" w:type="dxa"/>
            <w:vMerge/>
            <w:tcBorders>
              <w:top w:val="nil"/>
              <w:left w:val="single" w:sz="8" w:space="0" w:color="000000"/>
              <w:bottom w:val="nil"/>
            </w:tcBorders>
          </w:tcPr>
          <w:p>
            <w:pPr>
              <w:rPr>
                <w:sz w:val="2"/>
                <w:szCs w:val="2"/>
              </w:rPr>
            </w:pPr>
          </w:p>
        </w:tc>
      </w:tr>
    </w:tbl>
    <w:p>
      <w:pPr>
        <w:spacing w:after="0"/>
        <w:rPr>
          <w:sz w:val="2"/>
          <w:szCs w:val="2"/>
        </w:rPr>
        <w:sectPr>
          <w:pgSz w:w="11910" w:h="16850"/>
          <w:pgMar w:header="751" w:footer="0" w:top="960" w:bottom="280" w:left="820" w:right="240"/>
        </w:sectPr>
      </w:pPr>
    </w:p>
    <w:p>
      <w:pPr>
        <w:pStyle w:val="BodyText"/>
        <w:spacing w:before="9"/>
        <w:rPr>
          <w:b/>
          <w:sz w:val="23"/>
        </w:rPr>
      </w:pPr>
    </w:p>
    <w:tbl>
      <w:tblPr>
        <w:tblW w:w="0" w:type="auto"/>
        <w:jc w:val="left"/>
        <w:tblInd w:w="907" w:type="dxa"/>
        <w:tblBorders>
          <w:top w:val="single" w:sz="18" w:space="0" w:color="000000"/>
          <w:left w:val="single" w:sz="18" w:space="0" w:color="000000"/>
          <w:bottom w:val="single" w:sz="18" w:space="0" w:color="000000"/>
          <w:right w:val="single" w:sz="18" w:space="0" w:color="000000"/>
          <w:insideH w:val="single" w:sz="18" w:space="0" w:color="000000"/>
          <w:insideV w:val="single" w:sz="18" w:space="0" w:color="000000"/>
        </w:tblBorders>
        <w:tblLayout w:type="fixed"/>
        <w:tblCellMar>
          <w:top w:w="0" w:type="dxa"/>
          <w:left w:w="0" w:type="dxa"/>
          <w:bottom w:w="0" w:type="dxa"/>
          <w:right w:w="0" w:type="dxa"/>
        </w:tblCellMar>
        <w:tblLook w:val="01E0"/>
      </w:tblPr>
      <w:tblGrid>
        <w:gridCol w:w="1270"/>
        <w:gridCol w:w="1009"/>
        <w:gridCol w:w="1424"/>
        <w:gridCol w:w="1438"/>
        <w:gridCol w:w="1147"/>
        <w:gridCol w:w="1424"/>
        <w:gridCol w:w="1438"/>
      </w:tblGrid>
      <w:tr>
        <w:trPr>
          <w:trHeight w:val="344" w:hRule="atLeast"/>
        </w:trPr>
        <w:tc>
          <w:tcPr>
            <w:tcW w:w="1270" w:type="dxa"/>
            <w:tcBorders>
              <w:top w:val="nil"/>
              <w:bottom w:val="nil"/>
            </w:tcBorders>
          </w:tcPr>
          <w:p>
            <w:pPr>
              <w:pStyle w:val="TableParagraph"/>
              <w:spacing w:before="52"/>
              <w:ind w:left="75"/>
              <w:rPr>
                <w:sz w:val="18"/>
              </w:rPr>
            </w:pPr>
            <w:r>
              <w:rPr>
                <w:sz w:val="18"/>
              </w:rPr>
              <w:t>6</w:t>
            </w:r>
          </w:p>
        </w:tc>
        <w:tc>
          <w:tcPr>
            <w:tcW w:w="1009" w:type="dxa"/>
            <w:tcBorders>
              <w:top w:val="nil"/>
              <w:bottom w:val="nil"/>
              <w:right w:val="single" w:sz="8" w:space="0" w:color="000000"/>
            </w:tcBorders>
          </w:tcPr>
          <w:p>
            <w:pPr>
              <w:pStyle w:val="TableParagraph"/>
              <w:spacing w:before="52"/>
              <w:ind w:right="42"/>
              <w:jc w:val="right"/>
              <w:rPr>
                <w:sz w:val="18"/>
              </w:rPr>
            </w:pPr>
            <w:r>
              <w:rPr>
                <w:sz w:val="18"/>
              </w:rPr>
              <w:t>.369</w:t>
            </w:r>
          </w:p>
        </w:tc>
        <w:tc>
          <w:tcPr>
            <w:tcW w:w="1424" w:type="dxa"/>
            <w:tcBorders>
              <w:top w:val="nil"/>
              <w:left w:val="single" w:sz="8" w:space="0" w:color="000000"/>
              <w:bottom w:val="nil"/>
              <w:right w:val="single" w:sz="8" w:space="0" w:color="000000"/>
            </w:tcBorders>
          </w:tcPr>
          <w:p>
            <w:pPr>
              <w:pStyle w:val="TableParagraph"/>
              <w:spacing w:before="52"/>
              <w:ind w:right="39"/>
              <w:jc w:val="right"/>
              <w:rPr>
                <w:sz w:val="18"/>
              </w:rPr>
            </w:pPr>
            <w:r>
              <w:rPr>
                <w:sz w:val="18"/>
              </w:rPr>
              <w:t>5.273</w:t>
            </w:r>
          </w:p>
        </w:tc>
        <w:tc>
          <w:tcPr>
            <w:tcW w:w="1438" w:type="dxa"/>
            <w:tcBorders>
              <w:top w:val="nil"/>
              <w:left w:val="single" w:sz="8" w:space="0" w:color="000000"/>
              <w:bottom w:val="nil"/>
              <w:right w:val="single" w:sz="8" w:space="0" w:color="000000"/>
            </w:tcBorders>
          </w:tcPr>
          <w:p>
            <w:pPr>
              <w:pStyle w:val="TableParagraph"/>
              <w:spacing w:before="52"/>
              <w:ind w:right="40"/>
              <w:jc w:val="right"/>
              <w:rPr>
                <w:sz w:val="18"/>
              </w:rPr>
            </w:pPr>
            <w:r>
              <w:rPr>
                <w:sz w:val="18"/>
              </w:rPr>
              <w:t>94.812</w:t>
            </w:r>
          </w:p>
        </w:tc>
        <w:tc>
          <w:tcPr>
            <w:tcW w:w="1147" w:type="dxa"/>
            <w:vMerge w:val="restart"/>
            <w:tcBorders>
              <w:top w:val="nil"/>
              <w:left w:val="single" w:sz="8" w:space="0" w:color="000000"/>
              <w:right w:val="single" w:sz="8" w:space="0" w:color="000000"/>
            </w:tcBorders>
          </w:tcPr>
          <w:p>
            <w:pPr>
              <w:pStyle w:val="TableParagraph"/>
              <w:rPr>
                <w:sz w:val="18"/>
              </w:rPr>
            </w:pPr>
          </w:p>
        </w:tc>
        <w:tc>
          <w:tcPr>
            <w:tcW w:w="1424" w:type="dxa"/>
            <w:vMerge w:val="restart"/>
            <w:tcBorders>
              <w:top w:val="nil"/>
              <w:left w:val="single" w:sz="8" w:space="0" w:color="000000"/>
              <w:right w:val="single" w:sz="8" w:space="0" w:color="000000"/>
            </w:tcBorders>
          </w:tcPr>
          <w:p>
            <w:pPr>
              <w:pStyle w:val="TableParagraph"/>
              <w:rPr>
                <w:sz w:val="18"/>
              </w:rPr>
            </w:pPr>
          </w:p>
        </w:tc>
        <w:tc>
          <w:tcPr>
            <w:tcW w:w="1438" w:type="dxa"/>
            <w:vMerge w:val="restart"/>
            <w:tcBorders>
              <w:top w:val="nil"/>
              <w:left w:val="single" w:sz="8" w:space="0" w:color="000000"/>
            </w:tcBorders>
          </w:tcPr>
          <w:p>
            <w:pPr>
              <w:pStyle w:val="TableParagraph"/>
              <w:rPr>
                <w:sz w:val="18"/>
              </w:rPr>
            </w:pPr>
          </w:p>
        </w:tc>
      </w:tr>
      <w:tr>
        <w:trPr>
          <w:trHeight w:val="435" w:hRule="atLeast"/>
        </w:trPr>
        <w:tc>
          <w:tcPr>
            <w:tcW w:w="1270" w:type="dxa"/>
            <w:tcBorders>
              <w:top w:val="nil"/>
            </w:tcBorders>
          </w:tcPr>
          <w:p>
            <w:pPr>
              <w:pStyle w:val="TableParagraph"/>
              <w:spacing w:before="76"/>
              <w:ind w:left="75"/>
              <w:rPr>
                <w:sz w:val="18"/>
              </w:rPr>
            </w:pPr>
            <w:r>
              <w:rPr>
                <w:sz w:val="18"/>
              </w:rPr>
              <w:t>7</w:t>
            </w:r>
          </w:p>
        </w:tc>
        <w:tc>
          <w:tcPr>
            <w:tcW w:w="1009" w:type="dxa"/>
            <w:tcBorders>
              <w:top w:val="nil"/>
              <w:right w:val="single" w:sz="8" w:space="0" w:color="000000"/>
            </w:tcBorders>
          </w:tcPr>
          <w:p>
            <w:pPr>
              <w:pStyle w:val="TableParagraph"/>
              <w:spacing w:before="76"/>
              <w:ind w:right="41"/>
              <w:jc w:val="right"/>
              <w:rPr>
                <w:sz w:val="18"/>
              </w:rPr>
            </w:pPr>
            <w:r>
              <w:rPr>
                <w:sz w:val="18"/>
              </w:rPr>
              <w:t>.363</w:t>
            </w:r>
          </w:p>
        </w:tc>
        <w:tc>
          <w:tcPr>
            <w:tcW w:w="1424" w:type="dxa"/>
            <w:tcBorders>
              <w:top w:val="nil"/>
              <w:left w:val="single" w:sz="8" w:space="0" w:color="000000"/>
              <w:right w:val="single" w:sz="8" w:space="0" w:color="000000"/>
            </w:tcBorders>
          </w:tcPr>
          <w:p>
            <w:pPr>
              <w:pStyle w:val="TableParagraph"/>
              <w:spacing w:before="76"/>
              <w:ind w:right="39"/>
              <w:jc w:val="right"/>
              <w:rPr>
                <w:sz w:val="18"/>
              </w:rPr>
            </w:pPr>
            <w:r>
              <w:rPr>
                <w:sz w:val="18"/>
              </w:rPr>
              <w:t>5.188</w:t>
            </w:r>
          </w:p>
        </w:tc>
        <w:tc>
          <w:tcPr>
            <w:tcW w:w="1438" w:type="dxa"/>
            <w:tcBorders>
              <w:top w:val="nil"/>
              <w:left w:val="single" w:sz="8" w:space="0" w:color="000000"/>
              <w:right w:val="single" w:sz="8" w:space="0" w:color="000000"/>
            </w:tcBorders>
          </w:tcPr>
          <w:p>
            <w:pPr>
              <w:pStyle w:val="TableParagraph"/>
              <w:spacing w:before="76"/>
              <w:ind w:right="39"/>
              <w:jc w:val="right"/>
              <w:rPr>
                <w:sz w:val="18"/>
              </w:rPr>
            </w:pPr>
            <w:r>
              <w:rPr>
                <w:sz w:val="18"/>
              </w:rPr>
              <w:t>100.000</w:t>
            </w:r>
          </w:p>
        </w:tc>
        <w:tc>
          <w:tcPr>
            <w:tcW w:w="1147" w:type="dxa"/>
            <w:vMerge/>
            <w:tcBorders>
              <w:top w:val="nil"/>
              <w:left w:val="single" w:sz="8" w:space="0" w:color="000000"/>
              <w:right w:val="single" w:sz="8" w:space="0" w:color="000000"/>
            </w:tcBorders>
          </w:tcPr>
          <w:p>
            <w:pPr>
              <w:rPr>
                <w:sz w:val="2"/>
                <w:szCs w:val="2"/>
              </w:rPr>
            </w:pPr>
          </w:p>
        </w:tc>
        <w:tc>
          <w:tcPr>
            <w:tcW w:w="1424" w:type="dxa"/>
            <w:vMerge/>
            <w:tcBorders>
              <w:top w:val="nil"/>
              <w:left w:val="single" w:sz="8" w:space="0" w:color="000000"/>
              <w:right w:val="single" w:sz="8" w:space="0" w:color="000000"/>
            </w:tcBorders>
          </w:tcPr>
          <w:p>
            <w:pPr>
              <w:rPr>
                <w:sz w:val="2"/>
                <w:szCs w:val="2"/>
              </w:rPr>
            </w:pPr>
          </w:p>
        </w:tc>
        <w:tc>
          <w:tcPr>
            <w:tcW w:w="1438" w:type="dxa"/>
            <w:vMerge/>
            <w:tcBorders>
              <w:top w:val="nil"/>
              <w:left w:val="single" w:sz="8" w:space="0" w:color="000000"/>
            </w:tcBorders>
          </w:tcPr>
          <w:p>
            <w:pPr>
              <w:rPr>
                <w:sz w:val="2"/>
                <w:szCs w:val="2"/>
              </w:rPr>
            </w:pPr>
          </w:p>
        </w:tc>
      </w:tr>
    </w:tbl>
    <w:p>
      <w:pPr>
        <w:spacing w:before="2"/>
        <w:ind w:left="942" w:right="0" w:firstLine="0"/>
        <w:jc w:val="left"/>
        <w:rPr>
          <w:sz w:val="18"/>
        </w:rPr>
      </w:pPr>
      <w:r>
        <w:rPr>
          <w:sz w:val="18"/>
        </w:rPr>
        <w:t>Extraction Method: Principal Component Analysis.</w:t>
      </w:r>
    </w:p>
    <w:p>
      <w:pPr>
        <w:pStyle w:val="BodyText"/>
        <w:rPr>
          <w:sz w:val="20"/>
        </w:rPr>
      </w:pPr>
    </w:p>
    <w:p>
      <w:pPr>
        <w:pStyle w:val="BodyText"/>
        <w:spacing w:before="5"/>
        <w:rPr>
          <w:sz w:val="16"/>
        </w:rPr>
      </w:pPr>
    </w:p>
    <w:p>
      <w:pPr>
        <w:spacing w:before="99"/>
        <w:ind w:left="1179" w:right="0" w:firstLine="0"/>
        <w:jc w:val="left"/>
        <w:rPr>
          <w:b/>
          <w:sz w:val="18"/>
        </w:rPr>
      </w:pPr>
      <w:r>
        <w:rPr>
          <w:b/>
          <w:sz w:val="18"/>
        </w:rPr>
        <w:t>Component Matrix</w:t>
      </w:r>
      <w:r>
        <w:rPr>
          <w:b/>
          <w:sz w:val="18"/>
          <w:vertAlign w:val="superscript"/>
        </w:rPr>
        <w:t>a</w:t>
      </w:r>
    </w:p>
    <w:p>
      <w:pPr>
        <w:pStyle w:val="BodyText"/>
        <w:spacing w:before="10" w:after="1"/>
        <w:rPr>
          <w:b/>
          <w:sz w:val="8"/>
        </w:rPr>
      </w:pPr>
    </w:p>
    <w:tbl>
      <w:tblPr>
        <w:tblW w:w="0" w:type="auto"/>
        <w:jc w:val="left"/>
        <w:tblInd w:w="907" w:type="dxa"/>
        <w:tblBorders>
          <w:top w:val="single" w:sz="18" w:space="0" w:color="000000"/>
          <w:left w:val="single" w:sz="18" w:space="0" w:color="000000"/>
          <w:bottom w:val="single" w:sz="18" w:space="0" w:color="000000"/>
          <w:right w:val="single" w:sz="18" w:space="0" w:color="000000"/>
          <w:insideH w:val="single" w:sz="18" w:space="0" w:color="000000"/>
          <w:insideV w:val="single" w:sz="18" w:space="0" w:color="000000"/>
        </w:tblBorders>
        <w:tblLayout w:type="fixed"/>
        <w:tblCellMar>
          <w:top w:w="0" w:type="dxa"/>
          <w:left w:w="0" w:type="dxa"/>
          <w:bottom w:w="0" w:type="dxa"/>
          <w:right w:w="0" w:type="dxa"/>
        </w:tblCellMar>
        <w:tblLook w:val="01E0"/>
      </w:tblPr>
      <w:tblGrid>
        <w:gridCol w:w="881"/>
        <w:gridCol w:w="1260"/>
      </w:tblGrid>
      <w:tr>
        <w:trPr>
          <w:trHeight w:val="295" w:hRule="atLeast"/>
        </w:trPr>
        <w:tc>
          <w:tcPr>
            <w:tcW w:w="881" w:type="dxa"/>
            <w:vMerge w:val="restart"/>
          </w:tcPr>
          <w:p>
            <w:pPr>
              <w:pStyle w:val="TableParagraph"/>
              <w:rPr>
                <w:sz w:val="18"/>
              </w:rPr>
            </w:pPr>
          </w:p>
        </w:tc>
        <w:tc>
          <w:tcPr>
            <w:tcW w:w="1260" w:type="dxa"/>
            <w:tcBorders>
              <w:bottom w:val="single" w:sz="8" w:space="0" w:color="000000"/>
            </w:tcBorders>
          </w:tcPr>
          <w:p>
            <w:pPr>
              <w:pStyle w:val="TableParagraph"/>
              <w:spacing w:line="206" w:lineRule="exact"/>
              <w:ind w:left="200"/>
              <w:rPr>
                <w:sz w:val="18"/>
              </w:rPr>
            </w:pPr>
            <w:r>
              <w:rPr>
                <w:sz w:val="18"/>
              </w:rPr>
              <w:t>Component</w:t>
            </w:r>
          </w:p>
        </w:tc>
      </w:tr>
      <w:tr>
        <w:trPr>
          <w:trHeight w:val="314" w:hRule="atLeast"/>
        </w:trPr>
        <w:tc>
          <w:tcPr>
            <w:tcW w:w="881" w:type="dxa"/>
            <w:vMerge/>
            <w:tcBorders>
              <w:top w:val="nil"/>
            </w:tcBorders>
          </w:tcPr>
          <w:p>
            <w:pPr>
              <w:rPr>
                <w:sz w:val="2"/>
                <w:szCs w:val="2"/>
              </w:rPr>
            </w:pPr>
          </w:p>
        </w:tc>
        <w:tc>
          <w:tcPr>
            <w:tcW w:w="1260" w:type="dxa"/>
            <w:tcBorders>
              <w:top w:val="single" w:sz="8" w:space="0" w:color="000000"/>
            </w:tcBorders>
          </w:tcPr>
          <w:p>
            <w:pPr>
              <w:pStyle w:val="TableParagraph"/>
              <w:spacing w:before="8"/>
              <w:ind w:left="24"/>
              <w:jc w:val="center"/>
              <w:rPr>
                <w:sz w:val="18"/>
              </w:rPr>
            </w:pPr>
            <w:r>
              <w:rPr>
                <w:sz w:val="18"/>
              </w:rPr>
              <w:t>1</w:t>
            </w:r>
          </w:p>
        </w:tc>
      </w:tr>
      <w:tr>
        <w:trPr>
          <w:trHeight w:val="261" w:hRule="atLeast"/>
        </w:trPr>
        <w:tc>
          <w:tcPr>
            <w:tcW w:w="881" w:type="dxa"/>
            <w:tcBorders>
              <w:bottom w:val="nil"/>
            </w:tcBorders>
          </w:tcPr>
          <w:p>
            <w:pPr>
              <w:pStyle w:val="TableParagraph"/>
              <w:spacing w:line="206" w:lineRule="exact"/>
              <w:ind w:left="57" w:right="159"/>
              <w:jc w:val="center"/>
              <w:rPr>
                <w:sz w:val="18"/>
              </w:rPr>
            </w:pPr>
            <w:r>
              <w:rPr>
                <w:sz w:val="18"/>
              </w:rPr>
              <w:t>CLDV4</w:t>
            </w:r>
          </w:p>
        </w:tc>
        <w:tc>
          <w:tcPr>
            <w:tcW w:w="1260" w:type="dxa"/>
            <w:tcBorders>
              <w:bottom w:val="nil"/>
            </w:tcBorders>
          </w:tcPr>
          <w:p>
            <w:pPr>
              <w:pStyle w:val="TableParagraph"/>
              <w:spacing w:line="206" w:lineRule="exact"/>
              <w:ind w:right="34"/>
              <w:jc w:val="right"/>
              <w:rPr>
                <w:sz w:val="18"/>
              </w:rPr>
            </w:pPr>
            <w:r>
              <w:rPr>
                <w:sz w:val="18"/>
              </w:rPr>
              <w:t>.812</w:t>
            </w:r>
          </w:p>
        </w:tc>
      </w:tr>
      <w:tr>
        <w:trPr>
          <w:trHeight w:val="310" w:hRule="atLeast"/>
        </w:trPr>
        <w:tc>
          <w:tcPr>
            <w:tcW w:w="881" w:type="dxa"/>
            <w:tcBorders>
              <w:top w:val="nil"/>
              <w:bottom w:val="nil"/>
            </w:tcBorders>
          </w:tcPr>
          <w:p>
            <w:pPr>
              <w:pStyle w:val="TableParagraph"/>
              <w:spacing w:before="47"/>
              <w:ind w:left="57" w:right="159"/>
              <w:jc w:val="center"/>
              <w:rPr>
                <w:sz w:val="18"/>
              </w:rPr>
            </w:pPr>
            <w:r>
              <w:rPr>
                <w:sz w:val="18"/>
              </w:rPr>
              <w:t>CLDV1</w:t>
            </w:r>
          </w:p>
        </w:tc>
        <w:tc>
          <w:tcPr>
            <w:tcW w:w="1260" w:type="dxa"/>
            <w:tcBorders>
              <w:top w:val="nil"/>
              <w:bottom w:val="nil"/>
            </w:tcBorders>
          </w:tcPr>
          <w:p>
            <w:pPr>
              <w:pStyle w:val="TableParagraph"/>
              <w:spacing w:before="47"/>
              <w:ind w:right="34"/>
              <w:jc w:val="right"/>
              <w:rPr>
                <w:sz w:val="18"/>
              </w:rPr>
            </w:pPr>
            <w:r>
              <w:rPr>
                <w:sz w:val="18"/>
              </w:rPr>
              <w:t>.809</w:t>
            </w:r>
          </w:p>
        </w:tc>
      </w:tr>
      <w:tr>
        <w:trPr>
          <w:trHeight w:val="310" w:hRule="atLeast"/>
        </w:trPr>
        <w:tc>
          <w:tcPr>
            <w:tcW w:w="881" w:type="dxa"/>
            <w:tcBorders>
              <w:top w:val="nil"/>
              <w:bottom w:val="nil"/>
            </w:tcBorders>
          </w:tcPr>
          <w:p>
            <w:pPr>
              <w:pStyle w:val="TableParagraph"/>
              <w:spacing w:before="48"/>
              <w:ind w:left="57" w:right="159"/>
              <w:jc w:val="center"/>
              <w:rPr>
                <w:sz w:val="18"/>
              </w:rPr>
            </w:pPr>
            <w:r>
              <w:rPr>
                <w:sz w:val="18"/>
              </w:rPr>
              <w:t>CLDV8</w:t>
            </w:r>
          </w:p>
        </w:tc>
        <w:tc>
          <w:tcPr>
            <w:tcW w:w="1260" w:type="dxa"/>
            <w:tcBorders>
              <w:top w:val="nil"/>
              <w:bottom w:val="nil"/>
            </w:tcBorders>
          </w:tcPr>
          <w:p>
            <w:pPr>
              <w:pStyle w:val="TableParagraph"/>
              <w:spacing w:before="48"/>
              <w:ind w:right="34"/>
              <w:jc w:val="right"/>
              <w:rPr>
                <w:sz w:val="18"/>
              </w:rPr>
            </w:pPr>
            <w:r>
              <w:rPr>
                <w:sz w:val="18"/>
              </w:rPr>
              <w:t>.808</w:t>
            </w:r>
          </w:p>
        </w:tc>
      </w:tr>
      <w:tr>
        <w:trPr>
          <w:trHeight w:val="309" w:hRule="atLeast"/>
        </w:trPr>
        <w:tc>
          <w:tcPr>
            <w:tcW w:w="881" w:type="dxa"/>
            <w:tcBorders>
              <w:top w:val="nil"/>
              <w:bottom w:val="nil"/>
            </w:tcBorders>
          </w:tcPr>
          <w:p>
            <w:pPr>
              <w:pStyle w:val="TableParagraph"/>
              <w:spacing w:before="47"/>
              <w:ind w:left="57" w:right="159"/>
              <w:jc w:val="center"/>
              <w:rPr>
                <w:sz w:val="18"/>
              </w:rPr>
            </w:pPr>
            <w:r>
              <w:rPr>
                <w:sz w:val="18"/>
              </w:rPr>
              <w:t>CLDV3</w:t>
            </w:r>
          </w:p>
        </w:tc>
        <w:tc>
          <w:tcPr>
            <w:tcW w:w="1260" w:type="dxa"/>
            <w:tcBorders>
              <w:top w:val="nil"/>
              <w:bottom w:val="nil"/>
            </w:tcBorders>
          </w:tcPr>
          <w:p>
            <w:pPr>
              <w:pStyle w:val="TableParagraph"/>
              <w:spacing w:before="47"/>
              <w:ind w:right="35"/>
              <w:jc w:val="right"/>
              <w:rPr>
                <w:sz w:val="18"/>
              </w:rPr>
            </w:pPr>
            <w:r>
              <w:rPr>
                <w:sz w:val="18"/>
              </w:rPr>
              <w:t>.786</w:t>
            </w:r>
          </w:p>
        </w:tc>
      </w:tr>
      <w:tr>
        <w:trPr>
          <w:trHeight w:val="311" w:hRule="atLeast"/>
        </w:trPr>
        <w:tc>
          <w:tcPr>
            <w:tcW w:w="881" w:type="dxa"/>
            <w:tcBorders>
              <w:top w:val="nil"/>
              <w:bottom w:val="nil"/>
            </w:tcBorders>
          </w:tcPr>
          <w:p>
            <w:pPr>
              <w:pStyle w:val="TableParagraph"/>
              <w:spacing w:before="47"/>
              <w:ind w:left="57" w:right="159"/>
              <w:jc w:val="center"/>
              <w:rPr>
                <w:sz w:val="18"/>
              </w:rPr>
            </w:pPr>
            <w:r>
              <w:rPr>
                <w:sz w:val="18"/>
              </w:rPr>
              <w:t>CLDV7</w:t>
            </w:r>
          </w:p>
        </w:tc>
        <w:tc>
          <w:tcPr>
            <w:tcW w:w="1260" w:type="dxa"/>
            <w:tcBorders>
              <w:top w:val="nil"/>
              <w:bottom w:val="nil"/>
            </w:tcBorders>
          </w:tcPr>
          <w:p>
            <w:pPr>
              <w:pStyle w:val="TableParagraph"/>
              <w:spacing w:before="47"/>
              <w:ind w:right="34"/>
              <w:jc w:val="right"/>
              <w:rPr>
                <w:sz w:val="18"/>
              </w:rPr>
            </w:pPr>
            <w:r>
              <w:rPr>
                <w:sz w:val="18"/>
              </w:rPr>
              <w:t>.783</w:t>
            </w:r>
          </w:p>
        </w:tc>
      </w:tr>
      <w:tr>
        <w:trPr>
          <w:trHeight w:val="311" w:hRule="atLeast"/>
        </w:trPr>
        <w:tc>
          <w:tcPr>
            <w:tcW w:w="881" w:type="dxa"/>
            <w:tcBorders>
              <w:top w:val="nil"/>
              <w:bottom w:val="nil"/>
            </w:tcBorders>
          </w:tcPr>
          <w:p>
            <w:pPr>
              <w:pStyle w:val="TableParagraph"/>
              <w:spacing w:before="49"/>
              <w:ind w:left="57" w:right="159"/>
              <w:jc w:val="center"/>
              <w:rPr>
                <w:sz w:val="18"/>
              </w:rPr>
            </w:pPr>
            <w:r>
              <w:rPr>
                <w:sz w:val="18"/>
              </w:rPr>
              <w:t>CLDV6</w:t>
            </w:r>
          </w:p>
        </w:tc>
        <w:tc>
          <w:tcPr>
            <w:tcW w:w="1260" w:type="dxa"/>
            <w:tcBorders>
              <w:top w:val="nil"/>
              <w:bottom w:val="nil"/>
            </w:tcBorders>
          </w:tcPr>
          <w:p>
            <w:pPr>
              <w:pStyle w:val="TableParagraph"/>
              <w:spacing w:before="49"/>
              <w:ind w:right="34"/>
              <w:jc w:val="right"/>
              <w:rPr>
                <w:sz w:val="18"/>
              </w:rPr>
            </w:pPr>
            <w:r>
              <w:rPr>
                <w:sz w:val="18"/>
              </w:rPr>
              <w:t>.679</w:t>
            </w:r>
          </w:p>
        </w:tc>
      </w:tr>
      <w:tr>
        <w:trPr>
          <w:trHeight w:val="353" w:hRule="atLeast"/>
        </w:trPr>
        <w:tc>
          <w:tcPr>
            <w:tcW w:w="881" w:type="dxa"/>
            <w:tcBorders>
              <w:top w:val="nil"/>
            </w:tcBorders>
          </w:tcPr>
          <w:p>
            <w:pPr>
              <w:pStyle w:val="TableParagraph"/>
              <w:spacing w:before="47"/>
              <w:ind w:left="57" w:right="67"/>
              <w:jc w:val="center"/>
              <w:rPr>
                <w:sz w:val="18"/>
              </w:rPr>
            </w:pPr>
            <w:r>
              <w:rPr>
                <w:sz w:val="18"/>
              </w:rPr>
              <w:t>CLDV10</w:t>
            </w:r>
          </w:p>
        </w:tc>
        <w:tc>
          <w:tcPr>
            <w:tcW w:w="1260" w:type="dxa"/>
            <w:tcBorders>
              <w:top w:val="nil"/>
            </w:tcBorders>
          </w:tcPr>
          <w:p>
            <w:pPr>
              <w:pStyle w:val="TableParagraph"/>
              <w:spacing w:before="47"/>
              <w:ind w:right="34"/>
              <w:jc w:val="right"/>
              <w:rPr>
                <w:sz w:val="18"/>
              </w:rPr>
            </w:pPr>
            <w:r>
              <w:rPr>
                <w:sz w:val="18"/>
              </w:rPr>
              <w:t>.583</w:t>
            </w:r>
          </w:p>
        </w:tc>
      </w:tr>
    </w:tbl>
    <w:p>
      <w:pPr>
        <w:pStyle w:val="BodyText"/>
        <w:rPr>
          <w:b/>
          <w:sz w:val="20"/>
        </w:rPr>
      </w:pPr>
    </w:p>
    <w:p>
      <w:pPr>
        <w:pStyle w:val="BodyText"/>
        <w:rPr>
          <w:b/>
          <w:sz w:val="20"/>
        </w:rPr>
      </w:pPr>
    </w:p>
    <w:p>
      <w:pPr>
        <w:pStyle w:val="ListParagraph"/>
        <w:numPr>
          <w:ilvl w:val="1"/>
          <w:numId w:val="46"/>
        </w:numPr>
        <w:tabs>
          <w:tab w:pos="1310" w:val="left" w:leader="none"/>
        </w:tabs>
        <w:spacing w:line="240" w:lineRule="auto" w:before="163" w:after="0"/>
        <w:ind w:left="1309" w:right="0" w:hanging="428"/>
        <w:jc w:val="left"/>
        <w:rPr>
          <w:b/>
          <w:i/>
          <w:sz w:val="24"/>
        </w:rPr>
      </w:pPr>
      <w:r>
        <w:rPr>
          <w:b/>
          <w:i/>
          <w:sz w:val="24"/>
          <w:u w:val="thick"/>
        </w:rPr>
        <w:t>Thang đo hài lòng khách</w:t>
      </w:r>
      <w:r>
        <w:rPr>
          <w:b/>
          <w:i/>
          <w:spacing w:val="-1"/>
          <w:sz w:val="24"/>
          <w:u w:val="thick"/>
        </w:rPr>
        <w:t> </w:t>
      </w:r>
      <w:r>
        <w:rPr>
          <w:b/>
          <w:i/>
          <w:sz w:val="24"/>
          <w:u w:val="thick"/>
        </w:rPr>
        <w:t>hàng</w:t>
      </w:r>
    </w:p>
    <w:p>
      <w:pPr>
        <w:pStyle w:val="BodyText"/>
        <w:rPr>
          <w:b/>
          <w:i/>
          <w:sz w:val="20"/>
        </w:rPr>
      </w:pPr>
    </w:p>
    <w:p>
      <w:pPr>
        <w:pStyle w:val="BodyText"/>
        <w:rPr>
          <w:b/>
          <w:i/>
          <w:sz w:val="20"/>
        </w:rPr>
      </w:pPr>
    </w:p>
    <w:p>
      <w:pPr>
        <w:spacing w:before="93"/>
        <w:ind w:left="1450" w:right="0" w:firstLine="0"/>
        <w:jc w:val="left"/>
        <w:rPr>
          <w:b/>
          <w:sz w:val="18"/>
        </w:rPr>
      </w:pPr>
      <w:r>
        <w:rPr>
          <w:b/>
          <w:sz w:val="18"/>
        </w:rPr>
        <w:t>Reliability Statistics</w:t>
      </w:r>
    </w:p>
    <w:p>
      <w:pPr>
        <w:pStyle w:val="BodyText"/>
        <w:spacing w:before="10"/>
        <w:rPr>
          <w:b/>
          <w:sz w:val="8"/>
        </w:rPr>
      </w:pPr>
    </w:p>
    <w:tbl>
      <w:tblPr>
        <w:tblW w:w="0" w:type="auto"/>
        <w:jc w:val="left"/>
        <w:tblInd w:w="907" w:type="dxa"/>
        <w:tblBorders>
          <w:top w:val="single" w:sz="18" w:space="0" w:color="000000"/>
          <w:left w:val="single" w:sz="18" w:space="0" w:color="000000"/>
          <w:bottom w:val="single" w:sz="18" w:space="0" w:color="000000"/>
          <w:right w:val="single" w:sz="18" w:space="0" w:color="000000"/>
          <w:insideH w:val="single" w:sz="18" w:space="0" w:color="000000"/>
          <w:insideV w:val="single" w:sz="18" w:space="0" w:color="000000"/>
        </w:tblBorders>
        <w:tblLayout w:type="fixed"/>
        <w:tblCellMar>
          <w:top w:w="0" w:type="dxa"/>
          <w:left w:w="0" w:type="dxa"/>
          <w:bottom w:w="0" w:type="dxa"/>
          <w:right w:w="0" w:type="dxa"/>
        </w:tblCellMar>
        <w:tblLook w:val="01E0"/>
      </w:tblPr>
      <w:tblGrid>
        <w:gridCol w:w="1512"/>
        <w:gridCol w:w="1165"/>
      </w:tblGrid>
      <w:tr>
        <w:trPr>
          <w:trHeight w:val="305" w:hRule="atLeast"/>
        </w:trPr>
        <w:tc>
          <w:tcPr>
            <w:tcW w:w="1512" w:type="dxa"/>
            <w:tcBorders>
              <w:right w:val="single" w:sz="8" w:space="0" w:color="000000"/>
            </w:tcBorders>
          </w:tcPr>
          <w:p>
            <w:pPr>
              <w:pStyle w:val="TableParagraph"/>
              <w:spacing w:line="206" w:lineRule="exact"/>
              <w:ind w:right="73"/>
              <w:jc w:val="right"/>
              <w:rPr>
                <w:sz w:val="18"/>
              </w:rPr>
            </w:pPr>
            <w:r>
              <w:rPr>
                <w:sz w:val="18"/>
              </w:rPr>
              <w:t>Cronbach's Alpha</w:t>
            </w:r>
          </w:p>
        </w:tc>
        <w:tc>
          <w:tcPr>
            <w:tcW w:w="1165" w:type="dxa"/>
            <w:tcBorders>
              <w:left w:val="single" w:sz="8" w:space="0" w:color="000000"/>
            </w:tcBorders>
          </w:tcPr>
          <w:p>
            <w:pPr>
              <w:pStyle w:val="TableParagraph"/>
              <w:spacing w:line="206" w:lineRule="exact"/>
              <w:ind w:left="201"/>
              <w:rPr>
                <w:sz w:val="18"/>
              </w:rPr>
            </w:pPr>
            <w:r>
              <w:rPr>
                <w:sz w:val="18"/>
              </w:rPr>
              <w:t>N of Items</w:t>
            </w:r>
          </w:p>
        </w:tc>
      </w:tr>
      <w:tr>
        <w:trPr>
          <w:trHeight w:val="307" w:hRule="atLeast"/>
        </w:trPr>
        <w:tc>
          <w:tcPr>
            <w:tcW w:w="1512" w:type="dxa"/>
            <w:tcBorders>
              <w:right w:val="single" w:sz="8" w:space="0" w:color="000000"/>
            </w:tcBorders>
          </w:tcPr>
          <w:p>
            <w:pPr>
              <w:pStyle w:val="TableParagraph"/>
              <w:spacing w:line="206" w:lineRule="exact"/>
              <w:ind w:right="37"/>
              <w:jc w:val="right"/>
              <w:rPr>
                <w:sz w:val="18"/>
              </w:rPr>
            </w:pPr>
            <w:r>
              <w:rPr>
                <w:sz w:val="18"/>
              </w:rPr>
              <w:t>.754</w:t>
            </w:r>
          </w:p>
        </w:tc>
        <w:tc>
          <w:tcPr>
            <w:tcW w:w="1165" w:type="dxa"/>
            <w:tcBorders>
              <w:left w:val="single" w:sz="8" w:space="0" w:color="000000"/>
            </w:tcBorders>
          </w:tcPr>
          <w:p>
            <w:pPr>
              <w:pStyle w:val="TableParagraph"/>
              <w:spacing w:line="206" w:lineRule="exact"/>
              <w:ind w:right="37"/>
              <w:jc w:val="right"/>
              <w:rPr>
                <w:sz w:val="18"/>
              </w:rPr>
            </w:pPr>
            <w:r>
              <w:rPr>
                <w:sz w:val="18"/>
              </w:rPr>
              <w:t>3</w:t>
            </w:r>
          </w:p>
        </w:tc>
      </w:tr>
    </w:tbl>
    <w:p>
      <w:pPr>
        <w:pStyle w:val="BodyText"/>
        <w:rPr>
          <w:b/>
          <w:sz w:val="20"/>
        </w:rPr>
      </w:pPr>
    </w:p>
    <w:p>
      <w:pPr>
        <w:pStyle w:val="BodyText"/>
        <w:spacing w:before="10"/>
        <w:rPr>
          <w:b/>
          <w:sz w:val="15"/>
        </w:rPr>
      </w:pPr>
    </w:p>
    <w:p>
      <w:pPr>
        <w:spacing w:before="0"/>
        <w:ind w:left="3402" w:right="0" w:firstLine="0"/>
        <w:jc w:val="left"/>
        <w:rPr>
          <w:b/>
          <w:sz w:val="18"/>
        </w:rPr>
      </w:pPr>
      <w:r>
        <w:rPr>
          <w:b/>
          <w:sz w:val="18"/>
        </w:rPr>
        <w:t>Item-Total Statistics</w:t>
      </w:r>
    </w:p>
    <w:p>
      <w:pPr>
        <w:pStyle w:val="BodyText"/>
        <w:spacing w:before="2"/>
        <w:rPr>
          <w:b/>
          <w:sz w:val="9"/>
        </w:rPr>
      </w:pPr>
    </w:p>
    <w:tbl>
      <w:tblPr>
        <w:tblW w:w="0" w:type="auto"/>
        <w:jc w:val="left"/>
        <w:tblInd w:w="907" w:type="dxa"/>
        <w:tblBorders>
          <w:top w:val="single" w:sz="18" w:space="0" w:color="000000"/>
          <w:left w:val="single" w:sz="18" w:space="0" w:color="000000"/>
          <w:bottom w:val="single" w:sz="18" w:space="0" w:color="000000"/>
          <w:right w:val="single" w:sz="18" w:space="0" w:color="000000"/>
          <w:insideH w:val="single" w:sz="18" w:space="0" w:color="000000"/>
          <w:insideV w:val="single" w:sz="18" w:space="0" w:color="000000"/>
        </w:tblBorders>
        <w:tblLayout w:type="fixed"/>
        <w:tblCellMar>
          <w:top w:w="0" w:type="dxa"/>
          <w:left w:w="0" w:type="dxa"/>
          <w:bottom w:w="0" w:type="dxa"/>
          <w:right w:w="0" w:type="dxa"/>
        </w:tblCellMar>
        <w:tblLook w:val="01E0"/>
      </w:tblPr>
      <w:tblGrid>
        <w:gridCol w:w="734"/>
        <w:gridCol w:w="1468"/>
        <w:gridCol w:w="1469"/>
        <w:gridCol w:w="1469"/>
        <w:gridCol w:w="1466"/>
      </w:tblGrid>
      <w:tr>
        <w:trPr>
          <w:trHeight w:val="615" w:hRule="atLeast"/>
        </w:trPr>
        <w:tc>
          <w:tcPr>
            <w:tcW w:w="734" w:type="dxa"/>
          </w:tcPr>
          <w:p>
            <w:pPr>
              <w:pStyle w:val="TableParagraph"/>
              <w:rPr>
                <w:sz w:val="18"/>
              </w:rPr>
            </w:pPr>
          </w:p>
        </w:tc>
        <w:tc>
          <w:tcPr>
            <w:tcW w:w="1468" w:type="dxa"/>
            <w:tcBorders>
              <w:right w:val="single" w:sz="8" w:space="0" w:color="000000"/>
            </w:tcBorders>
          </w:tcPr>
          <w:p>
            <w:pPr>
              <w:pStyle w:val="TableParagraph"/>
              <w:spacing w:line="204" w:lineRule="exact"/>
              <w:ind w:left="234"/>
              <w:rPr>
                <w:sz w:val="18"/>
              </w:rPr>
            </w:pPr>
            <w:r>
              <w:rPr>
                <w:sz w:val="18"/>
              </w:rPr>
              <w:t>Scale Mean</w:t>
            </w:r>
            <w:r>
              <w:rPr>
                <w:spacing w:val="-5"/>
                <w:sz w:val="18"/>
              </w:rPr>
              <w:t> </w:t>
            </w:r>
            <w:r>
              <w:rPr>
                <w:sz w:val="18"/>
              </w:rPr>
              <w:t>if</w:t>
            </w:r>
          </w:p>
          <w:p>
            <w:pPr>
              <w:pStyle w:val="TableParagraph"/>
              <w:spacing w:before="105"/>
              <w:ind w:left="268"/>
              <w:rPr>
                <w:sz w:val="18"/>
              </w:rPr>
            </w:pPr>
            <w:r>
              <w:rPr>
                <w:sz w:val="18"/>
              </w:rPr>
              <w:t>Item</w:t>
            </w:r>
            <w:r>
              <w:rPr>
                <w:spacing w:val="-2"/>
                <w:sz w:val="18"/>
              </w:rPr>
              <w:t> </w:t>
            </w:r>
            <w:r>
              <w:rPr>
                <w:sz w:val="18"/>
              </w:rPr>
              <w:t>Deleted</w:t>
            </w:r>
          </w:p>
        </w:tc>
        <w:tc>
          <w:tcPr>
            <w:tcW w:w="1469" w:type="dxa"/>
            <w:tcBorders>
              <w:left w:val="single" w:sz="8" w:space="0" w:color="000000"/>
              <w:right w:val="single" w:sz="8" w:space="0" w:color="000000"/>
            </w:tcBorders>
          </w:tcPr>
          <w:p>
            <w:pPr>
              <w:pStyle w:val="TableParagraph"/>
              <w:spacing w:line="204" w:lineRule="exact"/>
              <w:ind w:left="99" w:right="63"/>
              <w:jc w:val="center"/>
              <w:rPr>
                <w:sz w:val="18"/>
              </w:rPr>
            </w:pPr>
            <w:r>
              <w:rPr>
                <w:sz w:val="18"/>
              </w:rPr>
              <w:t>Scale Variance if</w:t>
            </w:r>
          </w:p>
          <w:p>
            <w:pPr>
              <w:pStyle w:val="TableParagraph"/>
              <w:spacing w:before="105"/>
              <w:ind w:left="99" w:right="59"/>
              <w:jc w:val="center"/>
              <w:rPr>
                <w:sz w:val="18"/>
              </w:rPr>
            </w:pPr>
            <w:r>
              <w:rPr>
                <w:sz w:val="18"/>
              </w:rPr>
              <w:t>Item Deleted</w:t>
            </w:r>
          </w:p>
        </w:tc>
        <w:tc>
          <w:tcPr>
            <w:tcW w:w="1469" w:type="dxa"/>
            <w:tcBorders>
              <w:left w:val="single" w:sz="8" w:space="0" w:color="000000"/>
              <w:right w:val="single" w:sz="8" w:space="0" w:color="000000"/>
            </w:tcBorders>
          </w:tcPr>
          <w:p>
            <w:pPr>
              <w:pStyle w:val="TableParagraph"/>
              <w:spacing w:line="204" w:lineRule="exact"/>
              <w:ind w:left="171"/>
              <w:rPr>
                <w:sz w:val="18"/>
              </w:rPr>
            </w:pPr>
            <w:r>
              <w:rPr>
                <w:sz w:val="18"/>
              </w:rPr>
              <w:t>Corrected Item-</w:t>
            </w:r>
          </w:p>
          <w:p>
            <w:pPr>
              <w:pStyle w:val="TableParagraph"/>
              <w:spacing w:before="105"/>
              <w:ind w:left="121"/>
              <w:rPr>
                <w:sz w:val="18"/>
              </w:rPr>
            </w:pPr>
            <w:r>
              <w:rPr>
                <w:sz w:val="18"/>
              </w:rPr>
              <w:t>Total Correlation</w:t>
            </w:r>
          </w:p>
        </w:tc>
        <w:tc>
          <w:tcPr>
            <w:tcW w:w="1466" w:type="dxa"/>
            <w:tcBorders>
              <w:left w:val="single" w:sz="8" w:space="0" w:color="000000"/>
            </w:tcBorders>
          </w:tcPr>
          <w:p>
            <w:pPr>
              <w:pStyle w:val="TableParagraph"/>
              <w:spacing w:line="204" w:lineRule="exact"/>
              <w:ind w:left="94"/>
              <w:rPr>
                <w:sz w:val="18"/>
              </w:rPr>
            </w:pPr>
            <w:r>
              <w:rPr>
                <w:sz w:val="18"/>
              </w:rPr>
              <w:t>Cronbach's Alpha</w:t>
            </w:r>
          </w:p>
          <w:p>
            <w:pPr>
              <w:pStyle w:val="TableParagraph"/>
              <w:spacing w:before="105"/>
              <w:ind w:left="193"/>
              <w:rPr>
                <w:sz w:val="18"/>
              </w:rPr>
            </w:pPr>
            <w:r>
              <w:rPr>
                <w:sz w:val="18"/>
              </w:rPr>
              <w:t>if Item Deleted</w:t>
            </w:r>
          </w:p>
        </w:tc>
      </w:tr>
      <w:tr>
        <w:trPr>
          <w:trHeight w:val="261" w:hRule="atLeast"/>
        </w:trPr>
        <w:tc>
          <w:tcPr>
            <w:tcW w:w="734" w:type="dxa"/>
            <w:tcBorders>
              <w:bottom w:val="nil"/>
            </w:tcBorders>
          </w:tcPr>
          <w:p>
            <w:pPr>
              <w:pStyle w:val="TableParagraph"/>
              <w:spacing w:line="206" w:lineRule="exact"/>
              <w:ind w:left="75"/>
              <w:rPr>
                <w:sz w:val="18"/>
              </w:rPr>
            </w:pPr>
            <w:r>
              <w:rPr>
                <w:sz w:val="18"/>
              </w:rPr>
              <w:t>HL1</w:t>
            </w:r>
          </w:p>
        </w:tc>
        <w:tc>
          <w:tcPr>
            <w:tcW w:w="1468" w:type="dxa"/>
            <w:tcBorders>
              <w:bottom w:val="nil"/>
              <w:right w:val="single" w:sz="8" w:space="0" w:color="000000"/>
            </w:tcBorders>
          </w:tcPr>
          <w:p>
            <w:pPr>
              <w:pStyle w:val="TableParagraph"/>
              <w:spacing w:line="206" w:lineRule="exact"/>
              <w:ind w:right="37"/>
              <w:jc w:val="right"/>
              <w:rPr>
                <w:sz w:val="18"/>
              </w:rPr>
            </w:pPr>
            <w:r>
              <w:rPr>
                <w:sz w:val="18"/>
              </w:rPr>
              <w:t>7.54</w:t>
            </w:r>
          </w:p>
        </w:tc>
        <w:tc>
          <w:tcPr>
            <w:tcW w:w="1469" w:type="dxa"/>
            <w:tcBorders>
              <w:left w:val="single" w:sz="8" w:space="0" w:color="000000"/>
              <w:bottom w:val="nil"/>
              <w:right w:val="single" w:sz="8" w:space="0" w:color="000000"/>
            </w:tcBorders>
          </w:tcPr>
          <w:p>
            <w:pPr>
              <w:pStyle w:val="TableParagraph"/>
              <w:spacing w:line="206" w:lineRule="exact"/>
              <w:ind w:right="38"/>
              <w:jc w:val="right"/>
              <w:rPr>
                <w:sz w:val="18"/>
              </w:rPr>
            </w:pPr>
            <w:r>
              <w:rPr>
                <w:sz w:val="18"/>
              </w:rPr>
              <w:t>4.975</w:t>
            </w:r>
          </w:p>
        </w:tc>
        <w:tc>
          <w:tcPr>
            <w:tcW w:w="1469" w:type="dxa"/>
            <w:tcBorders>
              <w:left w:val="single" w:sz="8" w:space="0" w:color="000000"/>
              <w:bottom w:val="nil"/>
              <w:right w:val="single" w:sz="8" w:space="0" w:color="000000"/>
            </w:tcBorders>
          </w:tcPr>
          <w:p>
            <w:pPr>
              <w:pStyle w:val="TableParagraph"/>
              <w:spacing w:line="206" w:lineRule="exact"/>
              <w:ind w:right="38"/>
              <w:jc w:val="right"/>
              <w:rPr>
                <w:sz w:val="18"/>
              </w:rPr>
            </w:pPr>
            <w:r>
              <w:rPr>
                <w:sz w:val="18"/>
              </w:rPr>
              <w:t>.597</w:t>
            </w:r>
          </w:p>
        </w:tc>
        <w:tc>
          <w:tcPr>
            <w:tcW w:w="1466" w:type="dxa"/>
            <w:tcBorders>
              <w:left w:val="single" w:sz="8" w:space="0" w:color="000000"/>
              <w:bottom w:val="nil"/>
            </w:tcBorders>
          </w:tcPr>
          <w:p>
            <w:pPr>
              <w:pStyle w:val="TableParagraph"/>
              <w:spacing w:line="206" w:lineRule="exact"/>
              <w:ind w:right="32"/>
              <w:jc w:val="right"/>
              <w:rPr>
                <w:sz w:val="18"/>
              </w:rPr>
            </w:pPr>
            <w:r>
              <w:rPr>
                <w:sz w:val="18"/>
              </w:rPr>
              <w:t>.656</w:t>
            </w:r>
          </w:p>
        </w:tc>
      </w:tr>
      <w:tr>
        <w:trPr>
          <w:trHeight w:val="309" w:hRule="atLeast"/>
        </w:trPr>
        <w:tc>
          <w:tcPr>
            <w:tcW w:w="734" w:type="dxa"/>
            <w:tcBorders>
              <w:top w:val="nil"/>
              <w:bottom w:val="nil"/>
            </w:tcBorders>
          </w:tcPr>
          <w:p>
            <w:pPr>
              <w:pStyle w:val="TableParagraph"/>
              <w:spacing w:before="47"/>
              <w:ind w:left="75"/>
              <w:rPr>
                <w:sz w:val="18"/>
              </w:rPr>
            </w:pPr>
            <w:r>
              <w:rPr>
                <w:sz w:val="18"/>
              </w:rPr>
              <w:t>HL2</w:t>
            </w:r>
          </w:p>
        </w:tc>
        <w:tc>
          <w:tcPr>
            <w:tcW w:w="1468" w:type="dxa"/>
            <w:tcBorders>
              <w:top w:val="nil"/>
              <w:bottom w:val="nil"/>
              <w:right w:val="single" w:sz="8" w:space="0" w:color="000000"/>
            </w:tcBorders>
          </w:tcPr>
          <w:p>
            <w:pPr>
              <w:pStyle w:val="TableParagraph"/>
              <w:spacing w:before="47"/>
              <w:ind w:right="37"/>
              <w:jc w:val="right"/>
              <w:rPr>
                <w:sz w:val="18"/>
              </w:rPr>
            </w:pPr>
            <w:r>
              <w:rPr>
                <w:sz w:val="18"/>
              </w:rPr>
              <w:t>7.65</w:t>
            </w:r>
          </w:p>
        </w:tc>
        <w:tc>
          <w:tcPr>
            <w:tcW w:w="1469" w:type="dxa"/>
            <w:tcBorders>
              <w:top w:val="nil"/>
              <w:left w:val="single" w:sz="8" w:space="0" w:color="000000"/>
              <w:bottom w:val="nil"/>
              <w:right w:val="single" w:sz="8" w:space="0" w:color="000000"/>
            </w:tcBorders>
          </w:tcPr>
          <w:p>
            <w:pPr>
              <w:pStyle w:val="TableParagraph"/>
              <w:spacing w:before="47"/>
              <w:ind w:right="36"/>
              <w:jc w:val="right"/>
              <w:rPr>
                <w:sz w:val="18"/>
              </w:rPr>
            </w:pPr>
            <w:r>
              <w:rPr>
                <w:sz w:val="18"/>
              </w:rPr>
              <w:t>4.927</w:t>
            </w:r>
          </w:p>
        </w:tc>
        <w:tc>
          <w:tcPr>
            <w:tcW w:w="1469" w:type="dxa"/>
            <w:tcBorders>
              <w:top w:val="nil"/>
              <w:left w:val="single" w:sz="8" w:space="0" w:color="000000"/>
              <w:bottom w:val="nil"/>
              <w:right w:val="single" w:sz="8" w:space="0" w:color="000000"/>
            </w:tcBorders>
          </w:tcPr>
          <w:p>
            <w:pPr>
              <w:pStyle w:val="TableParagraph"/>
              <w:spacing w:before="47"/>
              <w:ind w:right="38"/>
              <w:jc w:val="right"/>
              <w:rPr>
                <w:sz w:val="18"/>
              </w:rPr>
            </w:pPr>
            <w:r>
              <w:rPr>
                <w:sz w:val="18"/>
              </w:rPr>
              <w:t>.558</w:t>
            </w:r>
          </w:p>
        </w:tc>
        <w:tc>
          <w:tcPr>
            <w:tcW w:w="1466" w:type="dxa"/>
            <w:tcBorders>
              <w:top w:val="nil"/>
              <w:left w:val="single" w:sz="8" w:space="0" w:color="000000"/>
              <w:bottom w:val="nil"/>
            </w:tcBorders>
          </w:tcPr>
          <w:p>
            <w:pPr>
              <w:pStyle w:val="TableParagraph"/>
              <w:spacing w:before="47"/>
              <w:ind w:right="32"/>
              <w:jc w:val="right"/>
              <w:rPr>
                <w:sz w:val="18"/>
              </w:rPr>
            </w:pPr>
            <w:r>
              <w:rPr>
                <w:sz w:val="18"/>
              </w:rPr>
              <w:t>.702</w:t>
            </w:r>
          </w:p>
        </w:tc>
      </w:tr>
      <w:tr>
        <w:trPr>
          <w:trHeight w:val="356" w:hRule="atLeast"/>
        </w:trPr>
        <w:tc>
          <w:tcPr>
            <w:tcW w:w="734" w:type="dxa"/>
            <w:tcBorders>
              <w:top w:val="nil"/>
            </w:tcBorders>
          </w:tcPr>
          <w:p>
            <w:pPr>
              <w:pStyle w:val="TableParagraph"/>
              <w:spacing w:before="47"/>
              <w:ind w:left="75"/>
              <w:rPr>
                <w:sz w:val="18"/>
              </w:rPr>
            </w:pPr>
            <w:r>
              <w:rPr>
                <w:sz w:val="18"/>
              </w:rPr>
              <w:t>HL3</w:t>
            </w:r>
          </w:p>
        </w:tc>
        <w:tc>
          <w:tcPr>
            <w:tcW w:w="1468" w:type="dxa"/>
            <w:tcBorders>
              <w:top w:val="nil"/>
              <w:right w:val="single" w:sz="8" w:space="0" w:color="000000"/>
            </w:tcBorders>
          </w:tcPr>
          <w:p>
            <w:pPr>
              <w:pStyle w:val="TableParagraph"/>
              <w:spacing w:before="47"/>
              <w:ind w:right="37"/>
              <w:jc w:val="right"/>
              <w:rPr>
                <w:sz w:val="18"/>
              </w:rPr>
            </w:pPr>
            <w:r>
              <w:rPr>
                <w:sz w:val="18"/>
              </w:rPr>
              <w:t>7.59</w:t>
            </w:r>
          </w:p>
        </w:tc>
        <w:tc>
          <w:tcPr>
            <w:tcW w:w="1469" w:type="dxa"/>
            <w:tcBorders>
              <w:top w:val="nil"/>
              <w:left w:val="single" w:sz="8" w:space="0" w:color="000000"/>
              <w:right w:val="single" w:sz="8" w:space="0" w:color="000000"/>
            </w:tcBorders>
          </w:tcPr>
          <w:p>
            <w:pPr>
              <w:pStyle w:val="TableParagraph"/>
              <w:spacing w:before="47"/>
              <w:ind w:right="38"/>
              <w:jc w:val="right"/>
              <w:rPr>
                <w:sz w:val="18"/>
              </w:rPr>
            </w:pPr>
            <w:r>
              <w:rPr>
                <w:sz w:val="18"/>
              </w:rPr>
              <w:t>4.977</w:t>
            </w:r>
          </w:p>
        </w:tc>
        <w:tc>
          <w:tcPr>
            <w:tcW w:w="1469" w:type="dxa"/>
            <w:tcBorders>
              <w:top w:val="nil"/>
              <w:left w:val="single" w:sz="8" w:space="0" w:color="000000"/>
              <w:right w:val="single" w:sz="8" w:space="0" w:color="000000"/>
            </w:tcBorders>
          </w:tcPr>
          <w:p>
            <w:pPr>
              <w:pStyle w:val="TableParagraph"/>
              <w:spacing w:before="47"/>
              <w:ind w:right="37"/>
              <w:jc w:val="right"/>
              <w:rPr>
                <w:sz w:val="18"/>
              </w:rPr>
            </w:pPr>
            <w:r>
              <w:rPr>
                <w:sz w:val="18"/>
              </w:rPr>
              <w:t>.595</w:t>
            </w:r>
          </w:p>
        </w:tc>
        <w:tc>
          <w:tcPr>
            <w:tcW w:w="1466" w:type="dxa"/>
            <w:tcBorders>
              <w:top w:val="nil"/>
              <w:left w:val="single" w:sz="8" w:space="0" w:color="000000"/>
            </w:tcBorders>
          </w:tcPr>
          <w:p>
            <w:pPr>
              <w:pStyle w:val="TableParagraph"/>
              <w:spacing w:before="47"/>
              <w:ind w:right="33"/>
              <w:jc w:val="right"/>
              <w:rPr>
                <w:sz w:val="18"/>
              </w:rPr>
            </w:pPr>
            <w:r>
              <w:rPr>
                <w:sz w:val="18"/>
              </w:rPr>
              <w:t>.658</w:t>
            </w:r>
          </w:p>
        </w:tc>
      </w:tr>
    </w:tbl>
    <w:p>
      <w:pPr>
        <w:pStyle w:val="BodyText"/>
        <w:rPr>
          <w:b/>
          <w:sz w:val="20"/>
        </w:rPr>
      </w:pPr>
    </w:p>
    <w:p>
      <w:pPr>
        <w:pStyle w:val="BodyText"/>
        <w:spacing w:before="8" w:after="1"/>
        <w:rPr>
          <w:b/>
          <w:sz w:val="16"/>
        </w:rPr>
      </w:pPr>
    </w:p>
    <w:tbl>
      <w:tblPr>
        <w:tblW w:w="0" w:type="auto"/>
        <w:jc w:val="left"/>
        <w:tblInd w:w="90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
      <w:tblGrid>
        <w:gridCol w:w="2299"/>
        <w:gridCol w:w="2523"/>
        <w:gridCol w:w="1023"/>
      </w:tblGrid>
      <w:tr>
        <w:trPr>
          <w:trHeight w:val="298" w:hRule="atLeast"/>
        </w:trPr>
        <w:tc>
          <w:tcPr>
            <w:tcW w:w="5845" w:type="dxa"/>
            <w:gridSpan w:val="3"/>
            <w:tcBorders>
              <w:bottom w:val="single" w:sz="18" w:space="0" w:color="000000"/>
            </w:tcBorders>
          </w:tcPr>
          <w:p>
            <w:pPr>
              <w:pStyle w:val="TableParagraph"/>
              <w:spacing w:line="199" w:lineRule="exact"/>
              <w:ind w:left="1977"/>
              <w:rPr>
                <w:b/>
                <w:sz w:val="18"/>
              </w:rPr>
            </w:pPr>
            <w:r>
              <w:rPr>
                <w:b/>
                <w:sz w:val="18"/>
              </w:rPr>
              <w:t>KMO and Bartlett's Test</w:t>
            </w:r>
          </w:p>
        </w:tc>
      </w:tr>
      <w:tr>
        <w:trPr>
          <w:trHeight w:val="261" w:hRule="atLeast"/>
        </w:trPr>
        <w:tc>
          <w:tcPr>
            <w:tcW w:w="4822" w:type="dxa"/>
            <w:gridSpan w:val="2"/>
            <w:tcBorders>
              <w:top w:val="single" w:sz="18" w:space="0" w:color="000000"/>
              <w:left w:val="single" w:sz="18" w:space="0" w:color="000000"/>
              <w:right w:val="single" w:sz="18" w:space="0" w:color="000000"/>
            </w:tcBorders>
          </w:tcPr>
          <w:p>
            <w:pPr>
              <w:pStyle w:val="TableParagraph"/>
              <w:spacing w:line="206" w:lineRule="exact"/>
              <w:ind w:left="75"/>
              <w:rPr>
                <w:sz w:val="18"/>
              </w:rPr>
            </w:pPr>
            <w:r>
              <w:rPr>
                <w:sz w:val="18"/>
              </w:rPr>
              <w:t>Kaiser-Meyer-Olkin Measure of Sampling Adequacy.</w:t>
            </w:r>
          </w:p>
        </w:tc>
        <w:tc>
          <w:tcPr>
            <w:tcW w:w="1023" w:type="dxa"/>
            <w:tcBorders>
              <w:top w:val="single" w:sz="18" w:space="0" w:color="000000"/>
              <w:left w:val="single" w:sz="18" w:space="0" w:color="000000"/>
              <w:right w:val="single" w:sz="18" w:space="0" w:color="000000"/>
            </w:tcBorders>
          </w:tcPr>
          <w:p>
            <w:pPr>
              <w:pStyle w:val="TableParagraph"/>
              <w:spacing w:line="206" w:lineRule="exact"/>
              <w:ind w:right="36"/>
              <w:jc w:val="right"/>
              <w:rPr>
                <w:sz w:val="18"/>
              </w:rPr>
            </w:pPr>
            <w:r>
              <w:rPr>
                <w:sz w:val="18"/>
              </w:rPr>
              <w:t>.691</w:t>
            </w:r>
          </w:p>
        </w:tc>
      </w:tr>
      <w:tr>
        <w:trPr>
          <w:trHeight w:val="330" w:hRule="atLeast"/>
        </w:trPr>
        <w:tc>
          <w:tcPr>
            <w:tcW w:w="2299" w:type="dxa"/>
            <w:tcBorders>
              <w:left w:val="single" w:sz="18" w:space="0" w:color="000000"/>
            </w:tcBorders>
          </w:tcPr>
          <w:p>
            <w:pPr>
              <w:pStyle w:val="TableParagraph"/>
              <w:rPr>
                <w:sz w:val="18"/>
              </w:rPr>
            </w:pPr>
          </w:p>
        </w:tc>
        <w:tc>
          <w:tcPr>
            <w:tcW w:w="2523" w:type="dxa"/>
            <w:tcBorders>
              <w:right w:val="single" w:sz="18" w:space="0" w:color="000000"/>
            </w:tcBorders>
          </w:tcPr>
          <w:p>
            <w:pPr>
              <w:pStyle w:val="TableParagraph"/>
              <w:spacing w:before="47"/>
              <w:ind w:left="259"/>
              <w:rPr>
                <w:sz w:val="18"/>
              </w:rPr>
            </w:pPr>
            <w:r>
              <w:rPr>
                <w:sz w:val="18"/>
              </w:rPr>
              <w:t>Approx. Chi-Square</w:t>
            </w:r>
          </w:p>
        </w:tc>
        <w:tc>
          <w:tcPr>
            <w:tcW w:w="1023" w:type="dxa"/>
            <w:tcBorders>
              <w:left w:val="single" w:sz="18" w:space="0" w:color="000000"/>
              <w:right w:val="single" w:sz="18" w:space="0" w:color="000000"/>
            </w:tcBorders>
          </w:tcPr>
          <w:p>
            <w:pPr>
              <w:pStyle w:val="TableParagraph"/>
              <w:spacing w:before="47"/>
              <w:ind w:right="36"/>
              <w:jc w:val="right"/>
              <w:rPr>
                <w:sz w:val="18"/>
              </w:rPr>
            </w:pPr>
            <w:r>
              <w:rPr>
                <w:sz w:val="18"/>
              </w:rPr>
              <w:t>368.858</w:t>
            </w:r>
          </w:p>
        </w:tc>
      </w:tr>
      <w:tr>
        <w:trPr>
          <w:trHeight w:val="350" w:hRule="atLeast"/>
        </w:trPr>
        <w:tc>
          <w:tcPr>
            <w:tcW w:w="2299" w:type="dxa"/>
            <w:tcBorders>
              <w:left w:val="single" w:sz="18" w:space="0" w:color="000000"/>
            </w:tcBorders>
          </w:tcPr>
          <w:p>
            <w:pPr>
              <w:pStyle w:val="TableParagraph"/>
              <w:spacing w:before="68"/>
              <w:ind w:left="75"/>
              <w:rPr>
                <w:sz w:val="18"/>
              </w:rPr>
            </w:pPr>
            <w:r>
              <w:rPr>
                <w:sz w:val="18"/>
              </w:rPr>
              <w:t>Bartlett's Test of Sphericity</w:t>
            </w:r>
          </w:p>
        </w:tc>
        <w:tc>
          <w:tcPr>
            <w:tcW w:w="2523" w:type="dxa"/>
            <w:tcBorders>
              <w:right w:val="single" w:sz="18" w:space="0" w:color="000000"/>
            </w:tcBorders>
          </w:tcPr>
          <w:p>
            <w:pPr>
              <w:pStyle w:val="TableParagraph"/>
              <w:spacing w:before="68"/>
              <w:ind w:left="259"/>
              <w:rPr>
                <w:sz w:val="18"/>
              </w:rPr>
            </w:pPr>
            <w:r>
              <w:rPr>
                <w:sz w:val="18"/>
              </w:rPr>
              <w:t>df</w:t>
            </w:r>
          </w:p>
        </w:tc>
        <w:tc>
          <w:tcPr>
            <w:tcW w:w="1023" w:type="dxa"/>
            <w:tcBorders>
              <w:left w:val="single" w:sz="18" w:space="0" w:color="000000"/>
              <w:right w:val="single" w:sz="18" w:space="0" w:color="000000"/>
            </w:tcBorders>
          </w:tcPr>
          <w:p>
            <w:pPr>
              <w:pStyle w:val="TableParagraph"/>
              <w:spacing w:before="68"/>
              <w:ind w:right="39"/>
              <w:jc w:val="right"/>
              <w:rPr>
                <w:sz w:val="18"/>
              </w:rPr>
            </w:pPr>
            <w:r>
              <w:rPr>
                <w:sz w:val="18"/>
              </w:rPr>
              <w:t>3</w:t>
            </w:r>
          </w:p>
        </w:tc>
      </w:tr>
      <w:tr>
        <w:trPr>
          <w:trHeight w:val="376" w:hRule="atLeast"/>
        </w:trPr>
        <w:tc>
          <w:tcPr>
            <w:tcW w:w="2299" w:type="dxa"/>
            <w:tcBorders>
              <w:left w:val="single" w:sz="18" w:space="0" w:color="000000"/>
              <w:bottom w:val="single" w:sz="18" w:space="0" w:color="000000"/>
            </w:tcBorders>
          </w:tcPr>
          <w:p>
            <w:pPr>
              <w:pStyle w:val="TableParagraph"/>
              <w:rPr>
                <w:sz w:val="18"/>
              </w:rPr>
            </w:pPr>
          </w:p>
        </w:tc>
        <w:tc>
          <w:tcPr>
            <w:tcW w:w="2523" w:type="dxa"/>
            <w:tcBorders>
              <w:bottom w:val="single" w:sz="18" w:space="0" w:color="000000"/>
              <w:right w:val="single" w:sz="18" w:space="0" w:color="000000"/>
            </w:tcBorders>
          </w:tcPr>
          <w:p>
            <w:pPr>
              <w:pStyle w:val="TableParagraph"/>
              <w:spacing w:before="68"/>
              <w:ind w:left="259"/>
              <w:rPr>
                <w:sz w:val="18"/>
              </w:rPr>
            </w:pPr>
            <w:r>
              <w:rPr>
                <w:sz w:val="18"/>
              </w:rPr>
              <w:t>Sig.</w:t>
            </w:r>
          </w:p>
        </w:tc>
        <w:tc>
          <w:tcPr>
            <w:tcW w:w="1023" w:type="dxa"/>
            <w:tcBorders>
              <w:left w:val="single" w:sz="18" w:space="0" w:color="000000"/>
              <w:bottom w:val="single" w:sz="18" w:space="0" w:color="000000"/>
              <w:right w:val="single" w:sz="18" w:space="0" w:color="000000"/>
            </w:tcBorders>
          </w:tcPr>
          <w:p>
            <w:pPr>
              <w:pStyle w:val="TableParagraph"/>
              <w:spacing w:before="68"/>
              <w:ind w:right="36"/>
              <w:jc w:val="right"/>
              <w:rPr>
                <w:sz w:val="18"/>
              </w:rPr>
            </w:pPr>
            <w:r>
              <w:rPr>
                <w:sz w:val="18"/>
              </w:rPr>
              <w:t>.000</w:t>
            </w:r>
          </w:p>
        </w:tc>
      </w:tr>
    </w:tbl>
    <w:p>
      <w:pPr>
        <w:pStyle w:val="BodyText"/>
        <w:rPr>
          <w:b/>
          <w:sz w:val="20"/>
        </w:rPr>
      </w:pPr>
    </w:p>
    <w:p>
      <w:pPr>
        <w:pStyle w:val="BodyText"/>
        <w:spacing w:before="1"/>
        <w:rPr>
          <w:b/>
          <w:sz w:val="16"/>
        </w:rPr>
      </w:pPr>
    </w:p>
    <w:p>
      <w:pPr>
        <w:spacing w:before="0"/>
        <w:ind w:left="1018" w:right="952" w:firstLine="0"/>
        <w:jc w:val="center"/>
        <w:rPr>
          <w:b/>
          <w:sz w:val="18"/>
        </w:rPr>
      </w:pPr>
      <w:r>
        <w:rPr>
          <w:b/>
          <w:sz w:val="18"/>
        </w:rPr>
        <w:t>Total Variance Explained</w:t>
      </w:r>
    </w:p>
    <w:p>
      <w:pPr>
        <w:pStyle w:val="BodyText"/>
        <w:spacing w:before="10" w:after="1"/>
        <w:rPr>
          <w:b/>
          <w:sz w:val="8"/>
        </w:rPr>
      </w:pPr>
    </w:p>
    <w:tbl>
      <w:tblPr>
        <w:tblW w:w="0" w:type="auto"/>
        <w:jc w:val="left"/>
        <w:tblInd w:w="907" w:type="dxa"/>
        <w:tblBorders>
          <w:top w:val="single" w:sz="18" w:space="0" w:color="000000"/>
          <w:left w:val="single" w:sz="18" w:space="0" w:color="000000"/>
          <w:bottom w:val="single" w:sz="18" w:space="0" w:color="000000"/>
          <w:right w:val="single" w:sz="18" w:space="0" w:color="000000"/>
          <w:insideH w:val="single" w:sz="18" w:space="0" w:color="000000"/>
          <w:insideV w:val="single" w:sz="18" w:space="0" w:color="000000"/>
        </w:tblBorders>
        <w:tblLayout w:type="fixed"/>
        <w:tblCellMar>
          <w:top w:w="0" w:type="dxa"/>
          <w:left w:w="0" w:type="dxa"/>
          <w:bottom w:w="0" w:type="dxa"/>
          <w:right w:w="0" w:type="dxa"/>
        </w:tblCellMar>
        <w:tblLook w:val="01E0"/>
      </w:tblPr>
      <w:tblGrid>
        <w:gridCol w:w="1279"/>
        <w:gridCol w:w="999"/>
        <w:gridCol w:w="1424"/>
        <w:gridCol w:w="1438"/>
        <w:gridCol w:w="1147"/>
        <w:gridCol w:w="1424"/>
        <w:gridCol w:w="1438"/>
      </w:tblGrid>
      <w:tr>
        <w:trPr>
          <w:trHeight w:val="295" w:hRule="atLeast"/>
        </w:trPr>
        <w:tc>
          <w:tcPr>
            <w:tcW w:w="1279" w:type="dxa"/>
            <w:vMerge w:val="restart"/>
          </w:tcPr>
          <w:p>
            <w:pPr>
              <w:pStyle w:val="TableParagraph"/>
              <w:spacing w:line="206" w:lineRule="exact"/>
              <w:ind w:left="75"/>
              <w:rPr>
                <w:sz w:val="18"/>
              </w:rPr>
            </w:pPr>
            <w:r>
              <w:rPr>
                <w:sz w:val="18"/>
              </w:rPr>
              <w:t>Component</w:t>
            </w:r>
          </w:p>
        </w:tc>
        <w:tc>
          <w:tcPr>
            <w:tcW w:w="3861" w:type="dxa"/>
            <w:gridSpan w:val="3"/>
            <w:tcBorders>
              <w:bottom w:val="single" w:sz="8" w:space="0" w:color="000000"/>
              <w:right w:val="single" w:sz="8" w:space="0" w:color="000000"/>
            </w:tcBorders>
          </w:tcPr>
          <w:p>
            <w:pPr>
              <w:pStyle w:val="TableParagraph"/>
              <w:spacing w:line="206" w:lineRule="exact"/>
              <w:ind w:left="1250"/>
              <w:rPr>
                <w:sz w:val="18"/>
              </w:rPr>
            </w:pPr>
            <w:r>
              <w:rPr>
                <w:sz w:val="18"/>
              </w:rPr>
              <w:t>Initial Eigenvalues</w:t>
            </w:r>
          </w:p>
        </w:tc>
        <w:tc>
          <w:tcPr>
            <w:tcW w:w="4009" w:type="dxa"/>
            <w:gridSpan w:val="3"/>
            <w:tcBorders>
              <w:left w:val="single" w:sz="8" w:space="0" w:color="000000"/>
              <w:bottom w:val="single" w:sz="8" w:space="0" w:color="000000"/>
              <w:right w:val="single" w:sz="8" w:space="0" w:color="000000"/>
            </w:tcBorders>
          </w:tcPr>
          <w:p>
            <w:pPr>
              <w:pStyle w:val="TableParagraph"/>
              <w:spacing w:line="206" w:lineRule="exact"/>
              <w:ind w:left="642"/>
              <w:rPr>
                <w:sz w:val="18"/>
              </w:rPr>
            </w:pPr>
            <w:r>
              <w:rPr>
                <w:sz w:val="18"/>
              </w:rPr>
              <w:t>Extraction Sums of Squared Loadings</w:t>
            </w:r>
          </w:p>
        </w:tc>
      </w:tr>
      <w:tr>
        <w:trPr>
          <w:trHeight w:val="315" w:hRule="atLeast"/>
        </w:trPr>
        <w:tc>
          <w:tcPr>
            <w:tcW w:w="1279" w:type="dxa"/>
            <w:vMerge/>
            <w:tcBorders>
              <w:top w:val="nil"/>
            </w:tcBorders>
          </w:tcPr>
          <w:p>
            <w:pPr>
              <w:rPr>
                <w:sz w:val="2"/>
                <w:szCs w:val="2"/>
              </w:rPr>
            </w:pPr>
          </w:p>
        </w:tc>
        <w:tc>
          <w:tcPr>
            <w:tcW w:w="999" w:type="dxa"/>
            <w:tcBorders>
              <w:top w:val="single" w:sz="8" w:space="0" w:color="000000"/>
              <w:right w:val="single" w:sz="8" w:space="0" w:color="000000"/>
            </w:tcBorders>
          </w:tcPr>
          <w:p>
            <w:pPr>
              <w:pStyle w:val="TableParagraph"/>
              <w:spacing w:before="8"/>
              <w:ind w:left="304"/>
              <w:rPr>
                <w:sz w:val="18"/>
              </w:rPr>
            </w:pPr>
            <w:r>
              <w:rPr>
                <w:sz w:val="18"/>
              </w:rPr>
              <w:t>Total</w:t>
            </w:r>
          </w:p>
        </w:tc>
        <w:tc>
          <w:tcPr>
            <w:tcW w:w="1424" w:type="dxa"/>
            <w:tcBorders>
              <w:top w:val="single" w:sz="8" w:space="0" w:color="000000"/>
              <w:left w:val="single" w:sz="8" w:space="0" w:color="000000"/>
              <w:right w:val="single" w:sz="8" w:space="0" w:color="000000"/>
            </w:tcBorders>
          </w:tcPr>
          <w:p>
            <w:pPr>
              <w:pStyle w:val="TableParagraph"/>
              <w:spacing w:before="8"/>
              <w:ind w:left="201"/>
              <w:rPr>
                <w:sz w:val="18"/>
              </w:rPr>
            </w:pPr>
            <w:r>
              <w:rPr>
                <w:sz w:val="18"/>
              </w:rPr>
              <w:t>% of Variance</w:t>
            </w:r>
          </w:p>
        </w:tc>
        <w:tc>
          <w:tcPr>
            <w:tcW w:w="1438" w:type="dxa"/>
            <w:tcBorders>
              <w:top w:val="single" w:sz="8" w:space="0" w:color="000000"/>
              <w:left w:val="single" w:sz="8" w:space="0" w:color="000000"/>
              <w:right w:val="single" w:sz="8" w:space="0" w:color="000000"/>
            </w:tcBorders>
          </w:tcPr>
          <w:p>
            <w:pPr>
              <w:pStyle w:val="TableParagraph"/>
              <w:spacing w:before="8"/>
              <w:ind w:left="210"/>
              <w:rPr>
                <w:sz w:val="18"/>
              </w:rPr>
            </w:pPr>
            <w:r>
              <w:rPr>
                <w:sz w:val="18"/>
              </w:rPr>
              <w:t>Cumulative %</w:t>
            </w:r>
          </w:p>
        </w:tc>
        <w:tc>
          <w:tcPr>
            <w:tcW w:w="1147" w:type="dxa"/>
            <w:tcBorders>
              <w:top w:val="single" w:sz="8" w:space="0" w:color="000000"/>
              <w:left w:val="single" w:sz="8" w:space="0" w:color="000000"/>
              <w:right w:val="single" w:sz="8" w:space="0" w:color="000000"/>
            </w:tcBorders>
          </w:tcPr>
          <w:p>
            <w:pPr>
              <w:pStyle w:val="TableParagraph"/>
              <w:spacing w:before="8"/>
              <w:ind w:left="392"/>
              <w:rPr>
                <w:sz w:val="18"/>
              </w:rPr>
            </w:pPr>
            <w:r>
              <w:rPr>
                <w:sz w:val="18"/>
              </w:rPr>
              <w:t>Total</w:t>
            </w:r>
          </w:p>
        </w:tc>
        <w:tc>
          <w:tcPr>
            <w:tcW w:w="1424" w:type="dxa"/>
            <w:tcBorders>
              <w:top w:val="single" w:sz="8" w:space="0" w:color="000000"/>
              <w:left w:val="single" w:sz="8" w:space="0" w:color="000000"/>
              <w:right w:val="single" w:sz="8" w:space="0" w:color="000000"/>
            </w:tcBorders>
          </w:tcPr>
          <w:p>
            <w:pPr>
              <w:pStyle w:val="TableParagraph"/>
              <w:spacing w:before="8"/>
              <w:ind w:left="200"/>
              <w:rPr>
                <w:sz w:val="18"/>
              </w:rPr>
            </w:pPr>
            <w:r>
              <w:rPr>
                <w:sz w:val="18"/>
              </w:rPr>
              <w:t>% of Variance</w:t>
            </w:r>
          </w:p>
        </w:tc>
        <w:tc>
          <w:tcPr>
            <w:tcW w:w="1438" w:type="dxa"/>
            <w:tcBorders>
              <w:top w:val="single" w:sz="8" w:space="0" w:color="000000"/>
              <w:left w:val="single" w:sz="8" w:space="0" w:color="000000"/>
            </w:tcBorders>
          </w:tcPr>
          <w:p>
            <w:pPr>
              <w:pStyle w:val="TableParagraph"/>
              <w:spacing w:before="8"/>
              <w:ind w:left="205"/>
              <w:rPr>
                <w:sz w:val="18"/>
              </w:rPr>
            </w:pPr>
            <w:r>
              <w:rPr>
                <w:sz w:val="18"/>
              </w:rPr>
              <w:t>Cumulative %</w:t>
            </w:r>
          </w:p>
        </w:tc>
      </w:tr>
      <w:tr>
        <w:trPr>
          <w:trHeight w:val="287" w:hRule="atLeast"/>
        </w:trPr>
        <w:tc>
          <w:tcPr>
            <w:tcW w:w="1279" w:type="dxa"/>
            <w:tcBorders>
              <w:bottom w:val="nil"/>
            </w:tcBorders>
          </w:tcPr>
          <w:p>
            <w:pPr>
              <w:pStyle w:val="TableParagraph"/>
              <w:spacing w:line="206" w:lineRule="exact"/>
              <w:ind w:left="75"/>
              <w:rPr>
                <w:sz w:val="18"/>
              </w:rPr>
            </w:pPr>
            <w:r>
              <w:rPr>
                <w:sz w:val="18"/>
              </w:rPr>
              <w:t>1</w:t>
            </w:r>
          </w:p>
        </w:tc>
        <w:tc>
          <w:tcPr>
            <w:tcW w:w="999" w:type="dxa"/>
            <w:tcBorders>
              <w:bottom w:val="nil"/>
              <w:right w:val="single" w:sz="8" w:space="0" w:color="000000"/>
            </w:tcBorders>
          </w:tcPr>
          <w:p>
            <w:pPr>
              <w:pStyle w:val="TableParagraph"/>
              <w:spacing w:line="206" w:lineRule="exact"/>
              <w:ind w:right="40"/>
              <w:jc w:val="right"/>
              <w:rPr>
                <w:sz w:val="18"/>
              </w:rPr>
            </w:pPr>
            <w:r>
              <w:rPr>
                <w:sz w:val="18"/>
              </w:rPr>
              <w:t>2.014</w:t>
            </w:r>
          </w:p>
        </w:tc>
        <w:tc>
          <w:tcPr>
            <w:tcW w:w="1424" w:type="dxa"/>
            <w:tcBorders>
              <w:left w:val="single" w:sz="8" w:space="0" w:color="000000"/>
              <w:bottom w:val="nil"/>
              <w:right w:val="single" w:sz="8" w:space="0" w:color="000000"/>
            </w:tcBorders>
          </w:tcPr>
          <w:p>
            <w:pPr>
              <w:pStyle w:val="TableParagraph"/>
              <w:spacing w:line="206" w:lineRule="exact"/>
              <w:ind w:right="38"/>
              <w:jc w:val="right"/>
              <w:rPr>
                <w:sz w:val="18"/>
              </w:rPr>
            </w:pPr>
            <w:r>
              <w:rPr>
                <w:sz w:val="18"/>
              </w:rPr>
              <w:t>67.125</w:t>
            </w:r>
          </w:p>
        </w:tc>
        <w:tc>
          <w:tcPr>
            <w:tcW w:w="1438" w:type="dxa"/>
            <w:tcBorders>
              <w:left w:val="single" w:sz="8" w:space="0" w:color="000000"/>
              <w:bottom w:val="nil"/>
              <w:right w:val="single" w:sz="8" w:space="0" w:color="000000"/>
            </w:tcBorders>
          </w:tcPr>
          <w:p>
            <w:pPr>
              <w:pStyle w:val="TableParagraph"/>
              <w:spacing w:line="206" w:lineRule="exact"/>
              <w:ind w:right="37"/>
              <w:jc w:val="right"/>
              <w:rPr>
                <w:sz w:val="18"/>
              </w:rPr>
            </w:pPr>
            <w:r>
              <w:rPr>
                <w:sz w:val="18"/>
              </w:rPr>
              <w:t>67.125</w:t>
            </w:r>
          </w:p>
        </w:tc>
        <w:tc>
          <w:tcPr>
            <w:tcW w:w="1147" w:type="dxa"/>
            <w:vMerge w:val="restart"/>
            <w:tcBorders>
              <w:left w:val="single" w:sz="8" w:space="0" w:color="000000"/>
              <w:bottom w:val="nil"/>
              <w:right w:val="single" w:sz="8" w:space="0" w:color="000000"/>
            </w:tcBorders>
          </w:tcPr>
          <w:p>
            <w:pPr>
              <w:pStyle w:val="TableParagraph"/>
              <w:spacing w:line="206" w:lineRule="exact"/>
              <w:ind w:left="680"/>
              <w:rPr>
                <w:sz w:val="18"/>
              </w:rPr>
            </w:pPr>
            <w:r>
              <w:rPr>
                <w:sz w:val="18"/>
              </w:rPr>
              <w:t>2.014</w:t>
            </w:r>
          </w:p>
        </w:tc>
        <w:tc>
          <w:tcPr>
            <w:tcW w:w="1424" w:type="dxa"/>
            <w:vMerge w:val="restart"/>
            <w:tcBorders>
              <w:left w:val="single" w:sz="8" w:space="0" w:color="000000"/>
              <w:bottom w:val="nil"/>
              <w:right w:val="single" w:sz="8" w:space="0" w:color="000000"/>
            </w:tcBorders>
          </w:tcPr>
          <w:p>
            <w:pPr>
              <w:pStyle w:val="TableParagraph"/>
              <w:spacing w:line="206" w:lineRule="exact"/>
              <w:ind w:left="867"/>
              <w:rPr>
                <w:sz w:val="18"/>
              </w:rPr>
            </w:pPr>
            <w:r>
              <w:rPr>
                <w:sz w:val="18"/>
              </w:rPr>
              <w:t>67.125</w:t>
            </w:r>
          </w:p>
        </w:tc>
        <w:tc>
          <w:tcPr>
            <w:tcW w:w="1438" w:type="dxa"/>
            <w:vMerge w:val="restart"/>
            <w:tcBorders>
              <w:left w:val="single" w:sz="8" w:space="0" w:color="000000"/>
              <w:bottom w:val="nil"/>
            </w:tcBorders>
          </w:tcPr>
          <w:p>
            <w:pPr>
              <w:pStyle w:val="TableParagraph"/>
              <w:spacing w:line="206" w:lineRule="exact"/>
              <w:ind w:left="872"/>
              <w:rPr>
                <w:sz w:val="18"/>
              </w:rPr>
            </w:pPr>
            <w:r>
              <w:rPr>
                <w:sz w:val="18"/>
              </w:rPr>
              <w:t>67.125</w:t>
            </w:r>
          </w:p>
        </w:tc>
      </w:tr>
      <w:tr>
        <w:trPr>
          <w:trHeight w:val="436" w:hRule="atLeast"/>
        </w:trPr>
        <w:tc>
          <w:tcPr>
            <w:tcW w:w="1279" w:type="dxa"/>
            <w:tcBorders>
              <w:top w:val="nil"/>
              <w:bottom w:val="nil"/>
            </w:tcBorders>
          </w:tcPr>
          <w:p>
            <w:pPr>
              <w:pStyle w:val="TableParagraph"/>
              <w:spacing w:before="74"/>
              <w:ind w:left="75"/>
              <w:rPr>
                <w:sz w:val="18"/>
              </w:rPr>
            </w:pPr>
            <w:r>
              <w:rPr>
                <w:sz w:val="18"/>
              </w:rPr>
              <w:t>2</w:t>
            </w:r>
          </w:p>
        </w:tc>
        <w:tc>
          <w:tcPr>
            <w:tcW w:w="999" w:type="dxa"/>
            <w:tcBorders>
              <w:top w:val="nil"/>
              <w:bottom w:val="nil"/>
              <w:right w:val="single" w:sz="8" w:space="0" w:color="000000"/>
            </w:tcBorders>
          </w:tcPr>
          <w:p>
            <w:pPr>
              <w:pStyle w:val="TableParagraph"/>
              <w:spacing w:before="74"/>
              <w:ind w:right="40"/>
              <w:jc w:val="right"/>
              <w:rPr>
                <w:sz w:val="18"/>
              </w:rPr>
            </w:pPr>
            <w:r>
              <w:rPr>
                <w:sz w:val="18"/>
              </w:rPr>
              <w:t>.527</w:t>
            </w:r>
          </w:p>
        </w:tc>
        <w:tc>
          <w:tcPr>
            <w:tcW w:w="1424" w:type="dxa"/>
            <w:tcBorders>
              <w:top w:val="nil"/>
              <w:left w:val="single" w:sz="8" w:space="0" w:color="000000"/>
              <w:bottom w:val="nil"/>
              <w:right w:val="single" w:sz="8" w:space="0" w:color="000000"/>
            </w:tcBorders>
          </w:tcPr>
          <w:p>
            <w:pPr>
              <w:pStyle w:val="TableParagraph"/>
              <w:spacing w:before="74"/>
              <w:ind w:right="38"/>
              <w:jc w:val="right"/>
              <w:rPr>
                <w:sz w:val="18"/>
              </w:rPr>
            </w:pPr>
            <w:r>
              <w:rPr>
                <w:sz w:val="18"/>
              </w:rPr>
              <w:t>17.577</w:t>
            </w:r>
          </w:p>
        </w:tc>
        <w:tc>
          <w:tcPr>
            <w:tcW w:w="1438" w:type="dxa"/>
            <w:tcBorders>
              <w:top w:val="nil"/>
              <w:left w:val="single" w:sz="8" w:space="0" w:color="000000"/>
              <w:bottom w:val="nil"/>
              <w:right w:val="single" w:sz="8" w:space="0" w:color="000000"/>
            </w:tcBorders>
          </w:tcPr>
          <w:p>
            <w:pPr>
              <w:pStyle w:val="TableParagraph"/>
              <w:spacing w:before="74"/>
              <w:ind w:right="39"/>
              <w:jc w:val="right"/>
              <w:rPr>
                <w:sz w:val="18"/>
              </w:rPr>
            </w:pPr>
            <w:r>
              <w:rPr>
                <w:sz w:val="18"/>
              </w:rPr>
              <w:t>84.702</w:t>
            </w:r>
          </w:p>
        </w:tc>
        <w:tc>
          <w:tcPr>
            <w:tcW w:w="1147" w:type="dxa"/>
            <w:vMerge/>
            <w:tcBorders>
              <w:top w:val="nil"/>
              <w:left w:val="single" w:sz="8" w:space="0" w:color="000000"/>
              <w:bottom w:val="nil"/>
              <w:right w:val="single" w:sz="8" w:space="0" w:color="000000"/>
            </w:tcBorders>
          </w:tcPr>
          <w:p>
            <w:pPr>
              <w:rPr>
                <w:sz w:val="2"/>
                <w:szCs w:val="2"/>
              </w:rPr>
            </w:pPr>
          </w:p>
        </w:tc>
        <w:tc>
          <w:tcPr>
            <w:tcW w:w="1424" w:type="dxa"/>
            <w:vMerge/>
            <w:tcBorders>
              <w:top w:val="nil"/>
              <w:left w:val="single" w:sz="8" w:space="0" w:color="000000"/>
              <w:bottom w:val="nil"/>
              <w:right w:val="single" w:sz="8" w:space="0" w:color="000000"/>
            </w:tcBorders>
          </w:tcPr>
          <w:p>
            <w:pPr>
              <w:rPr>
                <w:sz w:val="2"/>
                <w:szCs w:val="2"/>
              </w:rPr>
            </w:pPr>
          </w:p>
        </w:tc>
        <w:tc>
          <w:tcPr>
            <w:tcW w:w="1438" w:type="dxa"/>
            <w:vMerge/>
            <w:tcBorders>
              <w:top w:val="nil"/>
              <w:left w:val="single" w:sz="8" w:space="0" w:color="000000"/>
              <w:bottom w:val="nil"/>
            </w:tcBorders>
          </w:tcPr>
          <w:p>
            <w:pPr>
              <w:rPr>
                <w:sz w:val="2"/>
                <w:szCs w:val="2"/>
              </w:rPr>
            </w:pPr>
          </w:p>
        </w:tc>
      </w:tr>
    </w:tbl>
    <w:p>
      <w:pPr>
        <w:spacing w:after="0"/>
        <w:rPr>
          <w:sz w:val="2"/>
          <w:szCs w:val="2"/>
        </w:rPr>
        <w:sectPr>
          <w:pgSz w:w="11910" w:h="16850"/>
          <w:pgMar w:header="751" w:footer="0" w:top="960" w:bottom="280" w:left="820" w:right="240"/>
        </w:sectPr>
      </w:pPr>
    </w:p>
    <w:p>
      <w:pPr>
        <w:pStyle w:val="BodyText"/>
        <w:spacing w:before="9"/>
        <w:rPr>
          <w:b/>
          <w:sz w:val="23"/>
        </w:rPr>
      </w:pPr>
    </w:p>
    <w:tbl>
      <w:tblPr>
        <w:tblW w:w="0" w:type="auto"/>
        <w:jc w:val="left"/>
        <w:tblInd w:w="907" w:type="dxa"/>
        <w:tblBorders>
          <w:top w:val="single" w:sz="18" w:space="0" w:color="000000"/>
          <w:left w:val="single" w:sz="18" w:space="0" w:color="000000"/>
          <w:bottom w:val="single" w:sz="18" w:space="0" w:color="000000"/>
          <w:right w:val="single" w:sz="18" w:space="0" w:color="000000"/>
          <w:insideH w:val="single" w:sz="18" w:space="0" w:color="000000"/>
          <w:insideV w:val="single" w:sz="18" w:space="0" w:color="000000"/>
        </w:tblBorders>
        <w:tblLayout w:type="fixed"/>
        <w:tblCellMar>
          <w:top w:w="0" w:type="dxa"/>
          <w:left w:w="0" w:type="dxa"/>
          <w:bottom w:w="0" w:type="dxa"/>
          <w:right w:w="0" w:type="dxa"/>
        </w:tblCellMar>
        <w:tblLook w:val="01E0"/>
      </w:tblPr>
      <w:tblGrid>
        <w:gridCol w:w="1270"/>
        <w:gridCol w:w="1009"/>
        <w:gridCol w:w="1424"/>
        <w:gridCol w:w="1438"/>
        <w:gridCol w:w="1147"/>
        <w:gridCol w:w="1424"/>
        <w:gridCol w:w="1438"/>
      </w:tblGrid>
      <w:tr>
        <w:trPr>
          <w:trHeight w:val="411" w:hRule="atLeast"/>
        </w:trPr>
        <w:tc>
          <w:tcPr>
            <w:tcW w:w="1270" w:type="dxa"/>
            <w:tcBorders>
              <w:top w:val="nil"/>
            </w:tcBorders>
          </w:tcPr>
          <w:p>
            <w:pPr>
              <w:pStyle w:val="TableParagraph"/>
              <w:spacing w:before="52"/>
              <w:ind w:left="75"/>
              <w:rPr>
                <w:sz w:val="18"/>
              </w:rPr>
            </w:pPr>
            <w:r>
              <w:rPr>
                <w:sz w:val="18"/>
              </w:rPr>
              <w:t>3</w:t>
            </w:r>
          </w:p>
        </w:tc>
        <w:tc>
          <w:tcPr>
            <w:tcW w:w="1009" w:type="dxa"/>
            <w:tcBorders>
              <w:top w:val="nil"/>
              <w:right w:val="single" w:sz="8" w:space="0" w:color="000000"/>
            </w:tcBorders>
          </w:tcPr>
          <w:p>
            <w:pPr>
              <w:pStyle w:val="TableParagraph"/>
              <w:spacing w:before="52"/>
              <w:ind w:left="617"/>
              <w:rPr>
                <w:sz w:val="18"/>
              </w:rPr>
            </w:pPr>
            <w:r>
              <w:rPr>
                <w:sz w:val="18"/>
              </w:rPr>
              <w:t>.459</w:t>
            </w:r>
          </w:p>
        </w:tc>
        <w:tc>
          <w:tcPr>
            <w:tcW w:w="1424" w:type="dxa"/>
            <w:tcBorders>
              <w:top w:val="nil"/>
              <w:left w:val="single" w:sz="8" w:space="0" w:color="000000"/>
              <w:right w:val="single" w:sz="8" w:space="0" w:color="000000"/>
            </w:tcBorders>
          </w:tcPr>
          <w:p>
            <w:pPr>
              <w:pStyle w:val="TableParagraph"/>
              <w:spacing w:before="52"/>
              <w:ind w:left="867"/>
              <w:rPr>
                <w:sz w:val="18"/>
              </w:rPr>
            </w:pPr>
            <w:r>
              <w:rPr>
                <w:sz w:val="18"/>
              </w:rPr>
              <w:t>15.298</w:t>
            </w:r>
          </w:p>
        </w:tc>
        <w:tc>
          <w:tcPr>
            <w:tcW w:w="1438" w:type="dxa"/>
            <w:tcBorders>
              <w:top w:val="nil"/>
              <w:left w:val="single" w:sz="8" w:space="0" w:color="000000"/>
              <w:right w:val="single" w:sz="8" w:space="0" w:color="000000"/>
            </w:tcBorders>
          </w:tcPr>
          <w:p>
            <w:pPr>
              <w:pStyle w:val="TableParagraph"/>
              <w:spacing w:before="52"/>
              <w:ind w:left="789"/>
              <w:rPr>
                <w:sz w:val="18"/>
              </w:rPr>
            </w:pPr>
            <w:r>
              <w:rPr>
                <w:sz w:val="18"/>
              </w:rPr>
              <w:t>100.000</w:t>
            </w:r>
          </w:p>
        </w:tc>
        <w:tc>
          <w:tcPr>
            <w:tcW w:w="1147" w:type="dxa"/>
            <w:tcBorders>
              <w:top w:val="nil"/>
              <w:left w:val="single" w:sz="8" w:space="0" w:color="000000"/>
              <w:right w:val="single" w:sz="8" w:space="0" w:color="000000"/>
            </w:tcBorders>
          </w:tcPr>
          <w:p>
            <w:pPr>
              <w:pStyle w:val="TableParagraph"/>
              <w:rPr>
                <w:sz w:val="18"/>
              </w:rPr>
            </w:pPr>
          </w:p>
        </w:tc>
        <w:tc>
          <w:tcPr>
            <w:tcW w:w="1424" w:type="dxa"/>
            <w:tcBorders>
              <w:top w:val="nil"/>
              <w:left w:val="single" w:sz="8" w:space="0" w:color="000000"/>
              <w:right w:val="single" w:sz="8" w:space="0" w:color="000000"/>
            </w:tcBorders>
          </w:tcPr>
          <w:p>
            <w:pPr>
              <w:pStyle w:val="TableParagraph"/>
              <w:rPr>
                <w:sz w:val="18"/>
              </w:rPr>
            </w:pPr>
          </w:p>
        </w:tc>
        <w:tc>
          <w:tcPr>
            <w:tcW w:w="1438" w:type="dxa"/>
            <w:tcBorders>
              <w:top w:val="nil"/>
              <w:left w:val="single" w:sz="8" w:space="0" w:color="000000"/>
            </w:tcBorders>
          </w:tcPr>
          <w:p>
            <w:pPr>
              <w:pStyle w:val="TableParagraph"/>
              <w:rPr>
                <w:sz w:val="18"/>
              </w:rPr>
            </w:pPr>
          </w:p>
        </w:tc>
      </w:tr>
    </w:tbl>
    <w:p>
      <w:pPr>
        <w:spacing w:before="0"/>
        <w:ind w:left="942" w:right="0" w:firstLine="0"/>
        <w:jc w:val="left"/>
        <w:rPr>
          <w:sz w:val="18"/>
        </w:rPr>
      </w:pPr>
      <w:r>
        <w:rPr>
          <w:sz w:val="18"/>
        </w:rPr>
        <w:t>Extraction Method: Principal Component Analysis.</w:t>
      </w:r>
    </w:p>
    <w:p>
      <w:pPr>
        <w:pStyle w:val="BodyText"/>
        <w:rPr>
          <w:sz w:val="20"/>
        </w:rPr>
      </w:pPr>
    </w:p>
    <w:p>
      <w:pPr>
        <w:pStyle w:val="BodyText"/>
        <w:spacing w:before="5"/>
        <w:rPr>
          <w:sz w:val="16"/>
        </w:rPr>
      </w:pPr>
    </w:p>
    <w:p>
      <w:pPr>
        <w:spacing w:before="99"/>
        <w:ind w:left="1110" w:right="0" w:firstLine="0"/>
        <w:jc w:val="left"/>
        <w:rPr>
          <w:b/>
          <w:sz w:val="18"/>
        </w:rPr>
      </w:pPr>
      <w:r>
        <w:rPr>
          <w:b/>
          <w:sz w:val="18"/>
        </w:rPr>
        <w:t>Component Matrix</w:t>
      </w:r>
      <w:r>
        <w:rPr>
          <w:b/>
          <w:sz w:val="18"/>
          <w:vertAlign w:val="superscript"/>
        </w:rPr>
        <w:t>a</w:t>
      </w:r>
    </w:p>
    <w:p>
      <w:pPr>
        <w:pStyle w:val="BodyText"/>
        <w:spacing w:before="1"/>
        <w:rPr>
          <w:b/>
          <w:sz w:val="9"/>
        </w:rPr>
      </w:pPr>
    </w:p>
    <w:tbl>
      <w:tblPr>
        <w:tblW w:w="0" w:type="auto"/>
        <w:jc w:val="left"/>
        <w:tblInd w:w="907" w:type="dxa"/>
        <w:tblBorders>
          <w:top w:val="single" w:sz="18" w:space="0" w:color="000000"/>
          <w:left w:val="single" w:sz="18" w:space="0" w:color="000000"/>
          <w:bottom w:val="single" w:sz="18" w:space="0" w:color="000000"/>
          <w:right w:val="single" w:sz="18" w:space="0" w:color="000000"/>
          <w:insideH w:val="single" w:sz="18" w:space="0" w:color="000000"/>
          <w:insideV w:val="single" w:sz="18" w:space="0" w:color="000000"/>
        </w:tblBorders>
        <w:tblLayout w:type="fixed"/>
        <w:tblCellMar>
          <w:top w:w="0" w:type="dxa"/>
          <w:left w:w="0" w:type="dxa"/>
          <w:bottom w:w="0" w:type="dxa"/>
          <w:right w:w="0" w:type="dxa"/>
        </w:tblCellMar>
        <w:tblLook w:val="01E0"/>
      </w:tblPr>
      <w:tblGrid>
        <w:gridCol w:w="742"/>
        <w:gridCol w:w="1263"/>
      </w:tblGrid>
      <w:tr>
        <w:trPr>
          <w:trHeight w:val="295" w:hRule="atLeast"/>
        </w:trPr>
        <w:tc>
          <w:tcPr>
            <w:tcW w:w="742" w:type="dxa"/>
            <w:vMerge w:val="restart"/>
          </w:tcPr>
          <w:p>
            <w:pPr>
              <w:pStyle w:val="TableParagraph"/>
              <w:rPr>
                <w:sz w:val="18"/>
              </w:rPr>
            </w:pPr>
          </w:p>
        </w:tc>
        <w:tc>
          <w:tcPr>
            <w:tcW w:w="1263" w:type="dxa"/>
            <w:tcBorders>
              <w:bottom w:val="single" w:sz="8" w:space="0" w:color="000000"/>
            </w:tcBorders>
          </w:tcPr>
          <w:p>
            <w:pPr>
              <w:pStyle w:val="TableParagraph"/>
              <w:spacing w:line="204" w:lineRule="exact"/>
              <w:ind w:left="200"/>
              <w:rPr>
                <w:sz w:val="18"/>
              </w:rPr>
            </w:pPr>
            <w:r>
              <w:rPr>
                <w:sz w:val="18"/>
              </w:rPr>
              <w:t>Component</w:t>
            </w:r>
          </w:p>
        </w:tc>
      </w:tr>
      <w:tr>
        <w:trPr>
          <w:trHeight w:val="315" w:hRule="atLeast"/>
        </w:trPr>
        <w:tc>
          <w:tcPr>
            <w:tcW w:w="742" w:type="dxa"/>
            <w:vMerge/>
            <w:tcBorders>
              <w:top w:val="nil"/>
            </w:tcBorders>
          </w:tcPr>
          <w:p>
            <w:pPr>
              <w:rPr>
                <w:sz w:val="2"/>
                <w:szCs w:val="2"/>
              </w:rPr>
            </w:pPr>
          </w:p>
        </w:tc>
        <w:tc>
          <w:tcPr>
            <w:tcW w:w="1263" w:type="dxa"/>
            <w:tcBorders>
              <w:top w:val="single" w:sz="8" w:space="0" w:color="000000"/>
            </w:tcBorders>
          </w:tcPr>
          <w:p>
            <w:pPr>
              <w:pStyle w:val="TableParagraph"/>
              <w:spacing w:before="6"/>
              <w:ind w:left="21"/>
              <w:jc w:val="center"/>
              <w:rPr>
                <w:sz w:val="18"/>
              </w:rPr>
            </w:pPr>
            <w:r>
              <w:rPr>
                <w:sz w:val="18"/>
              </w:rPr>
              <w:t>1</w:t>
            </w:r>
          </w:p>
        </w:tc>
      </w:tr>
      <w:tr>
        <w:trPr>
          <w:trHeight w:val="259" w:hRule="atLeast"/>
        </w:trPr>
        <w:tc>
          <w:tcPr>
            <w:tcW w:w="742" w:type="dxa"/>
            <w:tcBorders>
              <w:bottom w:val="nil"/>
            </w:tcBorders>
          </w:tcPr>
          <w:p>
            <w:pPr>
              <w:pStyle w:val="TableParagraph"/>
              <w:spacing w:line="204" w:lineRule="exact"/>
              <w:ind w:left="75"/>
              <w:rPr>
                <w:sz w:val="18"/>
              </w:rPr>
            </w:pPr>
            <w:r>
              <w:rPr>
                <w:sz w:val="18"/>
              </w:rPr>
              <w:t>HL1</w:t>
            </w:r>
          </w:p>
        </w:tc>
        <w:tc>
          <w:tcPr>
            <w:tcW w:w="1263" w:type="dxa"/>
            <w:tcBorders>
              <w:bottom w:val="nil"/>
            </w:tcBorders>
          </w:tcPr>
          <w:p>
            <w:pPr>
              <w:pStyle w:val="TableParagraph"/>
              <w:spacing w:line="204" w:lineRule="exact"/>
              <w:ind w:right="38"/>
              <w:jc w:val="right"/>
              <w:rPr>
                <w:sz w:val="18"/>
              </w:rPr>
            </w:pPr>
            <w:r>
              <w:rPr>
                <w:sz w:val="18"/>
              </w:rPr>
              <w:t>.829</w:t>
            </w:r>
          </w:p>
        </w:tc>
      </w:tr>
      <w:tr>
        <w:trPr>
          <w:trHeight w:val="310" w:hRule="atLeast"/>
        </w:trPr>
        <w:tc>
          <w:tcPr>
            <w:tcW w:w="742" w:type="dxa"/>
            <w:tcBorders>
              <w:top w:val="nil"/>
              <w:bottom w:val="nil"/>
            </w:tcBorders>
          </w:tcPr>
          <w:p>
            <w:pPr>
              <w:pStyle w:val="TableParagraph"/>
              <w:spacing w:before="48"/>
              <w:ind w:left="75"/>
              <w:rPr>
                <w:sz w:val="18"/>
              </w:rPr>
            </w:pPr>
            <w:r>
              <w:rPr>
                <w:sz w:val="18"/>
              </w:rPr>
              <w:t>HL3</w:t>
            </w:r>
          </w:p>
        </w:tc>
        <w:tc>
          <w:tcPr>
            <w:tcW w:w="1263" w:type="dxa"/>
            <w:tcBorders>
              <w:top w:val="nil"/>
              <w:bottom w:val="nil"/>
            </w:tcBorders>
          </w:tcPr>
          <w:p>
            <w:pPr>
              <w:pStyle w:val="TableParagraph"/>
              <w:spacing w:before="48"/>
              <w:ind w:right="37"/>
              <w:jc w:val="right"/>
              <w:rPr>
                <w:sz w:val="18"/>
              </w:rPr>
            </w:pPr>
            <w:r>
              <w:rPr>
                <w:sz w:val="18"/>
              </w:rPr>
              <w:t>.828</w:t>
            </w:r>
          </w:p>
        </w:tc>
      </w:tr>
      <w:tr>
        <w:trPr>
          <w:trHeight w:val="353" w:hRule="atLeast"/>
        </w:trPr>
        <w:tc>
          <w:tcPr>
            <w:tcW w:w="742" w:type="dxa"/>
            <w:tcBorders>
              <w:top w:val="nil"/>
            </w:tcBorders>
          </w:tcPr>
          <w:p>
            <w:pPr>
              <w:pStyle w:val="TableParagraph"/>
              <w:spacing w:before="47"/>
              <w:ind w:left="75"/>
              <w:rPr>
                <w:sz w:val="18"/>
              </w:rPr>
            </w:pPr>
            <w:r>
              <w:rPr>
                <w:sz w:val="18"/>
              </w:rPr>
              <w:t>HL2</w:t>
            </w:r>
          </w:p>
        </w:tc>
        <w:tc>
          <w:tcPr>
            <w:tcW w:w="1263" w:type="dxa"/>
            <w:tcBorders>
              <w:top w:val="nil"/>
            </w:tcBorders>
          </w:tcPr>
          <w:p>
            <w:pPr>
              <w:pStyle w:val="TableParagraph"/>
              <w:spacing w:before="47"/>
              <w:ind w:right="37"/>
              <w:jc w:val="right"/>
              <w:rPr>
                <w:sz w:val="18"/>
              </w:rPr>
            </w:pPr>
            <w:r>
              <w:rPr>
                <w:sz w:val="18"/>
              </w:rPr>
              <w:t>.800</w:t>
            </w:r>
          </w:p>
        </w:tc>
      </w:tr>
    </w:tbl>
    <w:p>
      <w:pPr>
        <w:spacing w:line="360" w:lineRule="auto" w:before="2"/>
        <w:ind w:left="942" w:right="8353" w:firstLine="0"/>
        <w:jc w:val="left"/>
        <w:rPr>
          <w:sz w:val="18"/>
        </w:rPr>
      </w:pPr>
      <w:r>
        <w:rPr>
          <w:sz w:val="18"/>
        </w:rPr>
        <w:t>Extraction Method: Principal </w:t>
      </w:r>
      <w:r>
        <w:rPr>
          <w:spacing w:val="-3"/>
          <w:sz w:val="18"/>
        </w:rPr>
        <w:t>Component </w:t>
      </w:r>
      <w:r>
        <w:rPr>
          <w:sz w:val="18"/>
        </w:rPr>
        <w:t>Analysis.</w:t>
      </w:r>
    </w:p>
    <w:p>
      <w:pPr>
        <w:spacing w:line="362" w:lineRule="auto" w:before="0"/>
        <w:ind w:left="942" w:right="8353" w:firstLine="0"/>
        <w:jc w:val="left"/>
        <w:rPr>
          <w:sz w:val="18"/>
        </w:rPr>
      </w:pPr>
      <w:r>
        <w:rPr>
          <w:sz w:val="18"/>
        </w:rPr>
        <w:t>a. 1 </w:t>
      </w:r>
      <w:r>
        <w:rPr>
          <w:spacing w:val="-3"/>
          <w:sz w:val="18"/>
        </w:rPr>
        <w:t>components </w:t>
      </w:r>
      <w:r>
        <w:rPr>
          <w:sz w:val="18"/>
        </w:rPr>
        <w:t>extracted.</w:t>
      </w:r>
    </w:p>
    <w:p>
      <w:pPr>
        <w:pStyle w:val="ListParagraph"/>
        <w:numPr>
          <w:ilvl w:val="1"/>
          <w:numId w:val="46"/>
        </w:numPr>
        <w:tabs>
          <w:tab w:pos="1310" w:val="left" w:leader="none"/>
        </w:tabs>
        <w:spacing w:line="272" w:lineRule="exact" w:before="0" w:after="0"/>
        <w:ind w:left="1309" w:right="0" w:hanging="428"/>
        <w:jc w:val="left"/>
        <w:rPr>
          <w:b/>
          <w:i/>
          <w:sz w:val="24"/>
        </w:rPr>
      </w:pPr>
      <w:r>
        <w:rPr>
          <w:b/>
          <w:i/>
          <w:sz w:val="24"/>
          <w:u w:val="thick"/>
        </w:rPr>
        <w:t>Thang đo lợi</w:t>
      </w:r>
      <w:r>
        <w:rPr>
          <w:b/>
          <w:i/>
          <w:spacing w:val="-1"/>
          <w:sz w:val="24"/>
          <w:u w:val="thick"/>
        </w:rPr>
        <w:t> </w:t>
      </w:r>
      <w:r>
        <w:rPr>
          <w:b/>
          <w:i/>
          <w:sz w:val="24"/>
          <w:u w:val="thick"/>
        </w:rPr>
        <w:t>ích</w:t>
      </w:r>
    </w:p>
    <w:p>
      <w:pPr>
        <w:pStyle w:val="BodyText"/>
        <w:rPr>
          <w:b/>
          <w:i/>
          <w:sz w:val="20"/>
        </w:rPr>
      </w:pPr>
    </w:p>
    <w:p>
      <w:pPr>
        <w:pStyle w:val="BodyText"/>
        <w:spacing w:before="1"/>
        <w:rPr>
          <w:b/>
          <w:i/>
          <w:sz w:val="20"/>
        </w:rPr>
      </w:pPr>
    </w:p>
    <w:p>
      <w:pPr>
        <w:spacing w:before="92"/>
        <w:ind w:left="1450" w:right="0" w:firstLine="0"/>
        <w:jc w:val="left"/>
        <w:rPr>
          <w:b/>
          <w:sz w:val="18"/>
        </w:rPr>
      </w:pPr>
      <w:r>
        <w:rPr>
          <w:b/>
          <w:sz w:val="18"/>
        </w:rPr>
        <w:t>Reliability Statistics</w:t>
      </w:r>
    </w:p>
    <w:p>
      <w:pPr>
        <w:pStyle w:val="BodyText"/>
        <w:spacing w:before="11"/>
        <w:rPr>
          <w:b/>
          <w:sz w:val="8"/>
        </w:rPr>
      </w:pPr>
    </w:p>
    <w:tbl>
      <w:tblPr>
        <w:tblW w:w="0" w:type="auto"/>
        <w:jc w:val="left"/>
        <w:tblInd w:w="907" w:type="dxa"/>
        <w:tblBorders>
          <w:top w:val="single" w:sz="18" w:space="0" w:color="000000"/>
          <w:left w:val="single" w:sz="18" w:space="0" w:color="000000"/>
          <w:bottom w:val="single" w:sz="18" w:space="0" w:color="000000"/>
          <w:right w:val="single" w:sz="18" w:space="0" w:color="000000"/>
          <w:insideH w:val="single" w:sz="18" w:space="0" w:color="000000"/>
          <w:insideV w:val="single" w:sz="18" w:space="0" w:color="000000"/>
        </w:tblBorders>
        <w:tblLayout w:type="fixed"/>
        <w:tblCellMar>
          <w:top w:w="0" w:type="dxa"/>
          <w:left w:w="0" w:type="dxa"/>
          <w:bottom w:w="0" w:type="dxa"/>
          <w:right w:w="0" w:type="dxa"/>
        </w:tblCellMar>
        <w:tblLook w:val="01E0"/>
      </w:tblPr>
      <w:tblGrid>
        <w:gridCol w:w="1512"/>
        <w:gridCol w:w="1165"/>
      </w:tblGrid>
      <w:tr>
        <w:trPr>
          <w:trHeight w:val="305" w:hRule="atLeast"/>
        </w:trPr>
        <w:tc>
          <w:tcPr>
            <w:tcW w:w="1512" w:type="dxa"/>
            <w:tcBorders>
              <w:right w:val="single" w:sz="8" w:space="0" w:color="000000"/>
            </w:tcBorders>
          </w:tcPr>
          <w:p>
            <w:pPr>
              <w:pStyle w:val="TableParagraph"/>
              <w:spacing w:line="206" w:lineRule="exact"/>
              <w:ind w:right="74"/>
              <w:jc w:val="right"/>
              <w:rPr>
                <w:sz w:val="18"/>
              </w:rPr>
            </w:pPr>
            <w:r>
              <w:rPr>
                <w:sz w:val="18"/>
              </w:rPr>
              <w:t>Cronbach's Alpha</w:t>
            </w:r>
          </w:p>
        </w:tc>
        <w:tc>
          <w:tcPr>
            <w:tcW w:w="1165" w:type="dxa"/>
            <w:tcBorders>
              <w:left w:val="single" w:sz="8" w:space="0" w:color="000000"/>
            </w:tcBorders>
          </w:tcPr>
          <w:p>
            <w:pPr>
              <w:pStyle w:val="TableParagraph"/>
              <w:spacing w:line="206" w:lineRule="exact"/>
              <w:ind w:left="201"/>
              <w:rPr>
                <w:sz w:val="18"/>
              </w:rPr>
            </w:pPr>
            <w:r>
              <w:rPr>
                <w:sz w:val="18"/>
              </w:rPr>
              <w:t>N of Items</w:t>
            </w:r>
          </w:p>
        </w:tc>
      </w:tr>
      <w:tr>
        <w:trPr>
          <w:trHeight w:val="307" w:hRule="atLeast"/>
        </w:trPr>
        <w:tc>
          <w:tcPr>
            <w:tcW w:w="1512" w:type="dxa"/>
            <w:tcBorders>
              <w:right w:val="single" w:sz="8" w:space="0" w:color="000000"/>
            </w:tcBorders>
          </w:tcPr>
          <w:p>
            <w:pPr>
              <w:pStyle w:val="TableParagraph"/>
              <w:spacing w:line="206" w:lineRule="exact"/>
              <w:ind w:right="37"/>
              <w:jc w:val="right"/>
              <w:rPr>
                <w:sz w:val="18"/>
              </w:rPr>
            </w:pPr>
            <w:r>
              <w:rPr>
                <w:sz w:val="18"/>
              </w:rPr>
              <w:t>.730</w:t>
            </w:r>
          </w:p>
        </w:tc>
        <w:tc>
          <w:tcPr>
            <w:tcW w:w="1165" w:type="dxa"/>
            <w:tcBorders>
              <w:left w:val="single" w:sz="8" w:space="0" w:color="000000"/>
            </w:tcBorders>
          </w:tcPr>
          <w:p>
            <w:pPr>
              <w:pStyle w:val="TableParagraph"/>
              <w:spacing w:line="206" w:lineRule="exact"/>
              <w:ind w:right="37"/>
              <w:jc w:val="right"/>
              <w:rPr>
                <w:sz w:val="18"/>
              </w:rPr>
            </w:pPr>
            <w:r>
              <w:rPr>
                <w:sz w:val="18"/>
              </w:rPr>
              <w:t>3</w:t>
            </w:r>
          </w:p>
        </w:tc>
      </w:tr>
    </w:tbl>
    <w:p>
      <w:pPr>
        <w:pStyle w:val="BodyText"/>
        <w:rPr>
          <w:b/>
          <w:sz w:val="20"/>
        </w:rPr>
      </w:pPr>
    </w:p>
    <w:p>
      <w:pPr>
        <w:pStyle w:val="BodyText"/>
        <w:spacing w:before="10"/>
        <w:rPr>
          <w:b/>
          <w:sz w:val="15"/>
        </w:rPr>
      </w:pPr>
    </w:p>
    <w:p>
      <w:pPr>
        <w:spacing w:before="0"/>
        <w:ind w:left="3402" w:right="0" w:firstLine="0"/>
        <w:jc w:val="left"/>
        <w:rPr>
          <w:b/>
          <w:sz w:val="18"/>
        </w:rPr>
      </w:pPr>
      <w:r>
        <w:rPr>
          <w:b/>
          <w:sz w:val="18"/>
        </w:rPr>
        <w:t>Item-Total Statistics</w:t>
      </w:r>
    </w:p>
    <w:p>
      <w:pPr>
        <w:pStyle w:val="BodyText"/>
        <w:spacing w:before="1" w:after="1"/>
        <w:rPr>
          <w:b/>
          <w:sz w:val="9"/>
        </w:rPr>
      </w:pPr>
    </w:p>
    <w:tbl>
      <w:tblPr>
        <w:tblW w:w="0" w:type="auto"/>
        <w:jc w:val="left"/>
        <w:tblInd w:w="907" w:type="dxa"/>
        <w:tblBorders>
          <w:top w:val="single" w:sz="18" w:space="0" w:color="000000"/>
          <w:left w:val="single" w:sz="18" w:space="0" w:color="000000"/>
          <w:bottom w:val="single" w:sz="18" w:space="0" w:color="000000"/>
          <w:right w:val="single" w:sz="18" w:space="0" w:color="000000"/>
          <w:insideH w:val="single" w:sz="18" w:space="0" w:color="000000"/>
          <w:insideV w:val="single" w:sz="18" w:space="0" w:color="000000"/>
        </w:tblBorders>
        <w:tblLayout w:type="fixed"/>
        <w:tblCellMar>
          <w:top w:w="0" w:type="dxa"/>
          <w:left w:w="0" w:type="dxa"/>
          <w:bottom w:w="0" w:type="dxa"/>
          <w:right w:w="0" w:type="dxa"/>
        </w:tblCellMar>
        <w:tblLook w:val="01E0"/>
      </w:tblPr>
      <w:tblGrid>
        <w:gridCol w:w="734"/>
        <w:gridCol w:w="1468"/>
        <w:gridCol w:w="1469"/>
        <w:gridCol w:w="1469"/>
        <w:gridCol w:w="1466"/>
      </w:tblGrid>
      <w:tr>
        <w:trPr>
          <w:trHeight w:val="615" w:hRule="atLeast"/>
        </w:trPr>
        <w:tc>
          <w:tcPr>
            <w:tcW w:w="734" w:type="dxa"/>
          </w:tcPr>
          <w:p>
            <w:pPr>
              <w:pStyle w:val="TableParagraph"/>
              <w:rPr>
                <w:sz w:val="18"/>
              </w:rPr>
            </w:pPr>
          </w:p>
        </w:tc>
        <w:tc>
          <w:tcPr>
            <w:tcW w:w="1468" w:type="dxa"/>
            <w:tcBorders>
              <w:right w:val="single" w:sz="8" w:space="0" w:color="000000"/>
            </w:tcBorders>
          </w:tcPr>
          <w:p>
            <w:pPr>
              <w:pStyle w:val="TableParagraph"/>
              <w:spacing w:line="204" w:lineRule="exact"/>
              <w:ind w:left="234"/>
              <w:rPr>
                <w:sz w:val="18"/>
              </w:rPr>
            </w:pPr>
            <w:r>
              <w:rPr>
                <w:sz w:val="18"/>
              </w:rPr>
              <w:t>Scale Mean</w:t>
            </w:r>
            <w:r>
              <w:rPr>
                <w:spacing w:val="-4"/>
                <w:sz w:val="18"/>
              </w:rPr>
              <w:t> </w:t>
            </w:r>
            <w:r>
              <w:rPr>
                <w:sz w:val="18"/>
              </w:rPr>
              <w:t>if</w:t>
            </w:r>
          </w:p>
          <w:p>
            <w:pPr>
              <w:pStyle w:val="TableParagraph"/>
              <w:spacing w:before="105"/>
              <w:ind w:left="268"/>
              <w:rPr>
                <w:sz w:val="18"/>
              </w:rPr>
            </w:pPr>
            <w:r>
              <w:rPr>
                <w:sz w:val="18"/>
              </w:rPr>
              <w:t>Item</w:t>
            </w:r>
            <w:r>
              <w:rPr>
                <w:spacing w:val="-3"/>
                <w:sz w:val="18"/>
              </w:rPr>
              <w:t> </w:t>
            </w:r>
            <w:r>
              <w:rPr>
                <w:sz w:val="18"/>
              </w:rPr>
              <w:t>Deleted</w:t>
            </w:r>
          </w:p>
        </w:tc>
        <w:tc>
          <w:tcPr>
            <w:tcW w:w="1469" w:type="dxa"/>
            <w:tcBorders>
              <w:left w:val="single" w:sz="8" w:space="0" w:color="000000"/>
              <w:right w:val="single" w:sz="8" w:space="0" w:color="000000"/>
            </w:tcBorders>
          </w:tcPr>
          <w:p>
            <w:pPr>
              <w:pStyle w:val="TableParagraph"/>
              <w:spacing w:line="204" w:lineRule="exact"/>
              <w:ind w:left="99" w:right="63"/>
              <w:jc w:val="center"/>
              <w:rPr>
                <w:sz w:val="18"/>
              </w:rPr>
            </w:pPr>
            <w:r>
              <w:rPr>
                <w:sz w:val="18"/>
              </w:rPr>
              <w:t>Scale Variance if</w:t>
            </w:r>
          </w:p>
          <w:p>
            <w:pPr>
              <w:pStyle w:val="TableParagraph"/>
              <w:spacing w:before="105"/>
              <w:ind w:left="99" w:right="59"/>
              <w:jc w:val="center"/>
              <w:rPr>
                <w:sz w:val="18"/>
              </w:rPr>
            </w:pPr>
            <w:r>
              <w:rPr>
                <w:sz w:val="18"/>
              </w:rPr>
              <w:t>Item Deleted</w:t>
            </w:r>
          </w:p>
        </w:tc>
        <w:tc>
          <w:tcPr>
            <w:tcW w:w="1469" w:type="dxa"/>
            <w:tcBorders>
              <w:left w:val="single" w:sz="8" w:space="0" w:color="000000"/>
              <w:right w:val="single" w:sz="8" w:space="0" w:color="000000"/>
            </w:tcBorders>
          </w:tcPr>
          <w:p>
            <w:pPr>
              <w:pStyle w:val="TableParagraph"/>
              <w:spacing w:line="204" w:lineRule="exact"/>
              <w:ind w:left="171"/>
              <w:rPr>
                <w:sz w:val="18"/>
              </w:rPr>
            </w:pPr>
            <w:r>
              <w:rPr>
                <w:sz w:val="18"/>
              </w:rPr>
              <w:t>Corrected Item-</w:t>
            </w:r>
          </w:p>
          <w:p>
            <w:pPr>
              <w:pStyle w:val="TableParagraph"/>
              <w:spacing w:before="105"/>
              <w:ind w:left="121"/>
              <w:rPr>
                <w:sz w:val="18"/>
              </w:rPr>
            </w:pPr>
            <w:r>
              <w:rPr>
                <w:sz w:val="18"/>
              </w:rPr>
              <w:t>Total Correlation</w:t>
            </w:r>
          </w:p>
        </w:tc>
        <w:tc>
          <w:tcPr>
            <w:tcW w:w="1466" w:type="dxa"/>
            <w:tcBorders>
              <w:left w:val="single" w:sz="8" w:space="0" w:color="000000"/>
            </w:tcBorders>
          </w:tcPr>
          <w:p>
            <w:pPr>
              <w:pStyle w:val="TableParagraph"/>
              <w:spacing w:line="204" w:lineRule="exact"/>
              <w:ind w:left="94"/>
              <w:rPr>
                <w:sz w:val="18"/>
              </w:rPr>
            </w:pPr>
            <w:r>
              <w:rPr>
                <w:sz w:val="18"/>
              </w:rPr>
              <w:t>Cronbach's Alpha</w:t>
            </w:r>
          </w:p>
          <w:p>
            <w:pPr>
              <w:pStyle w:val="TableParagraph"/>
              <w:spacing w:before="105"/>
              <w:ind w:left="193"/>
              <w:rPr>
                <w:sz w:val="18"/>
              </w:rPr>
            </w:pPr>
            <w:r>
              <w:rPr>
                <w:sz w:val="18"/>
              </w:rPr>
              <w:t>if Item Deleted</w:t>
            </w:r>
          </w:p>
        </w:tc>
      </w:tr>
      <w:tr>
        <w:trPr>
          <w:trHeight w:val="261" w:hRule="atLeast"/>
        </w:trPr>
        <w:tc>
          <w:tcPr>
            <w:tcW w:w="734" w:type="dxa"/>
            <w:tcBorders>
              <w:bottom w:val="nil"/>
            </w:tcBorders>
          </w:tcPr>
          <w:p>
            <w:pPr>
              <w:pStyle w:val="TableParagraph"/>
              <w:spacing w:line="206" w:lineRule="exact"/>
              <w:ind w:left="75"/>
              <w:rPr>
                <w:sz w:val="18"/>
              </w:rPr>
            </w:pPr>
            <w:r>
              <w:rPr>
                <w:sz w:val="18"/>
              </w:rPr>
              <w:t>LI1</w:t>
            </w:r>
          </w:p>
        </w:tc>
        <w:tc>
          <w:tcPr>
            <w:tcW w:w="1468" w:type="dxa"/>
            <w:tcBorders>
              <w:bottom w:val="nil"/>
              <w:right w:val="single" w:sz="8" w:space="0" w:color="000000"/>
            </w:tcBorders>
          </w:tcPr>
          <w:p>
            <w:pPr>
              <w:pStyle w:val="TableParagraph"/>
              <w:spacing w:line="206" w:lineRule="exact"/>
              <w:ind w:right="36"/>
              <w:jc w:val="right"/>
              <w:rPr>
                <w:sz w:val="18"/>
              </w:rPr>
            </w:pPr>
            <w:r>
              <w:rPr>
                <w:sz w:val="18"/>
              </w:rPr>
              <w:t>7.63</w:t>
            </w:r>
          </w:p>
        </w:tc>
        <w:tc>
          <w:tcPr>
            <w:tcW w:w="1469" w:type="dxa"/>
            <w:tcBorders>
              <w:left w:val="single" w:sz="8" w:space="0" w:color="000000"/>
              <w:bottom w:val="nil"/>
              <w:right w:val="single" w:sz="8" w:space="0" w:color="000000"/>
            </w:tcBorders>
          </w:tcPr>
          <w:p>
            <w:pPr>
              <w:pStyle w:val="TableParagraph"/>
              <w:spacing w:line="206" w:lineRule="exact"/>
              <w:ind w:right="38"/>
              <w:jc w:val="right"/>
              <w:rPr>
                <w:sz w:val="18"/>
              </w:rPr>
            </w:pPr>
            <w:r>
              <w:rPr>
                <w:sz w:val="18"/>
              </w:rPr>
              <w:t>3.916</w:t>
            </w:r>
          </w:p>
        </w:tc>
        <w:tc>
          <w:tcPr>
            <w:tcW w:w="1469" w:type="dxa"/>
            <w:tcBorders>
              <w:left w:val="single" w:sz="8" w:space="0" w:color="000000"/>
              <w:bottom w:val="nil"/>
              <w:right w:val="single" w:sz="8" w:space="0" w:color="000000"/>
            </w:tcBorders>
          </w:tcPr>
          <w:p>
            <w:pPr>
              <w:pStyle w:val="TableParagraph"/>
              <w:spacing w:line="206" w:lineRule="exact"/>
              <w:ind w:right="39"/>
              <w:jc w:val="right"/>
              <w:rPr>
                <w:sz w:val="18"/>
              </w:rPr>
            </w:pPr>
            <w:r>
              <w:rPr>
                <w:sz w:val="18"/>
              </w:rPr>
              <w:t>.558</w:t>
            </w:r>
          </w:p>
        </w:tc>
        <w:tc>
          <w:tcPr>
            <w:tcW w:w="1466" w:type="dxa"/>
            <w:tcBorders>
              <w:left w:val="single" w:sz="8" w:space="0" w:color="000000"/>
              <w:bottom w:val="nil"/>
            </w:tcBorders>
          </w:tcPr>
          <w:p>
            <w:pPr>
              <w:pStyle w:val="TableParagraph"/>
              <w:spacing w:line="206" w:lineRule="exact"/>
              <w:ind w:right="32"/>
              <w:jc w:val="right"/>
              <w:rPr>
                <w:sz w:val="18"/>
              </w:rPr>
            </w:pPr>
            <w:r>
              <w:rPr>
                <w:sz w:val="18"/>
              </w:rPr>
              <w:t>.638</w:t>
            </w:r>
          </w:p>
        </w:tc>
      </w:tr>
      <w:tr>
        <w:trPr>
          <w:trHeight w:val="310" w:hRule="atLeast"/>
        </w:trPr>
        <w:tc>
          <w:tcPr>
            <w:tcW w:w="734" w:type="dxa"/>
            <w:tcBorders>
              <w:top w:val="nil"/>
              <w:bottom w:val="nil"/>
            </w:tcBorders>
          </w:tcPr>
          <w:p>
            <w:pPr>
              <w:pStyle w:val="TableParagraph"/>
              <w:spacing w:before="47"/>
              <w:ind w:left="75"/>
              <w:rPr>
                <w:sz w:val="18"/>
              </w:rPr>
            </w:pPr>
            <w:r>
              <w:rPr>
                <w:sz w:val="18"/>
              </w:rPr>
              <w:t>LI2</w:t>
            </w:r>
          </w:p>
        </w:tc>
        <w:tc>
          <w:tcPr>
            <w:tcW w:w="1468" w:type="dxa"/>
            <w:tcBorders>
              <w:top w:val="nil"/>
              <w:bottom w:val="nil"/>
              <w:right w:val="single" w:sz="8" w:space="0" w:color="000000"/>
            </w:tcBorders>
          </w:tcPr>
          <w:p>
            <w:pPr>
              <w:pStyle w:val="TableParagraph"/>
              <w:spacing w:before="47"/>
              <w:ind w:right="37"/>
              <w:jc w:val="right"/>
              <w:rPr>
                <w:sz w:val="18"/>
              </w:rPr>
            </w:pPr>
            <w:r>
              <w:rPr>
                <w:sz w:val="18"/>
              </w:rPr>
              <w:t>7.71</w:t>
            </w:r>
          </w:p>
        </w:tc>
        <w:tc>
          <w:tcPr>
            <w:tcW w:w="1469" w:type="dxa"/>
            <w:tcBorders>
              <w:top w:val="nil"/>
              <w:left w:val="single" w:sz="8" w:space="0" w:color="000000"/>
              <w:bottom w:val="nil"/>
              <w:right w:val="single" w:sz="8" w:space="0" w:color="000000"/>
            </w:tcBorders>
          </w:tcPr>
          <w:p>
            <w:pPr>
              <w:pStyle w:val="TableParagraph"/>
              <w:spacing w:before="47"/>
              <w:ind w:right="36"/>
              <w:jc w:val="right"/>
              <w:rPr>
                <w:sz w:val="18"/>
              </w:rPr>
            </w:pPr>
            <w:r>
              <w:rPr>
                <w:sz w:val="18"/>
              </w:rPr>
              <w:t>3.788</w:t>
            </w:r>
          </w:p>
        </w:tc>
        <w:tc>
          <w:tcPr>
            <w:tcW w:w="1469" w:type="dxa"/>
            <w:tcBorders>
              <w:top w:val="nil"/>
              <w:left w:val="single" w:sz="8" w:space="0" w:color="000000"/>
              <w:bottom w:val="nil"/>
              <w:right w:val="single" w:sz="8" w:space="0" w:color="000000"/>
            </w:tcBorders>
          </w:tcPr>
          <w:p>
            <w:pPr>
              <w:pStyle w:val="TableParagraph"/>
              <w:spacing w:before="47"/>
              <w:ind w:right="38"/>
              <w:jc w:val="right"/>
              <w:rPr>
                <w:sz w:val="18"/>
              </w:rPr>
            </w:pPr>
            <w:r>
              <w:rPr>
                <w:sz w:val="18"/>
              </w:rPr>
              <w:t>.513</w:t>
            </w:r>
          </w:p>
        </w:tc>
        <w:tc>
          <w:tcPr>
            <w:tcW w:w="1466" w:type="dxa"/>
            <w:tcBorders>
              <w:top w:val="nil"/>
              <w:left w:val="single" w:sz="8" w:space="0" w:color="000000"/>
              <w:bottom w:val="nil"/>
            </w:tcBorders>
          </w:tcPr>
          <w:p>
            <w:pPr>
              <w:pStyle w:val="TableParagraph"/>
              <w:spacing w:before="47"/>
              <w:ind w:right="32"/>
              <w:jc w:val="right"/>
              <w:rPr>
                <w:sz w:val="18"/>
              </w:rPr>
            </w:pPr>
            <w:r>
              <w:rPr>
                <w:sz w:val="18"/>
              </w:rPr>
              <w:t>.690</w:t>
            </w:r>
          </w:p>
        </w:tc>
      </w:tr>
      <w:tr>
        <w:trPr>
          <w:trHeight w:val="357" w:hRule="atLeast"/>
        </w:trPr>
        <w:tc>
          <w:tcPr>
            <w:tcW w:w="734" w:type="dxa"/>
            <w:tcBorders>
              <w:top w:val="nil"/>
            </w:tcBorders>
          </w:tcPr>
          <w:p>
            <w:pPr>
              <w:pStyle w:val="TableParagraph"/>
              <w:spacing w:before="48"/>
              <w:ind w:left="75"/>
              <w:rPr>
                <w:sz w:val="18"/>
              </w:rPr>
            </w:pPr>
            <w:r>
              <w:rPr>
                <w:sz w:val="18"/>
              </w:rPr>
              <w:t>LI3</w:t>
            </w:r>
          </w:p>
        </w:tc>
        <w:tc>
          <w:tcPr>
            <w:tcW w:w="1468" w:type="dxa"/>
            <w:tcBorders>
              <w:top w:val="nil"/>
              <w:right w:val="single" w:sz="8" w:space="0" w:color="000000"/>
            </w:tcBorders>
          </w:tcPr>
          <w:p>
            <w:pPr>
              <w:pStyle w:val="TableParagraph"/>
              <w:spacing w:before="48"/>
              <w:ind w:right="37"/>
              <w:jc w:val="right"/>
              <w:rPr>
                <w:sz w:val="18"/>
              </w:rPr>
            </w:pPr>
            <w:r>
              <w:rPr>
                <w:sz w:val="18"/>
              </w:rPr>
              <w:t>7.57</w:t>
            </w:r>
          </w:p>
        </w:tc>
        <w:tc>
          <w:tcPr>
            <w:tcW w:w="1469" w:type="dxa"/>
            <w:tcBorders>
              <w:top w:val="nil"/>
              <w:left w:val="single" w:sz="8" w:space="0" w:color="000000"/>
              <w:right w:val="single" w:sz="8" w:space="0" w:color="000000"/>
            </w:tcBorders>
          </w:tcPr>
          <w:p>
            <w:pPr>
              <w:pStyle w:val="TableParagraph"/>
              <w:spacing w:before="48"/>
              <w:ind w:right="38"/>
              <w:jc w:val="right"/>
              <w:rPr>
                <w:sz w:val="18"/>
              </w:rPr>
            </w:pPr>
            <w:r>
              <w:rPr>
                <w:sz w:val="18"/>
              </w:rPr>
              <w:t>3.481</w:t>
            </w:r>
          </w:p>
        </w:tc>
        <w:tc>
          <w:tcPr>
            <w:tcW w:w="1469" w:type="dxa"/>
            <w:tcBorders>
              <w:top w:val="nil"/>
              <w:left w:val="single" w:sz="8" w:space="0" w:color="000000"/>
              <w:right w:val="single" w:sz="8" w:space="0" w:color="000000"/>
            </w:tcBorders>
          </w:tcPr>
          <w:p>
            <w:pPr>
              <w:pStyle w:val="TableParagraph"/>
              <w:spacing w:before="48"/>
              <w:ind w:right="39"/>
              <w:jc w:val="right"/>
              <w:rPr>
                <w:sz w:val="18"/>
              </w:rPr>
            </w:pPr>
            <w:r>
              <w:rPr>
                <w:sz w:val="18"/>
              </w:rPr>
              <w:t>.589</w:t>
            </w:r>
          </w:p>
        </w:tc>
        <w:tc>
          <w:tcPr>
            <w:tcW w:w="1466" w:type="dxa"/>
            <w:tcBorders>
              <w:top w:val="nil"/>
              <w:left w:val="single" w:sz="8" w:space="0" w:color="000000"/>
            </w:tcBorders>
          </w:tcPr>
          <w:p>
            <w:pPr>
              <w:pStyle w:val="TableParagraph"/>
              <w:spacing w:before="48"/>
              <w:ind w:right="32"/>
              <w:jc w:val="right"/>
              <w:rPr>
                <w:sz w:val="18"/>
              </w:rPr>
            </w:pPr>
            <w:r>
              <w:rPr>
                <w:sz w:val="18"/>
              </w:rPr>
              <w:t>.597</w:t>
            </w:r>
          </w:p>
        </w:tc>
      </w:tr>
    </w:tbl>
    <w:p>
      <w:pPr>
        <w:pStyle w:val="BodyText"/>
        <w:rPr>
          <w:b/>
          <w:sz w:val="20"/>
        </w:rPr>
      </w:pPr>
    </w:p>
    <w:p>
      <w:pPr>
        <w:pStyle w:val="BodyText"/>
        <w:spacing w:before="6"/>
        <w:rPr>
          <w:b/>
          <w:sz w:val="16"/>
        </w:rPr>
      </w:pPr>
    </w:p>
    <w:tbl>
      <w:tblPr>
        <w:tblW w:w="0" w:type="auto"/>
        <w:jc w:val="left"/>
        <w:tblInd w:w="90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
      <w:tblGrid>
        <w:gridCol w:w="2299"/>
        <w:gridCol w:w="2523"/>
        <w:gridCol w:w="1023"/>
      </w:tblGrid>
      <w:tr>
        <w:trPr>
          <w:trHeight w:val="298" w:hRule="atLeast"/>
        </w:trPr>
        <w:tc>
          <w:tcPr>
            <w:tcW w:w="5845" w:type="dxa"/>
            <w:gridSpan w:val="3"/>
            <w:tcBorders>
              <w:bottom w:val="single" w:sz="18" w:space="0" w:color="000000"/>
            </w:tcBorders>
          </w:tcPr>
          <w:p>
            <w:pPr>
              <w:pStyle w:val="TableParagraph"/>
              <w:spacing w:line="199" w:lineRule="exact"/>
              <w:ind w:left="1977"/>
              <w:rPr>
                <w:b/>
                <w:sz w:val="18"/>
              </w:rPr>
            </w:pPr>
            <w:r>
              <w:rPr>
                <w:b/>
                <w:sz w:val="18"/>
              </w:rPr>
              <w:t>KMO and Bartlett's Test</w:t>
            </w:r>
          </w:p>
        </w:tc>
      </w:tr>
      <w:tr>
        <w:trPr>
          <w:trHeight w:val="261" w:hRule="atLeast"/>
        </w:trPr>
        <w:tc>
          <w:tcPr>
            <w:tcW w:w="4822" w:type="dxa"/>
            <w:gridSpan w:val="2"/>
            <w:tcBorders>
              <w:top w:val="single" w:sz="18" w:space="0" w:color="000000"/>
              <w:left w:val="single" w:sz="18" w:space="0" w:color="000000"/>
              <w:right w:val="single" w:sz="18" w:space="0" w:color="000000"/>
            </w:tcBorders>
          </w:tcPr>
          <w:p>
            <w:pPr>
              <w:pStyle w:val="TableParagraph"/>
              <w:spacing w:line="206" w:lineRule="exact"/>
              <w:ind w:left="75"/>
              <w:rPr>
                <w:sz w:val="18"/>
              </w:rPr>
            </w:pPr>
            <w:r>
              <w:rPr>
                <w:sz w:val="18"/>
              </w:rPr>
              <w:t>Kaiser-Meyer-Olkin Measure of Sampling Adequacy.</w:t>
            </w:r>
          </w:p>
        </w:tc>
        <w:tc>
          <w:tcPr>
            <w:tcW w:w="1023" w:type="dxa"/>
            <w:tcBorders>
              <w:top w:val="single" w:sz="18" w:space="0" w:color="000000"/>
              <w:left w:val="single" w:sz="18" w:space="0" w:color="000000"/>
              <w:right w:val="single" w:sz="18" w:space="0" w:color="000000"/>
            </w:tcBorders>
          </w:tcPr>
          <w:p>
            <w:pPr>
              <w:pStyle w:val="TableParagraph"/>
              <w:spacing w:line="206" w:lineRule="exact"/>
              <w:ind w:right="36"/>
              <w:jc w:val="right"/>
              <w:rPr>
                <w:sz w:val="18"/>
              </w:rPr>
            </w:pPr>
            <w:r>
              <w:rPr>
                <w:sz w:val="18"/>
              </w:rPr>
              <w:t>.676</w:t>
            </w:r>
          </w:p>
        </w:tc>
      </w:tr>
      <w:tr>
        <w:trPr>
          <w:trHeight w:val="331" w:hRule="atLeast"/>
        </w:trPr>
        <w:tc>
          <w:tcPr>
            <w:tcW w:w="2299" w:type="dxa"/>
            <w:tcBorders>
              <w:left w:val="single" w:sz="18" w:space="0" w:color="000000"/>
            </w:tcBorders>
          </w:tcPr>
          <w:p>
            <w:pPr>
              <w:pStyle w:val="TableParagraph"/>
              <w:rPr>
                <w:sz w:val="18"/>
              </w:rPr>
            </w:pPr>
          </w:p>
        </w:tc>
        <w:tc>
          <w:tcPr>
            <w:tcW w:w="2523" w:type="dxa"/>
            <w:tcBorders>
              <w:right w:val="single" w:sz="18" w:space="0" w:color="000000"/>
            </w:tcBorders>
          </w:tcPr>
          <w:p>
            <w:pPr>
              <w:pStyle w:val="TableParagraph"/>
              <w:spacing w:before="47"/>
              <w:ind w:left="259"/>
              <w:rPr>
                <w:sz w:val="18"/>
              </w:rPr>
            </w:pPr>
            <w:r>
              <w:rPr>
                <w:sz w:val="18"/>
              </w:rPr>
              <w:t>Approx. Chi-Square</w:t>
            </w:r>
          </w:p>
        </w:tc>
        <w:tc>
          <w:tcPr>
            <w:tcW w:w="1023" w:type="dxa"/>
            <w:tcBorders>
              <w:left w:val="single" w:sz="18" w:space="0" w:color="000000"/>
              <w:right w:val="single" w:sz="18" w:space="0" w:color="000000"/>
            </w:tcBorders>
          </w:tcPr>
          <w:p>
            <w:pPr>
              <w:pStyle w:val="TableParagraph"/>
              <w:spacing w:before="47"/>
              <w:ind w:right="36"/>
              <w:jc w:val="right"/>
              <w:rPr>
                <w:sz w:val="18"/>
              </w:rPr>
            </w:pPr>
            <w:r>
              <w:rPr>
                <w:sz w:val="18"/>
              </w:rPr>
              <w:t>325.338</w:t>
            </w:r>
          </w:p>
        </w:tc>
      </w:tr>
      <w:tr>
        <w:trPr>
          <w:trHeight w:val="351" w:hRule="atLeast"/>
        </w:trPr>
        <w:tc>
          <w:tcPr>
            <w:tcW w:w="2299" w:type="dxa"/>
            <w:tcBorders>
              <w:left w:val="single" w:sz="18" w:space="0" w:color="000000"/>
            </w:tcBorders>
          </w:tcPr>
          <w:p>
            <w:pPr>
              <w:pStyle w:val="TableParagraph"/>
              <w:spacing w:before="69"/>
              <w:ind w:left="75"/>
              <w:rPr>
                <w:sz w:val="18"/>
              </w:rPr>
            </w:pPr>
            <w:r>
              <w:rPr>
                <w:sz w:val="18"/>
              </w:rPr>
              <w:t>Bartlett's Test of Sphericity</w:t>
            </w:r>
          </w:p>
        </w:tc>
        <w:tc>
          <w:tcPr>
            <w:tcW w:w="2523" w:type="dxa"/>
            <w:tcBorders>
              <w:right w:val="single" w:sz="18" w:space="0" w:color="000000"/>
            </w:tcBorders>
          </w:tcPr>
          <w:p>
            <w:pPr>
              <w:pStyle w:val="TableParagraph"/>
              <w:spacing w:before="69"/>
              <w:ind w:left="259"/>
              <w:rPr>
                <w:sz w:val="18"/>
              </w:rPr>
            </w:pPr>
            <w:r>
              <w:rPr>
                <w:sz w:val="18"/>
              </w:rPr>
              <w:t>df</w:t>
            </w:r>
          </w:p>
        </w:tc>
        <w:tc>
          <w:tcPr>
            <w:tcW w:w="1023" w:type="dxa"/>
            <w:tcBorders>
              <w:left w:val="single" w:sz="18" w:space="0" w:color="000000"/>
              <w:right w:val="single" w:sz="18" w:space="0" w:color="000000"/>
            </w:tcBorders>
          </w:tcPr>
          <w:p>
            <w:pPr>
              <w:pStyle w:val="TableParagraph"/>
              <w:spacing w:before="69"/>
              <w:ind w:right="39"/>
              <w:jc w:val="right"/>
              <w:rPr>
                <w:sz w:val="18"/>
              </w:rPr>
            </w:pPr>
            <w:r>
              <w:rPr>
                <w:sz w:val="18"/>
              </w:rPr>
              <w:t>3</w:t>
            </w:r>
          </w:p>
        </w:tc>
      </w:tr>
      <w:tr>
        <w:trPr>
          <w:trHeight w:val="376" w:hRule="atLeast"/>
        </w:trPr>
        <w:tc>
          <w:tcPr>
            <w:tcW w:w="2299" w:type="dxa"/>
            <w:tcBorders>
              <w:left w:val="single" w:sz="18" w:space="0" w:color="000000"/>
              <w:bottom w:val="single" w:sz="18" w:space="0" w:color="000000"/>
            </w:tcBorders>
          </w:tcPr>
          <w:p>
            <w:pPr>
              <w:pStyle w:val="TableParagraph"/>
              <w:rPr>
                <w:sz w:val="18"/>
              </w:rPr>
            </w:pPr>
          </w:p>
        </w:tc>
        <w:tc>
          <w:tcPr>
            <w:tcW w:w="2523" w:type="dxa"/>
            <w:tcBorders>
              <w:bottom w:val="single" w:sz="18" w:space="0" w:color="000000"/>
              <w:right w:val="single" w:sz="18" w:space="0" w:color="000000"/>
            </w:tcBorders>
          </w:tcPr>
          <w:p>
            <w:pPr>
              <w:pStyle w:val="TableParagraph"/>
              <w:spacing w:before="68"/>
              <w:ind w:left="259"/>
              <w:rPr>
                <w:sz w:val="18"/>
              </w:rPr>
            </w:pPr>
            <w:r>
              <w:rPr>
                <w:sz w:val="18"/>
              </w:rPr>
              <w:t>Sig.</w:t>
            </w:r>
          </w:p>
        </w:tc>
        <w:tc>
          <w:tcPr>
            <w:tcW w:w="1023" w:type="dxa"/>
            <w:tcBorders>
              <w:left w:val="single" w:sz="18" w:space="0" w:color="000000"/>
              <w:bottom w:val="single" w:sz="18" w:space="0" w:color="000000"/>
              <w:right w:val="single" w:sz="18" w:space="0" w:color="000000"/>
            </w:tcBorders>
          </w:tcPr>
          <w:p>
            <w:pPr>
              <w:pStyle w:val="TableParagraph"/>
              <w:spacing w:before="68"/>
              <w:ind w:right="36"/>
              <w:jc w:val="right"/>
              <w:rPr>
                <w:sz w:val="18"/>
              </w:rPr>
            </w:pPr>
            <w:r>
              <w:rPr>
                <w:sz w:val="18"/>
              </w:rPr>
              <w:t>.000</w:t>
            </w:r>
          </w:p>
        </w:tc>
      </w:tr>
    </w:tbl>
    <w:p>
      <w:pPr>
        <w:pStyle w:val="BodyText"/>
        <w:rPr>
          <w:b/>
          <w:sz w:val="20"/>
        </w:rPr>
      </w:pPr>
    </w:p>
    <w:p>
      <w:pPr>
        <w:pStyle w:val="BodyText"/>
        <w:rPr>
          <w:b/>
          <w:sz w:val="20"/>
        </w:rPr>
      </w:pPr>
    </w:p>
    <w:p>
      <w:pPr>
        <w:pStyle w:val="BodyText"/>
        <w:rPr>
          <w:b/>
          <w:sz w:val="20"/>
        </w:rPr>
      </w:pPr>
    </w:p>
    <w:p>
      <w:pPr>
        <w:spacing w:before="138"/>
        <w:ind w:left="1019" w:right="952" w:firstLine="0"/>
        <w:jc w:val="center"/>
        <w:rPr>
          <w:b/>
          <w:sz w:val="18"/>
        </w:rPr>
      </w:pPr>
      <w:r>
        <w:rPr>
          <w:b/>
          <w:sz w:val="18"/>
        </w:rPr>
        <w:t>Total Variance Explained</w:t>
      </w:r>
    </w:p>
    <w:p>
      <w:pPr>
        <w:pStyle w:val="BodyText"/>
        <w:spacing w:before="11"/>
        <w:rPr>
          <w:b/>
          <w:sz w:val="8"/>
        </w:rPr>
      </w:pPr>
    </w:p>
    <w:tbl>
      <w:tblPr>
        <w:tblW w:w="0" w:type="auto"/>
        <w:jc w:val="left"/>
        <w:tblInd w:w="907" w:type="dxa"/>
        <w:tblBorders>
          <w:top w:val="single" w:sz="18" w:space="0" w:color="000000"/>
          <w:left w:val="single" w:sz="18" w:space="0" w:color="000000"/>
          <w:bottom w:val="single" w:sz="18" w:space="0" w:color="000000"/>
          <w:right w:val="single" w:sz="18" w:space="0" w:color="000000"/>
          <w:insideH w:val="single" w:sz="18" w:space="0" w:color="000000"/>
          <w:insideV w:val="single" w:sz="18" w:space="0" w:color="000000"/>
        </w:tblBorders>
        <w:tblLayout w:type="fixed"/>
        <w:tblCellMar>
          <w:top w:w="0" w:type="dxa"/>
          <w:left w:w="0" w:type="dxa"/>
          <w:bottom w:w="0" w:type="dxa"/>
          <w:right w:w="0" w:type="dxa"/>
        </w:tblCellMar>
        <w:tblLook w:val="01E0"/>
      </w:tblPr>
      <w:tblGrid>
        <w:gridCol w:w="1279"/>
        <w:gridCol w:w="999"/>
        <w:gridCol w:w="1424"/>
        <w:gridCol w:w="1438"/>
        <w:gridCol w:w="1147"/>
        <w:gridCol w:w="1424"/>
        <w:gridCol w:w="1438"/>
      </w:tblGrid>
      <w:tr>
        <w:trPr>
          <w:trHeight w:val="295" w:hRule="atLeast"/>
        </w:trPr>
        <w:tc>
          <w:tcPr>
            <w:tcW w:w="1279" w:type="dxa"/>
            <w:vMerge w:val="restart"/>
          </w:tcPr>
          <w:p>
            <w:pPr>
              <w:pStyle w:val="TableParagraph"/>
              <w:spacing w:line="206" w:lineRule="exact"/>
              <w:ind w:left="75"/>
              <w:rPr>
                <w:sz w:val="18"/>
              </w:rPr>
            </w:pPr>
            <w:r>
              <w:rPr>
                <w:sz w:val="18"/>
              </w:rPr>
              <w:t>Component</w:t>
            </w:r>
          </w:p>
        </w:tc>
        <w:tc>
          <w:tcPr>
            <w:tcW w:w="3861" w:type="dxa"/>
            <w:gridSpan w:val="3"/>
            <w:tcBorders>
              <w:bottom w:val="single" w:sz="8" w:space="0" w:color="000000"/>
              <w:right w:val="single" w:sz="8" w:space="0" w:color="000000"/>
            </w:tcBorders>
          </w:tcPr>
          <w:p>
            <w:pPr>
              <w:pStyle w:val="TableParagraph"/>
              <w:spacing w:line="206" w:lineRule="exact"/>
              <w:ind w:left="1250"/>
              <w:rPr>
                <w:sz w:val="18"/>
              </w:rPr>
            </w:pPr>
            <w:r>
              <w:rPr>
                <w:sz w:val="18"/>
              </w:rPr>
              <w:t>Initial Eigenvalues</w:t>
            </w:r>
          </w:p>
        </w:tc>
        <w:tc>
          <w:tcPr>
            <w:tcW w:w="4009" w:type="dxa"/>
            <w:gridSpan w:val="3"/>
            <w:tcBorders>
              <w:left w:val="single" w:sz="8" w:space="0" w:color="000000"/>
              <w:bottom w:val="single" w:sz="8" w:space="0" w:color="000000"/>
              <w:right w:val="single" w:sz="8" w:space="0" w:color="000000"/>
            </w:tcBorders>
          </w:tcPr>
          <w:p>
            <w:pPr>
              <w:pStyle w:val="TableParagraph"/>
              <w:spacing w:line="206" w:lineRule="exact"/>
              <w:ind w:left="642"/>
              <w:rPr>
                <w:sz w:val="18"/>
              </w:rPr>
            </w:pPr>
            <w:r>
              <w:rPr>
                <w:sz w:val="18"/>
              </w:rPr>
              <w:t>Extraction Sums of Squared Loadings</w:t>
            </w:r>
          </w:p>
        </w:tc>
      </w:tr>
      <w:tr>
        <w:trPr>
          <w:trHeight w:val="315" w:hRule="atLeast"/>
        </w:trPr>
        <w:tc>
          <w:tcPr>
            <w:tcW w:w="1279" w:type="dxa"/>
            <w:vMerge/>
            <w:tcBorders>
              <w:top w:val="nil"/>
            </w:tcBorders>
          </w:tcPr>
          <w:p>
            <w:pPr>
              <w:rPr>
                <w:sz w:val="2"/>
                <w:szCs w:val="2"/>
              </w:rPr>
            </w:pPr>
          </w:p>
        </w:tc>
        <w:tc>
          <w:tcPr>
            <w:tcW w:w="999" w:type="dxa"/>
            <w:tcBorders>
              <w:top w:val="single" w:sz="8" w:space="0" w:color="000000"/>
              <w:right w:val="single" w:sz="8" w:space="0" w:color="000000"/>
            </w:tcBorders>
          </w:tcPr>
          <w:p>
            <w:pPr>
              <w:pStyle w:val="TableParagraph"/>
              <w:spacing w:before="8"/>
              <w:ind w:left="304"/>
              <w:rPr>
                <w:sz w:val="18"/>
              </w:rPr>
            </w:pPr>
            <w:r>
              <w:rPr>
                <w:sz w:val="18"/>
              </w:rPr>
              <w:t>Total</w:t>
            </w:r>
          </w:p>
        </w:tc>
        <w:tc>
          <w:tcPr>
            <w:tcW w:w="1424" w:type="dxa"/>
            <w:tcBorders>
              <w:top w:val="single" w:sz="8" w:space="0" w:color="000000"/>
              <w:left w:val="single" w:sz="8" w:space="0" w:color="000000"/>
              <w:right w:val="single" w:sz="8" w:space="0" w:color="000000"/>
            </w:tcBorders>
          </w:tcPr>
          <w:p>
            <w:pPr>
              <w:pStyle w:val="TableParagraph"/>
              <w:spacing w:before="8"/>
              <w:ind w:left="201"/>
              <w:rPr>
                <w:sz w:val="18"/>
              </w:rPr>
            </w:pPr>
            <w:r>
              <w:rPr>
                <w:sz w:val="18"/>
              </w:rPr>
              <w:t>% of Variance</w:t>
            </w:r>
          </w:p>
        </w:tc>
        <w:tc>
          <w:tcPr>
            <w:tcW w:w="1438" w:type="dxa"/>
            <w:tcBorders>
              <w:top w:val="single" w:sz="8" w:space="0" w:color="000000"/>
              <w:left w:val="single" w:sz="8" w:space="0" w:color="000000"/>
              <w:right w:val="single" w:sz="8" w:space="0" w:color="000000"/>
            </w:tcBorders>
          </w:tcPr>
          <w:p>
            <w:pPr>
              <w:pStyle w:val="TableParagraph"/>
              <w:spacing w:before="8"/>
              <w:ind w:left="210"/>
              <w:rPr>
                <w:sz w:val="18"/>
              </w:rPr>
            </w:pPr>
            <w:r>
              <w:rPr>
                <w:sz w:val="18"/>
              </w:rPr>
              <w:t>Cumulative %</w:t>
            </w:r>
          </w:p>
        </w:tc>
        <w:tc>
          <w:tcPr>
            <w:tcW w:w="1147" w:type="dxa"/>
            <w:tcBorders>
              <w:top w:val="single" w:sz="8" w:space="0" w:color="000000"/>
              <w:left w:val="single" w:sz="8" w:space="0" w:color="000000"/>
              <w:right w:val="single" w:sz="8" w:space="0" w:color="000000"/>
            </w:tcBorders>
          </w:tcPr>
          <w:p>
            <w:pPr>
              <w:pStyle w:val="TableParagraph"/>
              <w:spacing w:before="8"/>
              <w:ind w:left="392"/>
              <w:rPr>
                <w:sz w:val="18"/>
              </w:rPr>
            </w:pPr>
            <w:r>
              <w:rPr>
                <w:sz w:val="18"/>
              </w:rPr>
              <w:t>Total</w:t>
            </w:r>
          </w:p>
        </w:tc>
        <w:tc>
          <w:tcPr>
            <w:tcW w:w="1424" w:type="dxa"/>
            <w:tcBorders>
              <w:top w:val="single" w:sz="8" w:space="0" w:color="000000"/>
              <w:left w:val="single" w:sz="8" w:space="0" w:color="000000"/>
              <w:right w:val="single" w:sz="8" w:space="0" w:color="000000"/>
            </w:tcBorders>
          </w:tcPr>
          <w:p>
            <w:pPr>
              <w:pStyle w:val="TableParagraph"/>
              <w:spacing w:before="8"/>
              <w:ind w:left="200"/>
              <w:rPr>
                <w:sz w:val="18"/>
              </w:rPr>
            </w:pPr>
            <w:r>
              <w:rPr>
                <w:sz w:val="18"/>
              </w:rPr>
              <w:t>% of Variance</w:t>
            </w:r>
          </w:p>
        </w:tc>
        <w:tc>
          <w:tcPr>
            <w:tcW w:w="1438" w:type="dxa"/>
            <w:tcBorders>
              <w:top w:val="single" w:sz="8" w:space="0" w:color="000000"/>
              <w:left w:val="single" w:sz="8" w:space="0" w:color="000000"/>
            </w:tcBorders>
          </w:tcPr>
          <w:p>
            <w:pPr>
              <w:pStyle w:val="TableParagraph"/>
              <w:spacing w:before="8"/>
              <w:ind w:left="205"/>
              <w:rPr>
                <w:sz w:val="18"/>
              </w:rPr>
            </w:pPr>
            <w:r>
              <w:rPr>
                <w:sz w:val="18"/>
              </w:rPr>
              <w:t>Cumulative %</w:t>
            </w:r>
          </w:p>
        </w:tc>
      </w:tr>
      <w:tr>
        <w:trPr>
          <w:trHeight w:val="265" w:hRule="atLeast"/>
        </w:trPr>
        <w:tc>
          <w:tcPr>
            <w:tcW w:w="1279" w:type="dxa"/>
            <w:tcBorders>
              <w:bottom w:val="nil"/>
            </w:tcBorders>
          </w:tcPr>
          <w:p>
            <w:pPr>
              <w:pStyle w:val="TableParagraph"/>
              <w:spacing w:line="206" w:lineRule="exact"/>
              <w:ind w:left="75"/>
              <w:rPr>
                <w:sz w:val="18"/>
              </w:rPr>
            </w:pPr>
            <w:r>
              <w:rPr>
                <w:sz w:val="18"/>
              </w:rPr>
              <w:t>1</w:t>
            </w:r>
          </w:p>
        </w:tc>
        <w:tc>
          <w:tcPr>
            <w:tcW w:w="999" w:type="dxa"/>
            <w:tcBorders>
              <w:bottom w:val="nil"/>
              <w:right w:val="single" w:sz="8" w:space="0" w:color="000000"/>
            </w:tcBorders>
          </w:tcPr>
          <w:p>
            <w:pPr>
              <w:pStyle w:val="TableParagraph"/>
              <w:spacing w:line="206" w:lineRule="exact"/>
              <w:ind w:right="40"/>
              <w:jc w:val="right"/>
              <w:rPr>
                <w:sz w:val="18"/>
              </w:rPr>
            </w:pPr>
            <w:r>
              <w:rPr>
                <w:sz w:val="18"/>
              </w:rPr>
              <w:t>1.950</w:t>
            </w:r>
          </w:p>
        </w:tc>
        <w:tc>
          <w:tcPr>
            <w:tcW w:w="1424" w:type="dxa"/>
            <w:tcBorders>
              <w:left w:val="single" w:sz="8" w:space="0" w:color="000000"/>
              <w:bottom w:val="nil"/>
              <w:right w:val="single" w:sz="8" w:space="0" w:color="000000"/>
            </w:tcBorders>
          </w:tcPr>
          <w:p>
            <w:pPr>
              <w:pStyle w:val="TableParagraph"/>
              <w:spacing w:line="206" w:lineRule="exact"/>
              <w:ind w:right="38"/>
              <w:jc w:val="right"/>
              <w:rPr>
                <w:sz w:val="18"/>
              </w:rPr>
            </w:pPr>
            <w:r>
              <w:rPr>
                <w:sz w:val="18"/>
              </w:rPr>
              <w:t>65.009</w:t>
            </w:r>
          </w:p>
        </w:tc>
        <w:tc>
          <w:tcPr>
            <w:tcW w:w="1438" w:type="dxa"/>
            <w:tcBorders>
              <w:left w:val="single" w:sz="8" w:space="0" w:color="000000"/>
              <w:bottom w:val="nil"/>
              <w:right w:val="single" w:sz="8" w:space="0" w:color="000000"/>
            </w:tcBorders>
          </w:tcPr>
          <w:p>
            <w:pPr>
              <w:pStyle w:val="TableParagraph"/>
              <w:spacing w:line="206" w:lineRule="exact"/>
              <w:ind w:right="38"/>
              <w:jc w:val="right"/>
              <w:rPr>
                <w:sz w:val="18"/>
              </w:rPr>
            </w:pPr>
            <w:r>
              <w:rPr>
                <w:sz w:val="18"/>
              </w:rPr>
              <w:t>65.009</w:t>
            </w:r>
          </w:p>
        </w:tc>
        <w:tc>
          <w:tcPr>
            <w:tcW w:w="1147" w:type="dxa"/>
            <w:vMerge w:val="restart"/>
            <w:tcBorders>
              <w:left w:val="single" w:sz="8" w:space="0" w:color="000000"/>
              <w:right w:val="single" w:sz="8" w:space="0" w:color="000000"/>
            </w:tcBorders>
          </w:tcPr>
          <w:p>
            <w:pPr>
              <w:pStyle w:val="TableParagraph"/>
              <w:spacing w:line="206" w:lineRule="exact"/>
              <w:ind w:left="680"/>
              <w:rPr>
                <w:sz w:val="18"/>
              </w:rPr>
            </w:pPr>
            <w:r>
              <w:rPr>
                <w:sz w:val="18"/>
              </w:rPr>
              <w:t>1.950</w:t>
            </w:r>
          </w:p>
        </w:tc>
        <w:tc>
          <w:tcPr>
            <w:tcW w:w="1424" w:type="dxa"/>
            <w:vMerge w:val="restart"/>
            <w:tcBorders>
              <w:left w:val="single" w:sz="8" w:space="0" w:color="000000"/>
              <w:right w:val="single" w:sz="8" w:space="0" w:color="000000"/>
            </w:tcBorders>
          </w:tcPr>
          <w:p>
            <w:pPr>
              <w:pStyle w:val="TableParagraph"/>
              <w:spacing w:line="206" w:lineRule="exact"/>
              <w:ind w:left="867"/>
              <w:rPr>
                <w:sz w:val="18"/>
              </w:rPr>
            </w:pPr>
            <w:r>
              <w:rPr>
                <w:sz w:val="18"/>
              </w:rPr>
              <w:t>65.009</w:t>
            </w:r>
          </w:p>
        </w:tc>
        <w:tc>
          <w:tcPr>
            <w:tcW w:w="1438" w:type="dxa"/>
            <w:vMerge w:val="restart"/>
            <w:tcBorders>
              <w:left w:val="single" w:sz="8" w:space="0" w:color="000000"/>
            </w:tcBorders>
          </w:tcPr>
          <w:p>
            <w:pPr>
              <w:pStyle w:val="TableParagraph"/>
              <w:spacing w:line="206" w:lineRule="exact"/>
              <w:ind w:left="872"/>
              <w:rPr>
                <w:sz w:val="18"/>
              </w:rPr>
            </w:pPr>
            <w:r>
              <w:rPr>
                <w:sz w:val="18"/>
              </w:rPr>
              <w:t>65.009</w:t>
            </w:r>
          </w:p>
        </w:tc>
      </w:tr>
      <w:tr>
        <w:trPr>
          <w:trHeight w:val="342" w:hRule="atLeast"/>
        </w:trPr>
        <w:tc>
          <w:tcPr>
            <w:tcW w:w="1279" w:type="dxa"/>
            <w:tcBorders>
              <w:top w:val="nil"/>
              <w:bottom w:val="nil"/>
            </w:tcBorders>
          </w:tcPr>
          <w:p>
            <w:pPr>
              <w:pStyle w:val="TableParagraph"/>
              <w:spacing w:before="51"/>
              <w:ind w:left="75"/>
              <w:rPr>
                <w:sz w:val="18"/>
              </w:rPr>
            </w:pPr>
            <w:r>
              <w:rPr>
                <w:sz w:val="18"/>
              </w:rPr>
              <w:t>2</w:t>
            </w:r>
          </w:p>
        </w:tc>
        <w:tc>
          <w:tcPr>
            <w:tcW w:w="999" w:type="dxa"/>
            <w:tcBorders>
              <w:top w:val="nil"/>
              <w:bottom w:val="nil"/>
              <w:right w:val="single" w:sz="8" w:space="0" w:color="000000"/>
            </w:tcBorders>
          </w:tcPr>
          <w:p>
            <w:pPr>
              <w:pStyle w:val="TableParagraph"/>
              <w:spacing w:before="51"/>
              <w:ind w:right="40"/>
              <w:jc w:val="right"/>
              <w:rPr>
                <w:sz w:val="18"/>
              </w:rPr>
            </w:pPr>
            <w:r>
              <w:rPr>
                <w:sz w:val="18"/>
              </w:rPr>
              <w:t>.584</w:t>
            </w:r>
          </w:p>
        </w:tc>
        <w:tc>
          <w:tcPr>
            <w:tcW w:w="1424" w:type="dxa"/>
            <w:tcBorders>
              <w:top w:val="nil"/>
              <w:left w:val="single" w:sz="8" w:space="0" w:color="000000"/>
              <w:bottom w:val="nil"/>
              <w:right w:val="single" w:sz="8" w:space="0" w:color="000000"/>
            </w:tcBorders>
          </w:tcPr>
          <w:p>
            <w:pPr>
              <w:pStyle w:val="TableParagraph"/>
              <w:spacing w:before="51"/>
              <w:ind w:right="39"/>
              <w:jc w:val="right"/>
              <w:rPr>
                <w:sz w:val="18"/>
              </w:rPr>
            </w:pPr>
            <w:r>
              <w:rPr>
                <w:sz w:val="18"/>
              </w:rPr>
              <w:t>19.462</w:t>
            </w:r>
          </w:p>
        </w:tc>
        <w:tc>
          <w:tcPr>
            <w:tcW w:w="1438" w:type="dxa"/>
            <w:tcBorders>
              <w:top w:val="nil"/>
              <w:left w:val="single" w:sz="8" w:space="0" w:color="000000"/>
              <w:bottom w:val="nil"/>
              <w:right w:val="single" w:sz="8" w:space="0" w:color="000000"/>
            </w:tcBorders>
          </w:tcPr>
          <w:p>
            <w:pPr>
              <w:pStyle w:val="TableParagraph"/>
              <w:spacing w:before="51"/>
              <w:ind w:right="39"/>
              <w:jc w:val="right"/>
              <w:rPr>
                <w:sz w:val="18"/>
              </w:rPr>
            </w:pPr>
            <w:r>
              <w:rPr>
                <w:sz w:val="18"/>
              </w:rPr>
              <w:t>84.471</w:t>
            </w:r>
          </w:p>
        </w:tc>
        <w:tc>
          <w:tcPr>
            <w:tcW w:w="1147" w:type="dxa"/>
            <w:vMerge/>
            <w:tcBorders>
              <w:top w:val="nil"/>
              <w:left w:val="single" w:sz="8" w:space="0" w:color="000000"/>
              <w:right w:val="single" w:sz="8" w:space="0" w:color="000000"/>
            </w:tcBorders>
          </w:tcPr>
          <w:p>
            <w:pPr>
              <w:rPr>
                <w:sz w:val="2"/>
                <w:szCs w:val="2"/>
              </w:rPr>
            </w:pPr>
          </w:p>
        </w:tc>
        <w:tc>
          <w:tcPr>
            <w:tcW w:w="1424" w:type="dxa"/>
            <w:vMerge/>
            <w:tcBorders>
              <w:top w:val="nil"/>
              <w:left w:val="single" w:sz="8" w:space="0" w:color="000000"/>
              <w:right w:val="single" w:sz="8" w:space="0" w:color="000000"/>
            </w:tcBorders>
          </w:tcPr>
          <w:p>
            <w:pPr>
              <w:rPr>
                <w:sz w:val="2"/>
                <w:szCs w:val="2"/>
              </w:rPr>
            </w:pPr>
          </w:p>
        </w:tc>
        <w:tc>
          <w:tcPr>
            <w:tcW w:w="1438" w:type="dxa"/>
            <w:vMerge/>
            <w:tcBorders>
              <w:top w:val="nil"/>
              <w:left w:val="single" w:sz="8" w:space="0" w:color="000000"/>
            </w:tcBorders>
          </w:tcPr>
          <w:p>
            <w:pPr>
              <w:rPr>
                <w:sz w:val="2"/>
                <w:szCs w:val="2"/>
              </w:rPr>
            </w:pPr>
          </w:p>
        </w:tc>
      </w:tr>
      <w:tr>
        <w:trPr>
          <w:trHeight w:val="438" w:hRule="atLeast"/>
        </w:trPr>
        <w:tc>
          <w:tcPr>
            <w:tcW w:w="1279" w:type="dxa"/>
            <w:tcBorders>
              <w:top w:val="nil"/>
            </w:tcBorders>
          </w:tcPr>
          <w:p>
            <w:pPr>
              <w:pStyle w:val="TableParagraph"/>
              <w:spacing w:before="76"/>
              <w:ind w:left="75"/>
              <w:rPr>
                <w:sz w:val="18"/>
              </w:rPr>
            </w:pPr>
            <w:r>
              <w:rPr>
                <w:sz w:val="18"/>
              </w:rPr>
              <w:t>3</w:t>
            </w:r>
          </w:p>
        </w:tc>
        <w:tc>
          <w:tcPr>
            <w:tcW w:w="999" w:type="dxa"/>
            <w:tcBorders>
              <w:top w:val="nil"/>
              <w:right w:val="single" w:sz="8" w:space="0" w:color="000000"/>
            </w:tcBorders>
          </w:tcPr>
          <w:p>
            <w:pPr>
              <w:pStyle w:val="TableParagraph"/>
              <w:spacing w:before="76"/>
              <w:ind w:right="40"/>
              <w:jc w:val="right"/>
              <w:rPr>
                <w:sz w:val="18"/>
              </w:rPr>
            </w:pPr>
            <w:r>
              <w:rPr>
                <w:sz w:val="18"/>
              </w:rPr>
              <w:t>.466</w:t>
            </w:r>
          </w:p>
        </w:tc>
        <w:tc>
          <w:tcPr>
            <w:tcW w:w="1424" w:type="dxa"/>
            <w:tcBorders>
              <w:top w:val="nil"/>
              <w:left w:val="single" w:sz="8" w:space="0" w:color="000000"/>
              <w:right w:val="single" w:sz="8" w:space="0" w:color="000000"/>
            </w:tcBorders>
          </w:tcPr>
          <w:p>
            <w:pPr>
              <w:pStyle w:val="TableParagraph"/>
              <w:spacing w:before="76"/>
              <w:ind w:right="37"/>
              <w:jc w:val="right"/>
              <w:rPr>
                <w:sz w:val="18"/>
              </w:rPr>
            </w:pPr>
            <w:r>
              <w:rPr>
                <w:sz w:val="18"/>
              </w:rPr>
              <w:t>15.529</w:t>
            </w:r>
          </w:p>
        </w:tc>
        <w:tc>
          <w:tcPr>
            <w:tcW w:w="1438" w:type="dxa"/>
            <w:tcBorders>
              <w:top w:val="nil"/>
              <w:left w:val="single" w:sz="8" w:space="0" w:color="000000"/>
              <w:right w:val="single" w:sz="8" w:space="0" w:color="000000"/>
            </w:tcBorders>
          </w:tcPr>
          <w:p>
            <w:pPr>
              <w:pStyle w:val="TableParagraph"/>
              <w:spacing w:before="76"/>
              <w:ind w:right="38"/>
              <w:jc w:val="right"/>
              <w:rPr>
                <w:sz w:val="18"/>
              </w:rPr>
            </w:pPr>
            <w:r>
              <w:rPr>
                <w:sz w:val="18"/>
              </w:rPr>
              <w:t>100.000</w:t>
            </w:r>
          </w:p>
        </w:tc>
        <w:tc>
          <w:tcPr>
            <w:tcW w:w="1147" w:type="dxa"/>
            <w:vMerge/>
            <w:tcBorders>
              <w:top w:val="nil"/>
              <w:left w:val="single" w:sz="8" w:space="0" w:color="000000"/>
              <w:right w:val="single" w:sz="8" w:space="0" w:color="000000"/>
            </w:tcBorders>
          </w:tcPr>
          <w:p>
            <w:pPr>
              <w:rPr>
                <w:sz w:val="2"/>
                <w:szCs w:val="2"/>
              </w:rPr>
            </w:pPr>
          </w:p>
        </w:tc>
        <w:tc>
          <w:tcPr>
            <w:tcW w:w="1424" w:type="dxa"/>
            <w:vMerge/>
            <w:tcBorders>
              <w:top w:val="nil"/>
              <w:left w:val="single" w:sz="8" w:space="0" w:color="000000"/>
              <w:right w:val="single" w:sz="8" w:space="0" w:color="000000"/>
            </w:tcBorders>
          </w:tcPr>
          <w:p>
            <w:pPr>
              <w:rPr>
                <w:sz w:val="2"/>
                <w:szCs w:val="2"/>
              </w:rPr>
            </w:pPr>
          </w:p>
        </w:tc>
        <w:tc>
          <w:tcPr>
            <w:tcW w:w="1438" w:type="dxa"/>
            <w:vMerge/>
            <w:tcBorders>
              <w:top w:val="nil"/>
              <w:left w:val="single" w:sz="8" w:space="0" w:color="000000"/>
            </w:tcBorders>
          </w:tcPr>
          <w:p>
            <w:pPr>
              <w:rPr>
                <w:sz w:val="2"/>
                <w:szCs w:val="2"/>
              </w:rPr>
            </w:pPr>
          </w:p>
        </w:tc>
      </w:tr>
    </w:tbl>
    <w:p>
      <w:pPr>
        <w:spacing w:after="0"/>
        <w:rPr>
          <w:sz w:val="2"/>
          <w:szCs w:val="2"/>
        </w:rPr>
        <w:sectPr>
          <w:pgSz w:w="11910" w:h="16850"/>
          <w:pgMar w:header="751" w:footer="0" w:top="960" w:bottom="280" w:left="820" w:right="240"/>
        </w:sectPr>
      </w:pPr>
    </w:p>
    <w:p>
      <w:pPr>
        <w:pStyle w:val="BodyText"/>
        <w:spacing w:before="8"/>
        <w:rPr>
          <w:b/>
          <w:sz w:val="15"/>
        </w:rPr>
      </w:pPr>
    </w:p>
    <w:p>
      <w:pPr>
        <w:spacing w:before="93"/>
        <w:ind w:left="942" w:right="0" w:firstLine="0"/>
        <w:jc w:val="left"/>
        <w:rPr>
          <w:sz w:val="18"/>
        </w:rPr>
      </w:pPr>
      <w:r>
        <w:rPr>
          <w:sz w:val="18"/>
        </w:rPr>
        <w:t>Extraction Method: Principal Component Analysis.</w:t>
      </w:r>
    </w:p>
    <w:p>
      <w:pPr>
        <w:pStyle w:val="BodyText"/>
        <w:rPr>
          <w:sz w:val="20"/>
        </w:rPr>
      </w:pPr>
    </w:p>
    <w:p>
      <w:pPr>
        <w:pStyle w:val="BodyText"/>
        <w:rPr>
          <w:sz w:val="25"/>
        </w:rPr>
      </w:pPr>
    </w:p>
    <w:p>
      <w:pPr>
        <w:spacing w:before="1"/>
        <w:ind w:left="1095" w:right="8171" w:firstLine="0"/>
        <w:jc w:val="center"/>
        <w:rPr>
          <w:b/>
          <w:sz w:val="18"/>
        </w:rPr>
      </w:pPr>
      <w:r>
        <w:rPr>
          <w:b/>
          <w:sz w:val="18"/>
        </w:rPr>
        <w:t>Component Matrix</w:t>
      </w:r>
      <w:r>
        <w:rPr>
          <w:b/>
          <w:sz w:val="18"/>
          <w:vertAlign w:val="superscript"/>
        </w:rPr>
        <w:t>a</w:t>
      </w:r>
    </w:p>
    <w:p>
      <w:pPr>
        <w:pStyle w:val="BodyText"/>
        <w:spacing w:before="10"/>
        <w:rPr>
          <w:b/>
          <w:sz w:val="8"/>
        </w:rPr>
      </w:pPr>
    </w:p>
    <w:tbl>
      <w:tblPr>
        <w:tblW w:w="0" w:type="auto"/>
        <w:jc w:val="left"/>
        <w:tblInd w:w="907" w:type="dxa"/>
        <w:tblBorders>
          <w:top w:val="single" w:sz="18" w:space="0" w:color="000000"/>
          <w:left w:val="single" w:sz="18" w:space="0" w:color="000000"/>
          <w:bottom w:val="single" w:sz="18" w:space="0" w:color="000000"/>
          <w:right w:val="single" w:sz="18" w:space="0" w:color="000000"/>
          <w:insideH w:val="single" w:sz="18" w:space="0" w:color="000000"/>
          <w:insideV w:val="single" w:sz="18" w:space="0" w:color="000000"/>
        </w:tblBorders>
        <w:tblLayout w:type="fixed"/>
        <w:tblCellMar>
          <w:top w:w="0" w:type="dxa"/>
          <w:left w:w="0" w:type="dxa"/>
          <w:bottom w:w="0" w:type="dxa"/>
          <w:right w:w="0" w:type="dxa"/>
        </w:tblCellMar>
        <w:tblLook w:val="01E0"/>
      </w:tblPr>
      <w:tblGrid>
        <w:gridCol w:w="742"/>
        <w:gridCol w:w="1263"/>
      </w:tblGrid>
      <w:tr>
        <w:trPr>
          <w:trHeight w:val="295" w:hRule="atLeast"/>
        </w:trPr>
        <w:tc>
          <w:tcPr>
            <w:tcW w:w="742" w:type="dxa"/>
            <w:vMerge w:val="restart"/>
          </w:tcPr>
          <w:p>
            <w:pPr>
              <w:pStyle w:val="TableParagraph"/>
              <w:rPr>
                <w:sz w:val="18"/>
              </w:rPr>
            </w:pPr>
          </w:p>
        </w:tc>
        <w:tc>
          <w:tcPr>
            <w:tcW w:w="1263" w:type="dxa"/>
            <w:tcBorders>
              <w:bottom w:val="single" w:sz="8" w:space="0" w:color="000000"/>
            </w:tcBorders>
          </w:tcPr>
          <w:p>
            <w:pPr>
              <w:pStyle w:val="TableParagraph"/>
              <w:spacing w:line="206" w:lineRule="exact"/>
              <w:ind w:left="200"/>
              <w:rPr>
                <w:sz w:val="18"/>
              </w:rPr>
            </w:pPr>
            <w:r>
              <w:rPr>
                <w:sz w:val="18"/>
              </w:rPr>
              <w:t>Component</w:t>
            </w:r>
          </w:p>
        </w:tc>
      </w:tr>
      <w:tr>
        <w:trPr>
          <w:trHeight w:val="314" w:hRule="atLeast"/>
        </w:trPr>
        <w:tc>
          <w:tcPr>
            <w:tcW w:w="742" w:type="dxa"/>
            <w:vMerge/>
            <w:tcBorders>
              <w:top w:val="nil"/>
            </w:tcBorders>
          </w:tcPr>
          <w:p>
            <w:pPr>
              <w:rPr>
                <w:sz w:val="2"/>
                <w:szCs w:val="2"/>
              </w:rPr>
            </w:pPr>
          </w:p>
        </w:tc>
        <w:tc>
          <w:tcPr>
            <w:tcW w:w="1263" w:type="dxa"/>
            <w:tcBorders>
              <w:top w:val="single" w:sz="8" w:space="0" w:color="000000"/>
            </w:tcBorders>
          </w:tcPr>
          <w:p>
            <w:pPr>
              <w:pStyle w:val="TableParagraph"/>
              <w:spacing w:before="8"/>
              <w:ind w:left="21"/>
              <w:jc w:val="center"/>
              <w:rPr>
                <w:sz w:val="18"/>
              </w:rPr>
            </w:pPr>
            <w:r>
              <w:rPr>
                <w:sz w:val="18"/>
              </w:rPr>
              <w:t>1</w:t>
            </w:r>
          </w:p>
        </w:tc>
      </w:tr>
      <w:tr>
        <w:trPr>
          <w:trHeight w:val="262" w:hRule="atLeast"/>
        </w:trPr>
        <w:tc>
          <w:tcPr>
            <w:tcW w:w="742" w:type="dxa"/>
            <w:tcBorders>
              <w:bottom w:val="nil"/>
            </w:tcBorders>
          </w:tcPr>
          <w:p>
            <w:pPr>
              <w:pStyle w:val="TableParagraph"/>
              <w:spacing w:line="206" w:lineRule="exact"/>
              <w:ind w:left="75"/>
              <w:rPr>
                <w:sz w:val="18"/>
              </w:rPr>
            </w:pPr>
            <w:r>
              <w:rPr>
                <w:sz w:val="18"/>
              </w:rPr>
              <w:t>LI3</w:t>
            </w:r>
          </w:p>
        </w:tc>
        <w:tc>
          <w:tcPr>
            <w:tcW w:w="1263" w:type="dxa"/>
            <w:tcBorders>
              <w:bottom w:val="nil"/>
            </w:tcBorders>
          </w:tcPr>
          <w:p>
            <w:pPr>
              <w:pStyle w:val="TableParagraph"/>
              <w:spacing w:line="206" w:lineRule="exact"/>
              <w:ind w:right="38"/>
              <w:jc w:val="right"/>
              <w:rPr>
                <w:sz w:val="18"/>
              </w:rPr>
            </w:pPr>
            <w:r>
              <w:rPr>
                <w:sz w:val="18"/>
              </w:rPr>
              <w:t>.833</w:t>
            </w:r>
          </w:p>
        </w:tc>
      </w:tr>
      <w:tr>
        <w:trPr>
          <w:trHeight w:val="310" w:hRule="atLeast"/>
        </w:trPr>
        <w:tc>
          <w:tcPr>
            <w:tcW w:w="742" w:type="dxa"/>
            <w:tcBorders>
              <w:top w:val="nil"/>
              <w:bottom w:val="nil"/>
            </w:tcBorders>
          </w:tcPr>
          <w:p>
            <w:pPr>
              <w:pStyle w:val="TableParagraph"/>
              <w:spacing w:before="48"/>
              <w:ind w:left="75"/>
              <w:rPr>
                <w:sz w:val="18"/>
              </w:rPr>
            </w:pPr>
            <w:r>
              <w:rPr>
                <w:sz w:val="18"/>
              </w:rPr>
              <w:t>LI1</w:t>
            </w:r>
          </w:p>
        </w:tc>
        <w:tc>
          <w:tcPr>
            <w:tcW w:w="1263" w:type="dxa"/>
            <w:tcBorders>
              <w:top w:val="nil"/>
              <w:bottom w:val="nil"/>
            </w:tcBorders>
          </w:tcPr>
          <w:p>
            <w:pPr>
              <w:pStyle w:val="TableParagraph"/>
              <w:spacing w:before="48"/>
              <w:ind w:right="37"/>
              <w:jc w:val="right"/>
              <w:rPr>
                <w:sz w:val="18"/>
              </w:rPr>
            </w:pPr>
            <w:r>
              <w:rPr>
                <w:sz w:val="18"/>
              </w:rPr>
              <w:t>.811</w:t>
            </w:r>
          </w:p>
        </w:tc>
      </w:tr>
      <w:tr>
        <w:trPr>
          <w:trHeight w:val="353" w:hRule="atLeast"/>
        </w:trPr>
        <w:tc>
          <w:tcPr>
            <w:tcW w:w="742" w:type="dxa"/>
            <w:tcBorders>
              <w:top w:val="nil"/>
            </w:tcBorders>
          </w:tcPr>
          <w:p>
            <w:pPr>
              <w:pStyle w:val="TableParagraph"/>
              <w:spacing w:before="47"/>
              <w:ind w:left="75"/>
              <w:rPr>
                <w:sz w:val="18"/>
              </w:rPr>
            </w:pPr>
            <w:r>
              <w:rPr>
                <w:sz w:val="18"/>
              </w:rPr>
              <w:t>LI2</w:t>
            </w:r>
          </w:p>
        </w:tc>
        <w:tc>
          <w:tcPr>
            <w:tcW w:w="1263" w:type="dxa"/>
            <w:tcBorders>
              <w:top w:val="nil"/>
            </w:tcBorders>
          </w:tcPr>
          <w:p>
            <w:pPr>
              <w:pStyle w:val="TableParagraph"/>
              <w:spacing w:before="47"/>
              <w:ind w:right="37"/>
              <w:jc w:val="right"/>
              <w:rPr>
                <w:sz w:val="18"/>
              </w:rPr>
            </w:pPr>
            <w:r>
              <w:rPr>
                <w:sz w:val="18"/>
              </w:rPr>
              <w:t>.774</w:t>
            </w:r>
          </w:p>
        </w:tc>
      </w:tr>
    </w:tbl>
    <w:p>
      <w:pPr>
        <w:spacing w:line="360" w:lineRule="auto" w:before="2"/>
        <w:ind w:left="942" w:right="8353" w:firstLine="0"/>
        <w:jc w:val="left"/>
        <w:rPr>
          <w:sz w:val="18"/>
        </w:rPr>
      </w:pPr>
      <w:r>
        <w:rPr>
          <w:sz w:val="18"/>
        </w:rPr>
        <w:t>Extraction Method: Principal </w:t>
      </w:r>
      <w:r>
        <w:rPr>
          <w:spacing w:val="-3"/>
          <w:sz w:val="18"/>
        </w:rPr>
        <w:t>Component </w:t>
      </w:r>
      <w:r>
        <w:rPr>
          <w:sz w:val="18"/>
        </w:rPr>
        <w:t>Analysis.</w:t>
      </w:r>
    </w:p>
    <w:p>
      <w:pPr>
        <w:spacing w:line="360" w:lineRule="auto" w:before="0"/>
        <w:ind w:left="942" w:right="8353" w:firstLine="0"/>
        <w:jc w:val="left"/>
        <w:rPr>
          <w:sz w:val="18"/>
        </w:rPr>
      </w:pPr>
      <w:r>
        <w:rPr>
          <w:sz w:val="18"/>
        </w:rPr>
        <w:t>a. 1 </w:t>
      </w:r>
      <w:r>
        <w:rPr>
          <w:spacing w:val="-3"/>
          <w:sz w:val="18"/>
        </w:rPr>
        <w:t>components </w:t>
      </w:r>
      <w:r>
        <w:rPr>
          <w:sz w:val="18"/>
        </w:rPr>
        <w:t>extracted.</w:t>
      </w:r>
    </w:p>
    <w:p>
      <w:pPr>
        <w:pStyle w:val="ListParagraph"/>
        <w:numPr>
          <w:ilvl w:val="0"/>
          <w:numId w:val="45"/>
        </w:numPr>
        <w:tabs>
          <w:tab w:pos="1283" w:val="left" w:leader="none"/>
        </w:tabs>
        <w:spacing w:line="240" w:lineRule="auto" w:before="0" w:after="0"/>
        <w:ind w:left="1282" w:right="7169" w:hanging="1283"/>
        <w:jc w:val="left"/>
        <w:rPr>
          <w:b/>
          <w:i/>
          <w:sz w:val="24"/>
        </w:rPr>
      </w:pPr>
      <w:r>
        <w:rPr>
          <w:b/>
          <w:i/>
          <w:sz w:val="24"/>
          <w:u w:val="thick"/>
        </w:rPr>
        <w:t>Phân tích</w:t>
      </w:r>
      <w:r>
        <w:rPr>
          <w:b/>
          <w:i/>
          <w:spacing w:val="-2"/>
          <w:sz w:val="24"/>
          <w:u w:val="thick"/>
        </w:rPr>
        <w:t> </w:t>
      </w:r>
      <w:r>
        <w:rPr>
          <w:b/>
          <w:i/>
          <w:sz w:val="24"/>
          <w:u w:val="thick"/>
        </w:rPr>
        <w:t>EFA</w:t>
      </w:r>
    </w:p>
    <w:p>
      <w:pPr>
        <w:pStyle w:val="BodyText"/>
        <w:rPr>
          <w:b/>
          <w:i/>
          <w:sz w:val="20"/>
        </w:rPr>
      </w:pPr>
    </w:p>
    <w:p>
      <w:pPr>
        <w:pStyle w:val="BodyText"/>
        <w:spacing w:before="9"/>
        <w:rPr>
          <w:b/>
          <w:i/>
          <w:sz w:val="28"/>
        </w:rPr>
      </w:pPr>
    </w:p>
    <w:tbl>
      <w:tblPr>
        <w:tblW w:w="0" w:type="auto"/>
        <w:jc w:val="left"/>
        <w:tblInd w:w="90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
      <w:tblGrid>
        <w:gridCol w:w="2299"/>
        <w:gridCol w:w="2521"/>
        <w:gridCol w:w="1193"/>
      </w:tblGrid>
      <w:tr>
        <w:trPr>
          <w:trHeight w:val="298" w:hRule="atLeast"/>
        </w:trPr>
        <w:tc>
          <w:tcPr>
            <w:tcW w:w="6013" w:type="dxa"/>
            <w:gridSpan w:val="3"/>
            <w:tcBorders>
              <w:bottom w:val="single" w:sz="18" w:space="0" w:color="000000"/>
            </w:tcBorders>
          </w:tcPr>
          <w:p>
            <w:pPr>
              <w:pStyle w:val="TableParagraph"/>
              <w:spacing w:line="199" w:lineRule="exact"/>
              <w:ind w:left="2041" w:right="2007"/>
              <w:jc w:val="center"/>
              <w:rPr>
                <w:b/>
                <w:sz w:val="18"/>
              </w:rPr>
            </w:pPr>
            <w:r>
              <w:rPr>
                <w:b/>
                <w:sz w:val="18"/>
              </w:rPr>
              <w:t>KMO and Bartlett's Test</w:t>
            </w:r>
          </w:p>
        </w:tc>
      </w:tr>
      <w:tr>
        <w:trPr>
          <w:trHeight w:val="261" w:hRule="atLeast"/>
        </w:trPr>
        <w:tc>
          <w:tcPr>
            <w:tcW w:w="4820" w:type="dxa"/>
            <w:gridSpan w:val="2"/>
            <w:tcBorders>
              <w:top w:val="single" w:sz="18" w:space="0" w:color="000000"/>
              <w:left w:val="single" w:sz="18" w:space="0" w:color="000000"/>
              <w:right w:val="single" w:sz="18" w:space="0" w:color="000000"/>
            </w:tcBorders>
          </w:tcPr>
          <w:p>
            <w:pPr>
              <w:pStyle w:val="TableParagraph"/>
              <w:spacing w:line="206" w:lineRule="exact"/>
              <w:ind w:left="75"/>
              <w:rPr>
                <w:sz w:val="18"/>
              </w:rPr>
            </w:pPr>
            <w:r>
              <w:rPr>
                <w:sz w:val="18"/>
              </w:rPr>
              <w:t>Kaiser-Meyer-Olkin Measure of Sampling Adequacy.</w:t>
            </w:r>
          </w:p>
        </w:tc>
        <w:tc>
          <w:tcPr>
            <w:tcW w:w="1193" w:type="dxa"/>
            <w:tcBorders>
              <w:top w:val="single" w:sz="18" w:space="0" w:color="000000"/>
              <w:left w:val="single" w:sz="18" w:space="0" w:color="000000"/>
              <w:right w:val="single" w:sz="18" w:space="0" w:color="000000"/>
            </w:tcBorders>
          </w:tcPr>
          <w:p>
            <w:pPr>
              <w:pStyle w:val="TableParagraph"/>
              <w:spacing w:line="206" w:lineRule="exact"/>
              <w:ind w:right="36"/>
              <w:jc w:val="right"/>
              <w:rPr>
                <w:sz w:val="18"/>
              </w:rPr>
            </w:pPr>
            <w:r>
              <w:rPr>
                <w:sz w:val="18"/>
              </w:rPr>
              <w:t>.806</w:t>
            </w:r>
          </w:p>
        </w:tc>
      </w:tr>
      <w:tr>
        <w:trPr>
          <w:trHeight w:val="330" w:hRule="atLeast"/>
        </w:trPr>
        <w:tc>
          <w:tcPr>
            <w:tcW w:w="2299" w:type="dxa"/>
            <w:tcBorders>
              <w:left w:val="single" w:sz="18" w:space="0" w:color="000000"/>
            </w:tcBorders>
          </w:tcPr>
          <w:p>
            <w:pPr>
              <w:pStyle w:val="TableParagraph"/>
              <w:rPr>
                <w:sz w:val="18"/>
              </w:rPr>
            </w:pPr>
          </w:p>
        </w:tc>
        <w:tc>
          <w:tcPr>
            <w:tcW w:w="2521" w:type="dxa"/>
            <w:tcBorders>
              <w:right w:val="single" w:sz="18" w:space="0" w:color="000000"/>
            </w:tcBorders>
          </w:tcPr>
          <w:p>
            <w:pPr>
              <w:pStyle w:val="TableParagraph"/>
              <w:spacing w:before="47"/>
              <w:ind w:left="259"/>
              <w:rPr>
                <w:sz w:val="18"/>
              </w:rPr>
            </w:pPr>
            <w:r>
              <w:rPr>
                <w:sz w:val="18"/>
              </w:rPr>
              <w:t>Approx. Chi-Square</w:t>
            </w:r>
          </w:p>
        </w:tc>
        <w:tc>
          <w:tcPr>
            <w:tcW w:w="1193" w:type="dxa"/>
            <w:tcBorders>
              <w:left w:val="single" w:sz="18" w:space="0" w:color="000000"/>
              <w:right w:val="single" w:sz="18" w:space="0" w:color="000000"/>
            </w:tcBorders>
          </w:tcPr>
          <w:p>
            <w:pPr>
              <w:pStyle w:val="TableParagraph"/>
              <w:spacing w:before="47"/>
              <w:ind w:right="36"/>
              <w:jc w:val="right"/>
              <w:rPr>
                <w:sz w:val="18"/>
              </w:rPr>
            </w:pPr>
            <w:r>
              <w:rPr>
                <w:sz w:val="18"/>
              </w:rPr>
              <w:t>10443.638</w:t>
            </w:r>
          </w:p>
        </w:tc>
      </w:tr>
      <w:tr>
        <w:trPr>
          <w:trHeight w:val="350" w:hRule="atLeast"/>
        </w:trPr>
        <w:tc>
          <w:tcPr>
            <w:tcW w:w="2299" w:type="dxa"/>
            <w:tcBorders>
              <w:left w:val="single" w:sz="18" w:space="0" w:color="000000"/>
            </w:tcBorders>
          </w:tcPr>
          <w:p>
            <w:pPr>
              <w:pStyle w:val="TableParagraph"/>
              <w:spacing w:before="68"/>
              <w:ind w:left="75"/>
              <w:rPr>
                <w:sz w:val="18"/>
              </w:rPr>
            </w:pPr>
            <w:r>
              <w:rPr>
                <w:sz w:val="18"/>
              </w:rPr>
              <w:t>Bartlett's Test of Sphericity</w:t>
            </w:r>
          </w:p>
        </w:tc>
        <w:tc>
          <w:tcPr>
            <w:tcW w:w="2521" w:type="dxa"/>
            <w:tcBorders>
              <w:right w:val="single" w:sz="18" w:space="0" w:color="000000"/>
            </w:tcBorders>
          </w:tcPr>
          <w:p>
            <w:pPr>
              <w:pStyle w:val="TableParagraph"/>
              <w:spacing w:before="68"/>
              <w:ind w:left="259"/>
              <w:rPr>
                <w:sz w:val="18"/>
              </w:rPr>
            </w:pPr>
            <w:r>
              <w:rPr>
                <w:sz w:val="18"/>
              </w:rPr>
              <w:t>df</w:t>
            </w:r>
          </w:p>
        </w:tc>
        <w:tc>
          <w:tcPr>
            <w:tcW w:w="1193" w:type="dxa"/>
            <w:tcBorders>
              <w:left w:val="single" w:sz="18" w:space="0" w:color="000000"/>
              <w:right w:val="single" w:sz="18" w:space="0" w:color="000000"/>
            </w:tcBorders>
          </w:tcPr>
          <w:p>
            <w:pPr>
              <w:pStyle w:val="TableParagraph"/>
              <w:spacing w:before="68"/>
              <w:ind w:right="37"/>
              <w:jc w:val="right"/>
              <w:rPr>
                <w:sz w:val="18"/>
              </w:rPr>
            </w:pPr>
            <w:r>
              <w:rPr>
                <w:sz w:val="18"/>
              </w:rPr>
              <w:t>1225</w:t>
            </w:r>
          </w:p>
        </w:tc>
      </w:tr>
      <w:tr>
        <w:trPr>
          <w:trHeight w:val="376" w:hRule="atLeast"/>
        </w:trPr>
        <w:tc>
          <w:tcPr>
            <w:tcW w:w="2299" w:type="dxa"/>
            <w:tcBorders>
              <w:left w:val="single" w:sz="18" w:space="0" w:color="000000"/>
              <w:bottom w:val="single" w:sz="18" w:space="0" w:color="000000"/>
            </w:tcBorders>
          </w:tcPr>
          <w:p>
            <w:pPr>
              <w:pStyle w:val="TableParagraph"/>
              <w:rPr>
                <w:sz w:val="18"/>
              </w:rPr>
            </w:pPr>
          </w:p>
        </w:tc>
        <w:tc>
          <w:tcPr>
            <w:tcW w:w="2521" w:type="dxa"/>
            <w:tcBorders>
              <w:bottom w:val="single" w:sz="18" w:space="0" w:color="000000"/>
              <w:right w:val="single" w:sz="18" w:space="0" w:color="000000"/>
            </w:tcBorders>
          </w:tcPr>
          <w:p>
            <w:pPr>
              <w:pStyle w:val="TableParagraph"/>
              <w:spacing w:before="68"/>
              <w:ind w:left="259"/>
              <w:rPr>
                <w:sz w:val="18"/>
              </w:rPr>
            </w:pPr>
            <w:r>
              <w:rPr>
                <w:sz w:val="18"/>
              </w:rPr>
              <w:t>Sig.</w:t>
            </w:r>
          </w:p>
        </w:tc>
        <w:tc>
          <w:tcPr>
            <w:tcW w:w="1193" w:type="dxa"/>
            <w:tcBorders>
              <w:left w:val="single" w:sz="18" w:space="0" w:color="000000"/>
              <w:bottom w:val="single" w:sz="18" w:space="0" w:color="000000"/>
              <w:right w:val="single" w:sz="18" w:space="0" w:color="000000"/>
            </w:tcBorders>
          </w:tcPr>
          <w:p>
            <w:pPr>
              <w:pStyle w:val="TableParagraph"/>
              <w:spacing w:before="68"/>
              <w:ind w:right="36"/>
              <w:jc w:val="right"/>
              <w:rPr>
                <w:sz w:val="18"/>
              </w:rPr>
            </w:pPr>
            <w:r>
              <w:rPr>
                <w:sz w:val="18"/>
              </w:rPr>
              <w:t>.000</w:t>
            </w:r>
          </w:p>
        </w:tc>
      </w:tr>
    </w:tbl>
    <w:p>
      <w:pPr>
        <w:pStyle w:val="BodyText"/>
        <w:rPr>
          <w:b/>
          <w:i/>
          <w:sz w:val="28"/>
        </w:rPr>
      </w:pPr>
    </w:p>
    <w:p>
      <w:pPr>
        <w:spacing w:before="93"/>
        <w:ind w:left="459" w:right="952" w:firstLine="0"/>
        <w:jc w:val="center"/>
        <w:rPr>
          <w:b/>
          <w:sz w:val="18"/>
        </w:rPr>
      </w:pPr>
      <w:r>
        <w:rPr>
          <w:b/>
          <w:sz w:val="18"/>
        </w:rPr>
        <w:t>Total Variance Explained</w:t>
      </w:r>
    </w:p>
    <w:p>
      <w:pPr>
        <w:pStyle w:val="BodyText"/>
        <w:spacing w:before="10" w:after="1"/>
        <w:rPr>
          <w:b/>
          <w:sz w:val="8"/>
        </w:rPr>
      </w:pPr>
    </w:p>
    <w:tbl>
      <w:tblPr>
        <w:tblW w:w="0" w:type="auto"/>
        <w:jc w:val="left"/>
        <w:tblInd w:w="907" w:type="dxa"/>
        <w:tblBorders>
          <w:top w:val="single" w:sz="18" w:space="0" w:color="000000"/>
          <w:left w:val="single" w:sz="18" w:space="0" w:color="000000"/>
          <w:bottom w:val="single" w:sz="18" w:space="0" w:color="000000"/>
          <w:right w:val="single" w:sz="18" w:space="0" w:color="000000"/>
          <w:insideH w:val="single" w:sz="18" w:space="0" w:color="000000"/>
          <w:insideV w:val="single" w:sz="18" w:space="0" w:color="000000"/>
        </w:tblBorders>
        <w:tblLayout w:type="fixed"/>
        <w:tblCellMar>
          <w:top w:w="0" w:type="dxa"/>
          <w:left w:w="0" w:type="dxa"/>
          <w:bottom w:w="0" w:type="dxa"/>
          <w:right w:w="0" w:type="dxa"/>
        </w:tblCellMar>
        <w:tblLook w:val="01E0"/>
      </w:tblPr>
      <w:tblGrid>
        <w:gridCol w:w="576"/>
        <w:gridCol w:w="701"/>
        <w:gridCol w:w="1275"/>
        <w:gridCol w:w="1418"/>
        <w:gridCol w:w="708"/>
        <w:gridCol w:w="1277"/>
        <w:gridCol w:w="1277"/>
        <w:gridCol w:w="1354"/>
      </w:tblGrid>
      <w:tr>
        <w:trPr>
          <w:trHeight w:val="917" w:hRule="atLeast"/>
        </w:trPr>
        <w:tc>
          <w:tcPr>
            <w:tcW w:w="576" w:type="dxa"/>
            <w:vMerge w:val="restart"/>
          </w:tcPr>
          <w:p>
            <w:pPr>
              <w:pStyle w:val="TableParagraph"/>
              <w:spacing w:line="360" w:lineRule="auto"/>
              <w:ind w:left="75" w:right="99"/>
              <w:jc w:val="both"/>
              <w:rPr>
                <w:sz w:val="18"/>
              </w:rPr>
            </w:pPr>
            <w:r>
              <w:rPr>
                <w:sz w:val="18"/>
              </w:rPr>
              <w:t>Com pone nt</w:t>
            </w:r>
          </w:p>
        </w:tc>
        <w:tc>
          <w:tcPr>
            <w:tcW w:w="3394" w:type="dxa"/>
            <w:gridSpan w:val="3"/>
            <w:tcBorders>
              <w:bottom w:val="single" w:sz="8" w:space="0" w:color="000000"/>
              <w:right w:val="single" w:sz="8" w:space="0" w:color="000000"/>
            </w:tcBorders>
          </w:tcPr>
          <w:p>
            <w:pPr>
              <w:pStyle w:val="TableParagraph"/>
              <w:spacing w:line="206" w:lineRule="exact"/>
              <w:ind w:left="1014"/>
              <w:rPr>
                <w:sz w:val="18"/>
              </w:rPr>
            </w:pPr>
            <w:r>
              <w:rPr>
                <w:sz w:val="18"/>
              </w:rPr>
              <w:t>Initial Eigenvalues</w:t>
            </w:r>
          </w:p>
        </w:tc>
        <w:tc>
          <w:tcPr>
            <w:tcW w:w="3262" w:type="dxa"/>
            <w:gridSpan w:val="3"/>
            <w:tcBorders>
              <w:left w:val="single" w:sz="8" w:space="0" w:color="000000"/>
              <w:bottom w:val="single" w:sz="8" w:space="0" w:color="000000"/>
              <w:right w:val="single" w:sz="8" w:space="0" w:color="000000"/>
            </w:tcBorders>
          </w:tcPr>
          <w:p>
            <w:pPr>
              <w:pStyle w:val="TableParagraph"/>
              <w:spacing w:line="206" w:lineRule="exact"/>
              <w:ind w:left="268"/>
              <w:rPr>
                <w:sz w:val="18"/>
              </w:rPr>
            </w:pPr>
            <w:r>
              <w:rPr>
                <w:sz w:val="18"/>
              </w:rPr>
              <w:t>Extraction Sums of Squared Loadings</w:t>
            </w:r>
          </w:p>
        </w:tc>
        <w:tc>
          <w:tcPr>
            <w:tcW w:w="1354" w:type="dxa"/>
            <w:tcBorders>
              <w:left w:val="single" w:sz="8" w:space="0" w:color="000000"/>
              <w:bottom w:val="single" w:sz="8" w:space="0" w:color="000000"/>
            </w:tcBorders>
          </w:tcPr>
          <w:p>
            <w:pPr>
              <w:pStyle w:val="TableParagraph"/>
              <w:spacing w:line="360" w:lineRule="auto"/>
              <w:ind w:left="143" w:right="107"/>
              <w:jc w:val="center"/>
              <w:rPr>
                <w:sz w:val="18"/>
              </w:rPr>
            </w:pPr>
            <w:r>
              <w:rPr>
                <w:sz w:val="18"/>
              </w:rPr>
              <w:t>Rotation </w:t>
            </w:r>
            <w:r>
              <w:rPr>
                <w:spacing w:val="-4"/>
                <w:sz w:val="18"/>
              </w:rPr>
              <w:t>Sums </w:t>
            </w:r>
            <w:r>
              <w:rPr>
                <w:sz w:val="18"/>
              </w:rPr>
              <w:t>of Squared</w:t>
            </w:r>
          </w:p>
          <w:p>
            <w:pPr>
              <w:pStyle w:val="TableParagraph"/>
              <w:spacing w:line="205" w:lineRule="exact"/>
              <w:ind w:left="143" w:right="106"/>
              <w:jc w:val="center"/>
              <w:rPr>
                <w:sz w:val="18"/>
              </w:rPr>
            </w:pPr>
            <w:r>
              <w:rPr>
                <w:sz w:val="18"/>
              </w:rPr>
              <w:t>Loadings</w:t>
            </w:r>
            <w:r>
              <w:rPr>
                <w:sz w:val="18"/>
                <w:vertAlign w:val="superscript"/>
              </w:rPr>
              <w:t>a</w:t>
            </w:r>
          </w:p>
        </w:tc>
      </w:tr>
      <w:tr>
        <w:trPr>
          <w:trHeight w:val="314" w:hRule="atLeast"/>
        </w:trPr>
        <w:tc>
          <w:tcPr>
            <w:tcW w:w="576" w:type="dxa"/>
            <w:vMerge/>
            <w:tcBorders>
              <w:top w:val="nil"/>
            </w:tcBorders>
          </w:tcPr>
          <w:p>
            <w:pPr>
              <w:rPr>
                <w:sz w:val="2"/>
                <w:szCs w:val="2"/>
              </w:rPr>
            </w:pPr>
          </w:p>
        </w:tc>
        <w:tc>
          <w:tcPr>
            <w:tcW w:w="701" w:type="dxa"/>
            <w:tcBorders>
              <w:top w:val="single" w:sz="8" w:space="0" w:color="000000"/>
              <w:right w:val="single" w:sz="8" w:space="0" w:color="000000"/>
            </w:tcBorders>
          </w:tcPr>
          <w:p>
            <w:pPr>
              <w:pStyle w:val="TableParagraph"/>
              <w:spacing w:before="6"/>
              <w:ind w:left="155"/>
              <w:rPr>
                <w:sz w:val="18"/>
              </w:rPr>
            </w:pPr>
            <w:r>
              <w:rPr>
                <w:sz w:val="18"/>
              </w:rPr>
              <w:t>Total</w:t>
            </w:r>
          </w:p>
        </w:tc>
        <w:tc>
          <w:tcPr>
            <w:tcW w:w="1275" w:type="dxa"/>
            <w:tcBorders>
              <w:top w:val="single" w:sz="8" w:space="0" w:color="000000"/>
              <w:left w:val="single" w:sz="8" w:space="0" w:color="000000"/>
              <w:right w:val="single" w:sz="8" w:space="0" w:color="000000"/>
            </w:tcBorders>
          </w:tcPr>
          <w:p>
            <w:pPr>
              <w:pStyle w:val="TableParagraph"/>
              <w:spacing w:before="6"/>
              <w:ind w:right="86"/>
              <w:jc w:val="right"/>
              <w:rPr>
                <w:sz w:val="18"/>
              </w:rPr>
            </w:pPr>
            <w:r>
              <w:rPr>
                <w:sz w:val="18"/>
              </w:rPr>
              <w:t>% of Variance</w:t>
            </w:r>
          </w:p>
        </w:tc>
        <w:tc>
          <w:tcPr>
            <w:tcW w:w="1418" w:type="dxa"/>
            <w:tcBorders>
              <w:top w:val="single" w:sz="8" w:space="0" w:color="000000"/>
              <w:left w:val="single" w:sz="8" w:space="0" w:color="000000"/>
              <w:right w:val="single" w:sz="8" w:space="0" w:color="000000"/>
            </w:tcBorders>
          </w:tcPr>
          <w:p>
            <w:pPr>
              <w:pStyle w:val="TableParagraph"/>
              <w:spacing w:before="6"/>
              <w:ind w:left="198"/>
              <w:rPr>
                <w:sz w:val="18"/>
              </w:rPr>
            </w:pPr>
            <w:r>
              <w:rPr>
                <w:sz w:val="18"/>
              </w:rPr>
              <w:t>Cumulative %</w:t>
            </w:r>
          </w:p>
        </w:tc>
        <w:tc>
          <w:tcPr>
            <w:tcW w:w="708" w:type="dxa"/>
            <w:tcBorders>
              <w:top w:val="single" w:sz="8" w:space="0" w:color="000000"/>
              <w:left w:val="single" w:sz="8" w:space="0" w:color="000000"/>
              <w:right w:val="single" w:sz="8" w:space="0" w:color="000000"/>
            </w:tcBorders>
          </w:tcPr>
          <w:p>
            <w:pPr>
              <w:pStyle w:val="TableParagraph"/>
              <w:spacing w:before="6"/>
              <w:ind w:left="172"/>
              <w:rPr>
                <w:sz w:val="18"/>
              </w:rPr>
            </w:pPr>
            <w:r>
              <w:rPr>
                <w:sz w:val="18"/>
              </w:rPr>
              <w:t>Total</w:t>
            </w:r>
          </w:p>
        </w:tc>
        <w:tc>
          <w:tcPr>
            <w:tcW w:w="1277" w:type="dxa"/>
            <w:tcBorders>
              <w:top w:val="single" w:sz="8" w:space="0" w:color="000000"/>
              <w:left w:val="single" w:sz="8" w:space="0" w:color="000000"/>
              <w:right w:val="single" w:sz="8" w:space="0" w:color="000000"/>
            </w:tcBorders>
          </w:tcPr>
          <w:p>
            <w:pPr>
              <w:pStyle w:val="TableParagraph"/>
              <w:spacing w:before="6"/>
              <w:ind w:right="88"/>
              <w:jc w:val="right"/>
              <w:rPr>
                <w:sz w:val="18"/>
              </w:rPr>
            </w:pPr>
            <w:r>
              <w:rPr>
                <w:sz w:val="18"/>
              </w:rPr>
              <w:t>% of Variance</w:t>
            </w:r>
          </w:p>
        </w:tc>
        <w:tc>
          <w:tcPr>
            <w:tcW w:w="1277" w:type="dxa"/>
            <w:tcBorders>
              <w:top w:val="single" w:sz="8" w:space="0" w:color="000000"/>
              <w:left w:val="single" w:sz="8" w:space="0" w:color="000000"/>
              <w:right w:val="single" w:sz="8" w:space="0" w:color="000000"/>
            </w:tcBorders>
          </w:tcPr>
          <w:p>
            <w:pPr>
              <w:pStyle w:val="TableParagraph"/>
              <w:spacing w:before="6"/>
              <w:ind w:right="89"/>
              <w:jc w:val="right"/>
              <w:rPr>
                <w:sz w:val="18"/>
              </w:rPr>
            </w:pPr>
            <w:r>
              <w:rPr>
                <w:sz w:val="18"/>
              </w:rPr>
              <w:t>Cumulative %</w:t>
            </w:r>
          </w:p>
        </w:tc>
        <w:tc>
          <w:tcPr>
            <w:tcW w:w="1354" w:type="dxa"/>
            <w:tcBorders>
              <w:top w:val="single" w:sz="8" w:space="0" w:color="000000"/>
              <w:left w:val="single" w:sz="8" w:space="0" w:color="000000"/>
            </w:tcBorders>
          </w:tcPr>
          <w:p>
            <w:pPr>
              <w:pStyle w:val="TableParagraph"/>
              <w:spacing w:before="6"/>
              <w:ind w:left="143" w:right="104"/>
              <w:jc w:val="center"/>
              <w:rPr>
                <w:sz w:val="18"/>
              </w:rPr>
            </w:pPr>
            <w:r>
              <w:rPr>
                <w:sz w:val="18"/>
              </w:rPr>
              <w:t>Total</w:t>
            </w:r>
          </w:p>
        </w:tc>
      </w:tr>
      <w:tr>
        <w:trPr>
          <w:trHeight w:val="259" w:hRule="atLeast"/>
        </w:trPr>
        <w:tc>
          <w:tcPr>
            <w:tcW w:w="576" w:type="dxa"/>
            <w:tcBorders>
              <w:bottom w:val="nil"/>
            </w:tcBorders>
          </w:tcPr>
          <w:p>
            <w:pPr>
              <w:pStyle w:val="TableParagraph"/>
              <w:spacing w:line="204" w:lineRule="exact"/>
              <w:ind w:left="75"/>
              <w:rPr>
                <w:sz w:val="18"/>
              </w:rPr>
            </w:pPr>
            <w:r>
              <w:rPr>
                <w:sz w:val="18"/>
              </w:rPr>
              <w:t>1</w:t>
            </w:r>
          </w:p>
        </w:tc>
        <w:tc>
          <w:tcPr>
            <w:tcW w:w="701" w:type="dxa"/>
            <w:tcBorders>
              <w:bottom w:val="nil"/>
              <w:right w:val="single" w:sz="8" w:space="0" w:color="000000"/>
            </w:tcBorders>
          </w:tcPr>
          <w:p>
            <w:pPr>
              <w:pStyle w:val="TableParagraph"/>
              <w:spacing w:line="204" w:lineRule="exact"/>
              <w:ind w:right="40"/>
              <w:jc w:val="right"/>
              <w:rPr>
                <w:sz w:val="18"/>
              </w:rPr>
            </w:pPr>
            <w:r>
              <w:rPr>
                <w:sz w:val="18"/>
              </w:rPr>
              <w:t>6.385</w:t>
            </w:r>
          </w:p>
        </w:tc>
        <w:tc>
          <w:tcPr>
            <w:tcW w:w="1275" w:type="dxa"/>
            <w:tcBorders>
              <w:left w:val="single" w:sz="8" w:space="0" w:color="000000"/>
              <w:bottom w:val="nil"/>
              <w:right w:val="single" w:sz="8" w:space="0" w:color="000000"/>
            </w:tcBorders>
          </w:tcPr>
          <w:p>
            <w:pPr>
              <w:pStyle w:val="TableParagraph"/>
              <w:spacing w:line="204" w:lineRule="exact"/>
              <w:ind w:right="38"/>
              <w:jc w:val="right"/>
              <w:rPr>
                <w:sz w:val="18"/>
              </w:rPr>
            </w:pPr>
            <w:r>
              <w:rPr>
                <w:sz w:val="18"/>
              </w:rPr>
              <w:t>12.771</w:t>
            </w:r>
          </w:p>
        </w:tc>
        <w:tc>
          <w:tcPr>
            <w:tcW w:w="1418" w:type="dxa"/>
            <w:tcBorders>
              <w:left w:val="single" w:sz="8" w:space="0" w:color="000000"/>
              <w:bottom w:val="nil"/>
              <w:right w:val="single" w:sz="8" w:space="0" w:color="000000"/>
            </w:tcBorders>
          </w:tcPr>
          <w:p>
            <w:pPr>
              <w:pStyle w:val="TableParagraph"/>
              <w:spacing w:line="204" w:lineRule="exact"/>
              <w:ind w:right="40"/>
              <w:jc w:val="right"/>
              <w:rPr>
                <w:sz w:val="18"/>
              </w:rPr>
            </w:pPr>
            <w:r>
              <w:rPr>
                <w:sz w:val="18"/>
              </w:rPr>
              <w:t>12.771</w:t>
            </w:r>
          </w:p>
        </w:tc>
        <w:tc>
          <w:tcPr>
            <w:tcW w:w="708" w:type="dxa"/>
            <w:tcBorders>
              <w:left w:val="single" w:sz="8" w:space="0" w:color="000000"/>
              <w:bottom w:val="nil"/>
              <w:right w:val="single" w:sz="8" w:space="0" w:color="000000"/>
            </w:tcBorders>
          </w:tcPr>
          <w:p>
            <w:pPr>
              <w:pStyle w:val="TableParagraph"/>
              <w:spacing w:line="204" w:lineRule="exact"/>
              <w:ind w:right="37"/>
              <w:jc w:val="right"/>
              <w:rPr>
                <w:sz w:val="18"/>
              </w:rPr>
            </w:pPr>
            <w:r>
              <w:rPr>
                <w:sz w:val="18"/>
              </w:rPr>
              <w:t>6.385</w:t>
            </w:r>
          </w:p>
        </w:tc>
        <w:tc>
          <w:tcPr>
            <w:tcW w:w="1277" w:type="dxa"/>
            <w:tcBorders>
              <w:left w:val="single" w:sz="8" w:space="0" w:color="000000"/>
              <w:bottom w:val="nil"/>
              <w:right w:val="single" w:sz="8" w:space="0" w:color="000000"/>
            </w:tcBorders>
          </w:tcPr>
          <w:p>
            <w:pPr>
              <w:pStyle w:val="TableParagraph"/>
              <w:spacing w:line="204" w:lineRule="exact"/>
              <w:ind w:right="39"/>
              <w:jc w:val="right"/>
              <w:rPr>
                <w:sz w:val="18"/>
              </w:rPr>
            </w:pPr>
            <w:r>
              <w:rPr>
                <w:sz w:val="18"/>
              </w:rPr>
              <w:t>12.771</w:t>
            </w:r>
          </w:p>
        </w:tc>
        <w:tc>
          <w:tcPr>
            <w:tcW w:w="1277" w:type="dxa"/>
            <w:tcBorders>
              <w:left w:val="single" w:sz="8" w:space="0" w:color="000000"/>
              <w:bottom w:val="nil"/>
              <w:right w:val="single" w:sz="8" w:space="0" w:color="000000"/>
            </w:tcBorders>
          </w:tcPr>
          <w:p>
            <w:pPr>
              <w:pStyle w:val="TableParagraph"/>
              <w:spacing w:line="204" w:lineRule="exact"/>
              <w:ind w:right="39"/>
              <w:jc w:val="right"/>
              <w:rPr>
                <w:sz w:val="18"/>
              </w:rPr>
            </w:pPr>
            <w:r>
              <w:rPr>
                <w:sz w:val="18"/>
              </w:rPr>
              <w:t>12.771</w:t>
            </w:r>
          </w:p>
        </w:tc>
        <w:tc>
          <w:tcPr>
            <w:tcW w:w="1354" w:type="dxa"/>
            <w:tcBorders>
              <w:left w:val="single" w:sz="8" w:space="0" w:color="000000"/>
              <w:bottom w:val="nil"/>
            </w:tcBorders>
          </w:tcPr>
          <w:p>
            <w:pPr>
              <w:pStyle w:val="TableParagraph"/>
              <w:spacing w:line="204" w:lineRule="exact"/>
              <w:ind w:right="36"/>
              <w:jc w:val="right"/>
              <w:rPr>
                <w:sz w:val="18"/>
              </w:rPr>
            </w:pPr>
            <w:r>
              <w:rPr>
                <w:sz w:val="18"/>
              </w:rPr>
              <w:t>4.730</w:t>
            </w:r>
          </w:p>
        </w:tc>
      </w:tr>
      <w:tr>
        <w:trPr>
          <w:trHeight w:val="310" w:hRule="atLeast"/>
        </w:trPr>
        <w:tc>
          <w:tcPr>
            <w:tcW w:w="576" w:type="dxa"/>
            <w:tcBorders>
              <w:top w:val="nil"/>
              <w:bottom w:val="nil"/>
            </w:tcBorders>
          </w:tcPr>
          <w:p>
            <w:pPr>
              <w:pStyle w:val="TableParagraph"/>
              <w:spacing w:before="48"/>
              <w:ind w:left="75"/>
              <w:rPr>
                <w:sz w:val="18"/>
              </w:rPr>
            </w:pPr>
            <w:r>
              <w:rPr>
                <w:sz w:val="18"/>
              </w:rPr>
              <w:t>2</w:t>
            </w:r>
          </w:p>
        </w:tc>
        <w:tc>
          <w:tcPr>
            <w:tcW w:w="701" w:type="dxa"/>
            <w:tcBorders>
              <w:top w:val="nil"/>
              <w:bottom w:val="nil"/>
              <w:right w:val="single" w:sz="8" w:space="0" w:color="000000"/>
            </w:tcBorders>
          </w:tcPr>
          <w:p>
            <w:pPr>
              <w:pStyle w:val="TableParagraph"/>
              <w:spacing w:before="48"/>
              <w:ind w:right="40"/>
              <w:jc w:val="right"/>
              <w:rPr>
                <w:sz w:val="18"/>
              </w:rPr>
            </w:pPr>
            <w:r>
              <w:rPr>
                <w:sz w:val="18"/>
              </w:rPr>
              <w:t>3.856</w:t>
            </w:r>
          </w:p>
        </w:tc>
        <w:tc>
          <w:tcPr>
            <w:tcW w:w="1275" w:type="dxa"/>
            <w:tcBorders>
              <w:top w:val="nil"/>
              <w:left w:val="single" w:sz="8" w:space="0" w:color="000000"/>
              <w:bottom w:val="nil"/>
              <w:right w:val="single" w:sz="8" w:space="0" w:color="000000"/>
            </w:tcBorders>
          </w:tcPr>
          <w:p>
            <w:pPr>
              <w:pStyle w:val="TableParagraph"/>
              <w:spacing w:before="48"/>
              <w:ind w:right="36"/>
              <w:jc w:val="right"/>
              <w:rPr>
                <w:sz w:val="18"/>
              </w:rPr>
            </w:pPr>
            <w:r>
              <w:rPr>
                <w:sz w:val="18"/>
              </w:rPr>
              <w:t>7.712</w:t>
            </w:r>
          </w:p>
        </w:tc>
        <w:tc>
          <w:tcPr>
            <w:tcW w:w="1418" w:type="dxa"/>
            <w:tcBorders>
              <w:top w:val="nil"/>
              <w:left w:val="single" w:sz="8" w:space="0" w:color="000000"/>
              <w:bottom w:val="nil"/>
              <w:right w:val="single" w:sz="8" w:space="0" w:color="000000"/>
            </w:tcBorders>
          </w:tcPr>
          <w:p>
            <w:pPr>
              <w:pStyle w:val="TableParagraph"/>
              <w:spacing w:before="48"/>
              <w:ind w:right="39"/>
              <w:jc w:val="right"/>
              <w:rPr>
                <w:sz w:val="18"/>
              </w:rPr>
            </w:pPr>
            <w:r>
              <w:rPr>
                <w:sz w:val="18"/>
              </w:rPr>
              <w:t>20.483</w:t>
            </w:r>
          </w:p>
        </w:tc>
        <w:tc>
          <w:tcPr>
            <w:tcW w:w="708" w:type="dxa"/>
            <w:tcBorders>
              <w:top w:val="nil"/>
              <w:left w:val="single" w:sz="8" w:space="0" w:color="000000"/>
              <w:bottom w:val="nil"/>
              <w:right w:val="single" w:sz="8" w:space="0" w:color="000000"/>
            </w:tcBorders>
          </w:tcPr>
          <w:p>
            <w:pPr>
              <w:pStyle w:val="TableParagraph"/>
              <w:spacing w:before="48"/>
              <w:ind w:right="37"/>
              <w:jc w:val="right"/>
              <w:rPr>
                <w:sz w:val="18"/>
              </w:rPr>
            </w:pPr>
            <w:r>
              <w:rPr>
                <w:sz w:val="18"/>
              </w:rPr>
              <w:t>3.856</w:t>
            </w:r>
          </w:p>
        </w:tc>
        <w:tc>
          <w:tcPr>
            <w:tcW w:w="1277" w:type="dxa"/>
            <w:tcBorders>
              <w:top w:val="nil"/>
              <w:left w:val="single" w:sz="8" w:space="0" w:color="000000"/>
              <w:bottom w:val="nil"/>
              <w:right w:val="single" w:sz="8" w:space="0" w:color="000000"/>
            </w:tcBorders>
          </w:tcPr>
          <w:p>
            <w:pPr>
              <w:pStyle w:val="TableParagraph"/>
              <w:spacing w:before="48"/>
              <w:ind w:right="38"/>
              <w:jc w:val="right"/>
              <w:rPr>
                <w:sz w:val="18"/>
              </w:rPr>
            </w:pPr>
            <w:r>
              <w:rPr>
                <w:sz w:val="18"/>
              </w:rPr>
              <w:t>7.712</w:t>
            </w:r>
          </w:p>
        </w:tc>
        <w:tc>
          <w:tcPr>
            <w:tcW w:w="1277" w:type="dxa"/>
            <w:tcBorders>
              <w:top w:val="nil"/>
              <w:left w:val="single" w:sz="8" w:space="0" w:color="000000"/>
              <w:bottom w:val="nil"/>
              <w:right w:val="single" w:sz="8" w:space="0" w:color="000000"/>
            </w:tcBorders>
          </w:tcPr>
          <w:p>
            <w:pPr>
              <w:pStyle w:val="TableParagraph"/>
              <w:spacing w:before="48"/>
              <w:ind w:right="40"/>
              <w:jc w:val="right"/>
              <w:rPr>
                <w:sz w:val="18"/>
              </w:rPr>
            </w:pPr>
            <w:r>
              <w:rPr>
                <w:sz w:val="18"/>
              </w:rPr>
              <w:t>20.483</w:t>
            </w:r>
          </w:p>
        </w:tc>
        <w:tc>
          <w:tcPr>
            <w:tcW w:w="1354" w:type="dxa"/>
            <w:tcBorders>
              <w:top w:val="nil"/>
              <w:left w:val="single" w:sz="8" w:space="0" w:color="000000"/>
              <w:bottom w:val="nil"/>
            </w:tcBorders>
          </w:tcPr>
          <w:p>
            <w:pPr>
              <w:pStyle w:val="TableParagraph"/>
              <w:spacing w:before="48"/>
              <w:ind w:right="36"/>
              <w:jc w:val="right"/>
              <w:rPr>
                <w:sz w:val="18"/>
              </w:rPr>
            </w:pPr>
            <w:r>
              <w:rPr>
                <w:sz w:val="18"/>
              </w:rPr>
              <w:t>4.225</w:t>
            </w:r>
          </w:p>
        </w:tc>
      </w:tr>
      <w:tr>
        <w:trPr>
          <w:trHeight w:val="310" w:hRule="atLeast"/>
        </w:trPr>
        <w:tc>
          <w:tcPr>
            <w:tcW w:w="576" w:type="dxa"/>
            <w:tcBorders>
              <w:top w:val="nil"/>
              <w:bottom w:val="nil"/>
            </w:tcBorders>
          </w:tcPr>
          <w:p>
            <w:pPr>
              <w:pStyle w:val="TableParagraph"/>
              <w:spacing w:before="47"/>
              <w:ind w:left="75"/>
              <w:rPr>
                <w:sz w:val="18"/>
              </w:rPr>
            </w:pPr>
            <w:r>
              <w:rPr>
                <w:sz w:val="18"/>
              </w:rPr>
              <w:t>3</w:t>
            </w:r>
          </w:p>
        </w:tc>
        <w:tc>
          <w:tcPr>
            <w:tcW w:w="701" w:type="dxa"/>
            <w:tcBorders>
              <w:top w:val="nil"/>
              <w:bottom w:val="nil"/>
              <w:right w:val="single" w:sz="8" w:space="0" w:color="000000"/>
            </w:tcBorders>
          </w:tcPr>
          <w:p>
            <w:pPr>
              <w:pStyle w:val="TableParagraph"/>
              <w:spacing w:before="47"/>
              <w:ind w:right="40"/>
              <w:jc w:val="right"/>
              <w:rPr>
                <w:sz w:val="18"/>
              </w:rPr>
            </w:pPr>
            <w:r>
              <w:rPr>
                <w:sz w:val="18"/>
              </w:rPr>
              <w:t>3.343</w:t>
            </w:r>
          </w:p>
        </w:tc>
        <w:tc>
          <w:tcPr>
            <w:tcW w:w="1275" w:type="dxa"/>
            <w:tcBorders>
              <w:top w:val="nil"/>
              <w:left w:val="single" w:sz="8" w:space="0" w:color="000000"/>
              <w:bottom w:val="nil"/>
              <w:right w:val="single" w:sz="8" w:space="0" w:color="000000"/>
            </w:tcBorders>
          </w:tcPr>
          <w:p>
            <w:pPr>
              <w:pStyle w:val="TableParagraph"/>
              <w:spacing w:before="47"/>
              <w:ind w:right="38"/>
              <w:jc w:val="right"/>
              <w:rPr>
                <w:sz w:val="18"/>
              </w:rPr>
            </w:pPr>
            <w:r>
              <w:rPr>
                <w:sz w:val="18"/>
              </w:rPr>
              <w:t>6.685</w:t>
            </w:r>
          </w:p>
        </w:tc>
        <w:tc>
          <w:tcPr>
            <w:tcW w:w="1418" w:type="dxa"/>
            <w:tcBorders>
              <w:top w:val="nil"/>
              <w:left w:val="single" w:sz="8" w:space="0" w:color="000000"/>
              <w:bottom w:val="nil"/>
              <w:right w:val="single" w:sz="8" w:space="0" w:color="000000"/>
            </w:tcBorders>
          </w:tcPr>
          <w:p>
            <w:pPr>
              <w:pStyle w:val="TableParagraph"/>
              <w:spacing w:before="47"/>
              <w:ind w:right="39"/>
              <w:jc w:val="right"/>
              <w:rPr>
                <w:sz w:val="18"/>
              </w:rPr>
            </w:pPr>
            <w:r>
              <w:rPr>
                <w:sz w:val="18"/>
              </w:rPr>
              <w:t>27.168</w:t>
            </w:r>
          </w:p>
        </w:tc>
        <w:tc>
          <w:tcPr>
            <w:tcW w:w="708" w:type="dxa"/>
            <w:tcBorders>
              <w:top w:val="nil"/>
              <w:left w:val="single" w:sz="8" w:space="0" w:color="000000"/>
              <w:bottom w:val="nil"/>
              <w:right w:val="single" w:sz="8" w:space="0" w:color="000000"/>
            </w:tcBorders>
          </w:tcPr>
          <w:p>
            <w:pPr>
              <w:pStyle w:val="TableParagraph"/>
              <w:spacing w:before="47"/>
              <w:ind w:right="35"/>
              <w:jc w:val="right"/>
              <w:rPr>
                <w:sz w:val="18"/>
              </w:rPr>
            </w:pPr>
            <w:r>
              <w:rPr>
                <w:sz w:val="18"/>
              </w:rPr>
              <w:t>3.343</w:t>
            </w:r>
          </w:p>
        </w:tc>
        <w:tc>
          <w:tcPr>
            <w:tcW w:w="1277" w:type="dxa"/>
            <w:tcBorders>
              <w:top w:val="nil"/>
              <w:left w:val="single" w:sz="8" w:space="0" w:color="000000"/>
              <w:bottom w:val="nil"/>
              <w:right w:val="single" w:sz="8" w:space="0" w:color="000000"/>
            </w:tcBorders>
          </w:tcPr>
          <w:p>
            <w:pPr>
              <w:pStyle w:val="TableParagraph"/>
              <w:spacing w:before="47"/>
              <w:ind w:right="39"/>
              <w:jc w:val="right"/>
              <w:rPr>
                <w:sz w:val="18"/>
              </w:rPr>
            </w:pPr>
            <w:r>
              <w:rPr>
                <w:sz w:val="18"/>
              </w:rPr>
              <w:t>6.685</w:t>
            </w:r>
          </w:p>
        </w:tc>
        <w:tc>
          <w:tcPr>
            <w:tcW w:w="1277" w:type="dxa"/>
            <w:tcBorders>
              <w:top w:val="nil"/>
              <w:left w:val="single" w:sz="8" w:space="0" w:color="000000"/>
              <w:bottom w:val="nil"/>
              <w:right w:val="single" w:sz="8" w:space="0" w:color="000000"/>
            </w:tcBorders>
          </w:tcPr>
          <w:p>
            <w:pPr>
              <w:pStyle w:val="TableParagraph"/>
              <w:spacing w:before="47"/>
              <w:ind w:right="39"/>
              <w:jc w:val="right"/>
              <w:rPr>
                <w:sz w:val="18"/>
              </w:rPr>
            </w:pPr>
            <w:r>
              <w:rPr>
                <w:sz w:val="18"/>
              </w:rPr>
              <w:t>27.168</w:t>
            </w:r>
          </w:p>
        </w:tc>
        <w:tc>
          <w:tcPr>
            <w:tcW w:w="1354" w:type="dxa"/>
            <w:tcBorders>
              <w:top w:val="nil"/>
              <w:left w:val="single" w:sz="8" w:space="0" w:color="000000"/>
              <w:bottom w:val="nil"/>
            </w:tcBorders>
          </w:tcPr>
          <w:p>
            <w:pPr>
              <w:pStyle w:val="TableParagraph"/>
              <w:spacing w:before="47"/>
              <w:ind w:right="36"/>
              <w:jc w:val="right"/>
              <w:rPr>
                <w:sz w:val="18"/>
              </w:rPr>
            </w:pPr>
            <w:r>
              <w:rPr>
                <w:sz w:val="18"/>
              </w:rPr>
              <w:t>4.067</w:t>
            </w:r>
          </w:p>
        </w:tc>
      </w:tr>
      <w:tr>
        <w:trPr>
          <w:trHeight w:val="310" w:hRule="atLeast"/>
        </w:trPr>
        <w:tc>
          <w:tcPr>
            <w:tcW w:w="576" w:type="dxa"/>
            <w:tcBorders>
              <w:top w:val="nil"/>
              <w:bottom w:val="nil"/>
            </w:tcBorders>
          </w:tcPr>
          <w:p>
            <w:pPr>
              <w:pStyle w:val="TableParagraph"/>
              <w:spacing w:before="48"/>
              <w:ind w:left="75"/>
              <w:rPr>
                <w:sz w:val="18"/>
              </w:rPr>
            </w:pPr>
            <w:r>
              <w:rPr>
                <w:sz w:val="18"/>
              </w:rPr>
              <w:t>4</w:t>
            </w:r>
          </w:p>
        </w:tc>
        <w:tc>
          <w:tcPr>
            <w:tcW w:w="701" w:type="dxa"/>
            <w:tcBorders>
              <w:top w:val="nil"/>
              <w:bottom w:val="nil"/>
              <w:right w:val="single" w:sz="8" w:space="0" w:color="000000"/>
            </w:tcBorders>
          </w:tcPr>
          <w:p>
            <w:pPr>
              <w:pStyle w:val="TableParagraph"/>
              <w:spacing w:before="48"/>
              <w:ind w:right="40"/>
              <w:jc w:val="right"/>
              <w:rPr>
                <w:sz w:val="18"/>
              </w:rPr>
            </w:pPr>
            <w:r>
              <w:rPr>
                <w:sz w:val="18"/>
              </w:rPr>
              <w:t>2.986</w:t>
            </w:r>
          </w:p>
        </w:tc>
        <w:tc>
          <w:tcPr>
            <w:tcW w:w="1275" w:type="dxa"/>
            <w:tcBorders>
              <w:top w:val="nil"/>
              <w:left w:val="single" w:sz="8" w:space="0" w:color="000000"/>
              <w:bottom w:val="nil"/>
              <w:right w:val="single" w:sz="8" w:space="0" w:color="000000"/>
            </w:tcBorders>
          </w:tcPr>
          <w:p>
            <w:pPr>
              <w:pStyle w:val="TableParagraph"/>
              <w:spacing w:before="48"/>
              <w:ind w:right="38"/>
              <w:jc w:val="right"/>
              <w:rPr>
                <w:sz w:val="18"/>
              </w:rPr>
            </w:pPr>
            <w:r>
              <w:rPr>
                <w:sz w:val="18"/>
              </w:rPr>
              <w:t>5.972</w:t>
            </w:r>
          </w:p>
        </w:tc>
        <w:tc>
          <w:tcPr>
            <w:tcW w:w="1418" w:type="dxa"/>
            <w:tcBorders>
              <w:top w:val="nil"/>
              <w:left w:val="single" w:sz="8" w:space="0" w:color="000000"/>
              <w:bottom w:val="nil"/>
              <w:right w:val="single" w:sz="8" w:space="0" w:color="000000"/>
            </w:tcBorders>
          </w:tcPr>
          <w:p>
            <w:pPr>
              <w:pStyle w:val="TableParagraph"/>
              <w:spacing w:before="48"/>
              <w:ind w:right="39"/>
              <w:jc w:val="right"/>
              <w:rPr>
                <w:sz w:val="18"/>
              </w:rPr>
            </w:pPr>
            <w:r>
              <w:rPr>
                <w:sz w:val="18"/>
              </w:rPr>
              <w:t>33.141</w:t>
            </w:r>
          </w:p>
        </w:tc>
        <w:tc>
          <w:tcPr>
            <w:tcW w:w="708" w:type="dxa"/>
            <w:tcBorders>
              <w:top w:val="nil"/>
              <w:left w:val="single" w:sz="8" w:space="0" w:color="000000"/>
              <w:bottom w:val="nil"/>
              <w:right w:val="single" w:sz="8" w:space="0" w:color="000000"/>
            </w:tcBorders>
          </w:tcPr>
          <w:p>
            <w:pPr>
              <w:pStyle w:val="TableParagraph"/>
              <w:spacing w:before="48"/>
              <w:ind w:right="37"/>
              <w:jc w:val="right"/>
              <w:rPr>
                <w:sz w:val="18"/>
              </w:rPr>
            </w:pPr>
            <w:r>
              <w:rPr>
                <w:sz w:val="18"/>
              </w:rPr>
              <w:t>2.986</w:t>
            </w:r>
          </w:p>
        </w:tc>
        <w:tc>
          <w:tcPr>
            <w:tcW w:w="1277" w:type="dxa"/>
            <w:tcBorders>
              <w:top w:val="nil"/>
              <w:left w:val="single" w:sz="8" w:space="0" w:color="000000"/>
              <w:bottom w:val="nil"/>
              <w:right w:val="single" w:sz="8" w:space="0" w:color="000000"/>
            </w:tcBorders>
          </w:tcPr>
          <w:p>
            <w:pPr>
              <w:pStyle w:val="TableParagraph"/>
              <w:spacing w:before="48"/>
              <w:ind w:right="39"/>
              <w:jc w:val="right"/>
              <w:rPr>
                <w:sz w:val="18"/>
              </w:rPr>
            </w:pPr>
            <w:r>
              <w:rPr>
                <w:sz w:val="18"/>
              </w:rPr>
              <w:t>5.972</w:t>
            </w:r>
          </w:p>
        </w:tc>
        <w:tc>
          <w:tcPr>
            <w:tcW w:w="1277" w:type="dxa"/>
            <w:tcBorders>
              <w:top w:val="nil"/>
              <w:left w:val="single" w:sz="8" w:space="0" w:color="000000"/>
              <w:bottom w:val="nil"/>
              <w:right w:val="single" w:sz="8" w:space="0" w:color="000000"/>
            </w:tcBorders>
          </w:tcPr>
          <w:p>
            <w:pPr>
              <w:pStyle w:val="TableParagraph"/>
              <w:spacing w:before="48"/>
              <w:ind w:right="39"/>
              <w:jc w:val="right"/>
              <w:rPr>
                <w:sz w:val="18"/>
              </w:rPr>
            </w:pPr>
            <w:r>
              <w:rPr>
                <w:sz w:val="18"/>
              </w:rPr>
              <w:t>33.141</w:t>
            </w:r>
          </w:p>
        </w:tc>
        <w:tc>
          <w:tcPr>
            <w:tcW w:w="1354" w:type="dxa"/>
            <w:tcBorders>
              <w:top w:val="nil"/>
              <w:left w:val="single" w:sz="8" w:space="0" w:color="000000"/>
              <w:bottom w:val="nil"/>
            </w:tcBorders>
          </w:tcPr>
          <w:p>
            <w:pPr>
              <w:pStyle w:val="TableParagraph"/>
              <w:spacing w:before="48"/>
              <w:ind w:right="35"/>
              <w:jc w:val="right"/>
              <w:rPr>
                <w:sz w:val="18"/>
              </w:rPr>
            </w:pPr>
            <w:r>
              <w:rPr>
                <w:sz w:val="18"/>
              </w:rPr>
              <w:t>3.569</w:t>
            </w:r>
          </w:p>
        </w:tc>
      </w:tr>
      <w:tr>
        <w:trPr>
          <w:trHeight w:val="309" w:hRule="atLeast"/>
        </w:trPr>
        <w:tc>
          <w:tcPr>
            <w:tcW w:w="576" w:type="dxa"/>
            <w:tcBorders>
              <w:top w:val="nil"/>
              <w:bottom w:val="nil"/>
            </w:tcBorders>
          </w:tcPr>
          <w:p>
            <w:pPr>
              <w:pStyle w:val="TableParagraph"/>
              <w:spacing w:before="47"/>
              <w:ind w:left="75"/>
              <w:rPr>
                <w:sz w:val="18"/>
              </w:rPr>
            </w:pPr>
            <w:r>
              <w:rPr>
                <w:sz w:val="18"/>
              </w:rPr>
              <w:t>5</w:t>
            </w:r>
          </w:p>
        </w:tc>
        <w:tc>
          <w:tcPr>
            <w:tcW w:w="701" w:type="dxa"/>
            <w:tcBorders>
              <w:top w:val="nil"/>
              <w:bottom w:val="nil"/>
              <w:right w:val="single" w:sz="8" w:space="0" w:color="000000"/>
            </w:tcBorders>
          </w:tcPr>
          <w:p>
            <w:pPr>
              <w:pStyle w:val="TableParagraph"/>
              <w:spacing w:before="47"/>
              <w:ind w:right="40"/>
              <w:jc w:val="right"/>
              <w:rPr>
                <w:sz w:val="18"/>
              </w:rPr>
            </w:pPr>
            <w:r>
              <w:rPr>
                <w:sz w:val="18"/>
              </w:rPr>
              <w:t>2.971</w:t>
            </w:r>
          </w:p>
        </w:tc>
        <w:tc>
          <w:tcPr>
            <w:tcW w:w="1275" w:type="dxa"/>
            <w:tcBorders>
              <w:top w:val="nil"/>
              <w:left w:val="single" w:sz="8" w:space="0" w:color="000000"/>
              <w:bottom w:val="nil"/>
              <w:right w:val="single" w:sz="8" w:space="0" w:color="000000"/>
            </w:tcBorders>
          </w:tcPr>
          <w:p>
            <w:pPr>
              <w:pStyle w:val="TableParagraph"/>
              <w:spacing w:before="47"/>
              <w:ind w:right="38"/>
              <w:jc w:val="right"/>
              <w:rPr>
                <w:sz w:val="18"/>
              </w:rPr>
            </w:pPr>
            <w:r>
              <w:rPr>
                <w:sz w:val="18"/>
              </w:rPr>
              <w:t>5.942</w:t>
            </w:r>
          </w:p>
        </w:tc>
        <w:tc>
          <w:tcPr>
            <w:tcW w:w="1418" w:type="dxa"/>
            <w:tcBorders>
              <w:top w:val="nil"/>
              <w:left w:val="single" w:sz="8" w:space="0" w:color="000000"/>
              <w:bottom w:val="nil"/>
              <w:right w:val="single" w:sz="8" w:space="0" w:color="000000"/>
            </w:tcBorders>
          </w:tcPr>
          <w:p>
            <w:pPr>
              <w:pStyle w:val="TableParagraph"/>
              <w:spacing w:before="47"/>
              <w:ind w:right="39"/>
              <w:jc w:val="right"/>
              <w:rPr>
                <w:sz w:val="18"/>
              </w:rPr>
            </w:pPr>
            <w:r>
              <w:rPr>
                <w:sz w:val="18"/>
              </w:rPr>
              <w:t>39.083</w:t>
            </w:r>
          </w:p>
        </w:tc>
        <w:tc>
          <w:tcPr>
            <w:tcW w:w="708" w:type="dxa"/>
            <w:tcBorders>
              <w:top w:val="nil"/>
              <w:left w:val="single" w:sz="8" w:space="0" w:color="000000"/>
              <w:bottom w:val="nil"/>
              <w:right w:val="single" w:sz="8" w:space="0" w:color="000000"/>
            </w:tcBorders>
          </w:tcPr>
          <w:p>
            <w:pPr>
              <w:pStyle w:val="TableParagraph"/>
              <w:spacing w:before="47"/>
              <w:ind w:right="37"/>
              <w:jc w:val="right"/>
              <w:rPr>
                <w:sz w:val="18"/>
              </w:rPr>
            </w:pPr>
            <w:r>
              <w:rPr>
                <w:sz w:val="18"/>
              </w:rPr>
              <w:t>2.971</w:t>
            </w:r>
          </w:p>
        </w:tc>
        <w:tc>
          <w:tcPr>
            <w:tcW w:w="1277" w:type="dxa"/>
            <w:tcBorders>
              <w:top w:val="nil"/>
              <w:left w:val="single" w:sz="8" w:space="0" w:color="000000"/>
              <w:bottom w:val="nil"/>
              <w:right w:val="single" w:sz="8" w:space="0" w:color="000000"/>
            </w:tcBorders>
          </w:tcPr>
          <w:p>
            <w:pPr>
              <w:pStyle w:val="TableParagraph"/>
              <w:spacing w:before="47"/>
              <w:ind w:right="39"/>
              <w:jc w:val="right"/>
              <w:rPr>
                <w:sz w:val="18"/>
              </w:rPr>
            </w:pPr>
            <w:r>
              <w:rPr>
                <w:sz w:val="18"/>
              </w:rPr>
              <w:t>5.942</w:t>
            </w:r>
          </w:p>
        </w:tc>
        <w:tc>
          <w:tcPr>
            <w:tcW w:w="1277" w:type="dxa"/>
            <w:tcBorders>
              <w:top w:val="nil"/>
              <w:left w:val="single" w:sz="8" w:space="0" w:color="000000"/>
              <w:bottom w:val="nil"/>
              <w:right w:val="single" w:sz="8" w:space="0" w:color="000000"/>
            </w:tcBorders>
          </w:tcPr>
          <w:p>
            <w:pPr>
              <w:pStyle w:val="TableParagraph"/>
              <w:spacing w:before="47"/>
              <w:ind w:right="40"/>
              <w:jc w:val="right"/>
              <w:rPr>
                <w:sz w:val="18"/>
              </w:rPr>
            </w:pPr>
            <w:r>
              <w:rPr>
                <w:sz w:val="18"/>
              </w:rPr>
              <w:t>39.083</w:t>
            </w:r>
          </w:p>
        </w:tc>
        <w:tc>
          <w:tcPr>
            <w:tcW w:w="1354" w:type="dxa"/>
            <w:tcBorders>
              <w:top w:val="nil"/>
              <w:left w:val="single" w:sz="8" w:space="0" w:color="000000"/>
              <w:bottom w:val="nil"/>
            </w:tcBorders>
          </w:tcPr>
          <w:p>
            <w:pPr>
              <w:pStyle w:val="TableParagraph"/>
              <w:spacing w:before="47"/>
              <w:ind w:right="35"/>
              <w:jc w:val="right"/>
              <w:rPr>
                <w:sz w:val="18"/>
              </w:rPr>
            </w:pPr>
            <w:r>
              <w:rPr>
                <w:sz w:val="18"/>
              </w:rPr>
              <w:t>3.567</w:t>
            </w:r>
          </w:p>
        </w:tc>
      </w:tr>
      <w:tr>
        <w:trPr>
          <w:trHeight w:val="310" w:hRule="atLeast"/>
        </w:trPr>
        <w:tc>
          <w:tcPr>
            <w:tcW w:w="576" w:type="dxa"/>
            <w:tcBorders>
              <w:top w:val="nil"/>
              <w:bottom w:val="nil"/>
            </w:tcBorders>
          </w:tcPr>
          <w:p>
            <w:pPr>
              <w:pStyle w:val="TableParagraph"/>
              <w:spacing w:before="47"/>
              <w:ind w:left="75"/>
              <w:rPr>
                <w:sz w:val="18"/>
              </w:rPr>
            </w:pPr>
            <w:r>
              <w:rPr>
                <w:sz w:val="18"/>
              </w:rPr>
              <w:t>6</w:t>
            </w:r>
          </w:p>
        </w:tc>
        <w:tc>
          <w:tcPr>
            <w:tcW w:w="701" w:type="dxa"/>
            <w:tcBorders>
              <w:top w:val="nil"/>
              <w:bottom w:val="nil"/>
              <w:right w:val="single" w:sz="8" w:space="0" w:color="000000"/>
            </w:tcBorders>
          </w:tcPr>
          <w:p>
            <w:pPr>
              <w:pStyle w:val="TableParagraph"/>
              <w:spacing w:before="47"/>
              <w:ind w:right="39"/>
              <w:jc w:val="right"/>
              <w:rPr>
                <w:sz w:val="18"/>
              </w:rPr>
            </w:pPr>
            <w:r>
              <w:rPr>
                <w:sz w:val="18"/>
              </w:rPr>
              <w:t>2.471</w:t>
            </w:r>
          </w:p>
        </w:tc>
        <w:tc>
          <w:tcPr>
            <w:tcW w:w="1275" w:type="dxa"/>
            <w:tcBorders>
              <w:top w:val="nil"/>
              <w:left w:val="single" w:sz="8" w:space="0" w:color="000000"/>
              <w:bottom w:val="nil"/>
              <w:right w:val="single" w:sz="8" w:space="0" w:color="000000"/>
            </w:tcBorders>
          </w:tcPr>
          <w:p>
            <w:pPr>
              <w:pStyle w:val="TableParagraph"/>
              <w:spacing w:before="47"/>
              <w:ind w:right="37"/>
              <w:jc w:val="right"/>
              <w:rPr>
                <w:sz w:val="18"/>
              </w:rPr>
            </w:pPr>
            <w:r>
              <w:rPr>
                <w:sz w:val="18"/>
              </w:rPr>
              <w:t>4.942</w:t>
            </w:r>
          </w:p>
        </w:tc>
        <w:tc>
          <w:tcPr>
            <w:tcW w:w="1418" w:type="dxa"/>
            <w:tcBorders>
              <w:top w:val="nil"/>
              <w:left w:val="single" w:sz="8" w:space="0" w:color="000000"/>
              <w:bottom w:val="nil"/>
              <w:right w:val="single" w:sz="8" w:space="0" w:color="000000"/>
            </w:tcBorders>
          </w:tcPr>
          <w:p>
            <w:pPr>
              <w:pStyle w:val="TableParagraph"/>
              <w:spacing w:before="47"/>
              <w:ind w:right="40"/>
              <w:jc w:val="right"/>
              <w:rPr>
                <w:sz w:val="18"/>
              </w:rPr>
            </w:pPr>
            <w:r>
              <w:rPr>
                <w:sz w:val="18"/>
              </w:rPr>
              <w:t>44.025</w:t>
            </w:r>
          </w:p>
        </w:tc>
        <w:tc>
          <w:tcPr>
            <w:tcW w:w="708" w:type="dxa"/>
            <w:tcBorders>
              <w:top w:val="nil"/>
              <w:left w:val="single" w:sz="8" w:space="0" w:color="000000"/>
              <w:bottom w:val="nil"/>
              <w:right w:val="single" w:sz="8" w:space="0" w:color="000000"/>
            </w:tcBorders>
          </w:tcPr>
          <w:p>
            <w:pPr>
              <w:pStyle w:val="TableParagraph"/>
              <w:spacing w:before="47"/>
              <w:ind w:right="37"/>
              <w:jc w:val="right"/>
              <w:rPr>
                <w:sz w:val="18"/>
              </w:rPr>
            </w:pPr>
            <w:r>
              <w:rPr>
                <w:sz w:val="18"/>
              </w:rPr>
              <w:t>2.471</w:t>
            </w:r>
          </w:p>
        </w:tc>
        <w:tc>
          <w:tcPr>
            <w:tcW w:w="1277" w:type="dxa"/>
            <w:tcBorders>
              <w:top w:val="nil"/>
              <w:left w:val="single" w:sz="8" w:space="0" w:color="000000"/>
              <w:bottom w:val="nil"/>
              <w:right w:val="single" w:sz="8" w:space="0" w:color="000000"/>
            </w:tcBorders>
          </w:tcPr>
          <w:p>
            <w:pPr>
              <w:pStyle w:val="TableParagraph"/>
              <w:spacing w:before="47"/>
              <w:ind w:right="39"/>
              <w:jc w:val="right"/>
              <w:rPr>
                <w:sz w:val="18"/>
              </w:rPr>
            </w:pPr>
            <w:r>
              <w:rPr>
                <w:sz w:val="18"/>
              </w:rPr>
              <w:t>4.942</w:t>
            </w:r>
          </w:p>
        </w:tc>
        <w:tc>
          <w:tcPr>
            <w:tcW w:w="1277" w:type="dxa"/>
            <w:tcBorders>
              <w:top w:val="nil"/>
              <w:left w:val="single" w:sz="8" w:space="0" w:color="000000"/>
              <w:bottom w:val="nil"/>
              <w:right w:val="single" w:sz="8" w:space="0" w:color="000000"/>
            </w:tcBorders>
          </w:tcPr>
          <w:p>
            <w:pPr>
              <w:pStyle w:val="TableParagraph"/>
              <w:spacing w:before="47"/>
              <w:ind w:right="39"/>
              <w:jc w:val="right"/>
              <w:rPr>
                <w:sz w:val="18"/>
              </w:rPr>
            </w:pPr>
            <w:r>
              <w:rPr>
                <w:sz w:val="18"/>
              </w:rPr>
              <w:t>44.025</w:t>
            </w:r>
          </w:p>
        </w:tc>
        <w:tc>
          <w:tcPr>
            <w:tcW w:w="1354" w:type="dxa"/>
            <w:tcBorders>
              <w:top w:val="nil"/>
              <w:left w:val="single" w:sz="8" w:space="0" w:color="000000"/>
              <w:bottom w:val="nil"/>
            </w:tcBorders>
          </w:tcPr>
          <w:p>
            <w:pPr>
              <w:pStyle w:val="TableParagraph"/>
              <w:spacing w:before="47"/>
              <w:ind w:right="36"/>
              <w:jc w:val="right"/>
              <w:rPr>
                <w:sz w:val="18"/>
              </w:rPr>
            </w:pPr>
            <w:r>
              <w:rPr>
                <w:sz w:val="18"/>
              </w:rPr>
              <w:t>3.334</w:t>
            </w:r>
          </w:p>
        </w:tc>
      </w:tr>
      <w:tr>
        <w:trPr>
          <w:trHeight w:val="311" w:hRule="atLeast"/>
        </w:trPr>
        <w:tc>
          <w:tcPr>
            <w:tcW w:w="576" w:type="dxa"/>
            <w:tcBorders>
              <w:top w:val="nil"/>
              <w:bottom w:val="nil"/>
            </w:tcBorders>
          </w:tcPr>
          <w:p>
            <w:pPr>
              <w:pStyle w:val="TableParagraph"/>
              <w:spacing w:before="48"/>
              <w:ind w:left="75"/>
              <w:rPr>
                <w:sz w:val="18"/>
              </w:rPr>
            </w:pPr>
            <w:r>
              <w:rPr>
                <w:sz w:val="18"/>
              </w:rPr>
              <w:t>7</w:t>
            </w:r>
          </w:p>
        </w:tc>
        <w:tc>
          <w:tcPr>
            <w:tcW w:w="701" w:type="dxa"/>
            <w:tcBorders>
              <w:top w:val="nil"/>
              <w:bottom w:val="nil"/>
              <w:right w:val="single" w:sz="8" w:space="0" w:color="000000"/>
            </w:tcBorders>
          </w:tcPr>
          <w:p>
            <w:pPr>
              <w:pStyle w:val="TableParagraph"/>
              <w:spacing w:before="48"/>
              <w:ind w:right="40"/>
              <w:jc w:val="right"/>
              <w:rPr>
                <w:sz w:val="18"/>
              </w:rPr>
            </w:pPr>
            <w:r>
              <w:rPr>
                <w:sz w:val="18"/>
              </w:rPr>
              <w:t>1.995</w:t>
            </w:r>
          </w:p>
        </w:tc>
        <w:tc>
          <w:tcPr>
            <w:tcW w:w="1275" w:type="dxa"/>
            <w:tcBorders>
              <w:top w:val="nil"/>
              <w:left w:val="single" w:sz="8" w:space="0" w:color="000000"/>
              <w:bottom w:val="nil"/>
              <w:right w:val="single" w:sz="8" w:space="0" w:color="000000"/>
            </w:tcBorders>
          </w:tcPr>
          <w:p>
            <w:pPr>
              <w:pStyle w:val="TableParagraph"/>
              <w:spacing w:before="48"/>
              <w:ind w:right="38"/>
              <w:jc w:val="right"/>
              <w:rPr>
                <w:sz w:val="18"/>
              </w:rPr>
            </w:pPr>
            <w:r>
              <w:rPr>
                <w:sz w:val="18"/>
              </w:rPr>
              <w:t>3.990</w:t>
            </w:r>
          </w:p>
        </w:tc>
        <w:tc>
          <w:tcPr>
            <w:tcW w:w="1418" w:type="dxa"/>
            <w:tcBorders>
              <w:top w:val="nil"/>
              <w:left w:val="single" w:sz="8" w:space="0" w:color="000000"/>
              <w:bottom w:val="nil"/>
              <w:right w:val="single" w:sz="8" w:space="0" w:color="000000"/>
            </w:tcBorders>
          </w:tcPr>
          <w:p>
            <w:pPr>
              <w:pStyle w:val="TableParagraph"/>
              <w:spacing w:before="48"/>
              <w:ind w:right="40"/>
              <w:jc w:val="right"/>
              <w:rPr>
                <w:sz w:val="18"/>
              </w:rPr>
            </w:pPr>
            <w:r>
              <w:rPr>
                <w:sz w:val="18"/>
              </w:rPr>
              <w:t>48.015</w:t>
            </w:r>
          </w:p>
        </w:tc>
        <w:tc>
          <w:tcPr>
            <w:tcW w:w="708" w:type="dxa"/>
            <w:tcBorders>
              <w:top w:val="nil"/>
              <w:left w:val="single" w:sz="8" w:space="0" w:color="000000"/>
              <w:bottom w:val="nil"/>
              <w:right w:val="single" w:sz="8" w:space="0" w:color="000000"/>
            </w:tcBorders>
          </w:tcPr>
          <w:p>
            <w:pPr>
              <w:pStyle w:val="TableParagraph"/>
              <w:spacing w:before="48"/>
              <w:ind w:right="37"/>
              <w:jc w:val="right"/>
              <w:rPr>
                <w:sz w:val="18"/>
              </w:rPr>
            </w:pPr>
            <w:r>
              <w:rPr>
                <w:sz w:val="18"/>
              </w:rPr>
              <w:t>1.995</w:t>
            </w:r>
          </w:p>
        </w:tc>
        <w:tc>
          <w:tcPr>
            <w:tcW w:w="1277" w:type="dxa"/>
            <w:tcBorders>
              <w:top w:val="nil"/>
              <w:left w:val="single" w:sz="8" w:space="0" w:color="000000"/>
              <w:bottom w:val="nil"/>
              <w:right w:val="single" w:sz="8" w:space="0" w:color="000000"/>
            </w:tcBorders>
          </w:tcPr>
          <w:p>
            <w:pPr>
              <w:pStyle w:val="TableParagraph"/>
              <w:spacing w:before="48"/>
              <w:ind w:right="38"/>
              <w:jc w:val="right"/>
              <w:rPr>
                <w:sz w:val="18"/>
              </w:rPr>
            </w:pPr>
            <w:r>
              <w:rPr>
                <w:sz w:val="18"/>
              </w:rPr>
              <w:t>3.990</w:t>
            </w:r>
          </w:p>
        </w:tc>
        <w:tc>
          <w:tcPr>
            <w:tcW w:w="1277" w:type="dxa"/>
            <w:tcBorders>
              <w:top w:val="nil"/>
              <w:left w:val="single" w:sz="8" w:space="0" w:color="000000"/>
              <w:bottom w:val="nil"/>
              <w:right w:val="single" w:sz="8" w:space="0" w:color="000000"/>
            </w:tcBorders>
          </w:tcPr>
          <w:p>
            <w:pPr>
              <w:pStyle w:val="TableParagraph"/>
              <w:spacing w:before="48"/>
              <w:ind w:right="39"/>
              <w:jc w:val="right"/>
              <w:rPr>
                <w:sz w:val="18"/>
              </w:rPr>
            </w:pPr>
            <w:r>
              <w:rPr>
                <w:sz w:val="18"/>
              </w:rPr>
              <w:t>48.015</w:t>
            </w:r>
          </w:p>
        </w:tc>
        <w:tc>
          <w:tcPr>
            <w:tcW w:w="1354" w:type="dxa"/>
            <w:tcBorders>
              <w:top w:val="nil"/>
              <w:left w:val="single" w:sz="8" w:space="0" w:color="000000"/>
              <w:bottom w:val="nil"/>
            </w:tcBorders>
          </w:tcPr>
          <w:p>
            <w:pPr>
              <w:pStyle w:val="TableParagraph"/>
              <w:spacing w:before="48"/>
              <w:ind w:right="36"/>
              <w:jc w:val="right"/>
              <w:rPr>
                <w:sz w:val="18"/>
              </w:rPr>
            </w:pPr>
            <w:r>
              <w:rPr>
                <w:sz w:val="18"/>
              </w:rPr>
              <w:t>3.109</w:t>
            </w:r>
          </w:p>
        </w:tc>
      </w:tr>
      <w:tr>
        <w:trPr>
          <w:trHeight w:val="309" w:hRule="atLeast"/>
        </w:trPr>
        <w:tc>
          <w:tcPr>
            <w:tcW w:w="576" w:type="dxa"/>
            <w:tcBorders>
              <w:top w:val="nil"/>
              <w:bottom w:val="nil"/>
            </w:tcBorders>
          </w:tcPr>
          <w:p>
            <w:pPr>
              <w:pStyle w:val="TableParagraph"/>
              <w:spacing w:before="47"/>
              <w:ind w:left="75"/>
              <w:rPr>
                <w:sz w:val="18"/>
              </w:rPr>
            </w:pPr>
            <w:r>
              <w:rPr>
                <w:sz w:val="18"/>
              </w:rPr>
              <w:t>8</w:t>
            </w:r>
          </w:p>
        </w:tc>
        <w:tc>
          <w:tcPr>
            <w:tcW w:w="701" w:type="dxa"/>
            <w:tcBorders>
              <w:top w:val="nil"/>
              <w:bottom w:val="nil"/>
              <w:right w:val="single" w:sz="8" w:space="0" w:color="000000"/>
            </w:tcBorders>
          </w:tcPr>
          <w:p>
            <w:pPr>
              <w:pStyle w:val="TableParagraph"/>
              <w:spacing w:before="47"/>
              <w:ind w:right="40"/>
              <w:jc w:val="right"/>
              <w:rPr>
                <w:sz w:val="18"/>
              </w:rPr>
            </w:pPr>
            <w:r>
              <w:rPr>
                <w:sz w:val="18"/>
              </w:rPr>
              <w:t>1.711</w:t>
            </w:r>
          </w:p>
        </w:tc>
        <w:tc>
          <w:tcPr>
            <w:tcW w:w="1275" w:type="dxa"/>
            <w:tcBorders>
              <w:top w:val="nil"/>
              <w:left w:val="single" w:sz="8" w:space="0" w:color="000000"/>
              <w:bottom w:val="nil"/>
              <w:right w:val="single" w:sz="8" w:space="0" w:color="000000"/>
            </w:tcBorders>
          </w:tcPr>
          <w:p>
            <w:pPr>
              <w:pStyle w:val="TableParagraph"/>
              <w:spacing w:before="47"/>
              <w:ind w:right="36"/>
              <w:jc w:val="right"/>
              <w:rPr>
                <w:sz w:val="18"/>
              </w:rPr>
            </w:pPr>
            <w:r>
              <w:rPr>
                <w:sz w:val="18"/>
              </w:rPr>
              <w:t>3.422</w:t>
            </w:r>
          </w:p>
        </w:tc>
        <w:tc>
          <w:tcPr>
            <w:tcW w:w="1418" w:type="dxa"/>
            <w:tcBorders>
              <w:top w:val="nil"/>
              <w:left w:val="single" w:sz="8" w:space="0" w:color="000000"/>
              <w:bottom w:val="nil"/>
              <w:right w:val="single" w:sz="8" w:space="0" w:color="000000"/>
            </w:tcBorders>
          </w:tcPr>
          <w:p>
            <w:pPr>
              <w:pStyle w:val="TableParagraph"/>
              <w:spacing w:before="47"/>
              <w:ind w:right="39"/>
              <w:jc w:val="right"/>
              <w:rPr>
                <w:sz w:val="18"/>
              </w:rPr>
            </w:pPr>
            <w:r>
              <w:rPr>
                <w:sz w:val="18"/>
              </w:rPr>
              <w:t>51.437</w:t>
            </w:r>
          </w:p>
        </w:tc>
        <w:tc>
          <w:tcPr>
            <w:tcW w:w="708" w:type="dxa"/>
            <w:tcBorders>
              <w:top w:val="nil"/>
              <w:left w:val="single" w:sz="8" w:space="0" w:color="000000"/>
              <w:bottom w:val="nil"/>
              <w:right w:val="single" w:sz="8" w:space="0" w:color="000000"/>
            </w:tcBorders>
          </w:tcPr>
          <w:p>
            <w:pPr>
              <w:pStyle w:val="TableParagraph"/>
              <w:spacing w:before="47"/>
              <w:ind w:right="37"/>
              <w:jc w:val="right"/>
              <w:rPr>
                <w:sz w:val="18"/>
              </w:rPr>
            </w:pPr>
            <w:r>
              <w:rPr>
                <w:sz w:val="18"/>
              </w:rPr>
              <w:t>1.711</w:t>
            </w:r>
          </w:p>
        </w:tc>
        <w:tc>
          <w:tcPr>
            <w:tcW w:w="1277" w:type="dxa"/>
            <w:tcBorders>
              <w:top w:val="nil"/>
              <w:left w:val="single" w:sz="8" w:space="0" w:color="000000"/>
              <w:bottom w:val="nil"/>
              <w:right w:val="single" w:sz="8" w:space="0" w:color="000000"/>
            </w:tcBorders>
          </w:tcPr>
          <w:p>
            <w:pPr>
              <w:pStyle w:val="TableParagraph"/>
              <w:spacing w:before="47"/>
              <w:ind w:right="39"/>
              <w:jc w:val="right"/>
              <w:rPr>
                <w:sz w:val="18"/>
              </w:rPr>
            </w:pPr>
            <w:r>
              <w:rPr>
                <w:sz w:val="18"/>
              </w:rPr>
              <w:t>3.422</w:t>
            </w:r>
          </w:p>
        </w:tc>
        <w:tc>
          <w:tcPr>
            <w:tcW w:w="1277" w:type="dxa"/>
            <w:tcBorders>
              <w:top w:val="nil"/>
              <w:left w:val="single" w:sz="8" w:space="0" w:color="000000"/>
              <w:bottom w:val="nil"/>
              <w:right w:val="single" w:sz="8" w:space="0" w:color="000000"/>
            </w:tcBorders>
          </w:tcPr>
          <w:p>
            <w:pPr>
              <w:pStyle w:val="TableParagraph"/>
              <w:spacing w:before="47"/>
              <w:ind w:right="39"/>
              <w:jc w:val="right"/>
              <w:rPr>
                <w:sz w:val="18"/>
              </w:rPr>
            </w:pPr>
            <w:r>
              <w:rPr>
                <w:sz w:val="18"/>
              </w:rPr>
              <w:t>51.437</w:t>
            </w:r>
          </w:p>
        </w:tc>
        <w:tc>
          <w:tcPr>
            <w:tcW w:w="1354" w:type="dxa"/>
            <w:tcBorders>
              <w:top w:val="nil"/>
              <w:left w:val="single" w:sz="8" w:space="0" w:color="000000"/>
              <w:bottom w:val="nil"/>
            </w:tcBorders>
          </w:tcPr>
          <w:p>
            <w:pPr>
              <w:pStyle w:val="TableParagraph"/>
              <w:spacing w:before="47"/>
              <w:ind w:right="35"/>
              <w:jc w:val="right"/>
              <w:rPr>
                <w:sz w:val="18"/>
              </w:rPr>
            </w:pPr>
            <w:r>
              <w:rPr>
                <w:sz w:val="18"/>
              </w:rPr>
              <w:t>2.391</w:t>
            </w:r>
          </w:p>
        </w:tc>
      </w:tr>
      <w:tr>
        <w:trPr>
          <w:trHeight w:val="310" w:hRule="atLeast"/>
        </w:trPr>
        <w:tc>
          <w:tcPr>
            <w:tcW w:w="576" w:type="dxa"/>
            <w:tcBorders>
              <w:top w:val="nil"/>
              <w:bottom w:val="nil"/>
            </w:tcBorders>
          </w:tcPr>
          <w:p>
            <w:pPr>
              <w:pStyle w:val="TableParagraph"/>
              <w:spacing w:before="47"/>
              <w:ind w:left="75"/>
              <w:rPr>
                <w:sz w:val="18"/>
              </w:rPr>
            </w:pPr>
            <w:r>
              <w:rPr>
                <w:sz w:val="18"/>
              </w:rPr>
              <w:t>9</w:t>
            </w:r>
          </w:p>
        </w:tc>
        <w:tc>
          <w:tcPr>
            <w:tcW w:w="701" w:type="dxa"/>
            <w:tcBorders>
              <w:top w:val="nil"/>
              <w:bottom w:val="nil"/>
              <w:right w:val="single" w:sz="8" w:space="0" w:color="000000"/>
            </w:tcBorders>
          </w:tcPr>
          <w:p>
            <w:pPr>
              <w:pStyle w:val="TableParagraph"/>
              <w:spacing w:before="47"/>
              <w:ind w:right="40"/>
              <w:jc w:val="right"/>
              <w:rPr>
                <w:sz w:val="18"/>
              </w:rPr>
            </w:pPr>
            <w:r>
              <w:rPr>
                <w:sz w:val="18"/>
              </w:rPr>
              <w:t>1.602</w:t>
            </w:r>
          </w:p>
        </w:tc>
        <w:tc>
          <w:tcPr>
            <w:tcW w:w="1275" w:type="dxa"/>
            <w:tcBorders>
              <w:top w:val="nil"/>
              <w:left w:val="single" w:sz="8" w:space="0" w:color="000000"/>
              <w:bottom w:val="nil"/>
              <w:right w:val="single" w:sz="8" w:space="0" w:color="000000"/>
            </w:tcBorders>
          </w:tcPr>
          <w:p>
            <w:pPr>
              <w:pStyle w:val="TableParagraph"/>
              <w:spacing w:before="47"/>
              <w:ind w:right="38"/>
              <w:jc w:val="right"/>
              <w:rPr>
                <w:sz w:val="18"/>
              </w:rPr>
            </w:pPr>
            <w:r>
              <w:rPr>
                <w:sz w:val="18"/>
              </w:rPr>
              <w:t>3.203</w:t>
            </w:r>
          </w:p>
        </w:tc>
        <w:tc>
          <w:tcPr>
            <w:tcW w:w="1418" w:type="dxa"/>
            <w:tcBorders>
              <w:top w:val="nil"/>
              <w:left w:val="single" w:sz="8" w:space="0" w:color="000000"/>
              <w:bottom w:val="nil"/>
              <w:right w:val="single" w:sz="8" w:space="0" w:color="000000"/>
            </w:tcBorders>
          </w:tcPr>
          <w:p>
            <w:pPr>
              <w:pStyle w:val="TableParagraph"/>
              <w:spacing w:before="47"/>
              <w:ind w:right="39"/>
              <w:jc w:val="right"/>
              <w:rPr>
                <w:sz w:val="18"/>
              </w:rPr>
            </w:pPr>
            <w:r>
              <w:rPr>
                <w:sz w:val="18"/>
              </w:rPr>
              <w:t>54.641</w:t>
            </w:r>
          </w:p>
        </w:tc>
        <w:tc>
          <w:tcPr>
            <w:tcW w:w="708" w:type="dxa"/>
            <w:tcBorders>
              <w:top w:val="nil"/>
              <w:left w:val="single" w:sz="8" w:space="0" w:color="000000"/>
              <w:bottom w:val="nil"/>
              <w:right w:val="single" w:sz="8" w:space="0" w:color="000000"/>
            </w:tcBorders>
          </w:tcPr>
          <w:p>
            <w:pPr>
              <w:pStyle w:val="TableParagraph"/>
              <w:spacing w:before="47"/>
              <w:ind w:right="37"/>
              <w:jc w:val="right"/>
              <w:rPr>
                <w:sz w:val="18"/>
              </w:rPr>
            </w:pPr>
            <w:r>
              <w:rPr>
                <w:sz w:val="18"/>
              </w:rPr>
              <w:t>1.602</w:t>
            </w:r>
          </w:p>
        </w:tc>
        <w:tc>
          <w:tcPr>
            <w:tcW w:w="1277" w:type="dxa"/>
            <w:tcBorders>
              <w:top w:val="nil"/>
              <w:left w:val="single" w:sz="8" w:space="0" w:color="000000"/>
              <w:bottom w:val="nil"/>
              <w:right w:val="single" w:sz="8" w:space="0" w:color="000000"/>
            </w:tcBorders>
          </w:tcPr>
          <w:p>
            <w:pPr>
              <w:pStyle w:val="TableParagraph"/>
              <w:spacing w:before="47"/>
              <w:ind w:right="39"/>
              <w:jc w:val="right"/>
              <w:rPr>
                <w:sz w:val="18"/>
              </w:rPr>
            </w:pPr>
            <w:r>
              <w:rPr>
                <w:sz w:val="18"/>
              </w:rPr>
              <w:t>3.203</w:t>
            </w:r>
          </w:p>
        </w:tc>
        <w:tc>
          <w:tcPr>
            <w:tcW w:w="1277" w:type="dxa"/>
            <w:tcBorders>
              <w:top w:val="nil"/>
              <w:left w:val="single" w:sz="8" w:space="0" w:color="000000"/>
              <w:bottom w:val="nil"/>
              <w:right w:val="single" w:sz="8" w:space="0" w:color="000000"/>
            </w:tcBorders>
          </w:tcPr>
          <w:p>
            <w:pPr>
              <w:pStyle w:val="TableParagraph"/>
              <w:spacing w:before="47"/>
              <w:ind w:right="39"/>
              <w:jc w:val="right"/>
              <w:rPr>
                <w:sz w:val="18"/>
              </w:rPr>
            </w:pPr>
            <w:r>
              <w:rPr>
                <w:sz w:val="18"/>
              </w:rPr>
              <w:t>54.641</w:t>
            </w:r>
          </w:p>
        </w:tc>
        <w:tc>
          <w:tcPr>
            <w:tcW w:w="1354" w:type="dxa"/>
            <w:tcBorders>
              <w:top w:val="nil"/>
              <w:left w:val="single" w:sz="8" w:space="0" w:color="000000"/>
              <w:bottom w:val="nil"/>
            </w:tcBorders>
          </w:tcPr>
          <w:p>
            <w:pPr>
              <w:pStyle w:val="TableParagraph"/>
              <w:spacing w:before="47"/>
              <w:ind w:right="36"/>
              <w:jc w:val="right"/>
              <w:rPr>
                <w:sz w:val="18"/>
              </w:rPr>
            </w:pPr>
            <w:r>
              <w:rPr>
                <w:sz w:val="18"/>
              </w:rPr>
              <w:t>1.966</w:t>
            </w:r>
          </w:p>
        </w:tc>
      </w:tr>
      <w:tr>
        <w:trPr>
          <w:trHeight w:val="310" w:hRule="atLeast"/>
        </w:trPr>
        <w:tc>
          <w:tcPr>
            <w:tcW w:w="576" w:type="dxa"/>
            <w:tcBorders>
              <w:top w:val="nil"/>
              <w:bottom w:val="nil"/>
            </w:tcBorders>
          </w:tcPr>
          <w:p>
            <w:pPr>
              <w:pStyle w:val="TableParagraph"/>
              <w:spacing w:before="48"/>
              <w:ind w:left="75"/>
              <w:rPr>
                <w:sz w:val="18"/>
              </w:rPr>
            </w:pPr>
            <w:r>
              <w:rPr>
                <w:sz w:val="18"/>
              </w:rPr>
              <w:t>10</w:t>
            </w:r>
          </w:p>
        </w:tc>
        <w:tc>
          <w:tcPr>
            <w:tcW w:w="701" w:type="dxa"/>
            <w:tcBorders>
              <w:top w:val="nil"/>
              <w:bottom w:val="nil"/>
              <w:right w:val="single" w:sz="8" w:space="0" w:color="000000"/>
            </w:tcBorders>
          </w:tcPr>
          <w:p>
            <w:pPr>
              <w:pStyle w:val="TableParagraph"/>
              <w:spacing w:before="48"/>
              <w:ind w:right="40"/>
              <w:jc w:val="right"/>
              <w:rPr>
                <w:sz w:val="18"/>
              </w:rPr>
            </w:pPr>
            <w:r>
              <w:rPr>
                <w:sz w:val="18"/>
              </w:rPr>
              <w:t>1.469</w:t>
            </w:r>
          </w:p>
        </w:tc>
        <w:tc>
          <w:tcPr>
            <w:tcW w:w="1275" w:type="dxa"/>
            <w:tcBorders>
              <w:top w:val="nil"/>
              <w:left w:val="single" w:sz="8" w:space="0" w:color="000000"/>
              <w:bottom w:val="nil"/>
              <w:right w:val="single" w:sz="8" w:space="0" w:color="000000"/>
            </w:tcBorders>
          </w:tcPr>
          <w:p>
            <w:pPr>
              <w:pStyle w:val="TableParagraph"/>
              <w:spacing w:before="48"/>
              <w:ind w:right="38"/>
              <w:jc w:val="right"/>
              <w:rPr>
                <w:sz w:val="18"/>
              </w:rPr>
            </w:pPr>
            <w:r>
              <w:rPr>
                <w:sz w:val="18"/>
              </w:rPr>
              <w:t>2.937</w:t>
            </w:r>
          </w:p>
        </w:tc>
        <w:tc>
          <w:tcPr>
            <w:tcW w:w="1418" w:type="dxa"/>
            <w:tcBorders>
              <w:top w:val="nil"/>
              <w:left w:val="single" w:sz="8" w:space="0" w:color="000000"/>
              <w:bottom w:val="nil"/>
              <w:right w:val="single" w:sz="8" w:space="0" w:color="000000"/>
            </w:tcBorders>
          </w:tcPr>
          <w:p>
            <w:pPr>
              <w:pStyle w:val="TableParagraph"/>
              <w:spacing w:before="48"/>
              <w:ind w:right="39"/>
              <w:jc w:val="right"/>
              <w:rPr>
                <w:sz w:val="18"/>
              </w:rPr>
            </w:pPr>
            <w:r>
              <w:rPr>
                <w:sz w:val="18"/>
              </w:rPr>
              <w:t>57.578</w:t>
            </w:r>
          </w:p>
        </w:tc>
        <w:tc>
          <w:tcPr>
            <w:tcW w:w="708" w:type="dxa"/>
            <w:tcBorders>
              <w:top w:val="nil"/>
              <w:left w:val="single" w:sz="8" w:space="0" w:color="000000"/>
              <w:bottom w:val="nil"/>
              <w:right w:val="single" w:sz="8" w:space="0" w:color="000000"/>
            </w:tcBorders>
          </w:tcPr>
          <w:p>
            <w:pPr>
              <w:pStyle w:val="TableParagraph"/>
              <w:spacing w:before="48"/>
              <w:ind w:right="37"/>
              <w:jc w:val="right"/>
              <w:rPr>
                <w:sz w:val="18"/>
              </w:rPr>
            </w:pPr>
            <w:r>
              <w:rPr>
                <w:sz w:val="18"/>
              </w:rPr>
              <w:t>1.469</w:t>
            </w:r>
          </w:p>
        </w:tc>
        <w:tc>
          <w:tcPr>
            <w:tcW w:w="1277" w:type="dxa"/>
            <w:tcBorders>
              <w:top w:val="nil"/>
              <w:left w:val="single" w:sz="8" w:space="0" w:color="000000"/>
              <w:bottom w:val="nil"/>
              <w:right w:val="single" w:sz="8" w:space="0" w:color="000000"/>
            </w:tcBorders>
          </w:tcPr>
          <w:p>
            <w:pPr>
              <w:pStyle w:val="TableParagraph"/>
              <w:spacing w:before="48"/>
              <w:ind w:right="39"/>
              <w:jc w:val="right"/>
              <w:rPr>
                <w:sz w:val="18"/>
              </w:rPr>
            </w:pPr>
            <w:r>
              <w:rPr>
                <w:sz w:val="18"/>
              </w:rPr>
              <w:t>2.937</w:t>
            </w:r>
          </w:p>
        </w:tc>
        <w:tc>
          <w:tcPr>
            <w:tcW w:w="1277" w:type="dxa"/>
            <w:tcBorders>
              <w:top w:val="nil"/>
              <w:left w:val="single" w:sz="8" w:space="0" w:color="000000"/>
              <w:bottom w:val="nil"/>
              <w:right w:val="single" w:sz="8" w:space="0" w:color="000000"/>
            </w:tcBorders>
          </w:tcPr>
          <w:p>
            <w:pPr>
              <w:pStyle w:val="TableParagraph"/>
              <w:spacing w:before="48"/>
              <w:ind w:right="39"/>
              <w:jc w:val="right"/>
              <w:rPr>
                <w:sz w:val="18"/>
              </w:rPr>
            </w:pPr>
            <w:r>
              <w:rPr>
                <w:sz w:val="18"/>
              </w:rPr>
              <w:t>57.578</w:t>
            </w:r>
          </w:p>
        </w:tc>
        <w:tc>
          <w:tcPr>
            <w:tcW w:w="1354" w:type="dxa"/>
            <w:tcBorders>
              <w:top w:val="nil"/>
              <w:left w:val="single" w:sz="8" w:space="0" w:color="000000"/>
              <w:bottom w:val="nil"/>
            </w:tcBorders>
          </w:tcPr>
          <w:p>
            <w:pPr>
              <w:pStyle w:val="TableParagraph"/>
              <w:spacing w:before="48"/>
              <w:ind w:right="36"/>
              <w:jc w:val="right"/>
              <w:rPr>
                <w:sz w:val="18"/>
              </w:rPr>
            </w:pPr>
            <w:r>
              <w:rPr>
                <w:sz w:val="18"/>
              </w:rPr>
              <w:t>1.612</w:t>
            </w:r>
          </w:p>
        </w:tc>
      </w:tr>
      <w:tr>
        <w:trPr>
          <w:trHeight w:val="309" w:hRule="atLeast"/>
        </w:trPr>
        <w:tc>
          <w:tcPr>
            <w:tcW w:w="576" w:type="dxa"/>
            <w:tcBorders>
              <w:top w:val="nil"/>
              <w:bottom w:val="nil"/>
            </w:tcBorders>
          </w:tcPr>
          <w:p>
            <w:pPr>
              <w:pStyle w:val="TableParagraph"/>
              <w:spacing w:before="47"/>
              <w:ind w:left="75"/>
              <w:rPr>
                <w:sz w:val="18"/>
              </w:rPr>
            </w:pPr>
            <w:r>
              <w:rPr>
                <w:sz w:val="18"/>
              </w:rPr>
              <w:t>11</w:t>
            </w:r>
          </w:p>
        </w:tc>
        <w:tc>
          <w:tcPr>
            <w:tcW w:w="701" w:type="dxa"/>
            <w:tcBorders>
              <w:top w:val="nil"/>
              <w:bottom w:val="nil"/>
              <w:right w:val="single" w:sz="8" w:space="0" w:color="000000"/>
            </w:tcBorders>
          </w:tcPr>
          <w:p>
            <w:pPr>
              <w:pStyle w:val="TableParagraph"/>
              <w:spacing w:before="47"/>
              <w:ind w:right="39"/>
              <w:jc w:val="right"/>
              <w:rPr>
                <w:sz w:val="18"/>
              </w:rPr>
            </w:pPr>
            <w:r>
              <w:rPr>
                <w:sz w:val="18"/>
              </w:rPr>
              <w:t>1.237</w:t>
            </w:r>
          </w:p>
        </w:tc>
        <w:tc>
          <w:tcPr>
            <w:tcW w:w="1275" w:type="dxa"/>
            <w:tcBorders>
              <w:top w:val="nil"/>
              <w:left w:val="single" w:sz="8" w:space="0" w:color="000000"/>
              <w:bottom w:val="nil"/>
              <w:right w:val="single" w:sz="8" w:space="0" w:color="000000"/>
            </w:tcBorders>
          </w:tcPr>
          <w:p>
            <w:pPr>
              <w:pStyle w:val="TableParagraph"/>
              <w:spacing w:before="47"/>
              <w:ind w:right="37"/>
              <w:jc w:val="right"/>
              <w:rPr>
                <w:sz w:val="18"/>
              </w:rPr>
            </w:pPr>
            <w:r>
              <w:rPr>
                <w:sz w:val="18"/>
              </w:rPr>
              <w:t>2.475</w:t>
            </w:r>
          </w:p>
        </w:tc>
        <w:tc>
          <w:tcPr>
            <w:tcW w:w="1418" w:type="dxa"/>
            <w:tcBorders>
              <w:top w:val="nil"/>
              <w:left w:val="single" w:sz="8" w:space="0" w:color="000000"/>
              <w:bottom w:val="nil"/>
              <w:right w:val="single" w:sz="8" w:space="0" w:color="000000"/>
            </w:tcBorders>
          </w:tcPr>
          <w:p>
            <w:pPr>
              <w:pStyle w:val="TableParagraph"/>
              <w:spacing w:before="47"/>
              <w:ind w:right="40"/>
              <w:jc w:val="right"/>
              <w:rPr>
                <w:sz w:val="18"/>
              </w:rPr>
            </w:pPr>
            <w:r>
              <w:rPr>
                <w:sz w:val="18"/>
              </w:rPr>
              <w:t>60.053</w:t>
            </w:r>
          </w:p>
        </w:tc>
        <w:tc>
          <w:tcPr>
            <w:tcW w:w="708" w:type="dxa"/>
            <w:tcBorders>
              <w:top w:val="nil"/>
              <w:left w:val="single" w:sz="8" w:space="0" w:color="000000"/>
              <w:bottom w:val="nil"/>
              <w:right w:val="single" w:sz="8" w:space="0" w:color="000000"/>
            </w:tcBorders>
          </w:tcPr>
          <w:p>
            <w:pPr>
              <w:pStyle w:val="TableParagraph"/>
              <w:spacing w:before="47"/>
              <w:ind w:right="37"/>
              <w:jc w:val="right"/>
              <w:rPr>
                <w:sz w:val="18"/>
              </w:rPr>
            </w:pPr>
            <w:r>
              <w:rPr>
                <w:sz w:val="18"/>
              </w:rPr>
              <w:t>1.237</w:t>
            </w:r>
          </w:p>
        </w:tc>
        <w:tc>
          <w:tcPr>
            <w:tcW w:w="1277" w:type="dxa"/>
            <w:tcBorders>
              <w:top w:val="nil"/>
              <w:left w:val="single" w:sz="8" w:space="0" w:color="000000"/>
              <w:bottom w:val="nil"/>
              <w:right w:val="single" w:sz="8" w:space="0" w:color="000000"/>
            </w:tcBorders>
          </w:tcPr>
          <w:p>
            <w:pPr>
              <w:pStyle w:val="TableParagraph"/>
              <w:spacing w:before="47"/>
              <w:ind w:right="39"/>
              <w:jc w:val="right"/>
              <w:rPr>
                <w:sz w:val="18"/>
              </w:rPr>
            </w:pPr>
            <w:r>
              <w:rPr>
                <w:sz w:val="18"/>
              </w:rPr>
              <w:t>2.475</w:t>
            </w:r>
          </w:p>
        </w:tc>
        <w:tc>
          <w:tcPr>
            <w:tcW w:w="1277" w:type="dxa"/>
            <w:tcBorders>
              <w:top w:val="nil"/>
              <w:left w:val="single" w:sz="8" w:space="0" w:color="000000"/>
              <w:bottom w:val="nil"/>
              <w:right w:val="single" w:sz="8" w:space="0" w:color="000000"/>
            </w:tcBorders>
          </w:tcPr>
          <w:p>
            <w:pPr>
              <w:pStyle w:val="TableParagraph"/>
              <w:spacing w:before="47"/>
              <w:ind w:right="40"/>
              <w:jc w:val="right"/>
              <w:rPr>
                <w:sz w:val="18"/>
              </w:rPr>
            </w:pPr>
            <w:r>
              <w:rPr>
                <w:sz w:val="18"/>
              </w:rPr>
              <w:t>60.053</w:t>
            </w:r>
          </w:p>
        </w:tc>
        <w:tc>
          <w:tcPr>
            <w:tcW w:w="1354" w:type="dxa"/>
            <w:tcBorders>
              <w:top w:val="nil"/>
              <w:left w:val="single" w:sz="8" w:space="0" w:color="000000"/>
              <w:bottom w:val="nil"/>
            </w:tcBorders>
          </w:tcPr>
          <w:p>
            <w:pPr>
              <w:pStyle w:val="TableParagraph"/>
              <w:spacing w:before="47"/>
              <w:ind w:right="36"/>
              <w:jc w:val="right"/>
              <w:rPr>
                <w:sz w:val="18"/>
              </w:rPr>
            </w:pPr>
            <w:r>
              <w:rPr>
                <w:sz w:val="18"/>
              </w:rPr>
              <w:t>1.309</w:t>
            </w:r>
          </w:p>
        </w:tc>
      </w:tr>
      <w:tr>
        <w:trPr>
          <w:trHeight w:val="310" w:hRule="atLeast"/>
        </w:trPr>
        <w:tc>
          <w:tcPr>
            <w:tcW w:w="576" w:type="dxa"/>
            <w:tcBorders>
              <w:top w:val="nil"/>
              <w:bottom w:val="nil"/>
            </w:tcBorders>
          </w:tcPr>
          <w:p>
            <w:pPr>
              <w:pStyle w:val="TableParagraph"/>
              <w:spacing w:before="47"/>
              <w:ind w:left="75"/>
              <w:rPr>
                <w:sz w:val="18"/>
              </w:rPr>
            </w:pPr>
            <w:r>
              <w:rPr>
                <w:sz w:val="18"/>
              </w:rPr>
              <w:t>12</w:t>
            </w:r>
          </w:p>
        </w:tc>
        <w:tc>
          <w:tcPr>
            <w:tcW w:w="701" w:type="dxa"/>
            <w:tcBorders>
              <w:top w:val="nil"/>
              <w:bottom w:val="nil"/>
              <w:right w:val="single" w:sz="8" w:space="0" w:color="000000"/>
            </w:tcBorders>
          </w:tcPr>
          <w:p>
            <w:pPr>
              <w:pStyle w:val="TableParagraph"/>
              <w:spacing w:before="47"/>
              <w:ind w:right="40"/>
              <w:jc w:val="right"/>
              <w:rPr>
                <w:sz w:val="18"/>
              </w:rPr>
            </w:pPr>
            <w:r>
              <w:rPr>
                <w:sz w:val="18"/>
              </w:rPr>
              <w:t>1.171</w:t>
            </w:r>
          </w:p>
        </w:tc>
        <w:tc>
          <w:tcPr>
            <w:tcW w:w="1275" w:type="dxa"/>
            <w:tcBorders>
              <w:top w:val="nil"/>
              <w:left w:val="single" w:sz="8" w:space="0" w:color="000000"/>
              <w:bottom w:val="nil"/>
              <w:right w:val="single" w:sz="8" w:space="0" w:color="000000"/>
            </w:tcBorders>
          </w:tcPr>
          <w:p>
            <w:pPr>
              <w:pStyle w:val="TableParagraph"/>
              <w:spacing w:before="47"/>
              <w:ind w:right="36"/>
              <w:jc w:val="right"/>
              <w:rPr>
                <w:sz w:val="18"/>
              </w:rPr>
            </w:pPr>
            <w:r>
              <w:rPr>
                <w:sz w:val="18"/>
              </w:rPr>
              <w:t>2.342</w:t>
            </w:r>
          </w:p>
        </w:tc>
        <w:tc>
          <w:tcPr>
            <w:tcW w:w="1418" w:type="dxa"/>
            <w:tcBorders>
              <w:top w:val="nil"/>
              <w:left w:val="single" w:sz="8" w:space="0" w:color="000000"/>
              <w:bottom w:val="nil"/>
              <w:right w:val="single" w:sz="8" w:space="0" w:color="000000"/>
            </w:tcBorders>
          </w:tcPr>
          <w:p>
            <w:pPr>
              <w:pStyle w:val="TableParagraph"/>
              <w:spacing w:before="47"/>
              <w:ind w:right="39"/>
              <w:jc w:val="right"/>
              <w:rPr>
                <w:sz w:val="18"/>
              </w:rPr>
            </w:pPr>
            <w:r>
              <w:rPr>
                <w:sz w:val="18"/>
              </w:rPr>
              <w:t>62.395</w:t>
            </w:r>
          </w:p>
        </w:tc>
        <w:tc>
          <w:tcPr>
            <w:tcW w:w="708" w:type="dxa"/>
            <w:tcBorders>
              <w:top w:val="nil"/>
              <w:left w:val="single" w:sz="8" w:space="0" w:color="000000"/>
              <w:bottom w:val="nil"/>
              <w:right w:val="single" w:sz="8" w:space="0" w:color="000000"/>
            </w:tcBorders>
          </w:tcPr>
          <w:p>
            <w:pPr>
              <w:pStyle w:val="TableParagraph"/>
              <w:spacing w:before="47"/>
              <w:ind w:right="37"/>
              <w:jc w:val="right"/>
              <w:rPr>
                <w:sz w:val="18"/>
              </w:rPr>
            </w:pPr>
            <w:r>
              <w:rPr>
                <w:sz w:val="18"/>
              </w:rPr>
              <w:t>1.171</w:t>
            </w:r>
          </w:p>
        </w:tc>
        <w:tc>
          <w:tcPr>
            <w:tcW w:w="1277" w:type="dxa"/>
            <w:tcBorders>
              <w:top w:val="nil"/>
              <w:left w:val="single" w:sz="8" w:space="0" w:color="000000"/>
              <w:bottom w:val="nil"/>
              <w:right w:val="single" w:sz="8" w:space="0" w:color="000000"/>
            </w:tcBorders>
          </w:tcPr>
          <w:p>
            <w:pPr>
              <w:pStyle w:val="TableParagraph"/>
              <w:spacing w:before="47"/>
              <w:ind w:right="39"/>
              <w:jc w:val="right"/>
              <w:rPr>
                <w:sz w:val="18"/>
              </w:rPr>
            </w:pPr>
            <w:r>
              <w:rPr>
                <w:sz w:val="18"/>
              </w:rPr>
              <w:t>2.342</w:t>
            </w:r>
          </w:p>
        </w:tc>
        <w:tc>
          <w:tcPr>
            <w:tcW w:w="1277" w:type="dxa"/>
            <w:tcBorders>
              <w:top w:val="nil"/>
              <w:left w:val="single" w:sz="8" w:space="0" w:color="000000"/>
              <w:bottom w:val="nil"/>
              <w:right w:val="single" w:sz="8" w:space="0" w:color="000000"/>
            </w:tcBorders>
          </w:tcPr>
          <w:p>
            <w:pPr>
              <w:pStyle w:val="TableParagraph"/>
              <w:spacing w:before="47"/>
              <w:ind w:right="39"/>
              <w:jc w:val="right"/>
              <w:rPr>
                <w:sz w:val="18"/>
              </w:rPr>
            </w:pPr>
            <w:r>
              <w:rPr>
                <w:sz w:val="18"/>
              </w:rPr>
              <w:t>62.395</w:t>
            </w:r>
          </w:p>
        </w:tc>
        <w:tc>
          <w:tcPr>
            <w:tcW w:w="1354" w:type="dxa"/>
            <w:tcBorders>
              <w:top w:val="nil"/>
              <w:left w:val="single" w:sz="8" w:space="0" w:color="000000"/>
              <w:bottom w:val="nil"/>
            </w:tcBorders>
          </w:tcPr>
          <w:p>
            <w:pPr>
              <w:pStyle w:val="TableParagraph"/>
              <w:spacing w:before="47"/>
              <w:ind w:right="36"/>
              <w:jc w:val="right"/>
              <w:rPr>
                <w:sz w:val="18"/>
              </w:rPr>
            </w:pPr>
            <w:r>
              <w:rPr>
                <w:sz w:val="18"/>
              </w:rPr>
              <w:t>1.280</w:t>
            </w:r>
          </w:p>
        </w:tc>
      </w:tr>
      <w:tr>
        <w:trPr>
          <w:trHeight w:val="310" w:hRule="atLeast"/>
        </w:trPr>
        <w:tc>
          <w:tcPr>
            <w:tcW w:w="576" w:type="dxa"/>
            <w:tcBorders>
              <w:top w:val="nil"/>
              <w:bottom w:val="nil"/>
            </w:tcBorders>
          </w:tcPr>
          <w:p>
            <w:pPr>
              <w:pStyle w:val="TableParagraph"/>
              <w:spacing w:before="48"/>
              <w:ind w:left="75"/>
              <w:rPr>
                <w:sz w:val="18"/>
              </w:rPr>
            </w:pPr>
            <w:r>
              <w:rPr>
                <w:sz w:val="18"/>
              </w:rPr>
              <w:t>13</w:t>
            </w:r>
          </w:p>
        </w:tc>
        <w:tc>
          <w:tcPr>
            <w:tcW w:w="701" w:type="dxa"/>
            <w:tcBorders>
              <w:top w:val="nil"/>
              <w:bottom w:val="nil"/>
              <w:right w:val="single" w:sz="8" w:space="0" w:color="000000"/>
            </w:tcBorders>
          </w:tcPr>
          <w:p>
            <w:pPr>
              <w:pStyle w:val="TableParagraph"/>
              <w:spacing w:before="48"/>
              <w:ind w:right="40"/>
              <w:jc w:val="right"/>
              <w:rPr>
                <w:sz w:val="18"/>
              </w:rPr>
            </w:pPr>
            <w:r>
              <w:rPr>
                <w:sz w:val="18"/>
              </w:rPr>
              <w:t>1.024</w:t>
            </w:r>
          </w:p>
        </w:tc>
        <w:tc>
          <w:tcPr>
            <w:tcW w:w="1275" w:type="dxa"/>
            <w:tcBorders>
              <w:top w:val="nil"/>
              <w:left w:val="single" w:sz="8" w:space="0" w:color="000000"/>
              <w:bottom w:val="nil"/>
              <w:right w:val="single" w:sz="8" w:space="0" w:color="000000"/>
            </w:tcBorders>
          </w:tcPr>
          <w:p>
            <w:pPr>
              <w:pStyle w:val="TableParagraph"/>
              <w:spacing w:before="48"/>
              <w:ind w:right="38"/>
              <w:jc w:val="right"/>
              <w:rPr>
                <w:sz w:val="18"/>
              </w:rPr>
            </w:pPr>
            <w:r>
              <w:rPr>
                <w:sz w:val="18"/>
              </w:rPr>
              <w:t>2.048</w:t>
            </w:r>
          </w:p>
        </w:tc>
        <w:tc>
          <w:tcPr>
            <w:tcW w:w="1418" w:type="dxa"/>
            <w:tcBorders>
              <w:top w:val="nil"/>
              <w:left w:val="single" w:sz="8" w:space="0" w:color="000000"/>
              <w:bottom w:val="nil"/>
              <w:right w:val="single" w:sz="8" w:space="0" w:color="000000"/>
            </w:tcBorders>
          </w:tcPr>
          <w:p>
            <w:pPr>
              <w:pStyle w:val="TableParagraph"/>
              <w:spacing w:before="48"/>
              <w:ind w:right="40"/>
              <w:jc w:val="right"/>
              <w:rPr>
                <w:sz w:val="18"/>
              </w:rPr>
            </w:pPr>
            <w:r>
              <w:rPr>
                <w:sz w:val="18"/>
              </w:rPr>
              <w:t>64.443</w:t>
            </w:r>
          </w:p>
        </w:tc>
        <w:tc>
          <w:tcPr>
            <w:tcW w:w="708" w:type="dxa"/>
            <w:tcBorders>
              <w:top w:val="nil"/>
              <w:left w:val="single" w:sz="8" w:space="0" w:color="000000"/>
              <w:bottom w:val="nil"/>
              <w:right w:val="single" w:sz="8" w:space="0" w:color="000000"/>
            </w:tcBorders>
          </w:tcPr>
          <w:p>
            <w:pPr>
              <w:pStyle w:val="TableParagraph"/>
              <w:spacing w:before="48"/>
              <w:ind w:right="35"/>
              <w:jc w:val="right"/>
              <w:rPr>
                <w:sz w:val="18"/>
              </w:rPr>
            </w:pPr>
            <w:r>
              <w:rPr>
                <w:sz w:val="18"/>
              </w:rPr>
              <w:t>1.024</w:t>
            </w:r>
          </w:p>
        </w:tc>
        <w:tc>
          <w:tcPr>
            <w:tcW w:w="1277" w:type="dxa"/>
            <w:tcBorders>
              <w:top w:val="nil"/>
              <w:left w:val="single" w:sz="8" w:space="0" w:color="000000"/>
              <w:bottom w:val="nil"/>
              <w:right w:val="single" w:sz="8" w:space="0" w:color="000000"/>
            </w:tcBorders>
          </w:tcPr>
          <w:p>
            <w:pPr>
              <w:pStyle w:val="TableParagraph"/>
              <w:spacing w:before="48"/>
              <w:ind w:right="39"/>
              <w:jc w:val="right"/>
              <w:rPr>
                <w:sz w:val="18"/>
              </w:rPr>
            </w:pPr>
            <w:r>
              <w:rPr>
                <w:sz w:val="18"/>
              </w:rPr>
              <w:t>2.048</w:t>
            </w:r>
          </w:p>
        </w:tc>
        <w:tc>
          <w:tcPr>
            <w:tcW w:w="1277" w:type="dxa"/>
            <w:tcBorders>
              <w:top w:val="nil"/>
              <w:left w:val="single" w:sz="8" w:space="0" w:color="000000"/>
              <w:bottom w:val="nil"/>
              <w:right w:val="single" w:sz="8" w:space="0" w:color="000000"/>
            </w:tcBorders>
          </w:tcPr>
          <w:p>
            <w:pPr>
              <w:pStyle w:val="TableParagraph"/>
              <w:spacing w:before="48"/>
              <w:ind w:right="39"/>
              <w:jc w:val="right"/>
              <w:rPr>
                <w:sz w:val="18"/>
              </w:rPr>
            </w:pPr>
            <w:r>
              <w:rPr>
                <w:sz w:val="18"/>
              </w:rPr>
              <w:t>64.443</w:t>
            </w:r>
          </w:p>
        </w:tc>
        <w:tc>
          <w:tcPr>
            <w:tcW w:w="1354" w:type="dxa"/>
            <w:tcBorders>
              <w:top w:val="nil"/>
              <w:left w:val="single" w:sz="8" w:space="0" w:color="000000"/>
              <w:bottom w:val="nil"/>
            </w:tcBorders>
          </w:tcPr>
          <w:p>
            <w:pPr>
              <w:pStyle w:val="TableParagraph"/>
              <w:spacing w:before="48"/>
              <w:ind w:right="36"/>
              <w:jc w:val="right"/>
              <w:rPr>
                <w:sz w:val="18"/>
              </w:rPr>
            </w:pPr>
            <w:r>
              <w:rPr>
                <w:sz w:val="18"/>
              </w:rPr>
              <w:t>1.303</w:t>
            </w:r>
          </w:p>
        </w:tc>
      </w:tr>
      <w:tr>
        <w:trPr>
          <w:trHeight w:val="310" w:hRule="atLeast"/>
        </w:trPr>
        <w:tc>
          <w:tcPr>
            <w:tcW w:w="576" w:type="dxa"/>
            <w:tcBorders>
              <w:top w:val="nil"/>
              <w:bottom w:val="nil"/>
            </w:tcBorders>
          </w:tcPr>
          <w:p>
            <w:pPr>
              <w:pStyle w:val="TableParagraph"/>
              <w:spacing w:before="47"/>
              <w:ind w:left="75"/>
              <w:rPr>
                <w:sz w:val="18"/>
              </w:rPr>
            </w:pPr>
            <w:r>
              <w:rPr>
                <w:sz w:val="18"/>
              </w:rPr>
              <w:t>14</w:t>
            </w:r>
          </w:p>
        </w:tc>
        <w:tc>
          <w:tcPr>
            <w:tcW w:w="701" w:type="dxa"/>
            <w:tcBorders>
              <w:top w:val="nil"/>
              <w:bottom w:val="nil"/>
              <w:right w:val="single" w:sz="8" w:space="0" w:color="000000"/>
            </w:tcBorders>
          </w:tcPr>
          <w:p>
            <w:pPr>
              <w:pStyle w:val="TableParagraph"/>
              <w:spacing w:before="47"/>
              <w:ind w:right="40"/>
              <w:jc w:val="right"/>
              <w:rPr>
                <w:sz w:val="18"/>
              </w:rPr>
            </w:pPr>
            <w:r>
              <w:rPr>
                <w:sz w:val="18"/>
              </w:rPr>
              <w:t>.979</w:t>
            </w:r>
          </w:p>
        </w:tc>
        <w:tc>
          <w:tcPr>
            <w:tcW w:w="1275" w:type="dxa"/>
            <w:tcBorders>
              <w:top w:val="nil"/>
              <w:left w:val="single" w:sz="8" w:space="0" w:color="000000"/>
              <w:bottom w:val="nil"/>
              <w:right w:val="single" w:sz="8" w:space="0" w:color="000000"/>
            </w:tcBorders>
          </w:tcPr>
          <w:p>
            <w:pPr>
              <w:pStyle w:val="TableParagraph"/>
              <w:spacing w:before="47"/>
              <w:ind w:right="38"/>
              <w:jc w:val="right"/>
              <w:rPr>
                <w:sz w:val="18"/>
              </w:rPr>
            </w:pPr>
            <w:r>
              <w:rPr>
                <w:sz w:val="18"/>
              </w:rPr>
              <w:t>1.957</w:t>
            </w:r>
          </w:p>
        </w:tc>
        <w:tc>
          <w:tcPr>
            <w:tcW w:w="1418" w:type="dxa"/>
            <w:tcBorders>
              <w:top w:val="nil"/>
              <w:left w:val="single" w:sz="8" w:space="0" w:color="000000"/>
              <w:bottom w:val="nil"/>
              <w:right w:val="single" w:sz="8" w:space="0" w:color="000000"/>
            </w:tcBorders>
          </w:tcPr>
          <w:p>
            <w:pPr>
              <w:pStyle w:val="TableParagraph"/>
              <w:spacing w:before="47"/>
              <w:ind w:right="39"/>
              <w:jc w:val="right"/>
              <w:rPr>
                <w:sz w:val="18"/>
              </w:rPr>
            </w:pPr>
            <w:r>
              <w:rPr>
                <w:sz w:val="18"/>
              </w:rPr>
              <w:t>66.400</w:t>
            </w:r>
          </w:p>
        </w:tc>
        <w:tc>
          <w:tcPr>
            <w:tcW w:w="708" w:type="dxa"/>
            <w:tcBorders>
              <w:top w:val="nil"/>
              <w:left w:val="single" w:sz="8" w:space="0" w:color="000000"/>
              <w:bottom w:val="nil"/>
              <w:right w:val="single" w:sz="8" w:space="0" w:color="000000"/>
            </w:tcBorders>
          </w:tcPr>
          <w:p>
            <w:pPr>
              <w:pStyle w:val="TableParagraph"/>
              <w:rPr>
                <w:sz w:val="18"/>
              </w:rPr>
            </w:pPr>
          </w:p>
        </w:tc>
        <w:tc>
          <w:tcPr>
            <w:tcW w:w="1277" w:type="dxa"/>
            <w:tcBorders>
              <w:top w:val="nil"/>
              <w:left w:val="single" w:sz="8" w:space="0" w:color="000000"/>
              <w:bottom w:val="nil"/>
              <w:right w:val="single" w:sz="8" w:space="0" w:color="000000"/>
            </w:tcBorders>
          </w:tcPr>
          <w:p>
            <w:pPr>
              <w:pStyle w:val="TableParagraph"/>
              <w:rPr>
                <w:sz w:val="18"/>
              </w:rPr>
            </w:pPr>
          </w:p>
        </w:tc>
        <w:tc>
          <w:tcPr>
            <w:tcW w:w="1277" w:type="dxa"/>
            <w:tcBorders>
              <w:top w:val="nil"/>
              <w:left w:val="single" w:sz="8" w:space="0" w:color="000000"/>
              <w:bottom w:val="nil"/>
              <w:right w:val="single" w:sz="8" w:space="0" w:color="000000"/>
            </w:tcBorders>
          </w:tcPr>
          <w:p>
            <w:pPr>
              <w:pStyle w:val="TableParagraph"/>
              <w:rPr>
                <w:sz w:val="18"/>
              </w:rPr>
            </w:pPr>
          </w:p>
        </w:tc>
        <w:tc>
          <w:tcPr>
            <w:tcW w:w="1354" w:type="dxa"/>
            <w:tcBorders>
              <w:top w:val="nil"/>
              <w:left w:val="single" w:sz="8" w:space="0" w:color="000000"/>
              <w:bottom w:val="nil"/>
            </w:tcBorders>
          </w:tcPr>
          <w:p>
            <w:pPr>
              <w:pStyle w:val="TableParagraph"/>
              <w:rPr>
                <w:sz w:val="18"/>
              </w:rPr>
            </w:pPr>
          </w:p>
        </w:tc>
      </w:tr>
      <w:tr>
        <w:trPr>
          <w:trHeight w:val="310" w:hRule="atLeast"/>
        </w:trPr>
        <w:tc>
          <w:tcPr>
            <w:tcW w:w="576" w:type="dxa"/>
            <w:tcBorders>
              <w:top w:val="nil"/>
              <w:bottom w:val="nil"/>
            </w:tcBorders>
          </w:tcPr>
          <w:p>
            <w:pPr>
              <w:pStyle w:val="TableParagraph"/>
              <w:spacing w:before="48"/>
              <w:ind w:left="75"/>
              <w:rPr>
                <w:sz w:val="18"/>
              </w:rPr>
            </w:pPr>
            <w:r>
              <w:rPr>
                <w:sz w:val="18"/>
              </w:rPr>
              <w:t>15</w:t>
            </w:r>
          </w:p>
        </w:tc>
        <w:tc>
          <w:tcPr>
            <w:tcW w:w="701" w:type="dxa"/>
            <w:tcBorders>
              <w:top w:val="nil"/>
              <w:bottom w:val="nil"/>
              <w:right w:val="single" w:sz="8" w:space="0" w:color="000000"/>
            </w:tcBorders>
          </w:tcPr>
          <w:p>
            <w:pPr>
              <w:pStyle w:val="TableParagraph"/>
              <w:spacing w:before="48"/>
              <w:ind w:right="39"/>
              <w:jc w:val="right"/>
              <w:rPr>
                <w:sz w:val="18"/>
              </w:rPr>
            </w:pPr>
            <w:r>
              <w:rPr>
                <w:sz w:val="18"/>
              </w:rPr>
              <w:t>.951</w:t>
            </w:r>
          </w:p>
        </w:tc>
        <w:tc>
          <w:tcPr>
            <w:tcW w:w="1275" w:type="dxa"/>
            <w:tcBorders>
              <w:top w:val="nil"/>
              <w:left w:val="single" w:sz="8" w:space="0" w:color="000000"/>
              <w:bottom w:val="nil"/>
              <w:right w:val="single" w:sz="8" w:space="0" w:color="000000"/>
            </w:tcBorders>
          </w:tcPr>
          <w:p>
            <w:pPr>
              <w:pStyle w:val="TableParagraph"/>
              <w:spacing w:before="48"/>
              <w:ind w:right="36"/>
              <w:jc w:val="right"/>
              <w:rPr>
                <w:sz w:val="18"/>
              </w:rPr>
            </w:pPr>
            <w:r>
              <w:rPr>
                <w:sz w:val="18"/>
              </w:rPr>
              <w:t>1.903</w:t>
            </w:r>
          </w:p>
        </w:tc>
        <w:tc>
          <w:tcPr>
            <w:tcW w:w="1418" w:type="dxa"/>
            <w:tcBorders>
              <w:top w:val="nil"/>
              <w:left w:val="single" w:sz="8" w:space="0" w:color="000000"/>
              <w:bottom w:val="nil"/>
              <w:right w:val="single" w:sz="8" w:space="0" w:color="000000"/>
            </w:tcBorders>
          </w:tcPr>
          <w:p>
            <w:pPr>
              <w:pStyle w:val="TableParagraph"/>
              <w:spacing w:before="48"/>
              <w:ind w:right="39"/>
              <w:jc w:val="right"/>
              <w:rPr>
                <w:sz w:val="18"/>
              </w:rPr>
            </w:pPr>
            <w:r>
              <w:rPr>
                <w:sz w:val="18"/>
              </w:rPr>
              <w:t>68.303</w:t>
            </w:r>
          </w:p>
        </w:tc>
        <w:tc>
          <w:tcPr>
            <w:tcW w:w="708" w:type="dxa"/>
            <w:tcBorders>
              <w:top w:val="nil"/>
              <w:left w:val="single" w:sz="8" w:space="0" w:color="000000"/>
              <w:bottom w:val="nil"/>
              <w:right w:val="single" w:sz="8" w:space="0" w:color="000000"/>
            </w:tcBorders>
          </w:tcPr>
          <w:p>
            <w:pPr>
              <w:pStyle w:val="TableParagraph"/>
              <w:rPr>
                <w:sz w:val="18"/>
              </w:rPr>
            </w:pPr>
          </w:p>
        </w:tc>
        <w:tc>
          <w:tcPr>
            <w:tcW w:w="1277" w:type="dxa"/>
            <w:tcBorders>
              <w:top w:val="nil"/>
              <w:left w:val="single" w:sz="8" w:space="0" w:color="000000"/>
              <w:bottom w:val="nil"/>
              <w:right w:val="single" w:sz="8" w:space="0" w:color="000000"/>
            </w:tcBorders>
          </w:tcPr>
          <w:p>
            <w:pPr>
              <w:pStyle w:val="TableParagraph"/>
              <w:rPr>
                <w:sz w:val="18"/>
              </w:rPr>
            </w:pPr>
          </w:p>
        </w:tc>
        <w:tc>
          <w:tcPr>
            <w:tcW w:w="1277" w:type="dxa"/>
            <w:tcBorders>
              <w:top w:val="nil"/>
              <w:left w:val="single" w:sz="8" w:space="0" w:color="000000"/>
              <w:bottom w:val="nil"/>
              <w:right w:val="single" w:sz="8" w:space="0" w:color="000000"/>
            </w:tcBorders>
          </w:tcPr>
          <w:p>
            <w:pPr>
              <w:pStyle w:val="TableParagraph"/>
              <w:rPr>
                <w:sz w:val="18"/>
              </w:rPr>
            </w:pPr>
          </w:p>
        </w:tc>
        <w:tc>
          <w:tcPr>
            <w:tcW w:w="1354" w:type="dxa"/>
            <w:tcBorders>
              <w:top w:val="nil"/>
              <w:left w:val="single" w:sz="8" w:space="0" w:color="000000"/>
              <w:bottom w:val="nil"/>
            </w:tcBorders>
          </w:tcPr>
          <w:p>
            <w:pPr>
              <w:pStyle w:val="TableParagraph"/>
              <w:rPr>
                <w:sz w:val="18"/>
              </w:rPr>
            </w:pPr>
          </w:p>
        </w:tc>
      </w:tr>
      <w:tr>
        <w:trPr>
          <w:trHeight w:val="309" w:hRule="atLeast"/>
        </w:trPr>
        <w:tc>
          <w:tcPr>
            <w:tcW w:w="576" w:type="dxa"/>
            <w:tcBorders>
              <w:top w:val="nil"/>
              <w:bottom w:val="nil"/>
            </w:tcBorders>
          </w:tcPr>
          <w:p>
            <w:pPr>
              <w:pStyle w:val="TableParagraph"/>
              <w:spacing w:before="47"/>
              <w:ind w:left="75"/>
              <w:rPr>
                <w:sz w:val="18"/>
              </w:rPr>
            </w:pPr>
            <w:r>
              <w:rPr>
                <w:sz w:val="18"/>
              </w:rPr>
              <w:t>16</w:t>
            </w:r>
          </w:p>
        </w:tc>
        <w:tc>
          <w:tcPr>
            <w:tcW w:w="701" w:type="dxa"/>
            <w:tcBorders>
              <w:top w:val="nil"/>
              <w:bottom w:val="nil"/>
              <w:right w:val="single" w:sz="8" w:space="0" w:color="000000"/>
            </w:tcBorders>
          </w:tcPr>
          <w:p>
            <w:pPr>
              <w:pStyle w:val="TableParagraph"/>
              <w:spacing w:before="47"/>
              <w:ind w:right="40"/>
              <w:jc w:val="right"/>
              <w:rPr>
                <w:sz w:val="18"/>
              </w:rPr>
            </w:pPr>
            <w:r>
              <w:rPr>
                <w:sz w:val="18"/>
              </w:rPr>
              <w:t>.833</w:t>
            </w:r>
          </w:p>
        </w:tc>
        <w:tc>
          <w:tcPr>
            <w:tcW w:w="1275" w:type="dxa"/>
            <w:tcBorders>
              <w:top w:val="nil"/>
              <w:left w:val="single" w:sz="8" w:space="0" w:color="000000"/>
              <w:bottom w:val="nil"/>
              <w:right w:val="single" w:sz="8" w:space="0" w:color="000000"/>
            </w:tcBorders>
          </w:tcPr>
          <w:p>
            <w:pPr>
              <w:pStyle w:val="TableParagraph"/>
              <w:spacing w:before="47"/>
              <w:ind w:right="36"/>
              <w:jc w:val="right"/>
              <w:rPr>
                <w:sz w:val="18"/>
              </w:rPr>
            </w:pPr>
            <w:r>
              <w:rPr>
                <w:sz w:val="18"/>
              </w:rPr>
              <w:t>1.666</w:t>
            </w:r>
          </w:p>
        </w:tc>
        <w:tc>
          <w:tcPr>
            <w:tcW w:w="1418" w:type="dxa"/>
            <w:tcBorders>
              <w:top w:val="nil"/>
              <w:left w:val="single" w:sz="8" w:space="0" w:color="000000"/>
              <w:bottom w:val="nil"/>
              <w:right w:val="single" w:sz="8" w:space="0" w:color="000000"/>
            </w:tcBorders>
          </w:tcPr>
          <w:p>
            <w:pPr>
              <w:pStyle w:val="TableParagraph"/>
              <w:spacing w:before="47"/>
              <w:ind w:right="39"/>
              <w:jc w:val="right"/>
              <w:rPr>
                <w:sz w:val="18"/>
              </w:rPr>
            </w:pPr>
            <w:r>
              <w:rPr>
                <w:sz w:val="18"/>
              </w:rPr>
              <w:t>69.969</w:t>
            </w:r>
          </w:p>
        </w:tc>
        <w:tc>
          <w:tcPr>
            <w:tcW w:w="708" w:type="dxa"/>
            <w:tcBorders>
              <w:top w:val="nil"/>
              <w:left w:val="single" w:sz="8" w:space="0" w:color="000000"/>
              <w:bottom w:val="nil"/>
              <w:right w:val="single" w:sz="8" w:space="0" w:color="000000"/>
            </w:tcBorders>
          </w:tcPr>
          <w:p>
            <w:pPr>
              <w:pStyle w:val="TableParagraph"/>
              <w:rPr>
                <w:sz w:val="18"/>
              </w:rPr>
            </w:pPr>
          </w:p>
        </w:tc>
        <w:tc>
          <w:tcPr>
            <w:tcW w:w="1277" w:type="dxa"/>
            <w:tcBorders>
              <w:top w:val="nil"/>
              <w:left w:val="single" w:sz="8" w:space="0" w:color="000000"/>
              <w:bottom w:val="nil"/>
              <w:right w:val="single" w:sz="8" w:space="0" w:color="000000"/>
            </w:tcBorders>
          </w:tcPr>
          <w:p>
            <w:pPr>
              <w:pStyle w:val="TableParagraph"/>
              <w:rPr>
                <w:sz w:val="18"/>
              </w:rPr>
            </w:pPr>
          </w:p>
        </w:tc>
        <w:tc>
          <w:tcPr>
            <w:tcW w:w="1277" w:type="dxa"/>
            <w:tcBorders>
              <w:top w:val="nil"/>
              <w:left w:val="single" w:sz="8" w:space="0" w:color="000000"/>
              <w:bottom w:val="nil"/>
              <w:right w:val="single" w:sz="8" w:space="0" w:color="000000"/>
            </w:tcBorders>
          </w:tcPr>
          <w:p>
            <w:pPr>
              <w:pStyle w:val="TableParagraph"/>
              <w:rPr>
                <w:sz w:val="18"/>
              </w:rPr>
            </w:pPr>
          </w:p>
        </w:tc>
        <w:tc>
          <w:tcPr>
            <w:tcW w:w="1354" w:type="dxa"/>
            <w:tcBorders>
              <w:top w:val="nil"/>
              <w:left w:val="single" w:sz="8" w:space="0" w:color="000000"/>
              <w:bottom w:val="nil"/>
            </w:tcBorders>
          </w:tcPr>
          <w:p>
            <w:pPr>
              <w:pStyle w:val="TableParagraph"/>
              <w:rPr>
                <w:sz w:val="18"/>
              </w:rPr>
            </w:pPr>
          </w:p>
        </w:tc>
      </w:tr>
      <w:tr>
        <w:trPr>
          <w:trHeight w:val="359" w:hRule="atLeast"/>
        </w:trPr>
        <w:tc>
          <w:tcPr>
            <w:tcW w:w="576" w:type="dxa"/>
            <w:tcBorders>
              <w:top w:val="nil"/>
              <w:bottom w:val="nil"/>
            </w:tcBorders>
          </w:tcPr>
          <w:p>
            <w:pPr>
              <w:pStyle w:val="TableParagraph"/>
              <w:spacing w:before="47"/>
              <w:ind w:left="75"/>
              <w:rPr>
                <w:sz w:val="18"/>
              </w:rPr>
            </w:pPr>
            <w:r>
              <w:rPr>
                <w:sz w:val="18"/>
              </w:rPr>
              <w:t>17</w:t>
            </w:r>
          </w:p>
        </w:tc>
        <w:tc>
          <w:tcPr>
            <w:tcW w:w="701" w:type="dxa"/>
            <w:tcBorders>
              <w:top w:val="nil"/>
              <w:bottom w:val="nil"/>
              <w:right w:val="single" w:sz="8" w:space="0" w:color="000000"/>
            </w:tcBorders>
          </w:tcPr>
          <w:p>
            <w:pPr>
              <w:pStyle w:val="TableParagraph"/>
              <w:spacing w:before="47"/>
              <w:ind w:right="39"/>
              <w:jc w:val="right"/>
              <w:rPr>
                <w:sz w:val="18"/>
              </w:rPr>
            </w:pPr>
            <w:r>
              <w:rPr>
                <w:sz w:val="18"/>
              </w:rPr>
              <w:t>.824</w:t>
            </w:r>
          </w:p>
        </w:tc>
        <w:tc>
          <w:tcPr>
            <w:tcW w:w="1275" w:type="dxa"/>
            <w:tcBorders>
              <w:top w:val="nil"/>
              <w:left w:val="single" w:sz="8" w:space="0" w:color="000000"/>
              <w:bottom w:val="nil"/>
              <w:right w:val="single" w:sz="8" w:space="0" w:color="000000"/>
            </w:tcBorders>
          </w:tcPr>
          <w:p>
            <w:pPr>
              <w:pStyle w:val="TableParagraph"/>
              <w:spacing w:before="47"/>
              <w:ind w:right="38"/>
              <w:jc w:val="right"/>
              <w:rPr>
                <w:sz w:val="18"/>
              </w:rPr>
            </w:pPr>
            <w:r>
              <w:rPr>
                <w:sz w:val="18"/>
              </w:rPr>
              <w:t>1.648</w:t>
            </w:r>
          </w:p>
        </w:tc>
        <w:tc>
          <w:tcPr>
            <w:tcW w:w="1418" w:type="dxa"/>
            <w:tcBorders>
              <w:top w:val="nil"/>
              <w:left w:val="single" w:sz="8" w:space="0" w:color="000000"/>
              <w:bottom w:val="nil"/>
              <w:right w:val="single" w:sz="8" w:space="0" w:color="000000"/>
            </w:tcBorders>
          </w:tcPr>
          <w:p>
            <w:pPr>
              <w:pStyle w:val="TableParagraph"/>
              <w:spacing w:before="47"/>
              <w:ind w:right="39"/>
              <w:jc w:val="right"/>
              <w:rPr>
                <w:sz w:val="18"/>
              </w:rPr>
            </w:pPr>
            <w:r>
              <w:rPr>
                <w:sz w:val="18"/>
              </w:rPr>
              <w:t>71.618</w:t>
            </w:r>
          </w:p>
        </w:tc>
        <w:tc>
          <w:tcPr>
            <w:tcW w:w="708" w:type="dxa"/>
            <w:tcBorders>
              <w:top w:val="nil"/>
              <w:left w:val="single" w:sz="8" w:space="0" w:color="000000"/>
              <w:bottom w:val="nil"/>
              <w:right w:val="single" w:sz="8" w:space="0" w:color="000000"/>
            </w:tcBorders>
          </w:tcPr>
          <w:p>
            <w:pPr>
              <w:pStyle w:val="TableParagraph"/>
              <w:rPr>
                <w:sz w:val="18"/>
              </w:rPr>
            </w:pPr>
          </w:p>
        </w:tc>
        <w:tc>
          <w:tcPr>
            <w:tcW w:w="1277" w:type="dxa"/>
            <w:tcBorders>
              <w:top w:val="nil"/>
              <w:left w:val="single" w:sz="8" w:space="0" w:color="000000"/>
              <w:bottom w:val="nil"/>
              <w:right w:val="single" w:sz="8" w:space="0" w:color="000000"/>
            </w:tcBorders>
          </w:tcPr>
          <w:p>
            <w:pPr>
              <w:pStyle w:val="TableParagraph"/>
              <w:rPr>
                <w:sz w:val="18"/>
              </w:rPr>
            </w:pPr>
          </w:p>
        </w:tc>
        <w:tc>
          <w:tcPr>
            <w:tcW w:w="1277" w:type="dxa"/>
            <w:tcBorders>
              <w:top w:val="nil"/>
              <w:left w:val="single" w:sz="8" w:space="0" w:color="000000"/>
              <w:bottom w:val="nil"/>
              <w:right w:val="single" w:sz="8" w:space="0" w:color="000000"/>
            </w:tcBorders>
          </w:tcPr>
          <w:p>
            <w:pPr>
              <w:pStyle w:val="TableParagraph"/>
              <w:rPr>
                <w:sz w:val="18"/>
              </w:rPr>
            </w:pPr>
          </w:p>
        </w:tc>
        <w:tc>
          <w:tcPr>
            <w:tcW w:w="1354" w:type="dxa"/>
            <w:tcBorders>
              <w:top w:val="nil"/>
              <w:left w:val="single" w:sz="8" w:space="0" w:color="000000"/>
              <w:bottom w:val="nil"/>
            </w:tcBorders>
          </w:tcPr>
          <w:p>
            <w:pPr>
              <w:pStyle w:val="TableParagraph"/>
              <w:rPr>
                <w:sz w:val="18"/>
              </w:rPr>
            </w:pPr>
          </w:p>
        </w:tc>
      </w:tr>
    </w:tbl>
    <w:p>
      <w:pPr>
        <w:spacing w:after="0"/>
        <w:rPr>
          <w:sz w:val="18"/>
        </w:rPr>
        <w:sectPr>
          <w:pgSz w:w="11910" w:h="16850"/>
          <w:pgMar w:header="751" w:footer="0" w:top="960" w:bottom="280" w:left="820" w:right="240"/>
        </w:sectPr>
      </w:pPr>
    </w:p>
    <w:p>
      <w:pPr>
        <w:pStyle w:val="BodyText"/>
        <w:spacing w:before="9"/>
        <w:rPr>
          <w:b/>
          <w:sz w:val="23"/>
        </w:rPr>
      </w:pPr>
    </w:p>
    <w:tbl>
      <w:tblPr>
        <w:tblW w:w="0" w:type="auto"/>
        <w:jc w:val="left"/>
        <w:tblInd w:w="927" w:type="dxa"/>
        <w:tblBorders>
          <w:top w:val="single" w:sz="18" w:space="0" w:color="000000"/>
          <w:left w:val="single" w:sz="18" w:space="0" w:color="000000"/>
          <w:bottom w:val="single" w:sz="18" w:space="0" w:color="000000"/>
          <w:right w:val="single" w:sz="18" w:space="0" w:color="000000"/>
          <w:insideH w:val="single" w:sz="18" w:space="0" w:color="000000"/>
          <w:insideV w:val="single" w:sz="18" w:space="0" w:color="000000"/>
        </w:tblBorders>
        <w:tblLayout w:type="fixed"/>
        <w:tblCellMar>
          <w:top w:w="0" w:type="dxa"/>
          <w:left w:w="0" w:type="dxa"/>
          <w:bottom w:w="0" w:type="dxa"/>
          <w:right w:w="0" w:type="dxa"/>
        </w:tblCellMar>
        <w:tblLook w:val="01E0"/>
      </w:tblPr>
      <w:tblGrid>
        <w:gridCol w:w="547"/>
        <w:gridCol w:w="710"/>
        <w:gridCol w:w="1275"/>
        <w:gridCol w:w="1418"/>
        <w:gridCol w:w="708"/>
        <w:gridCol w:w="1277"/>
        <w:gridCol w:w="1277"/>
        <w:gridCol w:w="1354"/>
      </w:tblGrid>
      <w:tr>
        <w:trPr>
          <w:trHeight w:val="240" w:hRule="atLeast"/>
        </w:trPr>
        <w:tc>
          <w:tcPr>
            <w:tcW w:w="547" w:type="dxa"/>
            <w:tcBorders>
              <w:top w:val="nil"/>
              <w:bottom w:val="nil"/>
            </w:tcBorders>
          </w:tcPr>
          <w:p>
            <w:pPr>
              <w:pStyle w:val="TableParagraph"/>
              <w:ind w:left="56"/>
              <w:rPr>
                <w:sz w:val="18"/>
              </w:rPr>
            </w:pPr>
            <w:r>
              <w:rPr>
                <w:sz w:val="18"/>
              </w:rPr>
              <w:t>18</w:t>
            </w:r>
          </w:p>
        </w:tc>
        <w:tc>
          <w:tcPr>
            <w:tcW w:w="710" w:type="dxa"/>
            <w:tcBorders>
              <w:top w:val="nil"/>
              <w:bottom w:val="nil"/>
              <w:right w:val="single" w:sz="8" w:space="0" w:color="000000"/>
            </w:tcBorders>
          </w:tcPr>
          <w:p>
            <w:pPr>
              <w:pStyle w:val="TableParagraph"/>
              <w:ind w:right="39"/>
              <w:jc w:val="right"/>
              <w:rPr>
                <w:sz w:val="18"/>
              </w:rPr>
            </w:pPr>
            <w:r>
              <w:rPr>
                <w:sz w:val="18"/>
              </w:rPr>
              <w:t>.821</w:t>
            </w:r>
          </w:p>
        </w:tc>
        <w:tc>
          <w:tcPr>
            <w:tcW w:w="1275" w:type="dxa"/>
            <w:tcBorders>
              <w:top w:val="nil"/>
              <w:left w:val="single" w:sz="8" w:space="0" w:color="000000"/>
              <w:bottom w:val="nil"/>
              <w:right w:val="single" w:sz="8" w:space="0" w:color="000000"/>
            </w:tcBorders>
          </w:tcPr>
          <w:p>
            <w:pPr>
              <w:pStyle w:val="TableParagraph"/>
              <w:ind w:right="36"/>
              <w:jc w:val="right"/>
              <w:rPr>
                <w:sz w:val="18"/>
              </w:rPr>
            </w:pPr>
            <w:r>
              <w:rPr>
                <w:sz w:val="18"/>
              </w:rPr>
              <w:t>1.642</w:t>
            </w:r>
          </w:p>
        </w:tc>
        <w:tc>
          <w:tcPr>
            <w:tcW w:w="1418" w:type="dxa"/>
            <w:tcBorders>
              <w:top w:val="nil"/>
              <w:left w:val="single" w:sz="8" w:space="0" w:color="000000"/>
              <w:bottom w:val="nil"/>
              <w:right w:val="single" w:sz="8" w:space="0" w:color="000000"/>
            </w:tcBorders>
          </w:tcPr>
          <w:p>
            <w:pPr>
              <w:pStyle w:val="TableParagraph"/>
              <w:ind w:right="39"/>
              <w:jc w:val="right"/>
              <w:rPr>
                <w:sz w:val="18"/>
              </w:rPr>
            </w:pPr>
            <w:r>
              <w:rPr>
                <w:sz w:val="18"/>
              </w:rPr>
              <w:t>73.259</w:t>
            </w:r>
          </w:p>
        </w:tc>
        <w:tc>
          <w:tcPr>
            <w:tcW w:w="708" w:type="dxa"/>
            <w:vMerge w:val="restart"/>
            <w:tcBorders>
              <w:top w:val="nil"/>
              <w:left w:val="single" w:sz="8" w:space="0" w:color="000000"/>
              <w:right w:val="single" w:sz="8" w:space="0" w:color="000000"/>
            </w:tcBorders>
          </w:tcPr>
          <w:p>
            <w:pPr>
              <w:pStyle w:val="TableParagraph"/>
              <w:rPr>
                <w:sz w:val="18"/>
              </w:rPr>
            </w:pPr>
          </w:p>
        </w:tc>
        <w:tc>
          <w:tcPr>
            <w:tcW w:w="1277" w:type="dxa"/>
            <w:vMerge w:val="restart"/>
            <w:tcBorders>
              <w:top w:val="nil"/>
              <w:left w:val="single" w:sz="8" w:space="0" w:color="000000"/>
              <w:right w:val="single" w:sz="8" w:space="0" w:color="000000"/>
            </w:tcBorders>
          </w:tcPr>
          <w:p>
            <w:pPr>
              <w:pStyle w:val="TableParagraph"/>
              <w:rPr>
                <w:sz w:val="18"/>
              </w:rPr>
            </w:pPr>
          </w:p>
        </w:tc>
        <w:tc>
          <w:tcPr>
            <w:tcW w:w="1277" w:type="dxa"/>
            <w:vMerge w:val="restart"/>
            <w:tcBorders>
              <w:top w:val="nil"/>
              <w:left w:val="single" w:sz="8" w:space="0" w:color="000000"/>
              <w:right w:val="single" w:sz="8" w:space="0" w:color="000000"/>
            </w:tcBorders>
          </w:tcPr>
          <w:p>
            <w:pPr>
              <w:pStyle w:val="TableParagraph"/>
              <w:rPr>
                <w:sz w:val="18"/>
              </w:rPr>
            </w:pPr>
          </w:p>
        </w:tc>
        <w:tc>
          <w:tcPr>
            <w:tcW w:w="1354" w:type="dxa"/>
            <w:vMerge w:val="restart"/>
            <w:tcBorders>
              <w:top w:val="nil"/>
              <w:left w:val="single" w:sz="8" w:space="0" w:color="000000"/>
            </w:tcBorders>
          </w:tcPr>
          <w:p>
            <w:pPr>
              <w:pStyle w:val="TableParagraph"/>
              <w:rPr>
                <w:sz w:val="18"/>
              </w:rPr>
            </w:pPr>
          </w:p>
        </w:tc>
      </w:tr>
      <w:tr>
        <w:trPr>
          <w:trHeight w:val="265" w:hRule="atLeast"/>
        </w:trPr>
        <w:tc>
          <w:tcPr>
            <w:tcW w:w="547" w:type="dxa"/>
            <w:tcBorders>
              <w:top w:val="nil"/>
              <w:bottom w:val="nil"/>
            </w:tcBorders>
          </w:tcPr>
          <w:p>
            <w:pPr>
              <w:pStyle w:val="TableParagraph"/>
              <w:spacing w:before="26"/>
              <w:ind w:left="56"/>
              <w:rPr>
                <w:sz w:val="18"/>
              </w:rPr>
            </w:pPr>
            <w:r>
              <w:rPr>
                <w:sz w:val="18"/>
              </w:rPr>
              <w:t>19</w:t>
            </w:r>
          </w:p>
        </w:tc>
        <w:tc>
          <w:tcPr>
            <w:tcW w:w="710" w:type="dxa"/>
            <w:tcBorders>
              <w:top w:val="nil"/>
              <w:bottom w:val="nil"/>
              <w:right w:val="single" w:sz="8" w:space="0" w:color="000000"/>
            </w:tcBorders>
          </w:tcPr>
          <w:p>
            <w:pPr>
              <w:pStyle w:val="TableParagraph"/>
              <w:spacing w:before="26"/>
              <w:ind w:right="39"/>
              <w:jc w:val="right"/>
              <w:rPr>
                <w:sz w:val="18"/>
              </w:rPr>
            </w:pPr>
            <w:r>
              <w:rPr>
                <w:sz w:val="18"/>
              </w:rPr>
              <w:t>.754</w:t>
            </w:r>
          </w:p>
        </w:tc>
        <w:tc>
          <w:tcPr>
            <w:tcW w:w="1275" w:type="dxa"/>
            <w:tcBorders>
              <w:top w:val="nil"/>
              <w:left w:val="single" w:sz="8" w:space="0" w:color="000000"/>
              <w:bottom w:val="nil"/>
              <w:right w:val="single" w:sz="8" w:space="0" w:color="000000"/>
            </w:tcBorders>
          </w:tcPr>
          <w:p>
            <w:pPr>
              <w:pStyle w:val="TableParagraph"/>
              <w:spacing w:before="26"/>
              <w:ind w:right="35"/>
              <w:jc w:val="right"/>
              <w:rPr>
                <w:sz w:val="18"/>
              </w:rPr>
            </w:pPr>
            <w:r>
              <w:rPr>
                <w:sz w:val="18"/>
              </w:rPr>
              <w:t>1.508</w:t>
            </w:r>
          </w:p>
        </w:tc>
        <w:tc>
          <w:tcPr>
            <w:tcW w:w="1418" w:type="dxa"/>
            <w:tcBorders>
              <w:top w:val="nil"/>
              <w:left w:val="single" w:sz="8" w:space="0" w:color="000000"/>
              <w:bottom w:val="nil"/>
              <w:right w:val="single" w:sz="8" w:space="0" w:color="000000"/>
            </w:tcBorders>
          </w:tcPr>
          <w:p>
            <w:pPr>
              <w:pStyle w:val="TableParagraph"/>
              <w:spacing w:before="26"/>
              <w:ind w:right="38"/>
              <w:jc w:val="right"/>
              <w:rPr>
                <w:sz w:val="18"/>
              </w:rPr>
            </w:pPr>
            <w:r>
              <w:rPr>
                <w:sz w:val="18"/>
              </w:rPr>
              <w:t>74.768</w:t>
            </w:r>
          </w:p>
        </w:tc>
        <w:tc>
          <w:tcPr>
            <w:tcW w:w="708" w:type="dxa"/>
            <w:vMerge/>
            <w:tcBorders>
              <w:top w:val="nil"/>
              <w:left w:val="single" w:sz="8" w:space="0" w:color="000000"/>
              <w:right w:val="single" w:sz="8" w:space="0" w:color="000000"/>
            </w:tcBorders>
          </w:tcPr>
          <w:p>
            <w:pPr>
              <w:rPr>
                <w:sz w:val="2"/>
                <w:szCs w:val="2"/>
              </w:rPr>
            </w:pPr>
          </w:p>
        </w:tc>
        <w:tc>
          <w:tcPr>
            <w:tcW w:w="1277" w:type="dxa"/>
            <w:vMerge/>
            <w:tcBorders>
              <w:top w:val="nil"/>
              <w:left w:val="single" w:sz="8" w:space="0" w:color="000000"/>
              <w:right w:val="single" w:sz="8" w:space="0" w:color="000000"/>
            </w:tcBorders>
          </w:tcPr>
          <w:p>
            <w:pPr>
              <w:rPr>
                <w:sz w:val="2"/>
                <w:szCs w:val="2"/>
              </w:rPr>
            </w:pPr>
          </w:p>
        </w:tc>
        <w:tc>
          <w:tcPr>
            <w:tcW w:w="1277" w:type="dxa"/>
            <w:vMerge/>
            <w:tcBorders>
              <w:top w:val="nil"/>
              <w:left w:val="single" w:sz="8" w:space="0" w:color="000000"/>
              <w:right w:val="single" w:sz="8" w:space="0" w:color="000000"/>
            </w:tcBorders>
          </w:tcPr>
          <w:p>
            <w:pPr>
              <w:rPr>
                <w:sz w:val="2"/>
                <w:szCs w:val="2"/>
              </w:rPr>
            </w:pPr>
          </w:p>
        </w:tc>
        <w:tc>
          <w:tcPr>
            <w:tcW w:w="1354" w:type="dxa"/>
            <w:vMerge/>
            <w:tcBorders>
              <w:top w:val="nil"/>
              <w:left w:val="single" w:sz="8" w:space="0" w:color="000000"/>
            </w:tcBorders>
          </w:tcPr>
          <w:p>
            <w:pPr>
              <w:rPr>
                <w:sz w:val="2"/>
                <w:szCs w:val="2"/>
              </w:rPr>
            </w:pPr>
          </w:p>
        </w:tc>
      </w:tr>
      <w:tr>
        <w:trPr>
          <w:trHeight w:val="264" w:hRule="atLeast"/>
        </w:trPr>
        <w:tc>
          <w:tcPr>
            <w:tcW w:w="547" w:type="dxa"/>
            <w:tcBorders>
              <w:top w:val="nil"/>
              <w:bottom w:val="nil"/>
            </w:tcBorders>
          </w:tcPr>
          <w:p>
            <w:pPr>
              <w:pStyle w:val="TableParagraph"/>
              <w:spacing w:before="25"/>
              <w:ind w:left="56"/>
              <w:rPr>
                <w:sz w:val="18"/>
              </w:rPr>
            </w:pPr>
            <w:r>
              <w:rPr>
                <w:sz w:val="18"/>
              </w:rPr>
              <w:t>20</w:t>
            </w:r>
          </w:p>
        </w:tc>
        <w:tc>
          <w:tcPr>
            <w:tcW w:w="710" w:type="dxa"/>
            <w:tcBorders>
              <w:top w:val="nil"/>
              <w:bottom w:val="nil"/>
              <w:right w:val="single" w:sz="8" w:space="0" w:color="000000"/>
            </w:tcBorders>
          </w:tcPr>
          <w:p>
            <w:pPr>
              <w:pStyle w:val="TableParagraph"/>
              <w:spacing w:before="25"/>
              <w:ind w:right="39"/>
              <w:jc w:val="right"/>
              <w:rPr>
                <w:sz w:val="18"/>
              </w:rPr>
            </w:pPr>
            <w:r>
              <w:rPr>
                <w:sz w:val="18"/>
              </w:rPr>
              <w:t>.747</w:t>
            </w:r>
          </w:p>
        </w:tc>
        <w:tc>
          <w:tcPr>
            <w:tcW w:w="1275" w:type="dxa"/>
            <w:tcBorders>
              <w:top w:val="nil"/>
              <w:left w:val="single" w:sz="8" w:space="0" w:color="000000"/>
              <w:bottom w:val="nil"/>
              <w:right w:val="single" w:sz="8" w:space="0" w:color="000000"/>
            </w:tcBorders>
          </w:tcPr>
          <w:p>
            <w:pPr>
              <w:pStyle w:val="TableParagraph"/>
              <w:spacing w:before="25"/>
              <w:ind w:right="37"/>
              <w:jc w:val="right"/>
              <w:rPr>
                <w:sz w:val="18"/>
              </w:rPr>
            </w:pPr>
            <w:r>
              <w:rPr>
                <w:sz w:val="18"/>
              </w:rPr>
              <w:t>1.494</w:t>
            </w:r>
          </w:p>
        </w:tc>
        <w:tc>
          <w:tcPr>
            <w:tcW w:w="1418" w:type="dxa"/>
            <w:tcBorders>
              <w:top w:val="nil"/>
              <w:left w:val="single" w:sz="8" w:space="0" w:color="000000"/>
              <w:bottom w:val="nil"/>
              <w:right w:val="single" w:sz="8" w:space="0" w:color="000000"/>
            </w:tcBorders>
          </w:tcPr>
          <w:p>
            <w:pPr>
              <w:pStyle w:val="TableParagraph"/>
              <w:spacing w:before="25"/>
              <w:ind w:right="39"/>
              <w:jc w:val="right"/>
              <w:rPr>
                <w:sz w:val="18"/>
              </w:rPr>
            </w:pPr>
            <w:r>
              <w:rPr>
                <w:sz w:val="18"/>
              </w:rPr>
              <w:t>76.262</w:t>
            </w:r>
          </w:p>
        </w:tc>
        <w:tc>
          <w:tcPr>
            <w:tcW w:w="708" w:type="dxa"/>
            <w:vMerge/>
            <w:tcBorders>
              <w:top w:val="nil"/>
              <w:left w:val="single" w:sz="8" w:space="0" w:color="000000"/>
              <w:right w:val="single" w:sz="8" w:space="0" w:color="000000"/>
            </w:tcBorders>
          </w:tcPr>
          <w:p>
            <w:pPr>
              <w:rPr>
                <w:sz w:val="2"/>
                <w:szCs w:val="2"/>
              </w:rPr>
            </w:pPr>
          </w:p>
        </w:tc>
        <w:tc>
          <w:tcPr>
            <w:tcW w:w="1277" w:type="dxa"/>
            <w:vMerge/>
            <w:tcBorders>
              <w:top w:val="nil"/>
              <w:left w:val="single" w:sz="8" w:space="0" w:color="000000"/>
              <w:right w:val="single" w:sz="8" w:space="0" w:color="000000"/>
            </w:tcBorders>
          </w:tcPr>
          <w:p>
            <w:pPr>
              <w:rPr>
                <w:sz w:val="2"/>
                <w:szCs w:val="2"/>
              </w:rPr>
            </w:pPr>
          </w:p>
        </w:tc>
        <w:tc>
          <w:tcPr>
            <w:tcW w:w="1277" w:type="dxa"/>
            <w:vMerge/>
            <w:tcBorders>
              <w:top w:val="nil"/>
              <w:left w:val="single" w:sz="8" w:space="0" w:color="000000"/>
              <w:right w:val="single" w:sz="8" w:space="0" w:color="000000"/>
            </w:tcBorders>
          </w:tcPr>
          <w:p>
            <w:pPr>
              <w:rPr>
                <w:sz w:val="2"/>
                <w:szCs w:val="2"/>
              </w:rPr>
            </w:pPr>
          </w:p>
        </w:tc>
        <w:tc>
          <w:tcPr>
            <w:tcW w:w="1354" w:type="dxa"/>
            <w:vMerge/>
            <w:tcBorders>
              <w:top w:val="nil"/>
              <w:left w:val="single" w:sz="8" w:space="0" w:color="000000"/>
            </w:tcBorders>
          </w:tcPr>
          <w:p>
            <w:pPr>
              <w:rPr>
                <w:sz w:val="2"/>
                <w:szCs w:val="2"/>
              </w:rPr>
            </w:pPr>
          </w:p>
        </w:tc>
      </w:tr>
      <w:tr>
        <w:trPr>
          <w:trHeight w:val="265" w:hRule="atLeast"/>
        </w:trPr>
        <w:tc>
          <w:tcPr>
            <w:tcW w:w="547" w:type="dxa"/>
            <w:tcBorders>
              <w:top w:val="nil"/>
              <w:bottom w:val="nil"/>
            </w:tcBorders>
          </w:tcPr>
          <w:p>
            <w:pPr>
              <w:pStyle w:val="TableParagraph"/>
              <w:spacing w:before="25"/>
              <w:ind w:left="56"/>
              <w:rPr>
                <w:sz w:val="18"/>
              </w:rPr>
            </w:pPr>
            <w:r>
              <w:rPr>
                <w:sz w:val="18"/>
              </w:rPr>
              <w:t>21</w:t>
            </w:r>
          </w:p>
        </w:tc>
        <w:tc>
          <w:tcPr>
            <w:tcW w:w="710" w:type="dxa"/>
            <w:tcBorders>
              <w:top w:val="nil"/>
              <w:bottom w:val="nil"/>
              <w:right w:val="single" w:sz="8" w:space="0" w:color="000000"/>
            </w:tcBorders>
          </w:tcPr>
          <w:p>
            <w:pPr>
              <w:pStyle w:val="TableParagraph"/>
              <w:spacing w:before="25"/>
              <w:ind w:right="39"/>
              <w:jc w:val="right"/>
              <w:rPr>
                <w:sz w:val="18"/>
              </w:rPr>
            </w:pPr>
            <w:r>
              <w:rPr>
                <w:sz w:val="18"/>
              </w:rPr>
              <w:t>.731</w:t>
            </w:r>
          </w:p>
        </w:tc>
        <w:tc>
          <w:tcPr>
            <w:tcW w:w="1275" w:type="dxa"/>
            <w:tcBorders>
              <w:top w:val="nil"/>
              <w:left w:val="single" w:sz="8" w:space="0" w:color="000000"/>
              <w:bottom w:val="nil"/>
              <w:right w:val="single" w:sz="8" w:space="0" w:color="000000"/>
            </w:tcBorders>
          </w:tcPr>
          <w:p>
            <w:pPr>
              <w:pStyle w:val="TableParagraph"/>
              <w:spacing w:before="25"/>
              <w:ind w:right="37"/>
              <w:jc w:val="right"/>
              <w:rPr>
                <w:sz w:val="18"/>
              </w:rPr>
            </w:pPr>
            <w:r>
              <w:rPr>
                <w:sz w:val="18"/>
              </w:rPr>
              <w:t>1.461</w:t>
            </w:r>
          </w:p>
        </w:tc>
        <w:tc>
          <w:tcPr>
            <w:tcW w:w="1418" w:type="dxa"/>
            <w:tcBorders>
              <w:top w:val="nil"/>
              <w:left w:val="single" w:sz="8" w:space="0" w:color="000000"/>
              <w:bottom w:val="nil"/>
              <w:right w:val="single" w:sz="8" w:space="0" w:color="000000"/>
            </w:tcBorders>
          </w:tcPr>
          <w:p>
            <w:pPr>
              <w:pStyle w:val="TableParagraph"/>
              <w:spacing w:before="25"/>
              <w:ind w:right="38"/>
              <w:jc w:val="right"/>
              <w:rPr>
                <w:sz w:val="18"/>
              </w:rPr>
            </w:pPr>
            <w:r>
              <w:rPr>
                <w:sz w:val="18"/>
              </w:rPr>
              <w:t>77.723</w:t>
            </w:r>
          </w:p>
        </w:tc>
        <w:tc>
          <w:tcPr>
            <w:tcW w:w="708" w:type="dxa"/>
            <w:vMerge/>
            <w:tcBorders>
              <w:top w:val="nil"/>
              <w:left w:val="single" w:sz="8" w:space="0" w:color="000000"/>
              <w:right w:val="single" w:sz="8" w:space="0" w:color="000000"/>
            </w:tcBorders>
          </w:tcPr>
          <w:p>
            <w:pPr>
              <w:rPr>
                <w:sz w:val="2"/>
                <w:szCs w:val="2"/>
              </w:rPr>
            </w:pPr>
          </w:p>
        </w:tc>
        <w:tc>
          <w:tcPr>
            <w:tcW w:w="1277" w:type="dxa"/>
            <w:vMerge/>
            <w:tcBorders>
              <w:top w:val="nil"/>
              <w:left w:val="single" w:sz="8" w:space="0" w:color="000000"/>
              <w:right w:val="single" w:sz="8" w:space="0" w:color="000000"/>
            </w:tcBorders>
          </w:tcPr>
          <w:p>
            <w:pPr>
              <w:rPr>
                <w:sz w:val="2"/>
                <w:szCs w:val="2"/>
              </w:rPr>
            </w:pPr>
          </w:p>
        </w:tc>
        <w:tc>
          <w:tcPr>
            <w:tcW w:w="1277" w:type="dxa"/>
            <w:vMerge/>
            <w:tcBorders>
              <w:top w:val="nil"/>
              <w:left w:val="single" w:sz="8" w:space="0" w:color="000000"/>
              <w:right w:val="single" w:sz="8" w:space="0" w:color="000000"/>
            </w:tcBorders>
          </w:tcPr>
          <w:p>
            <w:pPr>
              <w:rPr>
                <w:sz w:val="2"/>
                <w:szCs w:val="2"/>
              </w:rPr>
            </w:pPr>
          </w:p>
        </w:tc>
        <w:tc>
          <w:tcPr>
            <w:tcW w:w="1354" w:type="dxa"/>
            <w:vMerge/>
            <w:tcBorders>
              <w:top w:val="nil"/>
              <w:left w:val="single" w:sz="8" w:space="0" w:color="000000"/>
            </w:tcBorders>
          </w:tcPr>
          <w:p>
            <w:pPr>
              <w:rPr>
                <w:sz w:val="2"/>
                <w:szCs w:val="2"/>
              </w:rPr>
            </w:pPr>
          </w:p>
        </w:tc>
      </w:tr>
      <w:tr>
        <w:trPr>
          <w:trHeight w:val="265" w:hRule="atLeast"/>
        </w:trPr>
        <w:tc>
          <w:tcPr>
            <w:tcW w:w="547" w:type="dxa"/>
            <w:tcBorders>
              <w:top w:val="nil"/>
              <w:bottom w:val="nil"/>
            </w:tcBorders>
          </w:tcPr>
          <w:p>
            <w:pPr>
              <w:pStyle w:val="TableParagraph"/>
              <w:spacing w:before="26"/>
              <w:ind w:left="56"/>
              <w:rPr>
                <w:sz w:val="18"/>
              </w:rPr>
            </w:pPr>
            <w:r>
              <w:rPr>
                <w:sz w:val="18"/>
              </w:rPr>
              <w:t>22</w:t>
            </w:r>
          </w:p>
        </w:tc>
        <w:tc>
          <w:tcPr>
            <w:tcW w:w="710" w:type="dxa"/>
            <w:tcBorders>
              <w:top w:val="nil"/>
              <w:bottom w:val="nil"/>
              <w:right w:val="single" w:sz="8" w:space="0" w:color="000000"/>
            </w:tcBorders>
          </w:tcPr>
          <w:p>
            <w:pPr>
              <w:pStyle w:val="TableParagraph"/>
              <w:spacing w:before="26"/>
              <w:ind w:right="39"/>
              <w:jc w:val="right"/>
              <w:rPr>
                <w:sz w:val="18"/>
              </w:rPr>
            </w:pPr>
            <w:r>
              <w:rPr>
                <w:sz w:val="18"/>
              </w:rPr>
              <w:t>.626</w:t>
            </w:r>
          </w:p>
        </w:tc>
        <w:tc>
          <w:tcPr>
            <w:tcW w:w="1275" w:type="dxa"/>
            <w:tcBorders>
              <w:top w:val="nil"/>
              <w:left w:val="single" w:sz="8" w:space="0" w:color="000000"/>
              <w:bottom w:val="nil"/>
              <w:right w:val="single" w:sz="8" w:space="0" w:color="000000"/>
            </w:tcBorders>
          </w:tcPr>
          <w:p>
            <w:pPr>
              <w:pStyle w:val="TableParagraph"/>
              <w:spacing w:before="26"/>
              <w:ind w:right="37"/>
              <w:jc w:val="right"/>
              <w:rPr>
                <w:sz w:val="18"/>
              </w:rPr>
            </w:pPr>
            <w:r>
              <w:rPr>
                <w:sz w:val="18"/>
              </w:rPr>
              <w:t>1.251</w:t>
            </w:r>
          </w:p>
        </w:tc>
        <w:tc>
          <w:tcPr>
            <w:tcW w:w="1418" w:type="dxa"/>
            <w:tcBorders>
              <w:top w:val="nil"/>
              <w:left w:val="single" w:sz="8" w:space="0" w:color="000000"/>
              <w:bottom w:val="nil"/>
              <w:right w:val="single" w:sz="8" w:space="0" w:color="000000"/>
            </w:tcBorders>
          </w:tcPr>
          <w:p>
            <w:pPr>
              <w:pStyle w:val="TableParagraph"/>
              <w:spacing w:before="26"/>
              <w:ind w:right="38"/>
              <w:jc w:val="right"/>
              <w:rPr>
                <w:sz w:val="18"/>
              </w:rPr>
            </w:pPr>
            <w:r>
              <w:rPr>
                <w:sz w:val="18"/>
              </w:rPr>
              <w:t>78.974</w:t>
            </w:r>
          </w:p>
        </w:tc>
        <w:tc>
          <w:tcPr>
            <w:tcW w:w="708" w:type="dxa"/>
            <w:vMerge/>
            <w:tcBorders>
              <w:top w:val="nil"/>
              <w:left w:val="single" w:sz="8" w:space="0" w:color="000000"/>
              <w:right w:val="single" w:sz="8" w:space="0" w:color="000000"/>
            </w:tcBorders>
          </w:tcPr>
          <w:p>
            <w:pPr>
              <w:rPr>
                <w:sz w:val="2"/>
                <w:szCs w:val="2"/>
              </w:rPr>
            </w:pPr>
          </w:p>
        </w:tc>
        <w:tc>
          <w:tcPr>
            <w:tcW w:w="1277" w:type="dxa"/>
            <w:vMerge/>
            <w:tcBorders>
              <w:top w:val="nil"/>
              <w:left w:val="single" w:sz="8" w:space="0" w:color="000000"/>
              <w:right w:val="single" w:sz="8" w:space="0" w:color="000000"/>
            </w:tcBorders>
          </w:tcPr>
          <w:p>
            <w:pPr>
              <w:rPr>
                <w:sz w:val="2"/>
                <w:szCs w:val="2"/>
              </w:rPr>
            </w:pPr>
          </w:p>
        </w:tc>
        <w:tc>
          <w:tcPr>
            <w:tcW w:w="1277" w:type="dxa"/>
            <w:vMerge/>
            <w:tcBorders>
              <w:top w:val="nil"/>
              <w:left w:val="single" w:sz="8" w:space="0" w:color="000000"/>
              <w:right w:val="single" w:sz="8" w:space="0" w:color="000000"/>
            </w:tcBorders>
          </w:tcPr>
          <w:p>
            <w:pPr>
              <w:rPr>
                <w:sz w:val="2"/>
                <w:szCs w:val="2"/>
              </w:rPr>
            </w:pPr>
          </w:p>
        </w:tc>
        <w:tc>
          <w:tcPr>
            <w:tcW w:w="1354" w:type="dxa"/>
            <w:vMerge/>
            <w:tcBorders>
              <w:top w:val="nil"/>
              <w:left w:val="single" w:sz="8" w:space="0" w:color="000000"/>
            </w:tcBorders>
          </w:tcPr>
          <w:p>
            <w:pPr>
              <w:rPr>
                <w:sz w:val="2"/>
                <w:szCs w:val="2"/>
              </w:rPr>
            </w:pPr>
          </w:p>
        </w:tc>
      </w:tr>
      <w:tr>
        <w:trPr>
          <w:trHeight w:val="264" w:hRule="atLeast"/>
        </w:trPr>
        <w:tc>
          <w:tcPr>
            <w:tcW w:w="547" w:type="dxa"/>
            <w:tcBorders>
              <w:top w:val="nil"/>
              <w:bottom w:val="nil"/>
            </w:tcBorders>
          </w:tcPr>
          <w:p>
            <w:pPr>
              <w:pStyle w:val="TableParagraph"/>
              <w:spacing w:before="25"/>
              <w:ind w:left="56"/>
              <w:rPr>
                <w:sz w:val="18"/>
              </w:rPr>
            </w:pPr>
            <w:r>
              <w:rPr>
                <w:sz w:val="18"/>
              </w:rPr>
              <w:t>23</w:t>
            </w:r>
          </w:p>
        </w:tc>
        <w:tc>
          <w:tcPr>
            <w:tcW w:w="710" w:type="dxa"/>
            <w:tcBorders>
              <w:top w:val="nil"/>
              <w:bottom w:val="nil"/>
              <w:right w:val="single" w:sz="8" w:space="0" w:color="000000"/>
            </w:tcBorders>
          </w:tcPr>
          <w:p>
            <w:pPr>
              <w:pStyle w:val="TableParagraph"/>
              <w:spacing w:before="25"/>
              <w:ind w:right="39"/>
              <w:jc w:val="right"/>
              <w:rPr>
                <w:sz w:val="18"/>
              </w:rPr>
            </w:pPr>
            <w:r>
              <w:rPr>
                <w:sz w:val="18"/>
              </w:rPr>
              <w:t>.604</w:t>
            </w:r>
          </w:p>
        </w:tc>
        <w:tc>
          <w:tcPr>
            <w:tcW w:w="1275" w:type="dxa"/>
            <w:tcBorders>
              <w:top w:val="nil"/>
              <w:left w:val="single" w:sz="8" w:space="0" w:color="000000"/>
              <w:bottom w:val="nil"/>
              <w:right w:val="single" w:sz="8" w:space="0" w:color="000000"/>
            </w:tcBorders>
          </w:tcPr>
          <w:p>
            <w:pPr>
              <w:pStyle w:val="TableParagraph"/>
              <w:spacing w:before="25"/>
              <w:ind w:right="35"/>
              <w:jc w:val="right"/>
              <w:rPr>
                <w:sz w:val="18"/>
              </w:rPr>
            </w:pPr>
            <w:r>
              <w:rPr>
                <w:sz w:val="18"/>
              </w:rPr>
              <w:t>1.207</w:t>
            </w:r>
          </w:p>
        </w:tc>
        <w:tc>
          <w:tcPr>
            <w:tcW w:w="1418" w:type="dxa"/>
            <w:tcBorders>
              <w:top w:val="nil"/>
              <w:left w:val="single" w:sz="8" w:space="0" w:color="000000"/>
              <w:bottom w:val="nil"/>
              <w:right w:val="single" w:sz="8" w:space="0" w:color="000000"/>
            </w:tcBorders>
          </w:tcPr>
          <w:p>
            <w:pPr>
              <w:pStyle w:val="TableParagraph"/>
              <w:spacing w:before="25"/>
              <w:ind w:right="38"/>
              <w:jc w:val="right"/>
              <w:rPr>
                <w:sz w:val="18"/>
              </w:rPr>
            </w:pPr>
            <w:r>
              <w:rPr>
                <w:sz w:val="18"/>
              </w:rPr>
              <w:t>80.181</w:t>
            </w:r>
          </w:p>
        </w:tc>
        <w:tc>
          <w:tcPr>
            <w:tcW w:w="708" w:type="dxa"/>
            <w:vMerge/>
            <w:tcBorders>
              <w:top w:val="nil"/>
              <w:left w:val="single" w:sz="8" w:space="0" w:color="000000"/>
              <w:right w:val="single" w:sz="8" w:space="0" w:color="000000"/>
            </w:tcBorders>
          </w:tcPr>
          <w:p>
            <w:pPr>
              <w:rPr>
                <w:sz w:val="2"/>
                <w:szCs w:val="2"/>
              </w:rPr>
            </w:pPr>
          </w:p>
        </w:tc>
        <w:tc>
          <w:tcPr>
            <w:tcW w:w="1277" w:type="dxa"/>
            <w:vMerge/>
            <w:tcBorders>
              <w:top w:val="nil"/>
              <w:left w:val="single" w:sz="8" w:space="0" w:color="000000"/>
              <w:right w:val="single" w:sz="8" w:space="0" w:color="000000"/>
            </w:tcBorders>
          </w:tcPr>
          <w:p>
            <w:pPr>
              <w:rPr>
                <w:sz w:val="2"/>
                <w:szCs w:val="2"/>
              </w:rPr>
            </w:pPr>
          </w:p>
        </w:tc>
        <w:tc>
          <w:tcPr>
            <w:tcW w:w="1277" w:type="dxa"/>
            <w:vMerge/>
            <w:tcBorders>
              <w:top w:val="nil"/>
              <w:left w:val="single" w:sz="8" w:space="0" w:color="000000"/>
              <w:right w:val="single" w:sz="8" w:space="0" w:color="000000"/>
            </w:tcBorders>
          </w:tcPr>
          <w:p>
            <w:pPr>
              <w:rPr>
                <w:sz w:val="2"/>
                <w:szCs w:val="2"/>
              </w:rPr>
            </w:pPr>
          </w:p>
        </w:tc>
        <w:tc>
          <w:tcPr>
            <w:tcW w:w="1354" w:type="dxa"/>
            <w:vMerge/>
            <w:tcBorders>
              <w:top w:val="nil"/>
              <w:left w:val="single" w:sz="8" w:space="0" w:color="000000"/>
            </w:tcBorders>
          </w:tcPr>
          <w:p>
            <w:pPr>
              <w:rPr>
                <w:sz w:val="2"/>
                <w:szCs w:val="2"/>
              </w:rPr>
            </w:pPr>
          </w:p>
        </w:tc>
      </w:tr>
      <w:tr>
        <w:trPr>
          <w:trHeight w:val="265" w:hRule="atLeast"/>
        </w:trPr>
        <w:tc>
          <w:tcPr>
            <w:tcW w:w="547" w:type="dxa"/>
            <w:tcBorders>
              <w:top w:val="nil"/>
              <w:bottom w:val="nil"/>
            </w:tcBorders>
          </w:tcPr>
          <w:p>
            <w:pPr>
              <w:pStyle w:val="TableParagraph"/>
              <w:spacing w:before="25"/>
              <w:ind w:left="56"/>
              <w:rPr>
                <w:sz w:val="18"/>
              </w:rPr>
            </w:pPr>
            <w:r>
              <w:rPr>
                <w:sz w:val="18"/>
              </w:rPr>
              <w:t>24</w:t>
            </w:r>
          </w:p>
        </w:tc>
        <w:tc>
          <w:tcPr>
            <w:tcW w:w="710" w:type="dxa"/>
            <w:tcBorders>
              <w:top w:val="nil"/>
              <w:bottom w:val="nil"/>
              <w:right w:val="single" w:sz="8" w:space="0" w:color="000000"/>
            </w:tcBorders>
          </w:tcPr>
          <w:p>
            <w:pPr>
              <w:pStyle w:val="TableParagraph"/>
              <w:spacing w:before="25"/>
              <w:ind w:right="39"/>
              <w:jc w:val="right"/>
              <w:rPr>
                <w:sz w:val="18"/>
              </w:rPr>
            </w:pPr>
            <w:r>
              <w:rPr>
                <w:sz w:val="18"/>
              </w:rPr>
              <w:t>.593</w:t>
            </w:r>
          </w:p>
        </w:tc>
        <w:tc>
          <w:tcPr>
            <w:tcW w:w="1275" w:type="dxa"/>
            <w:tcBorders>
              <w:top w:val="nil"/>
              <w:left w:val="single" w:sz="8" w:space="0" w:color="000000"/>
              <w:bottom w:val="nil"/>
              <w:right w:val="single" w:sz="8" w:space="0" w:color="000000"/>
            </w:tcBorders>
          </w:tcPr>
          <w:p>
            <w:pPr>
              <w:pStyle w:val="TableParagraph"/>
              <w:spacing w:before="25"/>
              <w:ind w:right="35"/>
              <w:jc w:val="right"/>
              <w:rPr>
                <w:sz w:val="18"/>
              </w:rPr>
            </w:pPr>
            <w:r>
              <w:rPr>
                <w:sz w:val="18"/>
              </w:rPr>
              <w:t>1.185</w:t>
            </w:r>
          </w:p>
        </w:tc>
        <w:tc>
          <w:tcPr>
            <w:tcW w:w="1418" w:type="dxa"/>
            <w:tcBorders>
              <w:top w:val="nil"/>
              <w:left w:val="single" w:sz="8" w:space="0" w:color="000000"/>
              <w:bottom w:val="nil"/>
              <w:right w:val="single" w:sz="8" w:space="0" w:color="000000"/>
            </w:tcBorders>
          </w:tcPr>
          <w:p>
            <w:pPr>
              <w:pStyle w:val="TableParagraph"/>
              <w:spacing w:before="25"/>
              <w:ind w:right="38"/>
              <w:jc w:val="right"/>
              <w:rPr>
                <w:sz w:val="18"/>
              </w:rPr>
            </w:pPr>
            <w:r>
              <w:rPr>
                <w:sz w:val="18"/>
              </w:rPr>
              <w:t>81.367</w:t>
            </w:r>
          </w:p>
        </w:tc>
        <w:tc>
          <w:tcPr>
            <w:tcW w:w="708" w:type="dxa"/>
            <w:vMerge/>
            <w:tcBorders>
              <w:top w:val="nil"/>
              <w:left w:val="single" w:sz="8" w:space="0" w:color="000000"/>
              <w:right w:val="single" w:sz="8" w:space="0" w:color="000000"/>
            </w:tcBorders>
          </w:tcPr>
          <w:p>
            <w:pPr>
              <w:rPr>
                <w:sz w:val="2"/>
                <w:szCs w:val="2"/>
              </w:rPr>
            </w:pPr>
          </w:p>
        </w:tc>
        <w:tc>
          <w:tcPr>
            <w:tcW w:w="1277" w:type="dxa"/>
            <w:vMerge/>
            <w:tcBorders>
              <w:top w:val="nil"/>
              <w:left w:val="single" w:sz="8" w:space="0" w:color="000000"/>
              <w:right w:val="single" w:sz="8" w:space="0" w:color="000000"/>
            </w:tcBorders>
          </w:tcPr>
          <w:p>
            <w:pPr>
              <w:rPr>
                <w:sz w:val="2"/>
                <w:szCs w:val="2"/>
              </w:rPr>
            </w:pPr>
          </w:p>
        </w:tc>
        <w:tc>
          <w:tcPr>
            <w:tcW w:w="1277" w:type="dxa"/>
            <w:vMerge/>
            <w:tcBorders>
              <w:top w:val="nil"/>
              <w:left w:val="single" w:sz="8" w:space="0" w:color="000000"/>
              <w:right w:val="single" w:sz="8" w:space="0" w:color="000000"/>
            </w:tcBorders>
          </w:tcPr>
          <w:p>
            <w:pPr>
              <w:rPr>
                <w:sz w:val="2"/>
                <w:szCs w:val="2"/>
              </w:rPr>
            </w:pPr>
          </w:p>
        </w:tc>
        <w:tc>
          <w:tcPr>
            <w:tcW w:w="1354" w:type="dxa"/>
            <w:vMerge/>
            <w:tcBorders>
              <w:top w:val="nil"/>
              <w:left w:val="single" w:sz="8" w:space="0" w:color="000000"/>
            </w:tcBorders>
          </w:tcPr>
          <w:p>
            <w:pPr>
              <w:rPr>
                <w:sz w:val="2"/>
                <w:szCs w:val="2"/>
              </w:rPr>
            </w:pPr>
          </w:p>
        </w:tc>
      </w:tr>
      <w:tr>
        <w:trPr>
          <w:trHeight w:val="265" w:hRule="atLeast"/>
        </w:trPr>
        <w:tc>
          <w:tcPr>
            <w:tcW w:w="547" w:type="dxa"/>
            <w:tcBorders>
              <w:top w:val="nil"/>
              <w:bottom w:val="nil"/>
            </w:tcBorders>
          </w:tcPr>
          <w:p>
            <w:pPr>
              <w:pStyle w:val="TableParagraph"/>
              <w:spacing w:before="26"/>
              <w:ind w:left="56"/>
              <w:rPr>
                <w:sz w:val="18"/>
              </w:rPr>
            </w:pPr>
            <w:r>
              <w:rPr>
                <w:sz w:val="18"/>
              </w:rPr>
              <w:t>25</w:t>
            </w:r>
          </w:p>
        </w:tc>
        <w:tc>
          <w:tcPr>
            <w:tcW w:w="710" w:type="dxa"/>
            <w:tcBorders>
              <w:top w:val="nil"/>
              <w:bottom w:val="nil"/>
              <w:right w:val="single" w:sz="8" w:space="0" w:color="000000"/>
            </w:tcBorders>
          </w:tcPr>
          <w:p>
            <w:pPr>
              <w:pStyle w:val="TableParagraph"/>
              <w:spacing w:before="26"/>
              <w:ind w:right="39"/>
              <w:jc w:val="right"/>
              <w:rPr>
                <w:sz w:val="18"/>
              </w:rPr>
            </w:pPr>
            <w:r>
              <w:rPr>
                <w:sz w:val="18"/>
              </w:rPr>
              <w:t>.576</w:t>
            </w:r>
          </w:p>
        </w:tc>
        <w:tc>
          <w:tcPr>
            <w:tcW w:w="1275" w:type="dxa"/>
            <w:tcBorders>
              <w:top w:val="nil"/>
              <w:left w:val="single" w:sz="8" w:space="0" w:color="000000"/>
              <w:bottom w:val="nil"/>
              <w:right w:val="single" w:sz="8" w:space="0" w:color="000000"/>
            </w:tcBorders>
          </w:tcPr>
          <w:p>
            <w:pPr>
              <w:pStyle w:val="TableParagraph"/>
              <w:spacing w:before="26"/>
              <w:ind w:right="36"/>
              <w:jc w:val="right"/>
              <w:rPr>
                <w:sz w:val="18"/>
              </w:rPr>
            </w:pPr>
            <w:r>
              <w:rPr>
                <w:sz w:val="18"/>
              </w:rPr>
              <w:t>1.152</w:t>
            </w:r>
          </w:p>
        </w:tc>
        <w:tc>
          <w:tcPr>
            <w:tcW w:w="1418" w:type="dxa"/>
            <w:tcBorders>
              <w:top w:val="nil"/>
              <w:left w:val="single" w:sz="8" w:space="0" w:color="000000"/>
              <w:bottom w:val="nil"/>
              <w:right w:val="single" w:sz="8" w:space="0" w:color="000000"/>
            </w:tcBorders>
          </w:tcPr>
          <w:p>
            <w:pPr>
              <w:pStyle w:val="TableParagraph"/>
              <w:spacing w:before="26"/>
              <w:ind w:right="38"/>
              <w:jc w:val="right"/>
              <w:rPr>
                <w:sz w:val="18"/>
              </w:rPr>
            </w:pPr>
            <w:r>
              <w:rPr>
                <w:sz w:val="18"/>
              </w:rPr>
              <w:t>82.519</w:t>
            </w:r>
          </w:p>
        </w:tc>
        <w:tc>
          <w:tcPr>
            <w:tcW w:w="708" w:type="dxa"/>
            <w:vMerge/>
            <w:tcBorders>
              <w:top w:val="nil"/>
              <w:left w:val="single" w:sz="8" w:space="0" w:color="000000"/>
              <w:right w:val="single" w:sz="8" w:space="0" w:color="000000"/>
            </w:tcBorders>
          </w:tcPr>
          <w:p>
            <w:pPr>
              <w:rPr>
                <w:sz w:val="2"/>
                <w:szCs w:val="2"/>
              </w:rPr>
            </w:pPr>
          </w:p>
        </w:tc>
        <w:tc>
          <w:tcPr>
            <w:tcW w:w="1277" w:type="dxa"/>
            <w:vMerge/>
            <w:tcBorders>
              <w:top w:val="nil"/>
              <w:left w:val="single" w:sz="8" w:space="0" w:color="000000"/>
              <w:right w:val="single" w:sz="8" w:space="0" w:color="000000"/>
            </w:tcBorders>
          </w:tcPr>
          <w:p>
            <w:pPr>
              <w:rPr>
                <w:sz w:val="2"/>
                <w:szCs w:val="2"/>
              </w:rPr>
            </w:pPr>
          </w:p>
        </w:tc>
        <w:tc>
          <w:tcPr>
            <w:tcW w:w="1277" w:type="dxa"/>
            <w:vMerge/>
            <w:tcBorders>
              <w:top w:val="nil"/>
              <w:left w:val="single" w:sz="8" w:space="0" w:color="000000"/>
              <w:right w:val="single" w:sz="8" w:space="0" w:color="000000"/>
            </w:tcBorders>
          </w:tcPr>
          <w:p>
            <w:pPr>
              <w:rPr>
                <w:sz w:val="2"/>
                <w:szCs w:val="2"/>
              </w:rPr>
            </w:pPr>
          </w:p>
        </w:tc>
        <w:tc>
          <w:tcPr>
            <w:tcW w:w="1354" w:type="dxa"/>
            <w:vMerge/>
            <w:tcBorders>
              <w:top w:val="nil"/>
              <w:left w:val="single" w:sz="8" w:space="0" w:color="000000"/>
            </w:tcBorders>
          </w:tcPr>
          <w:p>
            <w:pPr>
              <w:rPr>
                <w:sz w:val="2"/>
                <w:szCs w:val="2"/>
              </w:rPr>
            </w:pPr>
          </w:p>
        </w:tc>
      </w:tr>
      <w:tr>
        <w:trPr>
          <w:trHeight w:val="264" w:hRule="atLeast"/>
        </w:trPr>
        <w:tc>
          <w:tcPr>
            <w:tcW w:w="547" w:type="dxa"/>
            <w:tcBorders>
              <w:top w:val="nil"/>
              <w:bottom w:val="nil"/>
            </w:tcBorders>
          </w:tcPr>
          <w:p>
            <w:pPr>
              <w:pStyle w:val="TableParagraph"/>
              <w:spacing w:before="25"/>
              <w:ind w:left="56"/>
              <w:rPr>
                <w:sz w:val="18"/>
              </w:rPr>
            </w:pPr>
            <w:r>
              <w:rPr>
                <w:sz w:val="18"/>
              </w:rPr>
              <w:t>26</w:t>
            </w:r>
          </w:p>
        </w:tc>
        <w:tc>
          <w:tcPr>
            <w:tcW w:w="710" w:type="dxa"/>
            <w:tcBorders>
              <w:top w:val="nil"/>
              <w:bottom w:val="nil"/>
              <w:right w:val="single" w:sz="8" w:space="0" w:color="000000"/>
            </w:tcBorders>
          </w:tcPr>
          <w:p>
            <w:pPr>
              <w:pStyle w:val="TableParagraph"/>
              <w:spacing w:before="25"/>
              <w:ind w:right="39"/>
              <w:jc w:val="right"/>
              <w:rPr>
                <w:sz w:val="18"/>
              </w:rPr>
            </w:pPr>
            <w:r>
              <w:rPr>
                <w:sz w:val="18"/>
              </w:rPr>
              <w:t>.545</w:t>
            </w:r>
          </w:p>
        </w:tc>
        <w:tc>
          <w:tcPr>
            <w:tcW w:w="1275" w:type="dxa"/>
            <w:tcBorders>
              <w:top w:val="nil"/>
              <w:left w:val="single" w:sz="8" w:space="0" w:color="000000"/>
              <w:bottom w:val="nil"/>
              <w:right w:val="single" w:sz="8" w:space="0" w:color="000000"/>
            </w:tcBorders>
          </w:tcPr>
          <w:p>
            <w:pPr>
              <w:pStyle w:val="TableParagraph"/>
              <w:spacing w:before="25"/>
              <w:ind w:right="35"/>
              <w:jc w:val="right"/>
              <w:rPr>
                <w:sz w:val="18"/>
              </w:rPr>
            </w:pPr>
            <w:r>
              <w:rPr>
                <w:sz w:val="18"/>
              </w:rPr>
              <w:t>1.090</w:t>
            </w:r>
          </w:p>
        </w:tc>
        <w:tc>
          <w:tcPr>
            <w:tcW w:w="1418" w:type="dxa"/>
            <w:tcBorders>
              <w:top w:val="nil"/>
              <w:left w:val="single" w:sz="8" w:space="0" w:color="000000"/>
              <w:bottom w:val="nil"/>
              <w:right w:val="single" w:sz="8" w:space="0" w:color="000000"/>
            </w:tcBorders>
          </w:tcPr>
          <w:p>
            <w:pPr>
              <w:pStyle w:val="TableParagraph"/>
              <w:spacing w:before="25"/>
              <w:ind w:right="39"/>
              <w:jc w:val="right"/>
              <w:rPr>
                <w:sz w:val="18"/>
              </w:rPr>
            </w:pPr>
            <w:r>
              <w:rPr>
                <w:sz w:val="18"/>
              </w:rPr>
              <w:t>83.609</w:t>
            </w:r>
          </w:p>
        </w:tc>
        <w:tc>
          <w:tcPr>
            <w:tcW w:w="708" w:type="dxa"/>
            <w:vMerge/>
            <w:tcBorders>
              <w:top w:val="nil"/>
              <w:left w:val="single" w:sz="8" w:space="0" w:color="000000"/>
              <w:right w:val="single" w:sz="8" w:space="0" w:color="000000"/>
            </w:tcBorders>
          </w:tcPr>
          <w:p>
            <w:pPr>
              <w:rPr>
                <w:sz w:val="2"/>
                <w:szCs w:val="2"/>
              </w:rPr>
            </w:pPr>
          </w:p>
        </w:tc>
        <w:tc>
          <w:tcPr>
            <w:tcW w:w="1277" w:type="dxa"/>
            <w:vMerge/>
            <w:tcBorders>
              <w:top w:val="nil"/>
              <w:left w:val="single" w:sz="8" w:space="0" w:color="000000"/>
              <w:right w:val="single" w:sz="8" w:space="0" w:color="000000"/>
            </w:tcBorders>
          </w:tcPr>
          <w:p>
            <w:pPr>
              <w:rPr>
                <w:sz w:val="2"/>
                <w:szCs w:val="2"/>
              </w:rPr>
            </w:pPr>
          </w:p>
        </w:tc>
        <w:tc>
          <w:tcPr>
            <w:tcW w:w="1277" w:type="dxa"/>
            <w:vMerge/>
            <w:tcBorders>
              <w:top w:val="nil"/>
              <w:left w:val="single" w:sz="8" w:space="0" w:color="000000"/>
              <w:right w:val="single" w:sz="8" w:space="0" w:color="000000"/>
            </w:tcBorders>
          </w:tcPr>
          <w:p>
            <w:pPr>
              <w:rPr>
                <w:sz w:val="2"/>
                <w:szCs w:val="2"/>
              </w:rPr>
            </w:pPr>
          </w:p>
        </w:tc>
        <w:tc>
          <w:tcPr>
            <w:tcW w:w="1354" w:type="dxa"/>
            <w:vMerge/>
            <w:tcBorders>
              <w:top w:val="nil"/>
              <w:left w:val="single" w:sz="8" w:space="0" w:color="000000"/>
            </w:tcBorders>
          </w:tcPr>
          <w:p>
            <w:pPr>
              <w:rPr>
                <w:sz w:val="2"/>
                <w:szCs w:val="2"/>
              </w:rPr>
            </w:pPr>
          </w:p>
        </w:tc>
      </w:tr>
      <w:tr>
        <w:trPr>
          <w:trHeight w:val="265" w:hRule="atLeast"/>
        </w:trPr>
        <w:tc>
          <w:tcPr>
            <w:tcW w:w="547" w:type="dxa"/>
            <w:tcBorders>
              <w:top w:val="nil"/>
              <w:bottom w:val="nil"/>
            </w:tcBorders>
          </w:tcPr>
          <w:p>
            <w:pPr>
              <w:pStyle w:val="TableParagraph"/>
              <w:spacing w:before="25"/>
              <w:ind w:left="56"/>
              <w:rPr>
                <w:sz w:val="18"/>
              </w:rPr>
            </w:pPr>
            <w:r>
              <w:rPr>
                <w:sz w:val="18"/>
              </w:rPr>
              <w:t>27</w:t>
            </w:r>
          </w:p>
        </w:tc>
        <w:tc>
          <w:tcPr>
            <w:tcW w:w="710" w:type="dxa"/>
            <w:tcBorders>
              <w:top w:val="nil"/>
              <w:bottom w:val="nil"/>
              <w:right w:val="single" w:sz="8" w:space="0" w:color="000000"/>
            </w:tcBorders>
          </w:tcPr>
          <w:p>
            <w:pPr>
              <w:pStyle w:val="TableParagraph"/>
              <w:spacing w:before="25"/>
              <w:ind w:right="39"/>
              <w:jc w:val="right"/>
              <w:rPr>
                <w:sz w:val="18"/>
              </w:rPr>
            </w:pPr>
            <w:r>
              <w:rPr>
                <w:sz w:val="18"/>
              </w:rPr>
              <w:t>.519</w:t>
            </w:r>
          </w:p>
        </w:tc>
        <w:tc>
          <w:tcPr>
            <w:tcW w:w="1275" w:type="dxa"/>
            <w:tcBorders>
              <w:top w:val="nil"/>
              <w:left w:val="single" w:sz="8" w:space="0" w:color="000000"/>
              <w:bottom w:val="nil"/>
              <w:right w:val="single" w:sz="8" w:space="0" w:color="000000"/>
            </w:tcBorders>
          </w:tcPr>
          <w:p>
            <w:pPr>
              <w:pStyle w:val="TableParagraph"/>
              <w:spacing w:before="25"/>
              <w:ind w:right="37"/>
              <w:jc w:val="right"/>
              <w:rPr>
                <w:sz w:val="18"/>
              </w:rPr>
            </w:pPr>
            <w:r>
              <w:rPr>
                <w:sz w:val="18"/>
              </w:rPr>
              <w:t>1.038</w:t>
            </w:r>
          </w:p>
        </w:tc>
        <w:tc>
          <w:tcPr>
            <w:tcW w:w="1418" w:type="dxa"/>
            <w:tcBorders>
              <w:top w:val="nil"/>
              <w:left w:val="single" w:sz="8" w:space="0" w:color="000000"/>
              <w:bottom w:val="nil"/>
              <w:right w:val="single" w:sz="8" w:space="0" w:color="000000"/>
            </w:tcBorders>
          </w:tcPr>
          <w:p>
            <w:pPr>
              <w:pStyle w:val="TableParagraph"/>
              <w:spacing w:before="25"/>
              <w:ind w:right="38"/>
              <w:jc w:val="right"/>
              <w:rPr>
                <w:sz w:val="18"/>
              </w:rPr>
            </w:pPr>
            <w:r>
              <w:rPr>
                <w:sz w:val="18"/>
              </w:rPr>
              <w:t>84.646</w:t>
            </w:r>
          </w:p>
        </w:tc>
        <w:tc>
          <w:tcPr>
            <w:tcW w:w="708" w:type="dxa"/>
            <w:vMerge/>
            <w:tcBorders>
              <w:top w:val="nil"/>
              <w:left w:val="single" w:sz="8" w:space="0" w:color="000000"/>
              <w:right w:val="single" w:sz="8" w:space="0" w:color="000000"/>
            </w:tcBorders>
          </w:tcPr>
          <w:p>
            <w:pPr>
              <w:rPr>
                <w:sz w:val="2"/>
                <w:szCs w:val="2"/>
              </w:rPr>
            </w:pPr>
          </w:p>
        </w:tc>
        <w:tc>
          <w:tcPr>
            <w:tcW w:w="1277" w:type="dxa"/>
            <w:vMerge/>
            <w:tcBorders>
              <w:top w:val="nil"/>
              <w:left w:val="single" w:sz="8" w:space="0" w:color="000000"/>
              <w:right w:val="single" w:sz="8" w:space="0" w:color="000000"/>
            </w:tcBorders>
          </w:tcPr>
          <w:p>
            <w:pPr>
              <w:rPr>
                <w:sz w:val="2"/>
                <w:szCs w:val="2"/>
              </w:rPr>
            </w:pPr>
          </w:p>
        </w:tc>
        <w:tc>
          <w:tcPr>
            <w:tcW w:w="1277" w:type="dxa"/>
            <w:vMerge/>
            <w:tcBorders>
              <w:top w:val="nil"/>
              <w:left w:val="single" w:sz="8" w:space="0" w:color="000000"/>
              <w:right w:val="single" w:sz="8" w:space="0" w:color="000000"/>
            </w:tcBorders>
          </w:tcPr>
          <w:p>
            <w:pPr>
              <w:rPr>
                <w:sz w:val="2"/>
                <w:szCs w:val="2"/>
              </w:rPr>
            </w:pPr>
          </w:p>
        </w:tc>
        <w:tc>
          <w:tcPr>
            <w:tcW w:w="1354" w:type="dxa"/>
            <w:vMerge/>
            <w:tcBorders>
              <w:top w:val="nil"/>
              <w:left w:val="single" w:sz="8" w:space="0" w:color="000000"/>
            </w:tcBorders>
          </w:tcPr>
          <w:p>
            <w:pPr>
              <w:rPr>
                <w:sz w:val="2"/>
                <w:szCs w:val="2"/>
              </w:rPr>
            </w:pPr>
          </w:p>
        </w:tc>
      </w:tr>
      <w:tr>
        <w:trPr>
          <w:trHeight w:val="265" w:hRule="atLeast"/>
        </w:trPr>
        <w:tc>
          <w:tcPr>
            <w:tcW w:w="547" w:type="dxa"/>
            <w:tcBorders>
              <w:top w:val="nil"/>
              <w:bottom w:val="nil"/>
            </w:tcBorders>
          </w:tcPr>
          <w:p>
            <w:pPr>
              <w:pStyle w:val="TableParagraph"/>
              <w:spacing w:before="26"/>
              <w:ind w:left="56"/>
              <w:rPr>
                <w:sz w:val="18"/>
              </w:rPr>
            </w:pPr>
            <w:r>
              <w:rPr>
                <w:sz w:val="18"/>
              </w:rPr>
              <w:t>28</w:t>
            </w:r>
          </w:p>
        </w:tc>
        <w:tc>
          <w:tcPr>
            <w:tcW w:w="710" w:type="dxa"/>
            <w:tcBorders>
              <w:top w:val="nil"/>
              <w:bottom w:val="nil"/>
              <w:right w:val="single" w:sz="8" w:space="0" w:color="000000"/>
            </w:tcBorders>
          </w:tcPr>
          <w:p>
            <w:pPr>
              <w:pStyle w:val="TableParagraph"/>
              <w:spacing w:before="26"/>
              <w:ind w:right="39"/>
              <w:jc w:val="right"/>
              <w:rPr>
                <w:sz w:val="18"/>
              </w:rPr>
            </w:pPr>
            <w:r>
              <w:rPr>
                <w:sz w:val="18"/>
              </w:rPr>
              <w:t>.510</w:t>
            </w:r>
          </w:p>
        </w:tc>
        <w:tc>
          <w:tcPr>
            <w:tcW w:w="1275" w:type="dxa"/>
            <w:tcBorders>
              <w:top w:val="nil"/>
              <w:left w:val="single" w:sz="8" w:space="0" w:color="000000"/>
              <w:bottom w:val="nil"/>
              <w:right w:val="single" w:sz="8" w:space="0" w:color="000000"/>
            </w:tcBorders>
          </w:tcPr>
          <w:p>
            <w:pPr>
              <w:pStyle w:val="TableParagraph"/>
              <w:spacing w:before="26"/>
              <w:ind w:right="36"/>
              <w:jc w:val="right"/>
              <w:rPr>
                <w:sz w:val="18"/>
              </w:rPr>
            </w:pPr>
            <w:r>
              <w:rPr>
                <w:sz w:val="18"/>
              </w:rPr>
              <w:t>1.021</w:t>
            </w:r>
          </w:p>
        </w:tc>
        <w:tc>
          <w:tcPr>
            <w:tcW w:w="1418" w:type="dxa"/>
            <w:tcBorders>
              <w:top w:val="nil"/>
              <w:left w:val="single" w:sz="8" w:space="0" w:color="000000"/>
              <w:bottom w:val="nil"/>
              <w:right w:val="single" w:sz="8" w:space="0" w:color="000000"/>
            </w:tcBorders>
          </w:tcPr>
          <w:p>
            <w:pPr>
              <w:pStyle w:val="TableParagraph"/>
              <w:spacing w:before="26"/>
              <w:ind w:right="38"/>
              <w:jc w:val="right"/>
              <w:rPr>
                <w:sz w:val="18"/>
              </w:rPr>
            </w:pPr>
            <w:r>
              <w:rPr>
                <w:sz w:val="18"/>
              </w:rPr>
              <w:t>85.667</w:t>
            </w:r>
          </w:p>
        </w:tc>
        <w:tc>
          <w:tcPr>
            <w:tcW w:w="708" w:type="dxa"/>
            <w:vMerge/>
            <w:tcBorders>
              <w:top w:val="nil"/>
              <w:left w:val="single" w:sz="8" w:space="0" w:color="000000"/>
              <w:right w:val="single" w:sz="8" w:space="0" w:color="000000"/>
            </w:tcBorders>
          </w:tcPr>
          <w:p>
            <w:pPr>
              <w:rPr>
                <w:sz w:val="2"/>
                <w:szCs w:val="2"/>
              </w:rPr>
            </w:pPr>
          </w:p>
        </w:tc>
        <w:tc>
          <w:tcPr>
            <w:tcW w:w="1277" w:type="dxa"/>
            <w:vMerge/>
            <w:tcBorders>
              <w:top w:val="nil"/>
              <w:left w:val="single" w:sz="8" w:space="0" w:color="000000"/>
              <w:right w:val="single" w:sz="8" w:space="0" w:color="000000"/>
            </w:tcBorders>
          </w:tcPr>
          <w:p>
            <w:pPr>
              <w:rPr>
                <w:sz w:val="2"/>
                <w:szCs w:val="2"/>
              </w:rPr>
            </w:pPr>
          </w:p>
        </w:tc>
        <w:tc>
          <w:tcPr>
            <w:tcW w:w="1277" w:type="dxa"/>
            <w:vMerge/>
            <w:tcBorders>
              <w:top w:val="nil"/>
              <w:left w:val="single" w:sz="8" w:space="0" w:color="000000"/>
              <w:right w:val="single" w:sz="8" w:space="0" w:color="000000"/>
            </w:tcBorders>
          </w:tcPr>
          <w:p>
            <w:pPr>
              <w:rPr>
                <w:sz w:val="2"/>
                <w:szCs w:val="2"/>
              </w:rPr>
            </w:pPr>
          </w:p>
        </w:tc>
        <w:tc>
          <w:tcPr>
            <w:tcW w:w="1354" w:type="dxa"/>
            <w:vMerge/>
            <w:tcBorders>
              <w:top w:val="nil"/>
              <w:left w:val="single" w:sz="8" w:space="0" w:color="000000"/>
            </w:tcBorders>
          </w:tcPr>
          <w:p>
            <w:pPr>
              <w:rPr>
                <w:sz w:val="2"/>
                <w:szCs w:val="2"/>
              </w:rPr>
            </w:pPr>
          </w:p>
        </w:tc>
      </w:tr>
      <w:tr>
        <w:trPr>
          <w:trHeight w:val="265" w:hRule="atLeast"/>
        </w:trPr>
        <w:tc>
          <w:tcPr>
            <w:tcW w:w="547" w:type="dxa"/>
            <w:tcBorders>
              <w:top w:val="nil"/>
              <w:bottom w:val="nil"/>
            </w:tcBorders>
          </w:tcPr>
          <w:p>
            <w:pPr>
              <w:pStyle w:val="TableParagraph"/>
              <w:spacing w:before="25"/>
              <w:ind w:left="56"/>
              <w:rPr>
                <w:sz w:val="18"/>
              </w:rPr>
            </w:pPr>
            <w:r>
              <w:rPr>
                <w:sz w:val="18"/>
              </w:rPr>
              <w:t>29</w:t>
            </w:r>
          </w:p>
        </w:tc>
        <w:tc>
          <w:tcPr>
            <w:tcW w:w="710" w:type="dxa"/>
            <w:tcBorders>
              <w:top w:val="nil"/>
              <w:bottom w:val="nil"/>
              <w:right w:val="single" w:sz="8" w:space="0" w:color="000000"/>
            </w:tcBorders>
          </w:tcPr>
          <w:p>
            <w:pPr>
              <w:pStyle w:val="TableParagraph"/>
              <w:spacing w:before="25"/>
              <w:ind w:right="39"/>
              <w:jc w:val="right"/>
              <w:rPr>
                <w:sz w:val="18"/>
              </w:rPr>
            </w:pPr>
            <w:r>
              <w:rPr>
                <w:sz w:val="18"/>
              </w:rPr>
              <w:t>.471</w:t>
            </w:r>
          </w:p>
        </w:tc>
        <w:tc>
          <w:tcPr>
            <w:tcW w:w="1275" w:type="dxa"/>
            <w:tcBorders>
              <w:top w:val="nil"/>
              <w:left w:val="single" w:sz="8" w:space="0" w:color="000000"/>
              <w:bottom w:val="nil"/>
              <w:right w:val="single" w:sz="8" w:space="0" w:color="000000"/>
            </w:tcBorders>
          </w:tcPr>
          <w:p>
            <w:pPr>
              <w:pStyle w:val="TableParagraph"/>
              <w:spacing w:before="25"/>
              <w:ind w:right="37"/>
              <w:jc w:val="right"/>
              <w:rPr>
                <w:sz w:val="18"/>
              </w:rPr>
            </w:pPr>
            <w:r>
              <w:rPr>
                <w:sz w:val="18"/>
              </w:rPr>
              <w:t>.942</w:t>
            </w:r>
          </w:p>
        </w:tc>
        <w:tc>
          <w:tcPr>
            <w:tcW w:w="1418" w:type="dxa"/>
            <w:tcBorders>
              <w:top w:val="nil"/>
              <w:left w:val="single" w:sz="8" w:space="0" w:color="000000"/>
              <w:bottom w:val="nil"/>
              <w:right w:val="single" w:sz="8" w:space="0" w:color="000000"/>
            </w:tcBorders>
          </w:tcPr>
          <w:p>
            <w:pPr>
              <w:pStyle w:val="TableParagraph"/>
              <w:spacing w:before="25"/>
              <w:ind w:right="38"/>
              <w:jc w:val="right"/>
              <w:rPr>
                <w:sz w:val="18"/>
              </w:rPr>
            </w:pPr>
            <w:r>
              <w:rPr>
                <w:sz w:val="18"/>
              </w:rPr>
              <w:t>86.609</w:t>
            </w:r>
          </w:p>
        </w:tc>
        <w:tc>
          <w:tcPr>
            <w:tcW w:w="708" w:type="dxa"/>
            <w:vMerge/>
            <w:tcBorders>
              <w:top w:val="nil"/>
              <w:left w:val="single" w:sz="8" w:space="0" w:color="000000"/>
              <w:right w:val="single" w:sz="8" w:space="0" w:color="000000"/>
            </w:tcBorders>
          </w:tcPr>
          <w:p>
            <w:pPr>
              <w:rPr>
                <w:sz w:val="2"/>
                <w:szCs w:val="2"/>
              </w:rPr>
            </w:pPr>
          </w:p>
        </w:tc>
        <w:tc>
          <w:tcPr>
            <w:tcW w:w="1277" w:type="dxa"/>
            <w:vMerge/>
            <w:tcBorders>
              <w:top w:val="nil"/>
              <w:left w:val="single" w:sz="8" w:space="0" w:color="000000"/>
              <w:right w:val="single" w:sz="8" w:space="0" w:color="000000"/>
            </w:tcBorders>
          </w:tcPr>
          <w:p>
            <w:pPr>
              <w:rPr>
                <w:sz w:val="2"/>
                <w:szCs w:val="2"/>
              </w:rPr>
            </w:pPr>
          </w:p>
        </w:tc>
        <w:tc>
          <w:tcPr>
            <w:tcW w:w="1277" w:type="dxa"/>
            <w:vMerge/>
            <w:tcBorders>
              <w:top w:val="nil"/>
              <w:left w:val="single" w:sz="8" w:space="0" w:color="000000"/>
              <w:right w:val="single" w:sz="8" w:space="0" w:color="000000"/>
            </w:tcBorders>
          </w:tcPr>
          <w:p>
            <w:pPr>
              <w:rPr>
                <w:sz w:val="2"/>
                <w:szCs w:val="2"/>
              </w:rPr>
            </w:pPr>
          </w:p>
        </w:tc>
        <w:tc>
          <w:tcPr>
            <w:tcW w:w="1354" w:type="dxa"/>
            <w:vMerge/>
            <w:tcBorders>
              <w:top w:val="nil"/>
              <w:left w:val="single" w:sz="8" w:space="0" w:color="000000"/>
            </w:tcBorders>
          </w:tcPr>
          <w:p>
            <w:pPr>
              <w:rPr>
                <w:sz w:val="2"/>
                <w:szCs w:val="2"/>
              </w:rPr>
            </w:pPr>
          </w:p>
        </w:tc>
      </w:tr>
      <w:tr>
        <w:trPr>
          <w:trHeight w:val="266" w:hRule="atLeast"/>
        </w:trPr>
        <w:tc>
          <w:tcPr>
            <w:tcW w:w="547" w:type="dxa"/>
            <w:tcBorders>
              <w:top w:val="nil"/>
              <w:bottom w:val="nil"/>
            </w:tcBorders>
          </w:tcPr>
          <w:p>
            <w:pPr>
              <w:pStyle w:val="TableParagraph"/>
              <w:spacing w:before="26"/>
              <w:ind w:left="56"/>
              <w:rPr>
                <w:sz w:val="18"/>
              </w:rPr>
            </w:pPr>
            <w:r>
              <w:rPr>
                <w:sz w:val="18"/>
              </w:rPr>
              <w:t>30</w:t>
            </w:r>
          </w:p>
        </w:tc>
        <w:tc>
          <w:tcPr>
            <w:tcW w:w="710" w:type="dxa"/>
            <w:tcBorders>
              <w:top w:val="nil"/>
              <w:bottom w:val="nil"/>
              <w:right w:val="single" w:sz="8" w:space="0" w:color="000000"/>
            </w:tcBorders>
          </w:tcPr>
          <w:p>
            <w:pPr>
              <w:pStyle w:val="TableParagraph"/>
              <w:spacing w:before="26"/>
              <w:ind w:right="39"/>
              <w:jc w:val="right"/>
              <w:rPr>
                <w:sz w:val="18"/>
              </w:rPr>
            </w:pPr>
            <w:r>
              <w:rPr>
                <w:sz w:val="18"/>
              </w:rPr>
              <w:t>.462</w:t>
            </w:r>
          </w:p>
        </w:tc>
        <w:tc>
          <w:tcPr>
            <w:tcW w:w="1275" w:type="dxa"/>
            <w:tcBorders>
              <w:top w:val="nil"/>
              <w:left w:val="single" w:sz="8" w:space="0" w:color="000000"/>
              <w:bottom w:val="nil"/>
              <w:right w:val="single" w:sz="8" w:space="0" w:color="000000"/>
            </w:tcBorders>
          </w:tcPr>
          <w:p>
            <w:pPr>
              <w:pStyle w:val="TableParagraph"/>
              <w:spacing w:before="26"/>
              <w:ind w:right="36"/>
              <w:jc w:val="right"/>
              <w:rPr>
                <w:sz w:val="18"/>
              </w:rPr>
            </w:pPr>
            <w:r>
              <w:rPr>
                <w:sz w:val="18"/>
              </w:rPr>
              <w:t>.925</w:t>
            </w:r>
          </w:p>
        </w:tc>
        <w:tc>
          <w:tcPr>
            <w:tcW w:w="1418" w:type="dxa"/>
            <w:tcBorders>
              <w:top w:val="nil"/>
              <w:left w:val="single" w:sz="8" w:space="0" w:color="000000"/>
              <w:bottom w:val="nil"/>
              <w:right w:val="single" w:sz="8" w:space="0" w:color="000000"/>
            </w:tcBorders>
          </w:tcPr>
          <w:p>
            <w:pPr>
              <w:pStyle w:val="TableParagraph"/>
              <w:spacing w:before="26"/>
              <w:ind w:right="38"/>
              <w:jc w:val="right"/>
              <w:rPr>
                <w:sz w:val="18"/>
              </w:rPr>
            </w:pPr>
            <w:r>
              <w:rPr>
                <w:sz w:val="18"/>
              </w:rPr>
              <w:t>87.533</w:t>
            </w:r>
          </w:p>
        </w:tc>
        <w:tc>
          <w:tcPr>
            <w:tcW w:w="708" w:type="dxa"/>
            <w:vMerge/>
            <w:tcBorders>
              <w:top w:val="nil"/>
              <w:left w:val="single" w:sz="8" w:space="0" w:color="000000"/>
              <w:right w:val="single" w:sz="8" w:space="0" w:color="000000"/>
            </w:tcBorders>
          </w:tcPr>
          <w:p>
            <w:pPr>
              <w:rPr>
                <w:sz w:val="2"/>
                <w:szCs w:val="2"/>
              </w:rPr>
            </w:pPr>
          </w:p>
        </w:tc>
        <w:tc>
          <w:tcPr>
            <w:tcW w:w="1277" w:type="dxa"/>
            <w:vMerge/>
            <w:tcBorders>
              <w:top w:val="nil"/>
              <w:left w:val="single" w:sz="8" w:space="0" w:color="000000"/>
              <w:right w:val="single" w:sz="8" w:space="0" w:color="000000"/>
            </w:tcBorders>
          </w:tcPr>
          <w:p>
            <w:pPr>
              <w:rPr>
                <w:sz w:val="2"/>
                <w:szCs w:val="2"/>
              </w:rPr>
            </w:pPr>
          </w:p>
        </w:tc>
        <w:tc>
          <w:tcPr>
            <w:tcW w:w="1277" w:type="dxa"/>
            <w:vMerge/>
            <w:tcBorders>
              <w:top w:val="nil"/>
              <w:left w:val="single" w:sz="8" w:space="0" w:color="000000"/>
              <w:right w:val="single" w:sz="8" w:space="0" w:color="000000"/>
            </w:tcBorders>
          </w:tcPr>
          <w:p>
            <w:pPr>
              <w:rPr>
                <w:sz w:val="2"/>
                <w:szCs w:val="2"/>
              </w:rPr>
            </w:pPr>
          </w:p>
        </w:tc>
        <w:tc>
          <w:tcPr>
            <w:tcW w:w="1354" w:type="dxa"/>
            <w:vMerge/>
            <w:tcBorders>
              <w:top w:val="nil"/>
              <w:left w:val="single" w:sz="8" w:space="0" w:color="000000"/>
            </w:tcBorders>
          </w:tcPr>
          <w:p>
            <w:pPr>
              <w:rPr>
                <w:sz w:val="2"/>
                <w:szCs w:val="2"/>
              </w:rPr>
            </w:pPr>
          </w:p>
        </w:tc>
      </w:tr>
      <w:tr>
        <w:trPr>
          <w:trHeight w:val="264" w:hRule="atLeast"/>
        </w:trPr>
        <w:tc>
          <w:tcPr>
            <w:tcW w:w="547" w:type="dxa"/>
            <w:tcBorders>
              <w:top w:val="nil"/>
              <w:bottom w:val="nil"/>
            </w:tcBorders>
          </w:tcPr>
          <w:p>
            <w:pPr>
              <w:pStyle w:val="TableParagraph"/>
              <w:spacing w:before="25"/>
              <w:ind w:left="56"/>
              <w:rPr>
                <w:sz w:val="18"/>
              </w:rPr>
            </w:pPr>
            <w:r>
              <w:rPr>
                <w:sz w:val="18"/>
              </w:rPr>
              <w:t>31</w:t>
            </w:r>
          </w:p>
        </w:tc>
        <w:tc>
          <w:tcPr>
            <w:tcW w:w="710" w:type="dxa"/>
            <w:tcBorders>
              <w:top w:val="nil"/>
              <w:bottom w:val="nil"/>
              <w:right w:val="single" w:sz="8" w:space="0" w:color="000000"/>
            </w:tcBorders>
          </w:tcPr>
          <w:p>
            <w:pPr>
              <w:pStyle w:val="TableParagraph"/>
              <w:spacing w:before="25"/>
              <w:ind w:right="39"/>
              <w:jc w:val="right"/>
              <w:rPr>
                <w:sz w:val="18"/>
              </w:rPr>
            </w:pPr>
            <w:r>
              <w:rPr>
                <w:sz w:val="18"/>
              </w:rPr>
              <w:t>.435</w:t>
            </w:r>
          </w:p>
        </w:tc>
        <w:tc>
          <w:tcPr>
            <w:tcW w:w="1275" w:type="dxa"/>
            <w:tcBorders>
              <w:top w:val="nil"/>
              <w:left w:val="single" w:sz="8" w:space="0" w:color="000000"/>
              <w:bottom w:val="nil"/>
              <w:right w:val="single" w:sz="8" w:space="0" w:color="000000"/>
            </w:tcBorders>
          </w:tcPr>
          <w:p>
            <w:pPr>
              <w:pStyle w:val="TableParagraph"/>
              <w:spacing w:before="25"/>
              <w:ind w:right="37"/>
              <w:jc w:val="right"/>
              <w:rPr>
                <w:sz w:val="18"/>
              </w:rPr>
            </w:pPr>
            <w:r>
              <w:rPr>
                <w:sz w:val="18"/>
              </w:rPr>
              <w:t>.870</w:t>
            </w:r>
          </w:p>
        </w:tc>
        <w:tc>
          <w:tcPr>
            <w:tcW w:w="1418" w:type="dxa"/>
            <w:tcBorders>
              <w:top w:val="nil"/>
              <w:left w:val="single" w:sz="8" w:space="0" w:color="000000"/>
              <w:bottom w:val="nil"/>
              <w:right w:val="single" w:sz="8" w:space="0" w:color="000000"/>
            </w:tcBorders>
          </w:tcPr>
          <w:p>
            <w:pPr>
              <w:pStyle w:val="TableParagraph"/>
              <w:spacing w:before="25"/>
              <w:ind w:right="38"/>
              <w:jc w:val="right"/>
              <w:rPr>
                <w:sz w:val="18"/>
              </w:rPr>
            </w:pPr>
            <w:r>
              <w:rPr>
                <w:sz w:val="18"/>
              </w:rPr>
              <w:t>88.404</w:t>
            </w:r>
          </w:p>
        </w:tc>
        <w:tc>
          <w:tcPr>
            <w:tcW w:w="708" w:type="dxa"/>
            <w:vMerge/>
            <w:tcBorders>
              <w:top w:val="nil"/>
              <w:left w:val="single" w:sz="8" w:space="0" w:color="000000"/>
              <w:right w:val="single" w:sz="8" w:space="0" w:color="000000"/>
            </w:tcBorders>
          </w:tcPr>
          <w:p>
            <w:pPr>
              <w:rPr>
                <w:sz w:val="2"/>
                <w:szCs w:val="2"/>
              </w:rPr>
            </w:pPr>
          </w:p>
        </w:tc>
        <w:tc>
          <w:tcPr>
            <w:tcW w:w="1277" w:type="dxa"/>
            <w:vMerge/>
            <w:tcBorders>
              <w:top w:val="nil"/>
              <w:left w:val="single" w:sz="8" w:space="0" w:color="000000"/>
              <w:right w:val="single" w:sz="8" w:space="0" w:color="000000"/>
            </w:tcBorders>
          </w:tcPr>
          <w:p>
            <w:pPr>
              <w:rPr>
                <w:sz w:val="2"/>
                <w:szCs w:val="2"/>
              </w:rPr>
            </w:pPr>
          </w:p>
        </w:tc>
        <w:tc>
          <w:tcPr>
            <w:tcW w:w="1277" w:type="dxa"/>
            <w:vMerge/>
            <w:tcBorders>
              <w:top w:val="nil"/>
              <w:left w:val="single" w:sz="8" w:space="0" w:color="000000"/>
              <w:right w:val="single" w:sz="8" w:space="0" w:color="000000"/>
            </w:tcBorders>
          </w:tcPr>
          <w:p>
            <w:pPr>
              <w:rPr>
                <w:sz w:val="2"/>
                <w:szCs w:val="2"/>
              </w:rPr>
            </w:pPr>
          </w:p>
        </w:tc>
        <w:tc>
          <w:tcPr>
            <w:tcW w:w="1354" w:type="dxa"/>
            <w:vMerge/>
            <w:tcBorders>
              <w:top w:val="nil"/>
              <w:left w:val="single" w:sz="8" w:space="0" w:color="000000"/>
            </w:tcBorders>
          </w:tcPr>
          <w:p>
            <w:pPr>
              <w:rPr>
                <w:sz w:val="2"/>
                <w:szCs w:val="2"/>
              </w:rPr>
            </w:pPr>
          </w:p>
        </w:tc>
      </w:tr>
      <w:tr>
        <w:trPr>
          <w:trHeight w:val="265" w:hRule="atLeast"/>
        </w:trPr>
        <w:tc>
          <w:tcPr>
            <w:tcW w:w="547" w:type="dxa"/>
            <w:tcBorders>
              <w:top w:val="nil"/>
              <w:bottom w:val="nil"/>
            </w:tcBorders>
          </w:tcPr>
          <w:p>
            <w:pPr>
              <w:pStyle w:val="TableParagraph"/>
              <w:spacing w:before="25"/>
              <w:ind w:left="56"/>
              <w:rPr>
                <w:sz w:val="18"/>
              </w:rPr>
            </w:pPr>
            <w:r>
              <w:rPr>
                <w:sz w:val="18"/>
              </w:rPr>
              <w:t>32</w:t>
            </w:r>
          </w:p>
        </w:tc>
        <w:tc>
          <w:tcPr>
            <w:tcW w:w="710" w:type="dxa"/>
            <w:tcBorders>
              <w:top w:val="nil"/>
              <w:bottom w:val="nil"/>
              <w:right w:val="single" w:sz="8" w:space="0" w:color="000000"/>
            </w:tcBorders>
          </w:tcPr>
          <w:p>
            <w:pPr>
              <w:pStyle w:val="TableParagraph"/>
              <w:spacing w:before="25"/>
              <w:ind w:right="39"/>
              <w:jc w:val="right"/>
              <w:rPr>
                <w:sz w:val="18"/>
              </w:rPr>
            </w:pPr>
            <w:r>
              <w:rPr>
                <w:sz w:val="18"/>
              </w:rPr>
              <w:t>.431</w:t>
            </w:r>
          </w:p>
        </w:tc>
        <w:tc>
          <w:tcPr>
            <w:tcW w:w="1275" w:type="dxa"/>
            <w:tcBorders>
              <w:top w:val="nil"/>
              <w:left w:val="single" w:sz="8" w:space="0" w:color="000000"/>
              <w:bottom w:val="nil"/>
              <w:right w:val="single" w:sz="8" w:space="0" w:color="000000"/>
            </w:tcBorders>
          </w:tcPr>
          <w:p>
            <w:pPr>
              <w:pStyle w:val="TableParagraph"/>
              <w:spacing w:before="25"/>
              <w:ind w:right="37"/>
              <w:jc w:val="right"/>
              <w:rPr>
                <w:sz w:val="18"/>
              </w:rPr>
            </w:pPr>
            <w:r>
              <w:rPr>
                <w:sz w:val="18"/>
              </w:rPr>
              <w:t>.861</w:t>
            </w:r>
          </w:p>
        </w:tc>
        <w:tc>
          <w:tcPr>
            <w:tcW w:w="1418" w:type="dxa"/>
            <w:tcBorders>
              <w:top w:val="nil"/>
              <w:left w:val="single" w:sz="8" w:space="0" w:color="000000"/>
              <w:bottom w:val="nil"/>
              <w:right w:val="single" w:sz="8" w:space="0" w:color="000000"/>
            </w:tcBorders>
          </w:tcPr>
          <w:p>
            <w:pPr>
              <w:pStyle w:val="TableParagraph"/>
              <w:spacing w:before="25"/>
              <w:ind w:right="38"/>
              <w:jc w:val="right"/>
              <w:rPr>
                <w:sz w:val="18"/>
              </w:rPr>
            </w:pPr>
            <w:r>
              <w:rPr>
                <w:sz w:val="18"/>
              </w:rPr>
              <w:t>89.265</w:t>
            </w:r>
          </w:p>
        </w:tc>
        <w:tc>
          <w:tcPr>
            <w:tcW w:w="708" w:type="dxa"/>
            <w:vMerge/>
            <w:tcBorders>
              <w:top w:val="nil"/>
              <w:left w:val="single" w:sz="8" w:space="0" w:color="000000"/>
              <w:right w:val="single" w:sz="8" w:space="0" w:color="000000"/>
            </w:tcBorders>
          </w:tcPr>
          <w:p>
            <w:pPr>
              <w:rPr>
                <w:sz w:val="2"/>
                <w:szCs w:val="2"/>
              </w:rPr>
            </w:pPr>
          </w:p>
        </w:tc>
        <w:tc>
          <w:tcPr>
            <w:tcW w:w="1277" w:type="dxa"/>
            <w:vMerge/>
            <w:tcBorders>
              <w:top w:val="nil"/>
              <w:left w:val="single" w:sz="8" w:space="0" w:color="000000"/>
              <w:right w:val="single" w:sz="8" w:space="0" w:color="000000"/>
            </w:tcBorders>
          </w:tcPr>
          <w:p>
            <w:pPr>
              <w:rPr>
                <w:sz w:val="2"/>
                <w:szCs w:val="2"/>
              </w:rPr>
            </w:pPr>
          </w:p>
        </w:tc>
        <w:tc>
          <w:tcPr>
            <w:tcW w:w="1277" w:type="dxa"/>
            <w:vMerge/>
            <w:tcBorders>
              <w:top w:val="nil"/>
              <w:left w:val="single" w:sz="8" w:space="0" w:color="000000"/>
              <w:right w:val="single" w:sz="8" w:space="0" w:color="000000"/>
            </w:tcBorders>
          </w:tcPr>
          <w:p>
            <w:pPr>
              <w:rPr>
                <w:sz w:val="2"/>
                <w:szCs w:val="2"/>
              </w:rPr>
            </w:pPr>
          </w:p>
        </w:tc>
        <w:tc>
          <w:tcPr>
            <w:tcW w:w="1354" w:type="dxa"/>
            <w:vMerge/>
            <w:tcBorders>
              <w:top w:val="nil"/>
              <w:left w:val="single" w:sz="8" w:space="0" w:color="000000"/>
            </w:tcBorders>
          </w:tcPr>
          <w:p>
            <w:pPr>
              <w:rPr>
                <w:sz w:val="2"/>
                <w:szCs w:val="2"/>
              </w:rPr>
            </w:pPr>
          </w:p>
        </w:tc>
      </w:tr>
      <w:tr>
        <w:trPr>
          <w:trHeight w:val="265" w:hRule="atLeast"/>
        </w:trPr>
        <w:tc>
          <w:tcPr>
            <w:tcW w:w="547" w:type="dxa"/>
            <w:tcBorders>
              <w:top w:val="nil"/>
              <w:bottom w:val="nil"/>
            </w:tcBorders>
          </w:tcPr>
          <w:p>
            <w:pPr>
              <w:pStyle w:val="TableParagraph"/>
              <w:spacing w:before="26"/>
              <w:ind w:left="56"/>
              <w:rPr>
                <w:sz w:val="18"/>
              </w:rPr>
            </w:pPr>
            <w:r>
              <w:rPr>
                <w:sz w:val="18"/>
              </w:rPr>
              <w:t>33</w:t>
            </w:r>
          </w:p>
        </w:tc>
        <w:tc>
          <w:tcPr>
            <w:tcW w:w="710" w:type="dxa"/>
            <w:tcBorders>
              <w:top w:val="nil"/>
              <w:bottom w:val="nil"/>
              <w:right w:val="single" w:sz="8" w:space="0" w:color="000000"/>
            </w:tcBorders>
          </w:tcPr>
          <w:p>
            <w:pPr>
              <w:pStyle w:val="TableParagraph"/>
              <w:spacing w:before="26"/>
              <w:ind w:right="39"/>
              <w:jc w:val="right"/>
              <w:rPr>
                <w:sz w:val="18"/>
              </w:rPr>
            </w:pPr>
            <w:r>
              <w:rPr>
                <w:sz w:val="18"/>
              </w:rPr>
              <w:t>.415</w:t>
            </w:r>
          </w:p>
        </w:tc>
        <w:tc>
          <w:tcPr>
            <w:tcW w:w="1275" w:type="dxa"/>
            <w:tcBorders>
              <w:top w:val="nil"/>
              <w:left w:val="single" w:sz="8" w:space="0" w:color="000000"/>
              <w:bottom w:val="nil"/>
              <w:right w:val="single" w:sz="8" w:space="0" w:color="000000"/>
            </w:tcBorders>
          </w:tcPr>
          <w:p>
            <w:pPr>
              <w:pStyle w:val="TableParagraph"/>
              <w:spacing w:before="26"/>
              <w:ind w:right="36"/>
              <w:jc w:val="right"/>
              <w:rPr>
                <w:sz w:val="18"/>
              </w:rPr>
            </w:pPr>
            <w:r>
              <w:rPr>
                <w:sz w:val="18"/>
              </w:rPr>
              <w:t>.831</w:t>
            </w:r>
          </w:p>
        </w:tc>
        <w:tc>
          <w:tcPr>
            <w:tcW w:w="1418" w:type="dxa"/>
            <w:tcBorders>
              <w:top w:val="nil"/>
              <w:left w:val="single" w:sz="8" w:space="0" w:color="000000"/>
              <w:bottom w:val="nil"/>
              <w:right w:val="single" w:sz="8" w:space="0" w:color="000000"/>
            </w:tcBorders>
          </w:tcPr>
          <w:p>
            <w:pPr>
              <w:pStyle w:val="TableParagraph"/>
              <w:spacing w:before="26"/>
              <w:ind w:right="38"/>
              <w:jc w:val="right"/>
              <w:rPr>
                <w:sz w:val="18"/>
              </w:rPr>
            </w:pPr>
            <w:r>
              <w:rPr>
                <w:sz w:val="18"/>
              </w:rPr>
              <w:t>90.096</w:t>
            </w:r>
          </w:p>
        </w:tc>
        <w:tc>
          <w:tcPr>
            <w:tcW w:w="708" w:type="dxa"/>
            <w:vMerge/>
            <w:tcBorders>
              <w:top w:val="nil"/>
              <w:left w:val="single" w:sz="8" w:space="0" w:color="000000"/>
              <w:right w:val="single" w:sz="8" w:space="0" w:color="000000"/>
            </w:tcBorders>
          </w:tcPr>
          <w:p>
            <w:pPr>
              <w:rPr>
                <w:sz w:val="2"/>
                <w:szCs w:val="2"/>
              </w:rPr>
            </w:pPr>
          </w:p>
        </w:tc>
        <w:tc>
          <w:tcPr>
            <w:tcW w:w="1277" w:type="dxa"/>
            <w:vMerge/>
            <w:tcBorders>
              <w:top w:val="nil"/>
              <w:left w:val="single" w:sz="8" w:space="0" w:color="000000"/>
              <w:right w:val="single" w:sz="8" w:space="0" w:color="000000"/>
            </w:tcBorders>
          </w:tcPr>
          <w:p>
            <w:pPr>
              <w:rPr>
                <w:sz w:val="2"/>
                <w:szCs w:val="2"/>
              </w:rPr>
            </w:pPr>
          </w:p>
        </w:tc>
        <w:tc>
          <w:tcPr>
            <w:tcW w:w="1277" w:type="dxa"/>
            <w:vMerge/>
            <w:tcBorders>
              <w:top w:val="nil"/>
              <w:left w:val="single" w:sz="8" w:space="0" w:color="000000"/>
              <w:right w:val="single" w:sz="8" w:space="0" w:color="000000"/>
            </w:tcBorders>
          </w:tcPr>
          <w:p>
            <w:pPr>
              <w:rPr>
                <w:sz w:val="2"/>
                <w:szCs w:val="2"/>
              </w:rPr>
            </w:pPr>
          </w:p>
        </w:tc>
        <w:tc>
          <w:tcPr>
            <w:tcW w:w="1354" w:type="dxa"/>
            <w:vMerge/>
            <w:tcBorders>
              <w:top w:val="nil"/>
              <w:left w:val="single" w:sz="8" w:space="0" w:color="000000"/>
            </w:tcBorders>
          </w:tcPr>
          <w:p>
            <w:pPr>
              <w:rPr>
                <w:sz w:val="2"/>
                <w:szCs w:val="2"/>
              </w:rPr>
            </w:pPr>
          </w:p>
        </w:tc>
      </w:tr>
      <w:tr>
        <w:trPr>
          <w:trHeight w:val="264" w:hRule="atLeast"/>
        </w:trPr>
        <w:tc>
          <w:tcPr>
            <w:tcW w:w="547" w:type="dxa"/>
            <w:tcBorders>
              <w:top w:val="nil"/>
              <w:bottom w:val="nil"/>
            </w:tcBorders>
          </w:tcPr>
          <w:p>
            <w:pPr>
              <w:pStyle w:val="TableParagraph"/>
              <w:spacing w:before="25"/>
              <w:ind w:left="56"/>
              <w:rPr>
                <w:sz w:val="18"/>
              </w:rPr>
            </w:pPr>
            <w:r>
              <w:rPr>
                <w:sz w:val="18"/>
              </w:rPr>
              <w:t>34</w:t>
            </w:r>
          </w:p>
        </w:tc>
        <w:tc>
          <w:tcPr>
            <w:tcW w:w="710" w:type="dxa"/>
            <w:tcBorders>
              <w:top w:val="nil"/>
              <w:bottom w:val="nil"/>
              <w:right w:val="single" w:sz="8" w:space="0" w:color="000000"/>
            </w:tcBorders>
          </w:tcPr>
          <w:p>
            <w:pPr>
              <w:pStyle w:val="TableParagraph"/>
              <w:spacing w:before="25"/>
              <w:ind w:right="39"/>
              <w:jc w:val="right"/>
              <w:rPr>
                <w:sz w:val="18"/>
              </w:rPr>
            </w:pPr>
            <w:r>
              <w:rPr>
                <w:sz w:val="18"/>
              </w:rPr>
              <w:t>.403</w:t>
            </w:r>
          </w:p>
        </w:tc>
        <w:tc>
          <w:tcPr>
            <w:tcW w:w="1275" w:type="dxa"/>
            <w:tcBorders>
              <w:top w:val="nil"/>
              <w:left w:val="single" w:sz="8" w:space="0" w:color="000000"/>
              <w:bottom w:val="nil"/>
              <w:right w:val="single" w:sz="8" w:space="0" w:color="000000"/>
            </w:tcBorders>
          </w:tcPr>
          <w:p>
            <w:pPr>
              <w:pStyle w:val="TableParagraph"/>
              <w:spacing w:before="25"/>
              <w:ind w:right="37"/>
              <w:jc w:val="right"/>
              <w:rPr>
                <w:sz w:val="18"/>
              </w:rPr>
            </w:pPr>
            <w:r>
              <w:rPr>
                <w:sz w:val="18"/>
              </w:rPr>
              <w:t>.806</w:t>
            </w:r>
          </w:p>
        </w:tc>
        <w:tc>
          <w:tcPr>
            <w:tcW w:w="1418" w:type="dxa"/>
            <w:tcBorders>
              <w:top w:val="nil"/>
              <w:left w:val="single" w:sz="8" w:space="0" w:color="000000"/>
              <w:bottom w:val="nil"/>
              <w:right w:val="single" w:sz="8" w:space="0" w:color="000000"/>
            </w:tcBorders>
          </w:tcPr>
          <w:p>
            <w:pPr>
              <w:pStyle w:val="TableParagraph"/>
              <w:spacing w:before="25"/>
              <w:ind w:right="39"/>
              <w:jc w:val="right"/>
              <w:rPr>
                <w:sz w:val="18"/>
              </w:rPr>
            </w:pPr>
            <w:r>
              <w:rPr>
                <w:sz w:val="18"/>
              </w:rPr>
              <w:t>90.901</w:t>
            </w:r>
          </w:p>
        </w:tc>
        <w:tc>
          <w:tcPr>
            <w:tcW w:w="708" w:type="dxa"/>
            <w:vMerge/>
            <w:tcBorders>
              <w:top w:val="nil"/>
              <w:left w:val="single" w:sz="8" w:space="0" w:color="000000"/>
              <w:right w:val="single" w:sz="8" w:space="0" w:color="000000"/>
            </w:tcBorders>
          </w:tcPr>
          <w:p>
            <w:pPr>
              <w:rPr>
                <w:sz w:val="2"/>
                <w:szCs w:val="2"/>
              </w:rPr>
            </w:pPr>
          </w:p>
        </w:tc>
        <w:tc>
          <w:tcPr>
            <w:tcW w:w="1277" w:type="dxa"/>
            <w:vMerge/>
            <w:tcBorders>
              <w:top w:val="nil"/>
              <w:left w:val="single" w:sz="8" w:space="0" w:color="000000"/>
              <w:right w:val="single" w:sz="8" w:space="0" w:color="000000"/>
            </w:tcBorders>
          </w:tcPr>
          <w:p>
            <w:pPr>
              <w:rPr>
                <w:sz w:val="2"/>
                <w:szCs w:val="2"/>
              </w:rPr>
            </w:pPr>
          </w:p>
        </w:tc>
        <w:tc>
          <w:tcPr>
            <w:tcW w:w="1277" w:type="dxa"/>
            <w:vMerge/>
            <w:tcBorders>
              <w:top w:val="nil"/>
              <w:left w:val="single" w:sz="8" w:space="0" w:color="000000"/>
              <w:right w:val="single" w:sz="8" w:space="0" w:color="000000"/>
            </w:tcBorders>
          </w:tcPr>
          <w:p>
            <w:pPr>
              <w:rPr>
                <w:sz w:val="2"/>
                <w:szCs w:val="2"/>
              </w:rPr>
            </w:pPr>
          </w:p>
        </w:tc>
        <w:tc>
          <w:tcPr>
            <w:tcW w:w="1354" w:type="dxa"/>
            <w:vMerge/>
            <w:tcBorders>
              <w:top w:val="nil"/>
              <w:left w:val="single" w:sz="8" w:space="0" w:color="000000"/>
            </w:tcBorders>
          </w:tcPr>
          <w:p>
            <w:pPr>
              <w:rPr>
                <w:sz w:val="2"/>
                <w:szCs w:val="2"/>
              </w:rPr>
            </w:pPr>
          </w:p>
        </w:tc>
      </w:tr>
      <w:tr>
        <w:trPr>
          <w:trHeight w:val="265" w:hRule="atLeast"/>
        </w:trPr>
        <w:tc>
          <w:tcPr>
            <w:tcW w:w="547" w:type="dxa"/>
            <w:tcBorders>
              <w:top w:val="nil"/>
              <w:bottom w:val="nil"/>
            </w:tcBorders>
          </w:tcPr>
          <w:p>
            <w:pPr>
              <w:pStyle w:val="TableParagraph"/>
              <w:spacing w:before="25"/>
              <w:ind w:left="56"/>
              <w:rPr>
                <w:sz w:val="18"/>
              </w:rPr>
            </w:pPr>
            <w:r>
              <w:rPr>
                <w:sz w:val="18"/>
              </w:rPr>
              <w:t>35</w:t>
            </w:r>
          </w:p>
        </w:tc>
        <w:tc>
          <w:tcPr>
            <w:tcW w:w="710" w:type="dxa"/>
            <w:tcBorders>
              <w:top w:val="nil"/>
              <w:bottom w:val="nil"/>
              <w:right w:val="single" w:sz="8" w:space="0" w:color="000000"/>
            </w:tcBorders>
          </w:tcPr>
          <w:p>
            <w:pPr>
              <w:pStyle w:val="TableParagraph"/>
              <w:spacing w:before="25"/>
              <w:ind w:right="39"/>
              <w:jc w:val="right"/>
              <w:rPr>
                <w:sz w:val="18"/>
              </w:rPr>
            </w:pPr>
            <w:r>
              <w:rPr>
                <w:sz w:val="18"/>
              </w:rPr>
              <w:t>.391</w:t>
            </w:r>
          </w:p>
        </w:tc>
        <w:tc>
          <w:tcPr>
            <w:tcW w:w="1275" w:type="dxa"/>
            <w:tcBorders>
              <w:top w:val="nil"/>
              <w:left w:val="single" w:sz="8" w:space="0" w:color="000000"/>
              <w:bottom w:val="nil"/>
              <w:right w:val="single" w:sz="8" w:space="0" w:color="000000"/>
            </w:tcBorders>
          </w:tcPr>
          <w:p>
            <w:pPr>
              <w:pStyle w:val="TableParagraph"/>
              <w:spacing w:before="25"/>
              <w:ind w:right="37"/>
              <w:jc w:val="right"/>
              <w:rPr>
                <w:sz w:val="18"/>
              </w:rPr>
            </w:pPr>
            <w:r>
              <w:rPr>
                <w:sz w:val="18"/>
              </w:rPr>
              <w:t>.783</w:t>
            </w:r>
          </w:p>
        </w:tc>
        <w:tc>
          <w:tcPr>
            <w:tcW w:w="1418" w:type="dxa"/>
            <w:tcBorders>
              <w:top w:val="nil"/>
              <w:left w:val="single" w:sz="8" w:space="0" w:color="000000"/>
              <w:bottom w:val="nil"/>
              <w:right w:val="single" w:sz="8" w:space="0" w:color="000000"/>
            </w:tcBorders>
          </w:tcPr>
          <w:p>
            <w:pPr>
              <w:pStyle w:val="TableParagraph"/>
              <w:spacing w:before="25"/>
              <w:ind w:right="38"/>
              <w:jc w:val="right"/>
              <w:rPr>
                <w:sz w:val="18"/>
              </w:rPr>
            </w:pPr>
            <w:r>
              <w:rPr>
                <w:sz w:val="18"/>
              </w:rPr>
              <w:t>91.684</w:t>
            </w:r>
          </w:p>
        </w:tc>
        <w:tc>
          <w:tcPr>
            <w:tcW w:w="708" w:type="dxa"/>
            <w:vMerge/>
            <w:tcBorders>
              <w:top w:val="nil"/>
              <w:left w:val="single" w:sz="8" w:space="0" w:color="000000"/>
              <w:right w:val="single" w:sz="8" w:space="0" w:color="000000"/>
            </w:tcBorders>
          </w:tcPr>
          <w:p>
            <w:pPr>
              <w:rPr>
                <w:sz w:val="2"/>
                <w:szCs w:val="2"/>
              </w:rPr>
            </w:pPr>
          </w:p>
        </w:tc>
        <w:tc>
          <w:tcPr>
            <w:tcW w:w="1277" w:type="dxa"/>
            <w:vMerge/>
            <w:tcBorders>
              <w:top w:val="nil"/>
              <w:left w:val="single" w:sz="8" w:space="0" w:color="000000"/>
              <w:right w:val="single" w:sz="8" w:space="0" w:color="000000"/>
            </w:tcBorders>
          </w:tcPr>
          <w:p>
            <w:pPr>
              <w:rPr>
                <w:sz w:val="2"/>
                <w:szCs w:val="2"/>
              </w:rPr>
            </w:pPr>
          </w:p>
        </w:tc>
        <w:tc>
          <w:tcPr>
            <w:tcW w:w="1277" w:type="dxa"/>
            <w:vMerge/>
            <w:tcBorders>
              <w:top w:val="nil"/>
              <w:left w:val="single" w:sz="8" w:space="0" w:color="000000"/>
              <w:right w:val="single" w:sz="8" w:space="0" w:color="000000"/>
            </w:tcBorders>
          </w:tcPr>
          <w:p>
            <w:pPr>
              <w:rPr>
                <w:sz w:val="2"/>
                <w:szCs w:val="2"/>
              </w:rPr>
            </w:pPr>
          </w:p>
        </w:tc>
        <w:tc>
          <w:tcPr>
            <w:tcW w:w="1354" w:type="dxa"/>
            <w:vMerge/>
            <w:tcBorders>
              <w:top w:val="nil"/>
              <w:left w:val="single" w:sz="8" w:space="0" w:color="000000"/>
            </w:tcBorders>
          </w:tcPr>
          <w:p>
            <w:pPr>
              <w:rPr>
                <w:sz w:val="2"/>
                <w:szCs w:val="2"/>
              </w:rPr>
            </w:pPr>
          </w:p>
        </w:tc>
      </w:tr>
      <w:tr>
        <w:trPr>
          <w:trHeight w:val="265" w:hRule="atLeast"/>
        </w:trPr>
        <w:tc>
          <w:tcPr>
            <w:tcW w:w="547" w:type="dxa"/>
            <w:tcBorders>
              <w:top w:val="nil"/>
              <w:bottom w:val="nil"/>
            </w:tcBorders>
          </w:tcPr>
          <w:p>
            <w:pPr>
              <w:pStyle w:val="TableParagraph"/>
              <w:spacing w:before="26"/>
              <w:ind w:left="56"/>
              <w:rPr>
                <w:sz w:val="18"/>
              </w:rPr>
            </w:pPr>
            <w:r>
              <w:rPr>
                <w:sz w:val="18"/>
              </w:rPr>
              <w:t>36</w:t>
            </w:r>
          </w:p>
        </w:tc>
        <w:tc>
          <w:tcPr>
            <w:tcW w:w="710" w:type="dxa"/>
            <w:tcBorders>
              <w:top w:val="nil"/>
              <w:bottom w:val="nil"/>
              <w:right w:val="single" w:sz="8" w:space="0" w:color="000000"/>
            </w:tcBorders>
          </w:tcPr>
          <w:p>
            <w:pPr>
              <w:pStyle w:val="TableParagraph"/>
              <w:spacing w:before="26"/>
              <w:ind w:right="39"/>
              <w:jc w:val="right"/>
              <w:rPr>
                <w:sz w:val="18"/>
              </w:rPr>
            </w:pPr>
            <w:r>
              <w:rPr>
                <w:sz w:val="18"/>
              </w:rPr>
              <w:t>.353</w:t>
            </w:r>
          </w:p>
        </w:tc>
        <w:tc>
          <w:tcPr>
            <w:tcW w:w="1275" w:type="dxa"/>
            <w:tcBorders>
              <w:top w:val="nil"/>
              <w:left w:val="single" w:sz="8" w:space="0" w:color="000000"/>
              <w:bottom w:val="nil"/>
              <w:right w:val="single" w:sz="8" w:space="0" w:color="000000"/>
            </w:tcBorders>
          </w:tcPr>
          <w:p>
            <w:pPr>
              <w:pStyle w:val="TableParagraph"/>
              <w:spacing w:before="26"/>
              <w:ind w:right="37"/>
              <w:jc w:val="right"/>
              <w:rPr>
                <w:sz w:val="18"/>
              </w:rPr>
            </w:pPr>
            <w:r>
              <w:rPr>
                <w:sz w:val="18"/>
              </w:rPr>
              <w:t>.707</w:t>
            </w:r>
          </w:p>
        </w:tc>
        <w:tc>
          <w:tcPr>
            <w:tcW w:w="1418" w:type="dxa"/>
            <w:tcBorders>
              <w:top w:val="nil"/>
              <w:left w:val="single" w:sz="8" w:space="0" w:color="000000"/>
              <w:bottom w:val="nil"/>
              <w:right w:val="single" w:sz="8" w:space="0" w:color="000000"/>
            </w:tcBorders>
          </w:tcPr>
          <w:p>
            <w:pPr>
              <w:pStyle w:val="TableParagraph"/>
              <w:spacing w:before="26"/>
              <w:ind w:right="38"/>
              <w:jc w:val="right"/>
              <w:rPr>
                <w:sz w:val="18"/>
              </w:rPr>
            </w:pPr>
            <w:r>
              <w:rPr>
                <w:sz w:val="18"/>
              </w:rPr>
              <w:t>92.391</w:t>
            </w:r>
          </w:p>
        </w:tc>
        <w:tc>
          <w:tcPr>
            <w:tcW w:w="708" w:type="dxa"/>
            <w:vMerge/>
            <w:tcBorders>
              <w:top w:val="nil"/>
              <w:left w:val="single" w:sz="8" w:space="0" w:color="000000"/>
              <w:right w:val="single" w:sz="8" w:space="0" w:color="000000"/>
            </w:tcBorders>
          </w:tcPr>
          <w:p>
            <w:pPr>
              <w:rPr>
                <w:sz w:val="2"/>
                <w:szCs w:val="2"/>
              </w:rPr>
            </w:pPr>
          </w:p>
        </w:tc>
        <w:tc>
          <w:tcPr>
            <w:tcW w:w="1277" w:type="dxa"/>
            <w:vMerge/>
            <w:tcBorders>
              <w:top w:val="nil"/>
              <w:left w:val="single" w:sz="8" w:space="0" w:color="000000"/>
              <w:right w:val="single" w:sz="8" w:space="0" w:color="000000"/>
            </w:tcBorders>
          </w:tcPr>
          <w:p>
            <w:pPr>
              <w:rPr>
                <w:sz w:val="2"/>
                <w:szCs w:val="2"/>
              </w:rPr>
            </w:pPr>
          </w:p>
        </w:tc>
        <w:tc>
          <w:tcPr>
            <w:tcW w:w="1277" w:type="dxa"/>
            <w:vMerge/>
            <w:tcBorders>
              <w:top w:val="nil"/>
              <w:left w:val="single" w:sz="8" w:space="0" w:color="000000"/>
              <w:right w:val="single" w:sz="8" w:space="0" w:color="000000"/>
            </w:tcBorders>
          </w:tcPr>
          <w:p>
            <w:pPr>
              <w:rPr>
                <w:sz w:val="2"/>
                <w:szCs w:val="2"/>
              </w:rPr>
            </w:pPr>
          </w:p>
        </w:tc>
        <w:tc>
          <w:tcPr>
            <w:tcW w:w="1354" w:type="dxa"/>
            <w:vMerge/>
            <w:tcBorders>
              <w:top w:val="nil"/>
              <w:left w:val="single" w:sz="8" w:space="0" w:color="000000"/>
            </w:tcBorders>
          </w:tcPr>
          <w:p>
            <w:pPr>
              <w:rPr>
                <w:sz w:val="2"/>
                <w:szCs w:val="2"/>
              </w:rPr>
            </w:pPr>
          </w:p>
        </w:tc>
      </w:tr>
      <w:tr>
        <w:trPr>
          <w:trHeight w:val="264" w:hRule="atLeast"/>
        </w:trPr>
        <w:tc>
          <w:tcPr>
            <w:tcW w:w="547" w:type="dxa"/>
            <w:tcBorders>
              <w:top w:val="nil"/>
              <w:bottom w:val="nil"/>
            </w:tcBorders>
          </w:tcPr>
          <w:p>
            <w:pPr>
              <w:pStyle w:val="TableParagraph"/>
              <w:spacing w:before="25"/>
              <w:ind w:left="56"/>
              <w:rPr>
                <w:sz w:val="18"/>
              </w:rPr>
            </w:pPr>
            <w:r>
              <w:rPr>
                <w:sz w:val="18"/>
              </w:rPr>
              <w:t>37</w:t>
            </w:r>
          </w:p>
        </w:tc>
        <w:tc>
          <w:tcPr>
            <w:tcW w:w="710" w:type="dxa"/>
            <w:tcBorders>
              <w:top w:val="nil"/>
              <w:bottom w:val="nil"/>
              <w:right w:val="single" w:sz="8" w:space="0" w:color="000000"/>
            </w:tcBorders>
          </w:tcPr>
          <w:p>
            <w:pPr>
              <w:pStyle w:val="TableParagraph"/>
              <w:spacing w:before="25"/>
              <w:ind w:right="39"/>
              <w:jc w:val="right"/>
              <w:rPr>
                <w:sz w:val="18"/>
              </w:rPr>
            </w:pPr>
            <w:r>
              <w:rPr>
                <w:sz w:val="18"/>
              </w:rPr>
              <w:t>.348</w:t>
            </w:r>
          </w:p>
        </w:tc>
        <w:tc>
          <w:tcPr>
            <w:tcW w:w="1275" w:type="dxa"/>
            <w:tcBorders>
              <w:top w:val="nil"/>
              <w:left w:val="single" w:sz="8" w:space="0" w:color="000000"/>
              <w:bottom w:val="nil"/>
              <w:right w:val="single" w:sz="8" w:space="0" w:color="000000"/>
            </w:tcBorders>
          </w:tcPr>
          <w:p>
            <w:pPr>
              <w:pStyle w:val="TableParagraph"/>
              <w:spacing w:before="25"/>
              <w:ind w:right="37"/>
              <w:jc w:val="right"/>
              <w:rPr>
                <w:sz w:val="18"/>
              </w:rPr>
            </w:pPr>
            <w:r>
              <w:rPr>
                <w:sz w:val="18"/>
              </w:rPr>
              <w:t>.696</w:t>
            </w:r>
          </w:p>
        </w:tc>
        <w:tc>
          <w:tcPr>
            <w:tcW w:w="1418" w:type="dxa"/>
            <w:tcBorders>
              <w:top w:val="nil"/>
              <w:left w:val="single" w:sz="8" w:space="0" w:color="000000"/>
              <w:bottom w:val="nil"/>
              <w:right w:val="single" w:sz="8" w:space="0" w:color="000000"/>
            </w:tcBorders>
          </w:tcPr>
          <w:p>
            <w:pPr>
              <w:pStyle w:val="TableParagraph"/>
              <w:spacing w:before="25"/>
              <w:ind w:right="38"/>
              <w:jc w:val="right"/>
              <w:rPr>
                <w:sz w:val="18"/>
              </w:rPr>
            </w:pPr>
            <w:r>
              <w:rPr>
                <w:sz w:val="18"/>
              </w:rPr>
              <w:t>93.087</w:t>
            </w:r>
          </w:p>
        </w:tc>
        <w:tc>
          <w:tcPr>
            <w:tcW w:w="708" w:type="dxa"/>
            <w:vMerge/>
            <w:tcBorders>
              <w:top w:val="nil"/>
              <w:left w:val="single" w:sz="8" w:space="0" w:color="000000"/>
              <w:right w:val="single" w:sz="8" w:space="0" w:color="000000"/>
            </w:tcBorders>
          </w:tcPr>
          <w:p>
            <w:pPr>
              <w:rPr>
                <w:sz w:val="2"/>
                <w:szCs w:val="2"/>
              </w:rPr>
            </w:pPr>
          </w:p>
        </w:tc>
        <w:tc>
          <w:tcPr>
            <w:tcW w:w="1277" w:type="dxa"/>
            <w:vMerge/>
            <w:tcBorders>
              <w:top w:val="nil"/>
              <w:left w:val="single" w:sz="8" w:space="0" w:color="000000"/>
              <w:right w:val="single" w:sz="8" w:space="0" w:color="000000"/>
            </w:tcBorders>
          </w:tcPr>
          <w:p>
            <w:pPr>
              <w:rPr>
                <w:sz w:val="2"/>
                <w:szCs w:val="2"/>
              </w:rPr>
            </w:pPr>
          </w:p>
        </w:tc>
        <w:tc>
          <w:tcPr>
            <w:tcW w:w="1277" w:type="dxa"/>
            <w:vMerge/>
            <w:tcBorders>
              <w:top w:val="nil"/>
              <w:left w:val="single" w:sz="8" w:space="0" w:color="000000"/>
              <w:right w:val="single" w:sz="8" w:space="0" w:color="000000"/>
            </w:tcBorders>
          </w:tcPr>
          <w:p>
            <w:pPr>
              <w:rPr>
                <w:sz w:val="2"/>
                <w:szCs w:val="2"/>
              </w:rPr>
            </w:pPr>
          </w:p>
        </w:tc>
        <w:tc>
          <w:tcPr>
            <w:tcW w:w="1354" w:type="dxa"/>
            <w:vMerge/>
            <w:tcBorders>
              <w:top w:val="nil"/>
              <w:left w:val="single" w:sz="8" w:space="0" w:color="000000"/>
            </w:tcBorders>
          </w:tcPr>
          <w:p>
            <w:pPr>
              <w:rPr>
                <w:sz w:val="2"/>
                <w:szCs w:val="2"/>
              </w:rPr>
            </w:pPr>
          </w:p>
        </w:tc>
      </w:tr>
      <w:tr>
        <w:trPr>
          <w:trHeight w:val="265" w:hRule="atLeast"/>
        </w:trPr>
        <w:tc>
          <w:tcPr>
            <w:tcW w:w="547" w:type="dxa"/>
            <w:tcBorders>
              <w:top w:val="nil"/>
              <w:bottom w:val="nil"/>
            </w:tcBorders>
          </w:tcPr>
          <w:p>
            <w:pPr>
              <w:pStyle w:val="TableParagraph"/>
              <w:spacing w:before="25"/>
              <w:ind w:left="56"/>
              <w:rPr>
                <w:sz w:val="18"/>
              </w:rPr>
            </w:pPr>
            <w:r>
              <w:rPr>
                <w:sz w:val="18"/>
              </w:rPr>
              <w:t>38</w:t>
            </w:r>
          </w:p>
        </w:tc>
        <w:tc>
          <w:tcPr>
            <w:tcW w:w="710" w:type="dxa"/>
            <w:tcBorders>
              <w:top w:val="nil"/>
              <w:bottom w:val="nil"/>
              <w:right w:val="single" w:sz="8" w:space="0" w:color="000000"/>
            </w:tcBorders>
          </w:tcPr>
          <w:p>
            <w:pPr>
              <w:pStyle w:val="TableParagraph"/>
              <w:spacing w:before="25"/>
              <w:ind w:right="39"/>
              <w:jc w:val="right"/>
              <w:rPr>
                <w:sz w:val="18"/>
              </w:rPr>
            </w:pPr>
            <w:r>
              <w:rPr>
                <w:sz w:val="18"/>
              </w:rPr>
              <w:t>.333</w:t>
            </w:r>
          </w:p>
        </w:tc>
        <w:tc>
          <w:tcPr>
            <w:tcW w:w="1275" w:type="dxa"/>
            <w:tcBorders>
              <w:top w:val="nil"/>
              <w:left w:val="single" w:sz="8" w:space="0" w:color="000000"/>
              <w:bottom w:val="nil"/>
              <w:right w:val="single" w:sz="8" w:space="0" w:color="000000"/>
            </w:tcBorders>
          </w:tcPr>
          <w:p>
            <w:pPr>
              <w:pStyle w:val="TableParagraph"/>
              <w:spacing w:before="25"/>
              <w:ind w:right="37"/>
              <w:jc w:val="right"/>
              <w:rPr>
                <w:sz w:val="18"/>
              </w:rPr>
            </w:pPr>
            <w:r>
              <w:rPr>
                <w:sz w:val="18"/>
              </w:rPr>
              <w:t>.666</w:t>
            </w:r>
          </w:p>
        </w:tc>
        <w:tc>
          <w:tcPr>
            <w:tcW w:w="1418" w:type="dxa"/>
            <w:tcBorders>
              <w:top w:val="nil"/>
              <w:left w:val="single" w:sz="8" w:space="0" w:color="000000"/>
              <w:bottom w:val="nil"/>
              <w:right w:val="single" w:sz="8" w:space="0" w:color="000000"/>
            </w:tcBorders>
          </w:tcPr>
          <w:p>
            <w:pPr>
              <w:pStyle w:val="TableParagraph"/>
              <w:spacing w:before="25"/>
              <w:ind w:right="38"/>
              <w:jc w:val="right"/>
              <w:rPr>
                <w:sz w:val="18"/>
              </w:rPr>
            </w:pPr>
            <w:r>
              <w:rPr>
                <w:sz w:val="18"/>
              </w:rPr>
              <w:t>93.753</w:t>
            </w:r>
          </w:p>
        </w:tc>
        <w:tc>
          <w:tcPr>
            <w:tcW w:w="708" w:type="dxa"/>
            <w:vMerge/>
            <w:tcBorders>
              <w:top w:val="nil"/>
              <w:left w:val="single" w:sz="8" w:space="0" w:color="000000"/>
              <w:right w:val="single" w:sz="8" w:space="0" w:color="000000"/>
            </w:tcBorders>
          </w:tcPr>
          <w:p>
            <w:pPr>
              <w:rPr>
                <w:sz w:val="2"/>
                <w:szCs w:val="2"/>
              </w:rPr>
            </w:pPr>
          </w:p>
        </w:tc>
        <w:tc>
          <w:tcPr>
            <w:tcW w:w="1277" w:type="dxa"/>
            <w:vMerge/>
            <w:tcBorders>
              <w:top w:val="nil"/>
              <w:left w:val="single" w:sz="8" w:space="0" w:color="000000"/>
              <w:right w:val="single" w:sz="8" w:space="0" w:color="000000"/>
            </w:tcBorders>
          </w:tcPr>
          <w:p>
            <w:pPr>
              <w:rPr>
                <w:sz w:val="2"/>
                <w:szCs w:val="2"/>
              </w:rPr>
            </w:pPr>
          </w:p>
        </w:tc>
        <w:tc>
          <w:tcPr>
            <w:tcW w:w="1277" w:type="dxa"/>
            <w:vMerge/>
            <w:tcBorders>
              <w:top w:val="nil"/>
              <w:left w:val="single" w:sz="8" w:space="0" w:color="000000"/>
              <w:right w:val="single" w:sz="8" w:space="0" w:color="000000"/>
            </w:tcBorders>
          </w:tcPr>
          <w:p>
            <w:pPr>
              <w:rPr>
                <w:sz w:val="2"/>
                <w:szCs w:val="2"/>
              </w:rPr>
            </w:pPr>
          </w:p>
        </w:tc>
        <w:tc>
          <w:tcPr>
            <w:tcW w:w="1354" w:type="dxa"/>
            <w:vMerge/>
            <w:tcBorders>
              <w:top w:val="nil"/>
              <w:left w:val="single" w:sz="8" w:space="0" w:color="000000"/>
            </w:tcBorders>
          </w:tcPr>
          <w:p>
            <w:pPr>
              <w:rPr>
                <w:sz w:val="2"/>
                <w:szCs w:val="2"/>
              </w:rPr>
            </w:pPr>
          </w:p>
        </w:tc>
      </w:tr>
      <w:tr>
        <w:trPr>
          <w:trHeight w:val="265" w:hRule="atLeast"/>
        </w:trPr>
        <w:tc>
          <w:tcPr>
            <w:tcW w:w="547" w:type="dxa"/>
            <w:tcBorders>
              <w:top w:val="nil"/>
              <w:bottom w:val="nil"/>
            </w:tcBorders>
          </w:tcPr>
          <w:p>
            <w:pPr>
              <w:pStyle w:val="TableParagraph"/>
              <w:spacing w:before="26"/>
              <w:ind w:left="56"/>
              <w:rPr>
                <w:sz w:val="18"/>
              </w:rPr>
            </w:pPr>
            <w:r>
              <w:rPr>
                <w:sz w:val="18"/>
              </w:rPr>
              <w:t>39</w:t>
            </w:r>
          </w:p>
        </w:tc>
        <w:tc>
          <w:tcPr>
            <w:tcW w:w="710" w:type="dxa"/>
            <w:tcBorders>
              <w:top w:val="nil"/>
              <w:bottom w:val="nil"/>
              <w:right w:val="single" w:sz="8" w:space="0" w:color="000000"/>
            </w:tcBorders>
          </w:tcPr>
          <w:p>
            <w:pPr>
              <w:pStyle w:val="TableParagraph"/>
              <w:spacing w:before="26"/>
              <w:ind w:right="39"/>
              <w:jc w:val="right"/>
              <w:rPr>
                <w:sz w:val="18"/>
              </w:rPr>
            </w:pPr>
            <w:r>
              <w:rPr>
                <w:sz w:val="18"/>
              </w:rPr>
              <w:t>.320</w:t>
            </w:r>
          </w:p>
        </w:tc>
        <w:tc>
          <w:tcPr>
            <w:tcW w:w="1275" w:type="dxa"/>
            <w:tcBorders>
              <w:top w:val="nil"/>
              <w:left w:val="single" w:sz="8" w:space="0" w:color="000000"/>
              <w:bottom w:val="nil"/>
              <w:right w:val="single" w:sz="8" w:space="0" w:color="000000"/>
            </w:tcBorders>
          </w:tcPr>
          <w:p>
            <w:pPr>
              <w:pStyle w:val="TableParagraph"/>
              <w:spacing w:before="26"/>
              <w:ind w:right="37"/>
              <w:jc w:val="right"/>
              <w:rPr>
                <w:sz w:val="18"/>
              </w:rPr>
            </w:pPr>
            <w:r>
              <w:rPr>
                <w:sz w:val="18"/>
              </w:rPr>
              <w:t>.641</w:t>
            </w:r>
          </w:p>
        </w:tc>
        <w:tc>
          <w:tcPr>
            <w:tcW w:w="1418" w:type="dxa"/>
            <w:tcBorders>
              <w:top w:val="nil"/>
              <w:left w:val="single" w:sz="8" w:space="0" w:color="000000"/>
              <w:bottom w:val="nil"/>
              <w:right w:val="single" w:sz="8" w:space="0" w:color="000000"/>
            </w:tcBorders>
          </w:tcPr>
          <w:p>
            <w:pPr>
              <w:pStyle w:val="TableParagraph"/>
              <w:spacing w:before="26"/>
              <w:ind w:right="38"/>
              <w:jc w:val="right"/>
              <w:rPr>
                <w:sz w:val="18"/>
              </w:rPr>
            </w:pPr>
            <w:r>
              <w:rPr>
                <w:sz w:val="18"/>
              </w:rPr>
              <w:t>94.393</w:t>
            </w:r>
          </w:p>
        </w:tc>
        <w:tc>
          <w:tcPr>
            <w:tcW w:w="708" w:type="dxa"/>
            <w:vMerge/>
            <w:tcBorders>
              <w:top w:val="nil"/>
              <w:left w:val="single" w:sz="8" w:space="0" w:color="000000"/>
              <w:right w:val="single" w:sz="8" w:space="0" w:color="000000"/>
            </w:tcBorders>
          </w:tcPr>
          <w:p>
            <w:pPr>
              <w:rPr>
                <w:sz w:val="2"/>
                <w:szCs w:val="2"/>
              </w:rPr>
            </w:pPr>
          </w:p>
        </w:tc>
        <w:tc>
          <w:tcPr>
            <w:tcW w:w="1277" w:type="dxa"/>
            <w:vMerge/>
            <w:tcBorders>
              <w:top w:val="nil"/>
              <w:left w:val="single" w:sz="8" w:space="0" w:color="000000"/>
              <w:right w:val="single" w:sz="8" w:space="0" w:color="000000"/>
            </w:tcBorders>
          </w:tcPr>
          <w:p>
            <w:pPr>
              <w:rPr>
                <w:sz w:val="2"/>
                <w:szCs w:val="2"/>
              </w:rPr>
            </w:pPr>
          </w:p>
        </w:tc>
        <w:tc>
          <w:tcPr>
            <w:tcW w:w="1277" w:type="dxa"/>
            <w:vMerge/>
            <w:tcBorders>
              <w:top w:val="nil"/>
              <w:left w:val="single" w:sz="8" w:space="0" w:color="000000"/>
              <w:right w:val="single" w:sz="8" w:space="0" w:color="000000"/>
            </w:tcBorders>
          </w:tcPr>
          <w:p>
            <w:pPr>
              <w:rPr>
                <w:sz w:val="2"/>
                <w:szCs w:val="2"/>
              </w:rPr>
            </w:pPr>
          </w:p>
        </w:tc>
        <w:tc>
          <w:tcPr>
            <w:tcW w:w="1354" w:type="dxa"/>
            <w:vMerge/>
            <w:tcBorders>
              <w:top w:val="nil"/>
              <w:left w:val="single" w:sz="8" w:space="0" w:color="000000"/>
            </w:tcBorders>
          </w:tcPr>
          <w:p>
            <w:pPr>
              <w:rPr>
                <w:sz w:val="2"/>
                <w:szCs w:val="2"/>
              </w:rPr>
            </w:pPr>
          </w:p>
        </w:tc>
      </w:tr>
      <w:tr>
        <w:trPr>
          <w:trHeight w:val="265" w:hRule="atLeast"/>
        </w:trPr>
        <w:tc>
          <w:tcPr>
            <w:tcW w:w="547" w:type="dxa"/>
            <w:tcBorders>
              <w:top w:val="nil"/>
              <w:bottom w:val="nil"/>
            </w:tcBorders>
          </w:tcPr>
          <w:p>
            <w:pPr>
              <w:pStyle w:val="TableParagraph"/>
              <w:spacing w:before="25"/>
              <w:ind w:left="56"/>
              <w:rPr>
                <w:sz w:val="18"/>
              </w:rPr>
            </w:pPr>
            <w:r>
              <w:rPr>
                <w:sz w:val="18"/>
              </w:rPr>
              <w:t>40</w:t>
            </w:r>
          </w:p>
        </w:tc>
        <w:tc>
          <w:tcPr>
            <w:tcW w:w="710" w:type="dxa"/>
            <w:tcBorders>
              <w:top w:val="nil"/>
              <w:bottom w:val="nil"/>
              <w:right w:val="single" w:sz="8" w:space="0" w:color="000000"/>
            </w:tcBorders>
          </w:tcPr>
          <w:p>
            <w:pPr>
              <w:pStyle w:val="TableParagraph"/>
              <w:spacing w:before="25"/>
              <w:ind w:right="39"/>
              <w:jc w:val="right"/>
              <w:rPr>
                <w:sz w:val="18"/>
              </w:rPr>
            </w:pPr>
            <w:r>
              <w:rPr>
                <w:sz w:val="18"/>
              </w:rPr>
              <w:t>.318</w:t>
            </w:r>
          </w:p>
        </w:tc>
        <w:tc>
          <w:tcPr>
            <w:tcW w:w="1275" w:type="dxa"/>
            <w:tcBorders>
              <w:top w:val="nil"/>
              <w:left w:val="single" w:sz="8" w:space="0" w:color="000000"/>
              <w:bottom w:val="nil"/>
              <w:right w:val="single" w:sz="8" w:space="0" w:color="000000"/>
            </w:tcBorders>
          </w:tcPr>
          <w:p>
            <w:pPr>
              <w:pStyle w:val="TableParagraph"/>
              <w:spacing w:before="25"/>
              <w:ind w:right="37"/>
              <w:jc w:val="right"/>
              <w:rPr>
                <w:sz w:val="18"/>
              </w:rPr>
            </w:pPr>
            <w:r>
              <w:rPr>
                <w:sz w:val="18"/>
              </w:rPr>
              <w:t>.637</w:t>
            </w:r>
          </w:p>
        </w:tc>
        <w:tc>
          <w:tcPr>
            <w:tcW w:w="1418" w:type="dxa"/>
            <w:tcBorders>
              <w:top w:val="nil"/>
              <w:left w:val="single" w:sz="8" w:space="0" w:color="000000"/>
              <w:bottom w:val="nil"/>
              <w:right w:val="single" w:sz="8" w:space="0" w:color="000000"/>
            </w:tcBorders>
          </w:tcPr>
          <w:p>
            <w:pPr>
              <w:pStyle w:val="TableParagraph"/>
              <w:spacing w:before="25"/>
              <w:ind w:right="39"/>
              <w:jc w:val="right"/>
              <w:rPr>
                <w:sz w:val="18"/>
              </w:rPr>
            </w:pPr>
            <w:r>
              <w:rPr>
                <w:sz w:val="18"/>
              </w:rPr>
              <w:t>95.030</w:t>
            </w:r>
          </w:p>
        </w:tc>
        <w:tc>
          <w:tcPr>
            <w:tcW w:w="708" w:type="dxa"/>
            <w:vMerge/>
            <w:tcBorders>
              <w:top w:val="nil"/>
              <w:left w:val="single" w:sz="8" w:space="0" w:color="000000"/>
              <w:right w:val="single" w:sz="8" w:space="0" w:color="000000"/>
            </w:tcBorders>
          </w:tcPr>
          <w:p>
            <w:pPr>
              <w:rPr>
                <w:sz w:val="2"/>
                <w:szCs w:val="2"/>
              </w:rPr>
            </w:pPr>
          </w:p>
        </w:tc>
        <w:tc>
          <w:tcPr>
            <w:tcW w:w="1277" w:type="dxa"/>
            <w:vMerge/>
            <w:tcBorders>
              <w:top w:val="nil"/>
              <w:left w:val="single" w:sz="8" w:space="0" w:color="000000"/>
              <w:right w:val="single" w:sz="8" w:space="0" w:color="000000"/>
            </w:tcBorders>
          </w:tcPr>
          <w:p>
            <w:pPr>
              <w:rPr>
                <w:sz w:val="2"/>
                <w:szCs w:val="2"/>
              </w:rPr>
            </w:pPr>
          </w:p>
        </w:tc>
        <w:tc>
          <w:tcPr>
            <w:tcW w:w="1277" w:type="dxa"/>
            <w:vMerge/>
            <w:tcBorders>
              <w:top w:val="nil"/>
              <w:left w:val="single" w:sz="8" w:space="0" w:color="000000"/>
              <w:right w:val="single" w:sz="8" w:space="0" w:color="000000"/>
            </w:tcBorders>
          </w:tcPr>
          <w:p>
            <w:pPr>
              <w:rPr>
                <w:sz w:val="2"/>
                <w:szCs w:val="2"/>
              </w:rPr>
            </w:pPr>
          </w:p>
        </w:tc>
        <w:tc>
          <w:tcPr>
            <w:tcW w:w="1354" w:type="dxa"/>
            <w:vMerge/>
            <w:tcBorders>
              <w:top w:val="nil"/>
              <w:left w:val="single" w:sz="8" w:space="0" w:color="000000"/>
            </w:tcBorders>
          </w:tcPr>
          <w:p>
            <w:pPr>
              <w:rPr>
                <w:sz w:val="2"/>
                <w:szCs w:val="2"/>
              </w:rPr>
            </w:pPr>
          </w:p>
        </w:tc>
      </w:tr>
      <w:tr>
        <w:trPr>
          <w:trHeight w:val="265" w:hRule="atLeast"/>
        </w:trPr>
        <w:tc>
          <w:tcPr>
            <w:tcW w:w="547" w:type="dxa"/>
            <w:tcBorders>
              <w:top w:val="nil"/>
              <w:bottom w:val="nil"/>
            </w:tcBorders>
          </w:tcPr>
          <w:p>
            <w:pPr>
              <w:pStyle w:val="TableParagraph"/>
              <w:spacing w:before="26"/>
              <w:ind w:left="56"/>
              <w:rPr>
                <w:sz w:val="18"/>
              </w:rPr>
            </w:pPr>
            <w:r>
              <w:rPr>
                <w:sz w:val="18"/>
              </w:rPr>
              <w:t>41</w:t>
            </w:r>
          </w:p>
        </w:tc>
        <w:tc>
          <w:tcPr>
            <w:tcW w:w="710" w:type="dxa"/>
            <w:tcBorders>
              <w:top w:val="nil"/>
              <w:bottom w:val="nil"/>
              <w:right w:val="single" w:sz="8" w:space="0" w:color="000000"/>
            </w:tcBorders>
          </w:tcPr>
          <w:p>
            <w:pPr>
              <w:pStyle w:val="TableParagraph"/>
              <w:spacing w:before="26"/>
              <w:ind w:right="39"/>
              <w:jc w:val="right"/>
              <w:rPr>
                <w:sz w:val="18"/>
              </w:rPr>
            </w:pPr>
            <w:r>
              <w:rPr>
                <w:sz w:val="18"/>
              </w:rPr>
              <w:t>.300</w:t>
            </w:r>
          </w:p>
        </w:tc>
        <w:tc>
          <w:tcPr>
            <w:tcW w:w="1275" w:type="dxa"/>
            <w:tcBorders>
              <w:top w:val="nil"/>
              <w:left w:val="single" w:sz="8" w:space="0" w:color="000000"/>
              <w:bottom w:val="nil"/>
              <w:right w:val="single" w:sz="8" w:space="0" w:color="000000"/>
            </w:tcBorders>
          </w:tcPr>
          <w:p>
            <w:pPr>
              <w:pStyle w:val="TableParagraph"/>
              <w:spacing w:before="26"/>
              <w:ind w:right="37"/>
              <w:jc w:val="right"/>
              <w:rPr>
                <w:sz w:val="18"/>
              </w:rPr>
            </w:pPr>
            <w:r>
              <w:rPr>
                <w:sz w:val="18"/>
              </w:rPr>
              <w:t>.600</w:t>
            </w:r>
          </w:p>
        </w:tc>
        <w:tc>
          <w:tcPr>
            <w:tcW w:w="1418" w:type="dxa"/>
            <w:tcBorders>
              <w:top w:val="nil"/>
              <w:left w:val="single" w:sz="8" w:space="0" w:color="000000"/>
              <w:bottom w:val="nil"/>
              <w:right w:val="single" w:sz="8" w:space="0" w:color="000000"/>
            </w:tcBorders>
          </w:tcPr>
          <w:p>
            <w:pPr>
              <w:pStyle w:val="TableParagraph"/>
              <w:spacing w:before="26"/>
              <w:ind w:right="38"/>
              <w:jc w:val="right"/>
              <w:rPr>
                <w:sz w:val="18"/>
              </w:rPr>
            </w:pPr>
            <w:r>
              <w:rPr>
                <w:sz w:val="18"/>
              </w:rPr>
              <w:t>95.630</w:t>
            </w:r>
          </w:p>
        </w:tc>
        <w:tc>
          <w:tcPr>
            <w:tcW w:w="708" w:type="dxa"/>
            <w:vMerge/>
            <w:tcBorders>
              <w:top w:val="nil"/>
              <w:left w:val="single" w:sz="8" w:space="0" w:color="000000"/>
              <w:right w:val="single" w:sz="8" w:space="0" w:color="000000"/>
            </w:tcBorders>
          </w:tcPr>
          <w:p>
            <w:pPr>
              <w:rPr>
                <w:sz w:val="2"/>
                <w:szCs w:val="2"/>
              </w:rPr>
            </w:pPr>
          </w:p>
        </w:tc>
        <w:tc>
          <w:tcPr>
            <w:tcW w:w="1277" w:type="dxa"/>
            <w:vMerge/>
            <w:tcBorders>
              <w:top w:val="nil"/>
              <w:left w:val="single" w:sz="8" w:space="0" w:color="000000"/>
              <w:right w:val="single" w:sz="8" w:space="0" w:color="000000"/>
            </w:tcBorders>
          </w:tcPr>
          <w:p>
            <w:pPr>
              <w:rPr>
                <w:sz w:val="2"/>
                <w:szCs w:val="2"/>
              </w:rPr>
            </w:pPr>
          </w:p>
        </w:tc>
        <w:tc>
          <w:tcPr>
            <w:tcW w:w="1277" w:type="dxa"/>
            <w:vMerge/>
            <w:tcBorders>
              <w:top w:val="nil"/>
              <w:left w:val="single" w:sz="8" w:space="0" w:color="000000"/>
              <w:right w:val="single" w:sz="8" w:space="0" w:color="000000"/>
            </w:tcBorders>
          </w:tcPr>
          <w:p>
            <w:pPr>
              <w:rPr>
                <w:sz w:val="2"/>
                <w:szCs w:val="2"/>
              </w:rPr>
            </w:pPr>
          </w:p>
        </w:tc>
        <w:tc>
          <w:tcPr>
            <w:tcW w:w="1354" w:type="dxa"/>
            <w:vMerge/>
            <w:tcBorders>
              <w:top w:val="nil"/>
              <w:left w:val="single" w:sz="8" w:space="0" w:color="000000"/>
            </w:tcBorders>
          </w:tcPr>
          <w:p>
            <w:pPr>
              <w:rPr>
                <w:sz w:val="2"/>
                <w:szCs w:val="2"/>
              </w:rPr>
            </w:pPr>
          </w:p>
        </w:tc>
      </w:tr>
      <w:tr>
        <w:trPr>
          <w:trHeight w:val="264" w:hRule="atLeast"/>
        </w:trPr>
        <w:tc>
          <w:tcPr>
            <w:tcW w:w="547" w:type="dxa"/>
            <w:tcBorders>
              <w:top w:val="nil"/>
              <w:bottom w:val="nil"/>
            </w:tcBorders>
          </w:tcPr>
          <w:p>
            <w:pPr>
              <w:pStyle w:val="TableParagraph"/>
              <w:spacing w:before="25"/>
              <w:ind w:left="56"/>
              <w:rPr>
                <w:sz w:val="18"/>
              </w:rPr>
            </w:pPr>
            <w:r>
              <w:rPr>
                <w:sz w:val="18"/>
              </w:rPr>
              <w:t>42</w:t>
            </w:r>
          </w:p>
        </w:tc>
        <w:tc>
          <w:tcPr>
            <w:tcW w:w="710" w:type="dxa"/>
            <w:tcBorders>
              <w:top w:val="nil"/>
              <w:bottom w:val="nil"/>
              <w:right w:val="single" w:sz="8" w:space="0" w:color="000000"/>
            </w:tcBorders>
          </w:tcPr>
          <w:p>
            <w:pPr>
              <w:pStyle w:val="TableParagraph"/>
              <w:spacing w:before="25"/>
              <w:ind w:right="39"/>
              <w:jc w:val="right"/>
              <w:rPr>
                <w:sz w:val="18"/>
              </w:rPr>
            </w:pPr>
            <w:r>
              <w:rPr>
                <w:sz w:val="18"/>
              </w:rPr>
              <w:t>.293</w:t>
            </w:r>
          </w:p>
        </w:tc>
        <w:tc>
          <w:tcPr>
            <w:tcW w:w="1275" w:type="dxa"/>
            <w:tcBorders>
              <w:top w:val="nil"/>
              <w:left w:val="single" w:sz="8" w:space="0" w:color="000000"/>
              <w:bottom w:val="nil"/>
              <w:right w:val="single" w:sz="8" w:space="0" w:color="000000"/>
            </w:tcBorders>
          </w:tcPr>
          <w:p>
            <w:pPr>
              <w:pStyle w:val="TableParagraph"/>
              <w:spacing w:before="25"/>
              <w:ind w:right="37"/>
              <w:jc w:val="right"/>
              <w:rPr>
                <w:sz w:val="18"/>
              </w:rPr>
            </w:pPr>
            <w:r>
              <w:rPr>
                <w:sz w:val="18"/>
              </w:rPr>
              <w:t>.587</w:t>
            </w:r>
          </w:p>
        </w:tc>
        <w:tc>
          <w:tcPr>
            <w:tcW w:w="1418" w:type="dxa"/>
            <w:tcBorders>
              <w:top w:val="nil"/>
              <w:left w:val="single" w:sz="8" w:space="0" w:color="000000"/>
              <w:bottom w:val="nil"/>
              <w:right w:val="single" w:sz="8" w:space="0" w:color="000000"/>
            </w:tcBorders>
          </w:tcPr>
          <w:p>
            <w:pPr>
              <w:pStyle w:val="TableParagraph"/>
              <w:spacing w:before="25"/>
              <w:ind w:right="38"/>
              <w:jc w:val="right"/>
              <w:rPr>
                <w:sz w:val="18"/>
              </w:rPr>
            </w:pPr>
            <w:r>
              <w:rPr>
                <w:sz w:val="18"/>
              </w:rPr>
              <w:t>96.217</w:t>
            </w:r>
          </w:p>
        </w:tc>
        <w:tc>
          <w:tcPr>
            <w:tcW w:w="708" w:type="dxa"/>
            <w:vMerge/>
            <w:tcBorders>
              <w:top w:val="nil"/>
              <w:left w:val="single" w:sz="8" w:space="0" w:color="000000"/>
              <w:right w:val="single" w:sz="8" w:space="0" w:color="000000"/>
            </w:tcBorders>
          </w:tcPr>
          <w:p>
            <w:pPr>
              <w:rPr>
                <w:sz w:val="2"/>
                <w:szCs w:val="2"/>
              </w:rPr>
            </w:pPr>
          </w:p>
        </w:tc>
        <w:tc>
          <w:tcPr>
            <w:tcW w:w="1277" w:type="dxa"/>
            <w:vMerge/>
            <w:tcBorders>
              <w:top w:val="nil"/>
              <w:left w:val="single" w:sz="8" w:space="0" w:color="000000"/>
              <w:right w:val="single" w:sz="8" w:space="0" w:color="000000"/>
            </w:tcBorders>
          </w:tcPr>
          <w:p>
            <w:pPr>
              <w:rPr>
                <w:sz w:val="2"/>
                <w:szCs w:val="2"/>
              </w:rPr>
            </w:pPr>
          </w:p>
        </w:tc>
        <w:tc>
          <w:tcPr>
            <w:tcW w:w="1277" w:type="dxa"/>
            <w:vMerge/>
            <w:tcBorders>
              <w:top w:val="nil"/>
              <w:left w:val="single" w:sz="8" w:space="0" w:color="000000"/>
              <w:right w:val="single" w:sz="8" w:space="0" w:color="000000"/>
            </w:tcBorders>
          </w:tcPr>
          <w:p>
            <w:pPr>
              <w:rPr>
                <w:sz w:val="2"/>
                <w:szCs w:val="2"/>
              </w:rPr>
            </w:pPr>
          </w:p>
        </w:tc>
        <w:tc>
          <w:tcPr>
            <w:tcW w:w="1354" w:type="dxa"/>
            <w:vMerge/>
            <w:tcBorders>
              <w:top w:val="nil"/>
              <w:left w:val="single" w:sz="8" w:space="0" w:color="000000"/>
            </w:tcBorders>
          </w:tcPr>
          <w:p>
            <w:pPr>
              <w:rPr>
                <w:sz w:val="2"/>
                <w:szCs w:val="2"/>
              </w:rPr>
            </w:pPr>
          </w:p>
        </w:tc>
      </w:tr>
      <w:tr>
        <w:trPr>
          <w:trHeight w:val="266" w:hRule="atLeast"/>
        </w:trPr>
        <w:tc>
          <w:tcPr>
            <w:tcW w:w="547" w:type="dxa"/>
            <w:tcBorders>
              <w:top w:val="nil"/>
              <w:bottom w:val="nil"/>
            </w:tcBorders>
          </w:tcPr>
          <w:p>
            <w:pPr>
              <w:pStyle w:val="TableParagraph"/>
              <w:spacing w:before="25"/>
              <w:ind w:left="56"/>
              <w:rPr>
                <w:sz w:val="18"/>
              </w:rPr>
            </w:pPr>
            <w:r>
              <w:rPr>
                <w:sz w:val="18"/>
              </w:rPr>
              <w:t>43</w:t>
            </w:r>
          </w:p>
        </w:tc>
        <w:tc>
          <w:tcPr>
            <w:tcW w:w="710" w:type="dxa"/>
            <w:tcBorders>
              <w:top w:val="nil"/>
              <w:bottom w:val="nil"/>
              <w:right w:val="single" w:sz="8" w:space="0" w:color="000000"/>
            </w:tcBorders>
          </w:tcPr>
          <w:p>
            <w:pPr>
              <w:pStyle w:val="TableParagraph"/>
              <w:spacing w:before="25"/>
              <w:ind w:right="40"/>
              <w:jc w:val="right"/>
              <w:rPr>
                <w:sz w:val="18"/>
              </w:rPr>
            </w:pPr>
            <w:r>
              <w:rPr>
                <w:sz w:val="18"/>
              </w:rPr>
              <w:t>.285</w:t>
            </w:r>
          </w:p>
        </w:tc>
        <w:tc>
          <w:tcPr>
            <w:tcW w:w="1275" w:type="dxa"/>
            <w:tcBorders>
              <w:top w:val="nil"/>
              <w:left w:val="single" w:sz="8" w:space="0" w:color="000000"/>
              <w:bottom w:val="nil"/>
              <w:right w:val="single" w:sz="8" w:space="0" w:color="000000"/>
            </w:tcBorders>
          </w:tcPr>
          <w:p>
            <w:pPr>
              <w:pStyle w:val="TableParagraph"/>
              <w:spacing w:before="25"/>
              <w:ind w:right="37"/>
              <w:jc w:val="right"/>
              <w:rPr>
                <w:sz w:val="18"/>
              </w:rPr>
            </w:pPr>
            <w:r>
              <w:rPr>
                <w:sz w:val="18"/>
              </w:rPr>
              <w:t>.569</w:t>
            </w:r>
          </w:p>
        </w:tc>
        <w:tc>
          <w:tcPr>
            <w:tcW w:w="1418" w:type="dxa"/>
            <w:tcBorders>
              <w:top w:val="nil"/>
              <w:left w:val="single" w:sz="8" w:space="0" w:color="000000"/>
              <w:bottom w:val="nil"/>
              <w:right w:val="single" w:sz="8" w:space="0" w:color="000000"/>
            </w:tcBorders>
          </w:tcPr>
          <w:p>
            <w:pPr>
              <w:pStyle w:val="TableParagraph"/>
              <w:spacing w:before="25"/>
              <w:ind w:right="39"/>
              <w:jc w:val="right"/>
              <w:rPr>
                <w:sz w:val="18"/>
              </w:rPr>
            </w:pPr>
            <w:r>
              <w:rPr>
                <w:sz w:val="18"/>
              </w:rPr>
              <w:t>96.786</w:t>
            </w:r>
          </w:p>
        </w:tc>
        <w:tc>
          <w:tcPr>
            <w:tcW w:w="708" w:type="dxa"/>
            <w:vMerge/>
            <w:tcBorders>
              <w:top w:val="nil"/>
              <w:left w:val="single" w:sz="8" w:space="0" w:color="000000"/>
              <w:right w:val="single" w:sz="8" w:space="0" w:color="000000"/>
            </w:tcBorders>
          </w:tcPr>
          <w:p>
            <w:pPr>
              <w:rPr>
                <w:sz w:val="2"/>
                <w:szCs w:val="2"/>
              </w:rPr>
            </w:pPr>
          </w:p>
        </w:tc>
        <w:tc>
          <w:tcPr>
            <w:tcW w:w="1277" w:type="dxa"/>
            <w:vMerge/>
            <w:tcBorders>
              <w:top w:val="nil"/>
              <w:left w:val="single" w:sz="8" w:space="0" w:color="000000"/>
              <w:right w:val="single" w:sz="8" w:space="0" w:color="000000"/>
            </w:tcBorders>
          </w:tcPr>
          <w:p>
            <w:pPr>
              <w:rPr>
                <w:sz w:val="2"/>
                <w:szCs w:val="2"/>
              </w:rPr>
            </w:pPr>
          </w:p>
        </w:tc>
        <w:tc>
          <w:tcPr>
            <w:tcW w:w="1277" w:type="dxa"/>
            <w:vMerge/>
            <w:tcBorders>
              <w:top w:val="nil"/>
              <w:left w:val="single" w:sz="8" w:space="0" w:color="000000"/>
              <w:right w:val="single" w:sz="8" w:space="0" w:color="000000"/>
            </w:tcBorders>
          </w:tcPr>
          <w:p>
            <w:pPr>
              <w:rPr>
                <w:sz w:val="2"/>
                <w:szCs w:val="2"/>
              </w:rPr>
            </w:pPr>
          </w:p>
        </w:tc>
        <w:tc>
          <w:tcPr>
            <w:tcW w:w="1354" w:type="dxa"/>
            <w:vMerge/>
            <w:tcBorders>
              <w:top w:val="nil"/>
              <w:left w:val="single" w:sz="8" w:space="0" w:color="000000"/>
            </w:tcBorders>
          </w:tcPr>
          <w:p>
            <w:pPr>
              <w:rPr>
                <w:sz w:val="2"/>
                <w:szCs w:val="2"/>
              </w:rPr>
            </w:pPr>
          </w:p>
        </w:tc>
      </w:tr>
      <w:tr>
        <w:trPr>
          <w:trHeight w:val="265" w:hRule="atLeast"/>
        </w:trPr>
        <w:tc>
          <w:tcPr>
            <w:tcW w:w="547" w:type="dxa"/>
            <w:tcBorders>
              <w:top w:val="nil"/>
              <w:bottom w:val="nil"/>
            </w:tcBorders>
          </w:tcPr>
          <w:p>
            <w:pPr>
              <w:pStyle w:val="TableParagraph"/>
              <w:spacing w:before="26"/>
              <w:ind w:left="56"/>
              <w:rPr>
                <w:sz w:val="18"/>
              </w:rPr>
            </w:pPr>
            <w:r>
              <w:rPr>
                <w:sz w:val="18"/>
              </w:rPr>
              <w:t>44</w:t>
            </w:r>
          </w:p>
        </w:tc>
        <w:tc>
          <w:tcPr>
            <w:tcW w:w="710" w:type="dxa"/>
            <w:tcBorders>
              <w:top w:val="nil"/>
              <w:bottom w:val="nil"/>
              <w:right w:val="single" w:sz="8" w:space="0" w:color="000000"/>
            </w:tcBorders>
          </w:tcPr>
          <w:p>
            <w:pPr>
              <w:pStyle w:val="TableParagraph"/>
              <w:spacing w:before="26"/>
              <w:ind w:right="39"/>
              <w:jc w:val="right"/>
              <w:rPr>
                <w:sz w:val="18"/>
              </w:rPr>
            </w:pPr>
            <w:r>
              <w:rPr>
                <w:sz w:val="18"/>
              </w:rPr>
              <w:t>.263</w:t>
            </w:r>
          </w:p>
        </w:tc>
        <w:tc>
          <w:tcPr>
            <w:tcW w:w="1275" w:type="dxa"/>
            <w:tcBorders>
              <w:top w:val="nil"/>
              <w:left w:val="single" w:sz="8" w:space="0" w:color="000000"/>
              <w:bottom w:val="nil"/>
              <w:right w:val="single" w:sz="8" w:space="0" w:color="000000"/>
            </w:tcBorders>
          </w:tcPr>
          <w:p>
            <w:pPr>
              <w:pStyle w:val="TableParagraph"/>
              <w:spacing w:before="26"/>
              <w:ind w:right="37"/>
              <w:jc w:val="right"/>
              <w:rPr>
                <w:sz w:val="18"/>
              </w:rPr>
            </w:pPr>
            <w:r>
              <w:rPr>
                <w:sz w:val="18"/>
              </w:rPr>
              <w:t>.526</w:t>
            </w:r>
          </w:p>
        </w:tc>
        <w:tc>
          <w:tcPr>
            <w:tcW w:w="1418" w:type="dxa"/>
            <w:tcBorders>
              <w:top w:val="nil"/>
              <w:left w:val="single" w:sz="8" w:space="0" w:color="000000"/>
              <w:bottom w:val="nil"/>
              <w:right w:val="single" w:sz="8" w:space="0" w:color="000000"/>
            </w:tcBorders>
          </w:tcPr>
          <w:p>
            <w:pPr>
              <w:pStyle w:val="TableParagraph"/>
              <w:spacing w:before="26"/>
              <w:ind w:right="38"/>
              <w:jc w:val="right"/>
              <w:rPr>
                <w:sz w:val="18"/>
              </w:rPr>
            </w:pPr>
            <w:r>
              <w:rPr>
                <w:sz w:val="18"/>
              </w:rPr>
              <w:t>97.312</w:t>
            </w:r>
          </w:p>
        </w:tc>
        <w:tc>
          <w:tcPr>
            <w:tcW w:w="708" w:type="dxa"/>
            <w:vMerge/>
            <w:tcBorders>
              <w:top w:val="nil"/>
              <w:left w:val="single" w:sz="8" w:space="0" w:color="000000"/>
              <w:right w:val="single" w:sz="8" w:space="0" w:color="000000"/>
            </w:tcBorders>
          </w:tcPr>
          <w:p>
            <w:pPr>
              <w:rPr>
                <w:sz w:val="2"/>
                <w:szCs w:val="2"/>
              </w:rPr>
            </w:pPr>
          </w:p>
        </w:tc>
        <w:tc>
          <w:tcPr>
            <w:tcW w:w="1277" w:type="dxa"/>
            <w:vMerge/>
            <w:tcBorders>
              <w:top w:val="nil"/>
              <w:left w:val="single" w:sz="8" w:space="0" w:color="000000"/>
              <w:right w:val="single" w:sz="8" w:space="0" w:color="000000"/>
            </w:tcBorders>
          </w:tcPr>
          <w:p>
            <w:pPr>
              <w:rPr>
                <w:sz w:val="2"/>
                <w:szCs w:val="2"/>
              </w:rPr>
            </w:pPr>
          </w:p>
        </w:tc>
        <w:tc>
          <w:tcPr>
            <w:tcW w:w="1277" w:type="dxa"/>
            <w:vMerge/>
            <w:tcBorders>
              <w:top w:val="nil"/>
              <w:left w:val="single" w:sz="8" w:space="0" w:color="000000"/>
              <w:right w:val="single" w:sz="8" w:space="0" w:color="000000"/>
            </w:tcBorders>
          </w:tcPr>
          <w:p>
            <w:pPr>
              <w:rPr>
                <w:sz w:val="2"/>
                <w:szCs w:val="2"/>
              </w:rPr>
            </w:pPr>
          </w:p>
        </w:tc>
        <w:tc>
          <w:tcPr>
            <w:tcW w:w="1354" w:type="dxa"/>
            <w:vMerge/>
            <w:tcBorders>
              <w:top w:val="nil"/>
              <w:left w:val="single" w:sz="8" w:space="0" w:color="000000"/>
            </w:tcBorders>
          </w:tcPr>
          <w:p>
            <w:pPr>
              <w:rPr>
                <w:sz w:val="2"/>
                <w:szCs w:val="2"/>
              </w:rPr>
            </w:pPr>
          </w:p>
        </w:tc>
      </w:tr>
      <w:tr>
        <w:trPr>
          <w:trHeight w:val="264" w:hRule="atLeast"/>
        </w:trPr>
        <w:tc>
          <w:tcPr>
            <w:tcW w:w="547" w:type="dxa"/>
            <w:tcBorders>
              <w:top w:val="nil"/>
              <w:bottom w:val="nil"/>
            </w:tcBorders>
          </w:tcPr>
          <w:p>
            <w:pPr>
              <w:pStyle w:val="TableParagraph"/>
              <w:spacing w:before="25"/>
              <w:ind w:left="56"/>
              <w:rPr>
                <w:sz w:val="18"/>
              </w:rPr>
            </w:pPr>
            <w:r>
              <w:rPr>
                <w:sz w:val="18"/>
              </w:rPr>
              <w:t>45</w:t>
            </w:r>
          </w:p>
        </w:tc>
        <w:tc>
          <w:tcPr>
            <w:tcW w:w="710" w:type="dxa"/>
            <w:tcBorders>
              <w:top w:val="nil"/>
              <w:bottom w:val="nil"/>
              <w:right w:val="single" w:sz="8" w:space="0" w:color="000000"/>
            </w:tcBorders>
          </w:tcPr>
          <w:p>
            <w:pPr>
              <w:pStyle w:val="TableParagraph"/>
              <w:spacing w:before="25"/>
              <w:ind w:right="39"/>
              <w:jc w:val="right"/>
              <w:rPr>
                <w:sz w:val="18"/>
              </w:rPr>
            </w:pPr>
            <w:r>
              <w:rPr>
                <w:sz w:val="18"/>
              </w:rPr>
              <w:t>.261</w:t>
            </w:r>
          </w:p>
        </w:tc>
        <w:tc>
          <w:tcPr>
            <w:tcW w:w="1275" w:type="dxa"/>
            <w:tcBorders>
              <w:top w:val="nil"/>
              <w:left w:val="single" w:sz="8" w:space="0" w:color="000000"/>
              <w:bottom w:val="nil"/>
              <w:right w:val="single" w:sz="8" w:space="0" w:color="000000"/>
            </w:tcBorders>
          </w:tcPr>
          <w:p>
            <w:pPr>
              <w:pStyle w:val="TableParagraph"/>
              <w:spacing w:before="25"/>
              <w:ind w:right="37"/>
              <w:jc w:val="right"/>
              <w:rPr>
                <w:sz w:val="18"/>
              </w:rPr>
            </w:pPr>
            <w:r>
              <w:rPr>
                <w:sz w:val="18"/>
              </w:rPr>
              <w:t>.521</w:t>
            </w:r>
          </w:p>
        </w:tc>
        <w:tc>
          <w:tcPr>
            <w:tcW w:w="1418" w:type="dxa"/>
            <w:tcBorders>
              <w:top w:val="nil"/>
              <w:left w:val="single" w:sz="8" w:space="0" w:color="000000"/>
              <w:bottom w:val="nil"/>
              <w:right w:val="single" w:sz="8" w:space="0" w:color="000000"/>
            </w:tcBorders>
          </w:tcPr>
          <w:p>
            <w:pPr>
              <w:pStyle w:val="TableParagraph"/>
              <w:spacing w:before="25"/>
              <w:ind w:right="38"/>
              <w:jc w:val="right"/>
              <w:rPr>
                <w:sz w:val="18"/>
              </w:rPr>
            </w:pPr>
            <w:r>
              <w:rPr>
                <w:sz w:val="18"/>
              </w:rPr>
              <w:t>97.833</w:t>
            </w:r>
          </w:p>
        </w:tc>
        <w:tc>
          <w:tcPr>
            <w:tcW w:w="708" w:type="dxa"/>
            <w:vMerge/>
            <w:tcBorders>
              <w:top w:val="nil"/>
              <w:left w:val="single" w:sz="8" w:space="0" w:color="000000"/>
              <w:right w:val="single" w:sz="8" w:space="0" w:color="000000"/>
            </w:tcBorders>
          </w:tcPr>
          <w:p>
            <w:pPr>
              <w:rPr>
                <w:sz w:val="2"/>
                <w:szCs w:val="2"/>
              </w:rPr>
            </w:pPr>
          </w:p>
        </w:tc>
        <w:tc>
          <w:tcPr>
            <w:tcW w:w="1277" w:type="dxa"/>
            <w:vMerge/>
            <w:tcBorders>
              <w:top w:val="nil"/>
              <w:left w:val="single" w:sz="8" w:space="0" w:color="000000"/>
              <w:right w:val="single" w:sz="8" w:space="0" w:color="000000"/>
            </w:tcBorders>
          </w:tcPr>
          <w:p>
            <w:pPr>
              <w:rPr>
                <w:sz w:val="2"/>
                <w:szCs w:val="2"/>
              </w:rPr>
            </w:pPr>
          </w:p>
        </w:tc>
        <w:tc>
          <w:tcPr>
            <w:tcW w:w="1277" w:type="dxa"/>
            <w:vMerge/>
            <w:tcBorders>
              <w:top w:val="nil"/>
              <w:left w:val="single" w:sz="8" w:space="0" w:color="000000"/>
              <w:right w:val="single" w:sz="8" w:space="0" w:color="000000"/>
            </w:tcBorders>
          </w:tcPr>
          <w:p>
            <w:pPr>
              <w:rPr>
                <w:sz w:val="2"/>
                <w:szCs w:val="2"/>
              </w:rPr>
            </w:pPr>
          </w:p>
        </w:tc>
        <w:tc>
          <w:tcPr>
            <w:tcW w:w="1354" w:type="dxa"/>
            <w:vMerge/>
            <w:tcBorders>
              <w:top w:val="nil"/>
              <w:left w:val="single" w:sz="8" w:space="0" w:color="000000"/>
            </w:tcBorders>
          </w:tcPr>
          <w:p>
            <w:pPr>
              <w:rPr>
                <w:sz w:val="2"/>
                <w:szCs w:val="2"/>
              </w:rPr>
            </w:pPr>
          </w:p>
        </w:tc>
      </w:tr>
      <w:tr>
        <w:trPr>
          <w:trHeight w:val="265" w:hRule="atLeast"/>
        </w:trPr>
        <w:tc>
          <w:tcPr>
            <w:tcW w:w="547" w:type="dxa"/>
            <w:tcBorders>
              <w:top w:val="nil"/>
              <w:bottom w:val="nil"/>
            </w:tcBorders>
          </w:tcPr>
          <w:p>
            <w:pPr>
              <w:pStyle w:val="TableParagraph"/>
              <w:spacing w:before="25"/>
              <w:ind w:left="56"/>
              <w:rPr>
                <w:sz w:val="18"/>
              </w:rPr>
            </w:pPr>
            <w:r>
              <w:rPr>
                <w:sz w:val="18"/>
              </w:rPr>
              <w:t>46</w:t>
            </w:r>
          </w:p>
        </w:tc>
        <w:tc>
          <w:tcPr>
            <w:tcW w:w="710" w:type="dxa"/>
            <w:tcBorders>
              <w:top w:val="nil"/>
              <w:bottom w:val="nil"/>
              <w:right w:val="single" w:sz="8" w:space="0" w:color="000000"/>
            </w:tcBorders>
          </w:tcPr>
          <w:p>
            <w:pPr>
              <w:pStyle w:val="TableParagraph"/>
              <w:spacing w:before="25"/>
              <w:ind w:right="39"/>
              <w:jc w:val="right"/>
              <w:rPr>
                <w:sz w:val="18"/>
              </w:rPr>
            </w:pPr>
            <w:r>
              <w:rPr>
                <w:sz w:val="18"/>
              </w:rPr>
              <w:t>.252</w:t>
            </w:r>
          </w:p>
        </w:tc>
        <w:tc>
          <w:tcPr>
            <w:tcW w:w="1275" w:type="dxa"/>
            <w:tcBorders>
              <w:top w:val="nil"/>
              <w:left w:val="single" w:sz="8" w:space="0" w:color="000000"/>
              <w:bottom w:val="nil"/>
              <w:right w:val="single" w:sz="8" w:space="0" w:color="000000"/>
            </w:tcBorders>
          </w:tcPr>
          <w:p>
            <w:pPr>
              <w:pStyle w:val="TableParagraph"/>
              <w:spacing w:before="25"/>
              <w:ind w:right="37"/>
              <w:jc w:val="right"/>
              <w:rPr>
                <w:sz w:val="18"/>
              </w:rPr>
            </w:pPr>
            <w:r>
              <w:rPr>
                <w:sz w:val="18"/>
              </w:rPr>
              <w:t>.504</w:t>
            </w:r>
          </w:p>
        </w:tc>
        <w:tc>
          <w:tcPr>
            <w:tcW w:w="1418" w:type="dxa"/>
            <w:tcBorders>
              <w:top w:val="nil"/>
              <w:left w:val="single" w:sz="8" w:space="0" w:color="000000"/>
              <w:bottom w:val="nil"/>
              <w:right w:val="single" w:sz="8" w:space="0" w:color="000000"/>
            </w:tcBorders>
          </w:tcPr>
          <w:p>
            <w:pPr>
              <w:pStyle w:val="TableParagraph"/>
              <w:spacing w:before="25"/>
              <w:ind w:right="38"/>
              <w:jc w:val="right"/>
              <w:rPr>
                <w:sz w:val="18"/>
              </w:rPr>
            </w:pPr>
            <w:r>
              <w:rPr>
                <w:sz w:val="18"/>
              </w:rPr>
              <w:t>98.338</w:t>
            </w:r>
          </w:p>
        </w:tc>
        <w:tc>
          <w:tcPr>
            <w:tcW w:w="708" w:type="dxa"/>
            <w:vMerge/>
            <w:tcBorders>
              <w:top w:val="nil"/>
              <w:left w:val="single" w:sz="8" w:space="0" w:color="000000"/>
              <w:right w:val="single" w:sz="8" w:space="0" w:color="000000"/>
            </w:tcBorders>
          </w:tcPr>
          <w:p>
            <w:pPr>
              <w:rPr>
                <w:sz w:val="2"/>
                <w:szCs w:val="2"/>
              </w:rPr>
            </w:pPr>
          </w:p>
        </w:tc>
        <w:tc>
          <w:tcPr>
            <w:tcW w:w="1277" w:type="dxa"/>
            <w:vMerge/>
            <w:tcBorders>
              <w:top w:val="nil"/>
              <w:left w:val="single" w:sz="8" w:space="0" w:color="000000"/>
              <w:right w:val="single" w:sz="8" w:space="0" w:color="000000"/>
            </w:tcBorders>
          </w:tcPr>
          <w:p>
            <w:pPr>
              <w:rPr>
                <w:sz w:val="2"/>
                <w:szCs w:val="2"/>
              </w:rPr>
            </w:pPr>
          </w:p>
        </w:tc>
        <w:tc>
          <w:tcPr>
            <w:tcW w:w="1277" w:type="dxa"/>
            <w:vMerge/>
            <w:tcBorders>
              <w:top w:val="nil"/>
              <w:left w:val="single" w:sz="8" w:space="0" w:color="000000"/>
              <w:right w:val="single" w:sz="8" w:space="0" w:color="000000"/>
            </w:tcBorders>
          </w:tcPr>
          <w:p>
            <w:pPr>
              <w:rPr>
                <w:sz w:val="2"/>
                <w:szCs w:val="2"/>
              </w:rPr>
            </w:pPr>
          </w:p>
        </w:tc>
        <w:tc>
          <w:tcPr>
            <w:tcW w:w="1354" w:type="dxa"/>
            <w:vMerge/>
            <w:tcBorders>
              <w:top w:val="nil"/>
              <w:left w:val="single" w:sz="8" w:space="0" w:color="000000"/>
            </w:tcBorders>
          </w:tcPr>
          <w:p>
            <w:pPr>
              <w:rPr>
                <w:sz w:val="2"/>
                <w:szCs w:val="2"/>
              </w:rPr>
            </w:pPr>
          </w:p>
        </w:tc>
      </w:tr>
      <w:tr>
        <w:trPr>
          <w:trHeight w:val="265" w:hRule="atLeast"/>
        </w:trPr>
        <w:tc>
          <w:tcPr>
            <w:tcW w:w="547" w:type="dxa"/>
            <w:tcBorders>
              <w:top w:val="nil"/>
              <w:bottom w:val="nil"/>
            </w:tcBorders>
          </w:tcPr>
          <w:p>
            <w:pPr>
              <w:pStyle w:val="TableParagraph"/>
              <w:spacing w:before="26"/>
              <w:ind w:left="56"/>
              <w:rPr>
                <w:sz w:val="18"/>
              </w:rPr>
            </w:pPr>
            <w:r>
              <w:rPr>
                <w:sz w:val="18"/>
              </w:rPr>
              <w:t>47</w:t>
            </w:r>
          </w:p>
        </w:tc>
        <w:tc>
          <w:tcPr>
            <w:tcW w:w="710" w:type="dxa"/>
            <w:tcBorders>
              <w:top w:val="nil"/>
              <w:bottom w:val="nil"/>
              <w:right w:val="single" w:sz="8" w:space="0" w:color="000000"/>
            </w:tcBorders>
          </w:tcPr>
          <w:p>
            <w:pPr>
              <w:pStyle w:val="TableParagraph"/>
              <w:spacing w:before="26"/>
              <w:ind w:right="39"/>
              <w:jc w:val="right"/>
              <w:rPr>
                <w:sz w:val="18"/>
              </w:rPr>
            </w:pPr>
            <w:r>
              <w:rPr>
                <w:sz w:val="18"/>
              </w:rPr>
              <w:t>.235</w:t>
            </w:r>
          </w:p>
        </w:tc>
        <w:tc>
          <w:tcPr>
            <w:tcW w:w="1275" w:type="dxa"/>
            <w:tcBorders>
              <w:top w:val="nil"/>
              <w:left w:val="single" w:sz="8" w:space="0" w:color="000000"/>
              <w:bottom w:val="nil"/>
              <w:right w:val="single" w:sz="8" w:space="0" w:color="000000"/>
            </w:tcBorders>
          </w:tcPr>
          <w:p>
            <w:pPr>
              <w:pStyle w:val="TableParagraph"/>
              <w:spacing w:before="26"/>
              <w:ind w:right="37"/>
              <w:jc w:val="right"/>
              <w:rPr>
                <w:sz w:val="18"/>
              </w:rPr>
            </w:pPr>
            <w:r>
              <w:rPr>
                <w:sz w:val="18"/>
              </w:rPr>
              <w:t>.470</w:t>
            </w:r>
          </w:p>
        </w:tc>
        <w:tc>
          <w:tcPr>
            <w:tcW w:w="1418" w:type="dxa"/>
            <w:tcBorders>
              <w:top w:val="nil"/>
              <w:left w:val="single" w:sz="8" w:space="0" w:color="000000"/>
              <w:bottom w:val="nil"/>
              <w:right w:val="single" w:sz="8" w:space="0" w:color="000000"/>
            </w:tcBorders>
          </w:tcPr>
          <w:p>
            <w:pPr>
              <w:pStyle w:val="TableParagraph"/>
              <w:spacing w:before="26"/>
              <w:ind w:right="38"/>
              <w:jc w:val="right"/>
              <w:rPr>
                <w:sz w:val="18"/>
              </w:rPr>
            </w:pPr>
            <w:r>
              <w:rPr>
                <w:sz w:val="18"/>
              </w:rPr>
              <w:t>98.807</w:t>
            </w:r>
          </w:p>
        </w:tc>
        <w:tc>
          <w:tcPr>
            <w:tcW w:w="708" w:type="dxa"/>
            <w:vMerge/>
            <w:tcBorders>
              <w:top w:val="nil"/>
              <w:left w:val="single" w:sz="8" w:space="0" w:color="000000"/>
              <w:right w:val="single" w:sz="8" w:space="0" w:color="000000"/>
            </w:tcBorders>
          </w:tcPr>
          <w:p>
            <w:pPr>
              <w:rPr>
                <w:sz w:val="2"/>
                <w:szCs w:val="2"/>
              </w:rPr>
            </w:pPr>
          </w:p>
        </w:tc>
        <w:tc>
          <w:tcPr>
            <w:tcW w:w="1277" w:type="dxa"/>
            <w:vMerge/>
            <w:tcBorders>
              <w:top w:val="nil"/>
              <w:left w:val="single" w:sz="8" w:space="0" w:color="000000"/>
              <w:right w:val="single" w:sz="8" w:space="0" w:color="000000"/>
            </w:tcBorders>
          </w:tcPr>
          <w:p>
            <w:pPr>
              <w:rPr>
                <w:sz w:val="2"/>
                <w:szCs w:val="2"/>
              </w:rPr>
            </w:pPr>
          </w:p>
        </w:tc>
        <w:tc>
          <w:tcPr>
            <w:tcW w:w="1277" w:type="dxa"/>
            <w:vMerge/>
            <w:tcBorders>
              <w:top w:val="nil"/>
              <w:left w:val="single" w:sz="8" w:space="0" w:color="000000"/>
              <w:right w:val="single" w:sz="8" w:space="0" w:color="000000"/>
            </w:tcBorders>
          </w:tcPr>
          <w:p>
            <w:pPr>
              <w:rPr>
                <w:sz w:val="2"/>
                <w:szCs w:val="2"/>
              </w:rPr>
            </w:pPr>
          </w:p>
        </w:tc>
        <w:tc>
          <w:tcPr>
            <w:tcW w:w="1354" w:type="dxa"/>
            <w:vMerge/>
            <w:tcBorders>
              <w:top w:val="nil"/>
              <w:left w:val="single" w:sz="8" w:space="0" w:color="000000"/>
            </w:tcBorders>
          </w:tcPr>
          <w:p>
            <w:pPr>
              <w:rPr>
                <w:sz w:val="2"/>
                <w:szCs w:val="2"/>
              </w:rPr>
            </w:pPr>
          </w:p>
        </w:tc>
      </w:tr>
      <w:tr>
        <w:trPr>
          <w:trHeight w:val="264" w:hRule="atLeast"/>
        </w:trPr>
        <w:tc>
          <w:tcPr>
            <w:tcW w:w="547" w:type="dxa"/>
            <w:tcBorders>
              <w:top w:val="nil"/>
              <w:bottom w:val="nil"/>
            </w:tcBorders>
          </w:tcPr>
          <w:p>
            <w:pPr>
              <w:pStyle w:val="TableParagraph"/>
              <w:spacing w:before="25"/>
              <w:ind w:left="56"/>
              <w:rPr>
                <w:sz w:val="18"/>
              </w:rPr>
            </w:pPr>
            <w:r>
              <w:rPr>
                <w:sz w:val="18"/>
              </w:rPr>
              <w:t>48</w:t>
            </w:r>
          </w:p>
        </w:tc>
        <w:tc>
          <w:tcPr>
            <w:tcW w:w="710" w:type="dxa"/>
            <w:tcBorders>
              <w:top w:val="nil"/>
              <w:bottom w:val="nil"/>
              <w:right w:val="single" w:sz="8" w:space="0" w:color="000000"/>
            </w:tcBorders>
          </w:tcPr>
          <w:p>
            <w:pPr>
              <w:pStyle w:val="TableParagraph"/>
              <w:spacing w:before="25"/>
              <w:ind w:right="39"/>
              <w:jc w:val="right"/>
              <w:rPr>
                <w:sz w:val="18"/>
              </w:rPr>
            </w:pPr>
            <w:r>
              <w:rPr>
                <w:sz w:val="18"/>
              </w:rPr>
              <w:t>.217</w:t>
            </w:r>
          </w:p>
        </w:tc>
        <w:tc>
          <w:tcPr>
            <w:tcW w:w="1275" w:type="dxa"/>
            <w:tcBorders>
              <w:top w:val="nil"/>
              <w:left w:val="single" w:sz="8" w:space="0" w:color="000000"/>
              <w:bottom w:val="nil"/>
              <w:right w:val="single" w:sz="8" w:space="0" w:color="000000"/>
            </w:tcBorders>
          </w:tcPr>
          <w:p>
            <w:pPr>
              <w:pStyle w:val="TableParagraph"/>
              <w:spacing w:before="25"/>
              <w:ind w:right="37"/>
              <w:jc w:val="right"/>
              <w:rPr>
                <w:sz w:val="18"/>
              </w:rPr>
            </w:pPr>
            <w:r>
              <w:rPr>
                <w:sz w:val="18"/>
              </w:rPr>
              <w:t>.433</w:t>
            </w:r>
          </w:p>
        </w:tc>
        <w:tc>
          <w:tcPr>
            <w:tcW w:w="1418" w:type="dxa"/>
            <w:tcBorders>
              <w:top w:val="nil"/>
              <w:left w:val="single" w:sz="8" w:space="0" w:color="000000"/>
              <w:bottom w:val="nil"/>
              <w:right w:val="single" w:sz="8" w:space="0" w:color="000000"/>
            </w:tcBorders>
          </w:tcPr>
          <w:p>
            <w:pPr>
              <w:pStyle w:val="TableParagraph"/>
              <w:spacing w:before="25"/>
              <w:ind w:right="38"/>
              <w:jc w:val="right"/>
              <w:rPr>
                <w:sz w:val="18"/>
              </w:rPr>
            </w:pPr>
            <w:r>
              <w:rPr>
                <w:sz w:val="18"/>
              </w:rPr>
              <w:t>99.240</w:t>
            </w:r>
          </w:p>
        </w:tc>
        <w:tc>
          <w:tcPr>
            <w:tcW w:w="708" w:type="dxa"/>
            <w:vMerge/>
            <w:tcBorders>
              <w:top w:val="nil"/>
              <w:left w:val="single" w:sz="8" w:space="0" w:color="000000"/>
              <w:right w:val="single" w:sz="8" w:space="0" w:color="000000"/>
            </w:tcBorders>
          </w:tcPr>
          <w:p>
            <w:pPr>
              <w:rPr>
                <w:sz w:val="2"/>
                <w:szCs w:val="2"/>
              </w:rPr>
            </w:pPr>
          </w:p>
        </w:tc>
        <w:tc>
          <w:tcPr>
            <w:tcW w:w="1277" w:type="dxa"/>
            <w:vMerge/>
            <w:tcBorders>
              <w:top w:val="nil"/>
              <w:left w:val="single" w:sz="8" w:space="0" w:color="000000"/>
              <w:right w:val="single" w:sz="8" w:space="0" w:color="000000"/>
            </w:tcBorders>
          </w:tcPr>
          <w:p>
            <w:pPr>
              <w:rPr>
                <w:sz w:val="2"/>
                <w:szCs w:val="2"/>
              </w:rPr>
            </w:pPr>
          </w:p>
        </w:tc>
        <w:tc>
          <w:tcPr>
            <w:tcW w:w="1277" w:type="dxa"/>
            <w:vMerge/>
            <w:tcBorders>
              <w:top w:val="nil"/>
              <w:left w:val="single" w:sz="8" w:space="0" w:color="000000"/>
              <w:right w:val="single" w:sz="8" w:space="0" w:color="000000"/>
            </w:tcBorders>
          </w:tcPr>
          <w:p>
            <w:pPr>
              <w:rPr>
                <w:sz w:val="2"/>
                <w:szCs w:val="2"/>
              </w:rPr>
            </w:pPr>
          </w:p>
        </w:tc>
        <w:tc>
          <w:tcPr>
            <w:tcW w:w="1354" w:type="dxa"/>
            <w:vMerge/>
            <w:tcBorders>
              <w:top w:val="nil"/>
              <w:left w:val="single" w:sz="8" w:space="0" w:color="000000"/>
            </w:tcBorders>
          </w:tcPr>
          <w:p>
            <w:pPr>
              <w:rPr>
                <w:sz w:val="2"/>
                <w:szCs w:val="2"/>
              </w:rPr>
            </w:pPr>
          </w:p>
        </w:tc>
      </w:tr>
      <w:tr>
        <w:trPr>
          <w:trHeight w:val="265" w:hRule="atLeast"/>
        </w:trPr>
        <w:tc>
          <w:tcPr>
            <w:tcW w:w="547" w:type="dxa"/>
            <w:tcBorders>
              <w:top w:val="nil"/>
              <w:bottom w:val="nil"/>
            </w:tcBorders>
          </w:tcPr>
          <w:p>
            <w:pPr>
              <w:pStyle w:val="TableParagraph"/>
              <w:spacing w:before="25"/>
              <w:ind w:left="56"/>
              <w:rPr>
                <w:sz w:val="18"/>
              </w:rPr>
            </w:pPr>
            <w:r>
              <w:rPr>
                <w:sz w:val="18"/>
              </w:rPr>
              <w:t>49</w:t>
            </w:r>
          </w:p>
        </w:tc>
        <w:tc>
          <w:tcPr>
            <w:tcW w:w="710" w:type="dxa"/>
            <w:tcBorders>
              <w:top w:val="nil"/>
              <w:bottom w:val="nil"/>
              <w:right w:val="single" w:sz="8" w:space="0" w:color="000000"/>
            </w:tcBorders>
          </w:tcPr>
          <w:p>
            <w:pPr>
              <w:pStyle w:val="TableParagraph"/>
              <w:spacing w:before="25"/>
              <w:ind w:right="39"/>
              <w:jc w:val="right"/>
              <w:rPr>
                <w:sz w:val="18"/>
              </w:rPr>
            </w:pPr>
            <w:r>
              <w:rPr>
                <w:sz w:val="18"/>
              </w:rPr>
              <w:t>.197</w:t>
            </w:r>
          </w:p>
        </w:tc>
        <w:tc>
          <w:tcPr>
            <w:tcW w:w="1275" w:type="dxa"/>
            <w:tcBorders>
              <w:top w:val="nil"/>
              <w:left w:val="single" w:sz="8" w:space="0" w:color="000000"/>
              <w:bottom w:val="nil"/>
              <w:right w:val="single" w:sz="8" w:space="0" w:color="000000"/>
            </w:tcBorders>
          </w:tcPr>
          <w:p>
            <w:pPr>
              <w:pStyle w:val="TableParagraph"/>
              <w:spacing w:before="25"/>
              <w:ind w:right="37"/>
              <w:jc w:val="right"/>
              <w:rPr>
                <w:sz w:val="18"/>
              </w:rPr>
            </w:pPr>
            <w:r>
              <w:rPr>
                <w:sz w:val="18"/>
              </w:rPr>
              <w:t>.393</w:t>
            </w:r>
          </w:p>
        </w:tc>
        <w:tc>
          <w:tcPr>
            <w:tcW w:w="1418" w:type="dxa"/>
            <w:tcBorders>
              <w:top w:val="nil"/>
              <w:left w:val="single" w:sz="8" w:space="0" w:color="000000"/>
              <w:bottom w:val="nil"/>
              <w:right w:val="single" w:sz="8" w:space="0" w:color="000000"/>
            </w:tcBorders>
          </w:tcPr>
          <w:p>
            <w:pPr>
              <w:pStyle w:val="TableParagraph"/>
              <w:spacing w:before="25"/>
              <w:ind w:right="38"/>
              <w:jc w:val="right"/>
              <w:rPr>
                <w:sz w:val="18"/>
              </w:rPr>
            </w:pPr>
            <w:r>
              <w:rPr>
                <w:sz w:val="18"/>
              </w:rPr>
              <w:t>99.634</w:t>
            </w:r>
          </w:p>
        </w:tc>
        <w:tc>
          <w:tcPr>
            <w:tcW w:w="708" w:type="dxa"/>
            <w:vMerge/>
            <w:tcBorders>
              <w:top w:val="nil"/>
              <w:left w:val="single" w:sz="8" w:space="0" w:color="000000"/>
              <w:right w:val="single" w:sz="8" w:space="0" w:color="000000"/>
            </w:tcBorders>
          </w:tcPr>
          <w:p>
            <w:pPr>
              <w:rPr>
                <w:sz w:val="2"/>
                <w:szCs w:val="2"/>
              </w:rPr>
            </w:pPr>
          </w:p>
        </w:tc>
        <w:tc>
          <w:tcPr>
            <w:tcW w:w="1277" w:type="dxa"/>
            <w:vMerge/>
            <w:tcBorders>
              <w:top w:val="nil"/>
              <w:left w:val="single" w:sz="8" w:space="0" w:color="000000"/>
              <w:right w:val="single" w:sz="8" w:space="0" w:color="000000"/>
            </w:tcBorders>
          </w:tcPr>
          <w:p>
            <w:pPr>
              <w:rPr>
                <w:sz w:val="2"/>
                <w:szCs w:val="2"/>
              </w:rPr>
            </w:pPr>
          </w:p>
        </w:tc>
        <w:tc>
          <w:tcPr>
            <w:tcW w:w="1277" w:type="dxa"/>
            <w:vMerge/>
            <w:tcBorders>
              <w:top w:val="nil"/>
              <w:left w:val="single" w:sz="8" w:space="0" w:color="000000"/>
              <w:right w:val="single" w:sz="8" w:space="0" w:color="000000"/>
            </w:tcBorders>
          </w:tcPr>
          <w:p>
            <w:pPr>
              <w:rPr>
                <w:sz w:val="2"/>
                <w:szCs w:val="2"/>
              </w:rPr>
            </w:pPr>
          </w:p>
        </w:tc>
        <w:tc>
          <w:tcPr>
            <w:tcW w:w="1354" w:type="dxa"/>
            <w:vMerge/>
            <w:tcBorders>
              <w:top w:val="nil"/>
              <w:left w:val="single" w:sz="8" w:space="0" w:color="000000"/>
            </w:tcBorders>
          </w:tcPr>
          <w:p>
            <w:pPr>
              <w:rPr>
                <w:sz w:val="2"/>
                <w:szCs w:val="2"/>
              </w:rPr>
            </w:pPr>
          </w:p>
        </w:tc>
      </w:tr>
      <w:tr>
        <w:trPr>
          <w:trHeight w:val="332" w:hRule="atLeast"/>
        </w:trPr>
        <w:tc>
          <w:tcPr>
            <w:tcW w:w="547" w:type="dxa"/>
            <w:tcBorders>
              <w:top w:val="nil"/>
            </w:tcBorders>
          </w:tcPr>
          <w:p>
            <w:pPr>
              <w:pStyle w:val="TableParagraph"/>
              <w:spacing w:before="26"/>
              <w:ind w:left="56"/>
              <w:rPr>
                <w:sz w:val="18"/>
              </w:rPr>
            </w:pPr>
            <w:r>
              <w:rPr>
                <w:sz w:val="18"/>
              </w:rPr>
              <w:t>50</w:t>
            </w:r>
          </w:p>
        </w:tc>
        <w:tc>
          <w:tcPr>
            <w:tcW w:w="710" w:type="dxa"/>
            <w:tcBorders>
              <w:top w:val="nil"/>
              <w:right w:val="single" w:sz="8" w:space="0" w:color="000000"/>
            </w:tcBorders>
          </w:tcPr>
          <w:p>
            <w:pPr>
              <w:pStyle w:val="TableParagraph"/>
              <w:spacing w:before="26"/>
              <w:ind w:right="39"/>
              <w:jc w:val="right"/>
              <w:rPr>
                <w:sz w:val="18"/>
              </w:rPr>
            </w:pPr>
            <w:r>
              <w:rPr>
                <w:sz w:val="18"/>
              </w:rPr>
              <w:t>.183</w:t>
            </w:r>
          </w:p>
        </w:tc>
        <w:tc>
          <w:tcPr>
            <w:tcW w:w="1275" w:type="dxa"/>
            <w:tcBorders>
              <w:top w:val="nil"/>
              <w:left w:val="single" w:sz="8" w:space="0" w:color="000000"/>
              <w:right w:val="single" w:sz="8" w:space="0" w:color="000000"/>
            </w:tcBorders>
          </w:tcPr>
          <w:p>
            <w:pPr>
              <w:pStyle w:val="TableParagraph"/>
              <w:spacing w:before="26"/>
              <w:ind w:right="36"/>
              <w:jc w:val="right"/>
              <w:rPr>
                <w:sz w:val="18"/>
              </w:rPr>
            </w:pPr>
            <w:r>
              <w:rPr>
                <w:sz w:val="18"/>
              </w:rPr>
              <w:t>.366</w:t>
            </w:r>
          </w:p>
        </w:tc>
        <w:tc>
          <w:tcPr>
            <w:tcW w:w="1418" w:type="dxa"/>
            <w:tcBorders>
              <w:top w:val="nil"/>
              <w:left w:val="single" w:sz="8" w:space="0" w:color="000000"/>
              <w:right w:val="single" w:sz="8" w:space="0" w:color="000000"/>
            </w:tcBorders>
          </w:tcPr>
          <w:p>
            <w:pPr>
              <w:pStyle w:val="TableParagraph"/>
              <w:spacing w:before="26"/>
              <w:ind w:right="38"/>
              <w:jc w:val="right"/>
              <w:rPr>
                <w:sz w:val="18"/>
              </w:rPr>
            </w:pPr>
            <w:r>
              <w:rPr>
                <w:sz w:val="18"/>
              </w:rPr>
              <w:t>100.000</w:t>
            </w:r>
          </w:p>
        </w:tc>
        <w:tc>
          <w:tcPr>
            <w:tcW w:w="708" w:type="dxa"/>
            <w:vMerge/>
            <w:tcBorders>
              <w:top w:val="nil"/>
              <w:left w:val="single" w:sz="8" w:space="0" w:color="000000"/>
              <w:right w:val="single" w:sz="8" w:space="0" w:color="000000"/>
            </w:tcBorders>
          </w:tcPr>
          <w:p>
            <w:pPr>
              <w:rPr>
                <w:sz w:val="2"/>
                <w:szCs w:val="2"/>
              </w:rPr>
            </w:pPr>
          </w:p>
        </w:tc>
        <w:tc>
          <w:tcPr>
            <w:tcW w:w="1277" w:type="dxa"/>
            <w:vMerge/>
            <w:tcBorders>
              <w:top w:val="nil"/>
              <w:left w:val="single" w:sz="8" w:space="0" w:color="000000"/>
              <w:right w:val="single" w:sz="8" w:space="0" w:color="000000"/>
            </w:tcBorders>
          </w:tcPr>
          <w:p>
            <w:pPr>
              <w:rPr>
                <w:sz w:val="2"/>
                <w:szCs w:val="2"/>
              </w:rPr>
            </w:pPr>
          </w:p>
        </w:tc>
        <w:tc>
          <w:tcPr>
            <w:tcW w:w="1277" w:type="dxa"/>
            <w:vMerge/>
            <w:tcBorders>
              <w:top w:val="nil"/>
              <w:left w:val="single" w:sz="8" w:space="0" w:color="000000"/>
              <w:right w:val="single" w:sz="8" w:space="0" w:color="000000"/>
            </w:tcBorders>
          </w:tcPr>
          <w:p>
            <w:pPr>
              <w:rPr>
                <w:sz w:val="2"/>
                <w:szCs w:val="2"/>
              </w:rPr>
            </w:pPr>
          </w:p>
        </w:tc>
        <w:tc>
          <w:tcPr>
            <w:tcW w:w="1354" w:type="dxa"/>
            <w:vMerge/>
            <w:tcBorders>
              <w:top w:val="nil"/>
              <w:left w:val="single" w:sz="8" w:space="0" w:color="000000"/>
            </w:tcBorders>
          </w:tcPr>
          <w:p>
            <w:pPr>
              <w:rPr>
                <w:sz w:val="2"/>
                <w:szCs w:val="2"/>
              </w:rPr>
            </w:pPr>
          </w:p>
        </w:tc>
      </w:tr>
    </w:tbl>
    <w:p>
      <w:pPr>
        <w:spacing w:before="2"/>
        <w:ind w:left="942" w:right="0" w:firstLine="0"/>
        <w:jc w:val="left"/>
        <w:rPr>
          <w:sz w:val="18"/>
        </w:rPr>
      </w:pPr>
      <w:r>
        <w:rPr>
          <w:sz w:val="18"/>
        </w:rPr>
        <w:t>Extraction Method: Principal Component Analysis.</w:t>
      </w:r>
    </w:p>
    <w:p>
      <w:pPr>
        <w:pStyle w:val="BodyText"/>
        <w:rPr>
          <w:sz w:val="20"/>
        </w:rPr>
      </w:pPr>
    </w:p>
    <w:p>
      <w:pPr>
        <w:pStyle w:val="BodyText"/>
        <w:rPr>
          <w:sz w:val="20"/>
        </w:rPr>
      </w:pPr>
    </w:p>
    <w:p>
      <w:pPr>
        <w:pStyle w:val="BodyText"/>
        <w:rPr>
          <w:sz w:val="20"/>
        </w:rPr>
      </w:pPr>
    </w:p>
    <w:p>
      <w:pPr>
        <w:pStyle w:val="BodyText"/>
        <w:rPr>
          <w:sz w:val="12"/>
        </w:rPr>
      </w:pPr>
    </w:p>
    <w:tbl>
      <w:tblPr>
        <w:tblW w:w="0" w:type="auto"/>
        <w:jc w:val="left"/>
        <w:tblInd w:w="907" w:type="dxa"/>
        <w:tblBorders>
          <w:top w:val="single" w:sz="18" w:space="0" w:color="000000"/>
          <w:left w:val="single" w:sz="18" w:space="0" w:color="000000"/>
          <w:bottom w:val="single" w:sz="18" w:space="0" w:color="000000"/>
          <w:right w:val="single" w:sz="18" w:space="0" w:color="000000"/>
          <w:insideH w:val="single" w:sz="18" w:space="0" w:color="000000"/>
          <w:insideV w:val="single" w:sz="18" w:space="0" w:color="000000"/>
        </w:tblBorders>
        <w:tblLayout w:type="fixed"/>
        <w:tblCellMar>
          <w:top w:w="0" w:type="dxa"/>
          <w:left w:w="0" w:type="dxa"/>
          <w:bottom w:w="0" w:type="dxa"/>
          <w:right w:w="0" w:type="dxa"/>
        </w:tblCellMar>
        <w:tblLook w:val="01E0"/>
      </w:tblPr>
      <w:tblGrid>
        <w:gridCol w:w="862"/>
        <w:gridCol w:w="557"/>
        <w:gridCol w:w="567"/>
        <w:gridCol w:w="568"/>
        <w:gridCol w:w="711"/>
        <w:gridCol w:w="709"/>
        <w:gridCol w:w="709"/>
        <w:gridCol w:w="712"/>
        <w:gridCol w:w="568"/>
        <w:gridCol w:w="568"/>
        <w:gridCol w:w="568"/>
        <w:gridCol w:w="571"/>
        <w:gridCol w:w="568"/>
      </w:tblGrid>
      <w:tr>
        <w:trPr>
          <w:trHeight w:val="295" w:hRule="atLeast"/>
        </w:trPr>
        <w:tc>
          <w:tcPr>
            <w:tcW w:w="862" w:type="dxa"/>
            <w:vMerge w:val="restart"/>
          </w:tcPr>
          <w:p>
            <w:pPr>
              <w:pStyle w:val="TableParagraph"/>
              <w:rPr>
                <w:sz w:val="18"/>
              </w:rPr>
            </w:pPr>
          </w:p>
        </w:tc>
        <w:tc>
          <w:tcPr>
            <w:tcW w:w="7376" w:type="dxa"/>
            <w:gridSpan w:val="12"/>
            <w:tcBorders>
              <w:top w:val="nil"/>
              <w:bottom w:val="single" w:sz="8" w:space="0" w:color="000000"/>
              <w:right w:val="nil"/>
            </w:tcBorders>
          </w:tcPr>
          <w:p>
            <w:pPr>
              <w:pStyle w:val="TableParagraph"/>
              <w:rPr>
                <w:sz w:val="18"/>
              </w:rPr>
            </w:pPr>
          </w:p>
        </w:tc>
      </w:tr>
      <w:tr>
        <w:trPr>
          <w:trHeight w:val="314" w:hRule="atLeast"/>
        </w:trPr>
        <w:tc>
          <w:tcPr>
            <w:tcW w:w="862" w:type="dxa"/>
            <w:vMerge/>
            <w:tcBorders>
              <w:top w:val="nil"/>
            </w:tcBorders>
          </w:tcPr>
          <w:p>
            <w:pPr>
              <w:rPr>
                <w:sz w:val="2"/>
                <w:szCs w:val="2"/>
              </w:rPr>
            </w:pPr>
          </w:p>
        </w:tc>
        <w:tc>
          <w:tcPr>
            <w:tcW w:w="557" w:type="dxa"/>
            <w:tcBorders>
              <w:top w:val="single" w:sz="8" w:space="0" w:color="000000"/>
              <w:right w:val="single" w:sz="8" w:space="0" w:color="000000"/>
            </w:tcBorders>
          </w:tcPr>
          <w:p>
            <w:pPr>
              <w:pStyle w:val="TableParagraph"/>
              <w:spacing w:before="8"/>
              <w:ind w:left="229"/>
              <w:rPr>
                <w:sz w:val="18"/>
              </w:rPr>
            </w:pPr>
            <w:r>
              <w:rPr>
                <w:sz w:val="18"/>
              </w:rPr>
              <w:t>1</w:t>
            </w:r>
          </w:p>
        </w:tc>
        <w:tc>
          <w:tcPr>
            <w:tcW w:w="567" w:type="dxa"/>
            <w:tcBorders>
              <w:top w:val="single" w:sz="8" w:space="0" w:color="000000"/>
              <w:left w:val="single" w:sz="8" w:space="0" w:color="000000"/>
              <w:right w:val="single" w:sz="8" w:space="0" w:color="000000"/>
            </w:tcBorders>
          </w:tcPr>
          <w:p>
            <w:pPr>
              <w:pStyle w:val="TableParagraph"/>
              <w:spacing w:before="8"/>
              <w:ind w:left="35"/>
              <w:jc w:val="center"/>
              <w:rPr>
                <w:sz w:val="18"/>
              </w:rPr>
            </w:pPr>
            <w:r>
              <w:rPr>
                <w:sz w:val="18"/>
              </w:rPr>
              <w:t>2</w:t>
            </w:r>
          </w:p>
        </w:tc>
        <w:tc>
          <w:tcPr>
            <w:tcW w:w="568" w:type="dxa"/>
            <w:tcBorders>
              <w:top w:val="single" w:sz="8" w:space="0" w:color="000000"/>
              <w:left w:val="single" w:sz="8" w:space="0" w:color="000000"/>
              <w:right w:val="single" w:sz="8" w:space="0" w:color="000000"/>
            </w:tcBorders>
          </w:tcPr>
          <w:p>
            <w:pPr>
              <w:pStyle w:val="TableParagraph"/>
              <w:spacing w:before="8"/>
              <w:ind w:left="33"/>
              <w:jc w:val="center"/>
              <w:rPr>
                <w:sz w:val="18"/>
              </w:rPr>
            </w:pPr>
            <w:r>
              <w:rPr>
                <w:sz w:val="18"/>
              </w:rPr>
              <w:t>3</w:t>
            </w:r>
          </w:p>
        </w:tc>
        <w:tc>
          <w:tcPr>
            <w:tcW w:w="711" w:type="dxa"/>
            <w:tcBorders>
              <w:top w:val="single" w:sz="8" w:space="0" w:color="000000"/>
              <w:left w:val="single" w:sz="8" w:space="0" w:color="000000"/>
              <w:right w:val="single" w:sz="8" w:space="0" w:color="000000"/>
            </w:tcBorders>
          </w:tcPr>
          <w:p>
            <w:pPr>
              <w:pStyle w:val="TableParagraph"/>
              <w:spacing w:before="8"/>
              <w:ind w:left="27"/>
              <w:jc w:val="center"/>
              <w:rPr>
                <w:sz w:val="18"/>
              </w:rPr>
            </w:pPr>
            <w:r>
              <w:rPr>
                <w:sz w:val="18"/>
              </w:rPr>
              <w:t>4</w:t>
            </w:r>
          </w:p>
        </w:tc>
        <w:tc>
          <w:tcPr>
            <w:tcW w:w="709" w:type="dxa"/>
            <w:tcBorders>
              <w:top w:val="single" w:sz="8" w:space="0" w:color="000000"/>
              <w:left w:val="single" w:sz="8" w:space="0" w:color="000000"/>
              <w:right w:val="single" w:sz="8" w:space="0" w:color="000000"/>
            </w:tcBorders>
          </w:tcPr>
          <w:p>
            <w:pPr>
              <w:pStyle w:val="TableParagraph"/>
              <w:spacing w:before="8"/>
              <w:ind w:left="28"/>
              <w:jc w:val="center"/>
              <w:rPr>
                <w:sz w:val="18"/>
              </w:rPr>
            </w:pPr>
            <w:r>
              <w:rPr>
                <w:sz w:val="18"/>
              </w:rPr>
              <w:t>5</w:t>
            </w:r>
          </w:p>
        </w:tc>
        <w:tc>
          <w:tcPr>
            <w:tcW w:w="709" w:type="dxa"/>
            <w:tcBorders>
              <w:top w:val="single" w:sz="8" w:space="0" w:color="000000"/>
              <w:left w:val="single" w:sz="8" w:space="0" w:color="000000"/>
              <w:right w:val="single" w:sz="8" w:space="0" w:color="000000"/>
            </w:tcBorders>
          </w:tcPr>
          <w:p>
            <w:pPr>
              <w:pStyle w:val="TableParagraph"/>
              <w:spacing w:before="8"/>
              <w:ind w:left="26"/>
              <w:jc w:val="center"/>
              <w:rPr>
                <w:sz w:val="18"/>
              </w:rPr>
            </w:pPr>
            <w:r>
              <w:rPr>
                <w:sz w:val="18"/>
              </w:rPr>
              <w:t>6</w:t>
            </w:r>
          </w:p>
        </w:tc>
        <w:tc>
          <w:tcPr>
            <w:tcW w:w="712" w:type="dxa"/>
            <w:tcBorders>
              <w:top w:val="single" w:sz="8" w:space="0" w:color="000000"/>
              <w:left w:val="single" w:sz="8" w:space="0" w:color="000000"/>
              <w:right w:val="single" w:sz="8" w:space="0" w:color="000000"/>
            </w:tcBorders>
          </w:tcPr>
          <w:p>
            <w:pPr>
              <w:pStyle w:val="TableParagraph"/>
              <w:spacing w:before="8"/>
              <w:ind w:left="21"/>
              <w:jc w:val="center"/>
              <w:rPr>
                <w:sz w:val="18"/>
              </w:rPr>
            </w:pPr>
            <w:r>
              <w:rPr>
                <w:sz w:val="18"/>
              </w:rPr>
              <w:t>7</w:t>
            </w:r>
          </w:p>
        </w:tc>
        <w:tc>
          <w:tcPr>
            <w:tcW w:w="568" w:type="dxa"/>
            <w:tcBorders>
              <w:top w:val="single" w:sz="8" w:space="0" w:color="000000"/>
              <w:left w:val="single" w:sz="8" w:space="0" w:color="000000"/>
              <w:right w:val="single" w:sz="8" w:space="0" w:color="000000"/>
            </w:tcBorders>
          </w:tcPr>
          <w:p>
            <w:pPr>
              <w:pStyle w:val="TableParagraph"/>
              <w:spacing w:before="8"/>
              <w:ind w:left="23"/>
              <w:jc w:val="center"/>
              <w:rPr>
                <w:sz w:val="18"/>
              </w:rPr>
            </w:pPr>
            <w:r>
              <w:rPr>
                <w:sz w:val="18"/>
              </w:rPr>
              <w:t>8</w:t>
            </w:r>
          </w:p>
        </w:tc>
        <w:tc>
          <w:tcPr>
            <w:tcW w:w="568" w:type="dxa"/>
            <w:tcBorders>
              <w:top w:val="single" w:sz="8" w:space="0" w:color="000000"/>
              <w:left w:val="single" w:sz="8" w:space="0" w:color="000000"/>
              <w:right w:val="single" w:sz="8" w:space="0" w:color="000000"/>
            </w:tcBorders>
          </w:tcPr>
          <w:p>
            <w:pPr>
              <w:pStyle w:val="TableParagraph"/>
              <w:spacing w:before="8"/>
              <w:ind w:left="20"/>
              <w:jc w:val="center"/>
              <w:rPr>
                <w:sz w:val="18"/>
              </w:rPr>
            </w:pPr>
            <w:r>
              <w:rPr>
                <w:sz w:val="18"/>
              </w:rPr>
              <w:t>9</w:t>
            </w:r>
          </w:p>
        </w:tc>
        <w:tc>
          <w:tcPr>
            <w:tcW w:w="568" w:type="dxa"/>
            <w:tcBorders>
              <w:top w:val="single" w:sz="8" w:space="0" w:color="000000"/>
              <w:left w:val="single" w:sz="8" w:space="0" w:color="000000"/>
              <w:right w:val="single" w:sz="8" w:space="0" w:color="000000"/>
            </w:tcBorders>
          </w:tcPr>
          <w:p>
            <w:pPr>
              <w:pStyle w:val="TableParagraph"/>
              <w:spacing w:before="8"/>
              <w:ind w:left="191"/>
              <w:rPr>
                <w:sz w:val="18"/>
              </w:rPr>
            </w:pPr>
            <w:r>
              <w:rPr>
                <w:sz w:val="18"/>
              </w:rPr>
              <w:t>10</w:t>
            </w:r>
          </w:p>
        </w:tc>
        <w:tc>
          <w:tcPr>
            <w:tcW w:w="571" w:type="dxa"/>
            <w:tcBorders>
              <w:top w:val="single" w:sz="8" w:space="0" w:color="000000"/>
              <w:left w:val="single" w:sz="8" w:space="0" w:color="000000"/>
              <w:right w:val="single" w:sz="8" w:space="0" w:color="000000"/>
            </w:tcBorders>
          </w:tcPr>
          <w:p>
            <w:pPr>
              <w:pStyle w:val="TableParagraph"/>
              <w:spacing w:before="8"/>
              <w:ind w:left="190"/>
              <w:rPr>
                <w:sz w:val="18"/>
              </w:rPr>
            </w:pPr>
            <w:r>
              <w:rPr>
                <w:sz w:val="18"/>
              </w:rPr>
              <w:t>11</w:t>
            </w:r>
          </w:p>
        </w:tc>
        <w:tc>
          <w:tcPr>
            <w:tcW w:w="568" w:type="dxa"/>
            <w:tcBorders>
              <w:top w:val="single" w:sz="8" w:space="0" w:color="000000"/>
              <w:left w:val="single" w:sz="8" w:space="0" w:color="000000"/>
            </w:tcBorders>
          </w:tcPr>
          <w:p>
            <w:pPr>
              <w:pStyle w:val="TableParagraph"/>
              <w:spacing w:before="8"/>
              <w:ind w:left="183"/>
              <w:rPr>
                <w:sz w:val="18"/>
              </w:rPr>
            </w:pPr>
            <w:r>
              <w:rPr>
                <w:sz w:val="18"/>
              </w:rPr>
              <w:t>12</w:t>
            </w:r>
          </w:p>
        </w:tc>
      </w:tr>
      <w:tr>
        <w:trPr>
          <w:trHeight w:val="261" w:hRule="atLeast"/>
        </w:trPr>
        <w:tc>
          <w:tcPr>
            <w:tcW w:w="862" w:type="dxa"/>
            <w:tcBorders>
              <w:bottom w:val="nil"/>
            </w:tcBorders>
          </w:tcPr>
          <w:p>
            <w:pPr>
              <w:pStyle w:val="TableParagraph"/>
              <w:spacing w:line="206" w:lineRule="exact"/>
              <w:ind w:left="56" w:right="139"/>
              <w:jc w:val="center"/>
              <w:rPr>
                <w:sz w:val="18"/>
              </w:rPr>
            </w:pPr>
            <w:r>
              <w:rPr>
                <w:sz w:val="18"/>
              </w:rPr>
              <w:t>CLDV1</w:t>
            </w:r>
          </w:p>
        </w:tc>
        <w:tc>
          <w:tcPr>
            <w:tcW w:w="557" w:type="dxa"/>
            <w:tcBorders>
              <w:bottom w:val="nil"/>
              <w:right w:val="single" w:sz="8" w:space="0" w:color="000000"/>
            </w:tcBorders>
          </w:tcPr>
          <w:p>
            <w:pPr>
              <w:pStyle w:val="TableParagraph"/>
              <w:spacing w:line="206" w:lineRule="exact"/>
              <w:ind w:left="169"/>
              <w:rPr>
                <w:sz w:val="18"/>
              </w:rPr>
            </w:pPr>
            <w:r>
              <w:rPr>
                <w:sz w:val="18"/>
              </w:rPr>
              <w:t>.805</w:t>
            </w:r>
          </w:p>
        </w:tc>
        <w:tc>
          <w:tcPr>
            <w:tcW w:w="567" w:type="dxa"/>
            <w:vMerge w:val="restart"/>
            <w:tcBorders>
              <w:left w:val="single" w:sz="8" w:space="0" w:color="000000"/>
              <w:bottom w:val="nil"/>
              <w:right w:val="single" w:sz="8" w:space="0" w:color="000000"/>
            </w:tcBorders>
          </w:tcPr>
          <w:p>
            <w:pPr>
              <w:pStyle w:val="TableParagraph"/>
              <w:rPr>
                <w:sz w:val="18"/>
              </w:rPr>
            </w:pPr>
          </w:p>
        </w:tc>
        <w:tc>
          <w:tcPr>
            <w:tcW w:w="568" w:type="dxa"/>
            <w:vMerge w:val="restart"/>
            <w:tcBorders>
              <w:left w:val="single" w:sz="8" w:space="0" w:color="000000"/>
              <w:bottom w:val="nil"/>
              <w:right w:val="single" w:sz="8" w:space="0" w:color="000000"/>
            </w:tcBorders>
          </w:tcPr>
          <w:p>
            <w:pPr>
              <w:pStyle w:val="TableParagraph"/>
              <w:rPr>
                <w:sz w:val="18"/>
              </w:rPr>
            </w:pPr>
          </w:p>
        </w:tc>
        <w:tc>
          <w:tcPr>
            <w:tcW w:w="711" w:type="dxa"/>
            <w:vMerge w:val="restart"/>
            <w:tcBorders>
              <w:left w:val="single" w:sz="8" w:space="0" w:color="000000"/>
              <w:bottom w:val="nil"/>
              <w:right w:val="single" w:sz="8" w:space="0" w:color="000000"/>
            </w:tcBorders>
          </w:tcPr>
          <w:p>
            <w:pPr>
              <w:pStyle w:val="TableParagraph"/>
              <w:rPr>
                <w:sz w:val="18"/>
              </w:rPr>
            </w:pPr>
          </w:p>
        </w:tc>
        <w:tc>
          <w:tcPr>
            <w:tcW w:w="709" w:type="dxa"/>
            <w:vMerge w:val="restart"/>
            <w:tcBorders>
              <w:left w:val="single" w:sz="8" w:space="0" w:color="000000"/>
              <w:bottom w:val="nil"/>
              <w:right w:val="single" w:sz="8" w:space="0" w:color="000000"/>
            </w:tcBorders>
          </w:tcPr>
          <w:p>
            <w:pPr>
              <w:pStyle w:val="TableParagraph"/>
              <w:rPr>
                <w:sz w:val="18"/>
              </w:rPr>
            </w:pPr>
          </w:p>
        </w:tc>
        <w:tc>
          <w:tcPr>
            <w:tcW w:w="709" w:type="dxa"/>
            <w:vMerge w:val="restart"/>
            <w:tcBorders>
              <w:left w:val="single" w:sz="8" w:space="0" w:color="000000"/>
              <w:bottom w:val="nil"/>
              <w:right w:val="single" w:sz="8" w:space="0" w:color="000000"/>
            </w:tcBorders>
          </w:tcPr>
          <w:p>
            <w:pPr>
              <w:pStyle w:val="TableParagraph"/>
              <w:rPr>
                <w:sz w:val="18"/>
              </w:rPr>
            </w:pPr>
          </w:p>
        </w:tc>
        <w:tc>
          <w:tcPr>
            <w:tcW w:w="712" w:type="dxa"/>
            <w:vMerge w:val="restart"/>
            <w:tcBorders>
              <w:left w:val="single" w:sz="8" w:space="0" w:color="000000"/>
              <w:bottom w:val="nil"/>
              <w:right w:val="single" w:sz="8" w:space="0" w:color="000000"/>
            </w:tcBorders>
          </w:tcPr>
          <w:p>
            <w:pPr>
              <w:pStyle w:val="TableParagraph"/>
              <w:rPr>
                <w:sz w:val="18"/>
              </w:rPr>
            </w:pPr>
          </w:p>
        </w:tc>
        <w:tc>
          <w:tcPr>
            <w:tcW w:w="568" w:type="dxa"/>
            <w:vMerge w:val="restart"/>
            <w:tcBorders>
              <w:left w:val="single" w:sz="8" w:space="0" w:color="000000"/>
              <w:bottom w:val="nil"/>
              <w:right w:val="single" w:sz="8" w:space="0" w:color="000000"/>
            </w:tcBorders>
          </w:tcPr>
          <w:p>
            <w:pPr>
              <w:pStyle w:val="TableParagraph"/>
              <w:rPr>
                <w:sz w:val="18"/>
              </w:rPr>
            </w:pPr>
          </w:p>
        </w:tc>
        <w:tc>
          <w:tcPr>
            <w:tcW w:w="568" w:type="dxa"/>
            <w:vMerge w:val="restart"/>
            <w:tcBorders>
              <w:left w:val="single" w:sz="8" w:space="0" w:color="000000"/>
              <w:bottom w:val="nil"/>
              <w:right w:val="single" w:sz="8" w:space="0" w:color="000000"/>
            </w:tcBorders>
          </w:tcPr>
          <w:p>
            <w:pPr>
              <w:pStyle w:val="TableParagraph"/>
              <w:rPr>
                <w:sz w:val="18"/>
              </w:rPr>
            </w:pPr>
          </w:p>
        </w:tc>
        <w:tc>
          <w:tcPr>
            <w:tcW w:w="568" w:type="dxa"/>
            <w:vMerge w:val="restart"/>
            <w:tcBorders>
              <w:left w:val="single" w:sz="8" w:space="0" w:color="000000"/>
              <w:bottom w:val="nil"/>
              <w:right w:val="single" w:sz="8" w:space="0" w:color="000000"/>
            </w:tcBorders>
          </w:tcPr>
          <w:p>
            <w:pPr>
              <w:pStyle w:val="TableParagraph"/>
              <w:rPr>
                <w:sz w:val="18"/>
              </w:rPr>
            </w:pPr>
          </w:p>
        </w:tc>
        <w:tc>
          <w:tcPr>
            <w:tcW w:w="571" w:type="dxa"/>
            <w:vMerge w:val="restart"/>
            <w:tcBorders>
              <w:left w:val="single" w:sz="8" w:space="0" w:color="000000"/>
              <w:bottom w:val="nil"/>
              <w:right w:val="single" w:sz="8" w:space="0" w:color="000000"/>
            </w:tcBorders>
          </w:tcPr>
          <w:p>
            <w:pPr>
              <w:pStyle w:val="TableParagraph"/>
              <w:rPr>
                <w:sz w:val="18"/>
              </w:rPr>
            </w:pPr>
          </w:p>
        </w:tc>
        <w:tc>
          <w:tcPr>
            <w:tcW w:w="568" w:type="dxa"/>
            <w:vMerge w:val="restart"/>
            <w:tcBorders>
              <w:left w:val="single" w:sz="8" w:space="0" w:color="000000"/>
              <w:bottom w:val="nil"/>
            </w:tcBorders>
          </w:tcPr>
          <w:p>
            <w:pPr>
              <w:pStyle w:val="TableParagraph"/>
              <w:rPr>
                <w:sz w:val="18"/>
              </w:rPr>
            </w:pPr>
          </w:p>
        </w:tc>
      </w:tr>
      <w:tr>
        <w:trPr>
          <w:trHeight w:val="309" w:hRule="atLeast"/>
        </w:trPr>
        <w:tc>
          <w:tcPr>
            <w:tcW w:w="862" w:type="dxa"/>
            <w:tcBorders>
              <w:top w:val="nil"/>
              <w:bottom w:val="nil"/>
            </w:tcBorders>
          </w:tcPr>
          <w:p>
            <w:pPr>
              <w:pStyle w:val="TableParagraph"/>
              <w:spacing w:before="47"/>
              <w:ind w:left="56" w:right="139"/>
              <w:jc w:val="center"/>
              <w:rPr>
                <w:sz w:val="18"/>
              </w:rPr>
            </w:pPr>
            <w:r>
              <w:rPr>
                <w:sz w:val="18"/>
              </w:rPr>
              <w:t>CLDV7</w:t>
            </w:r>
          </w:p>
        </w:tc>
        <w:tc>
          <w:tcPr>
            <w:tcW w:w="557" w:type="dxa"/>
            <w:tcBorders>
              <w:top w:val="nil"/>
              <w:bottom w:val="nil"/>
              <w:right w:val="single" w:sz="8" w:space="0" w:color="000000"/>
            </w:tcBorders>
          </w:tcPr>
          <w:p>
            <w:pPr>
              <w:pStyle w:val="TableParagraph"/>
              <w:spacing w:before="47"/>
              <w:ind w:left="169"/>
              <w:rPr>
                <w:sz w:val="18"/>
              </w:rPr>
            </w:pPr>
            <w:r>
              <w:rPr>
                <w:sz w:val="18"/>
              </w:rPr>
              <w:t>.801</w:t>
            </w:r>
          </w:p>
        </w:tc>
        <w:tc>
          <w:tcPr>
            <w:tcW w:w="567" w:type="dxa"/>
            <w:vMerge/>
            <w:tcBorders>
              <w:top w:val="nil"/>
              <w:left w:val="single" w:sz="8" w:space="0" w:color="000000"/>
              <w:bottom w:val="nil"/>
              <w:right w:val="single" w:sz="8" w:space="0" w:color="000000"/>
            </w:tcBorders>
          </w:tcPr>
          <w:p>
            <w:pPr>
              <w:rPr>
                <w:sz w:val="2"/>
                <w:szCs w:val="2"/>
              </w:rPr>
            </w:pPr>
          </w:p>
        </w:tc>
        <w:tc>
          <w:tcPr>
            <w:tcW w:w="568" w:type="dxa"/>
            <w:vMerge/>
            <w:tcBorders>
              <w:top w:val="nil"/>
              <w:left w:val="single" w:sz="8" w:space="0" w:color="000000"/>
              <w:bottom w:val="nil"/>
              <w:right w:val="single" w:sz="8" w:space="0" w:color="000000"/>
            </w:tcBorders>
          </w:tcPr>
          <w:p>
            <w:pPr>
              <w:rPr>
                <w:sz w:val="2"/>
                <w:szCs w:val="2"/>
              </w:rPr>
            </w:pPr>
          </w:p>
        </w:tc>
        <w:tc>
          <w:tcPr>
            <w:tcW w:w="711" w:type="dxa"/>
            <w:vMerge/>
            <w:tcBorders>
              <w:top w:val="nil"/>
              <w:left w:val="single" w:sz="8" w:space="0" w:color="000000"/>
              <w:bottom w:val="nil"/>
              <w:right w:val="single" w:sz="8" w:space="0" w:color="000000"/>
            </w:tcBorders>
          </w:tcPr>
          <w:p>
            <w:pPr>
              <w:rPr>
                <w:sz w:val="2"/>
                <w:szCs w:val="2"/>
              </w:rPr>
            </w:pPr>
          </w:p>
        </w:tc>
        <w:tc>
          <w:tcPr>
            <w:tcW w:w="709" w:type="dxa"/>
            <w:vMerge/>
            <w:tcBorders>
              <w:top w:val="nil"/>
              <w:left w:val="single" w:sz="8" w:space="0" w:color="000000"/>
              <w:bottom w:val="nil"/>
              <w:right w:val="single" w:sz="8" w:space="0" w:color="000000"/>
            </w:tcBorders>
          </w:tcPr>
          <w:p>
            <w:pPr>
              <w:rPr>
                <w:sz w:val="2"/>
                <w:szCs w:val="2"/>
              </w:rPr>
            </w:pPr>
          </w:p>
        </w:tc>
        <w:tc>
          <w:tcPr>
            <w:tcW w:w="709" w:type="dxa"/>
            <w:vMerge/>
            <w:tcBorders>
              <w:top w:val="nil"/>
              <w:left w:val="single" w:sz="8" w:space="0" w:color="000000"/>
              <w:bottom w:val="nil"/>
              <w:right w:val="single" w:sz="8" w:space="0" w:color="000000"/>
            </w:tcBorders>
          </w:tcPr>
          <w:p>
            <w:pPr>
              <w:rPr>
                <w:sz w:val="2"/>
                <w:szCs w:val="2"/>
              </w:rPr>
            </w:pPr>
          </w:p>
        </w:tc>
        <w:tc>
          <w:tcPr>
            <w:tcW w:w="712" w:type="dxa"/>
            <w:vMerge/>
            <w:tcBorders>
              <w:top w:val="nil"/>
              <w:left w:val="single" w:sz="8" w:space="0" w:color="000000"/>
              <w:bottom w:val="nil"/>
              <w:right w:val="single" w:sz="8" w:space="0" w:color="000000"/>
            </w:tcBorders>
          </w:tcPr>
          <w:p>
            <w:pPr>
              <w:rPr>
                <w:sz w:val="2"/>
                <w:szCs w:val="2"/>
              </w:rPr>
            </w:pPr>
          </w:p>
        </w:tc>
        <w:tc>
          <w:tcPr>
            <w:tcW w:w="568" w:type="dxa"/>
            <w:vMerge/>
            <w:tcBorders>
              <w:top w:val="nil"/>
              <w:left w:val="single" w:sz="8" w:space="0" w:color="000000"/>
              <w:bottom w:val="nil"/>
              <w:right w:val="single" w:sz="8" w:space="0" w:color="000000"/>
            </w:tcBorders>
          </w:tcPr>
          <w:p>
            <w:pPr>
              <w:rPr>
                <w:sz w:val="2"/>
                <w:szCs w:val="2"/>
              </w:rPr>
            </w:pPr>
          </w:p>
        </w:tc>
        <w:tc>
          <w:tcPr>
            <w:tcW w:w="568" w:type="dxa"/>
            <w:vMerge/>
            <w:tcBorders>
              <w:top w:val="nil"/>
              <w:left w:val="single" w:sz="8" w:space="0" w:color="000000"/>
              <w:bottom w:val="nil"/>
              <w:right w:val="single" w:sz="8" w:space="0" w:color="000000"/>
            </w:tcBorders>
          </w:tcPr>
          <w:p>
            <w:pPr>
              <w:rPr>
                <w:sz w:val="2"/>
                <w:szCs w:val="2"/>
              </w:rPr>
            </w:pPr>
          </w:p>
        </w:tc>
        <w:tc>
          <w:tcPr>
            <w:tcW w:w="568" w:type="dxa"/>
            <w:vMerge/>
            <w:tcBorders>
              <w:top w:val="nil"/>
              <w:left w:val="single" w:sz="8" w:space="0" w:color="000000"/>
              <w:bottom w:val="nil"/>
              <w:right w:val="single" w:sz="8" w:space="0" w:color="000000"/>
            </w:tcBorders>
          </w:tcPr>
          <w:p>
            <w:pPr>
              <w:rPr>
                <w:sz w:val="2"/>
                <w:szCs w:val="2"/>
              </w:rPr>
            </w:pPr>
          </w:p>
        </w:tc>
        <w:tc>
          <w:tcPr>
            <w:tcW w:w="571" w:type="dxa"/>
            <w:vMerge/>
            <w:tcBorders>
              <w:top w:val="nil"/>
              <w:left w:val="single" w:sz="8" w:space="0" w:color="000000"/>
              <w:bottom w:val="nil"/>
              <w:right w:val="single" w:sz="8" w:space="0" w:color="000000"/>
            </w:tcBorders>
          </w:tcPr>
          <w:p>
            <w:pPr>
              <w:rPr>
                <w:sz w:val="2"/>
                <w:szCs w:val="2"/>
              </w:rPr>
            </w:pPr>
          </w:p>
        </w:tc>
        <w:tc>
          <w:tcPr>
            <w:tcW w:w="568" w:type="dxa"/>
            <w:vMerge/>
            <w:tcBorders>
              <w:top w:val="nil"/>
              <w:left w:val="single" w:sz="8" w:space="0" w:color="000000"/>
              <w:bottom w:val="nil"/>
            </w:tcBorders>
          </w:tcPr>
          <w:p>
            <w:pPr>
              <w:rPr>
                <w:sz w:val="2"/>
                <w:szCs w:val="2"/>
              </w:rPr>
            </w:pPr>
          </w:p>
        </w:tc>
      </w:tr>
      <w:tr>
        <w:trPr>
          <w:trHeight w:val="310" w:hRule="atLeast"/>
        </w:trPr>
        <w:tc>
          <w:tcPr>
            <w:tcW w:w="862" w:type="dxa"/>
            <w:tcBorders>
              <w:top w:val="nil"/>
              <w:bottom w:val="nil"/>
            </w:tcBorders>
          </w:tcPr>
          <w:p>
            <w:pPr>
              <w:pStyle w:val="TableParagraph"/>
              <w:spacing w:before="47"/>
              <w:ind w:left="56" w:right="139"/>
              <w:jc w:val="center"/>
              <w:rPr>
                <w:sz w:val="18"/>
              </w:rPr>
            </w:pPr>
            <w:r>
              <w:rPr>
                <w:sz w:val="18"/>
              </w:rPr>
              <w:t>CLDV4</w:t>
            </w:r>
          </w:p>
        </w:tc>
        <w:tc>
          <w:tcPr>
            <w:tcW w:w="557" w:type="dxa"/>
            <w:tcBorders>
              <w:top w:val="nil"/>
              <w:bottom w:val="nil"/>
              <w:right w:val="single" w:sz="8" w:space="0" w:color="000000"/>
            </w:tcBorders>
          </w:tcPr>
          <w:p>
            <w:pPr>
              <w:pStyle w:val="TableParagraph"/>
              <w:spacing w:before="47"/>
              <w:ind w:left="169"/>
              <w:rPr>
                <w:sz w:val="18"/>
              </w:rPr>
            </w:pPr>
            <w:r>
              <w:rPr>
                <w:sz w:val="18"/>
              </w:rPr>
              <w:t>.796</w:t>
            </w:r>
          </w:p>
        </w:tc>
        <w:tc>
          <w:tcPr>
            <w:tcW w:w="567" w:type="dxa"/>
            <w:vMerge/>
            <w:tcBorders>
              <w:top w:val="nil"/>
              <w:left w:val="single" w:sz="8" w:space="0" w:color="000000"/>
              <w:bottom w:val="nil"/>
              <w:right w:val="single" w:sz="8" w:space="0" w:color="000000"/>
            </w:tcBorders>
          </w:tcPr>
          <w:p>
            <w:pPr>
              <w:rPr>
                <w:sz w:val="2"/>
                <w:szCs w:val="2"/>
              </w:rPr>
            </w:pPr>
          </w:p>
        </w:tc>
        <w:tc>
          <w:tcPr>
            <w:tcW w:w="568" w:type="dxa"/>
            <w:vMerge/>
            <w:tcBorders>
              <w:top w:val="nil"/>
              <w:left w:val="single" w:sz="8" w:space="0" w:color="000000"/>
              <w:bottom w:val="nil"/>
              <w:right w:val="single" w:sz="8" w:space="0" w:color="000000"/>
            </w:tcBorders>
          </w:tcPr>
          <w:p>
            <w:pPr>
              <w:rPr>
                <w:sz w:val="2"/>
                <w:szCs w:val="2"/>
              </w:rPr>
            </w:pPr>
          </w:p>
        </w:tc>
        <w:tc>
          <w:tcPr>
            <w:tcW w:w="711" w:type="dxa"/>
            <w:vMerge/>
            <w:tcBorders>
              <w:top w:val="nil"/>
              <w:left w:val="single" w:sz="8" w:space="0" w:color="000000"/>
              <w:bottom w:val="nil"/>
              <w:right w:val="single" w:sz="8" w:space="0" w:color="000000"/>
            </w:tcBorders>
          </w:tcPr>
          <w:p>
            <w:pPr>
              <w:rPr>
                <w:sz w:val="2"/>
                <w:szCs w:val="2"/>
              </w:rPr>
            </w:pPr>
          </w:p>
        </w:tc>
        <w:tc>
          <w:tcPr>
            <w:tcW w:w="709" w:type="dxa"/>
            <w:vMerge/>
            <w:tcBorders>
              <w:top w:val="nil"/>
              <w:left w:val="single" w:sz="8" w:space="0" w:color="000000"/>
              <w:bottom w:val="nil"/>
              <w:right w:val="single" w:sz="8" w:space="0" w:color="000000"/>
            </w:tcBorders>
          </w:tcPr>
          <w:p>
            <w:pPr>
              <w:rPr>
                <w:sz w:val="2"/>
                <w:szCs w:val="2"/>
              </w:rPr>
            </w:pPr>
          </w:p>
        </w:tc>
        <w:tc>
          <w:tcPr>
            <w:tcW w:w="709" w:type="dxa"/>
            <w:vMerge/>
            <w:tcBorders>
              <w:top w:val="nil"/>
              <w:left w:val="single" w:sz="8" w:space="0" w:color="000000"/>
              <w:bottom w:val="nil"/>
              <w:right w:val="single" w:sz="8" w:space="0" w:color="000000"/>
            </w:tcBorders>
          </w:tcPr>
          <w:p>
            <w:pPr>
              <w:rPr>
                <w:sz w:val="2"/>
                <w:szCs w:val="2"/>
              </w:rPr>
            </w:pPr>
          </w:p>
        </w:tc>
        <w:tc>
          <w:tcPr>
            <w:tcW w:w="712" w:type="dxa"/>
            <w:vMerge/>
            <w:tcBorders>
              <w:top w:val="nil"/>
              <w:left w:val="single" w:sz="8" w:space="0" w:color="000000"/>
              <w:bottom w:val="nil"/>
              <w:right w:val="single" w:sz="8" w:space="0" w:color="000000"/>
            </w:tcBorders>
          </w:tcPr>
          <w:p>
            <w:pPr>
              <w:rPr>
                <w:sz w:val="2"/>
                <w:szCs w:val="2"/>
              </w:rPr>
            </w:pPr>
          </w:p>
        </w:tc>
        <w:tc>
          <w:tcPr>
            <w:tcW w:w="568" w:type="dxa"/>
            <w:vMerge/>
            <w:tcBorders>
              <w:top w:val="nil"/>
              <w:left w:val="single" w:sz="8" w:space="0" w:color="000000"/>
              <w:bottom w:val="nil"/>
              <w:right w:val="single" w:sz="8" w:space="0" w:color="000000"/>
            </w:tcBorders>
          </w:tcPr>
          <w:p>
            <w:pPr>
              <w:rPr>
                <w:sz w:val="2"/>
                <w:szCs w:val="2"/>
              </w:rPr>
            </w:pPr>
          </w:p>
        </w:tc>
        <w:tc>
          <w:tcPr>
            <w:tcW w:w="568" w:type="dxa"/>
            <w:vMerge/>
            <w:tcBorders>
              <w:top w:val="nil"/>
              <w:left w:val="single" w:sz="8" w:space="0" w:color="000000"/>
              <w:bottom w:val="nil"/>
              <w:right w:val="single" w:sz="8" w:space="0" w:color="000000"/>
            </w:tcBorders>
          </w:tcPr>
          <w:p>
            <w:pPr>
              <w:rPr>
                <w:sz w:val="2"/>
                <w:szCs w:val="2"/>
              </w:rPr>
            </w:pPr>
          </w:p>
        </w:tc>
        <w:tc>
          <w:tcPr>
            <w:tcW w:w="568" w:type="dxa"/>
            <w:vMerge/>
            <w:tcBorders>
              <w:top w:val="nil"/>
              <w:left w:val="single" w:sz="8" w:space="0" w:color="000000"/>
              <w:bottom w:val="nil"/>
              <w:right w:val="single" w:sz="8" w:space="0" w:color="000000"/>
            </w:tcBorders>
          </w:tcPr>
          <w:p>
            <w:pPr>
              <w:rPr>
                <w:sz w:val="2"/>
                <w:szCs w:val="2"/>
              </w:rPr>
            </w:pPr>
          </w:p>
        </w:tc>
        <w:tc>
          <w:tcPr>
            <w:tcW w:w="571" w:type="dxa"/>
            <w:vMerge/>
            <w:tcBorders>
              <w:top w:val="nil"/>
              <w:left w:val="single" w:sz="8" w:space="0" w:color="000000"/>
              <w:bottom w:val="nil"/>
              <w:right w:val="single" w:sz="8" w:space="0" w:color="000000"/>
            </w:tcBorders>
          </w:tcPr>
          <w:p>
            <w:pPr>
              <w:rPr>
                <w:sz w:val="2"/>
                <w:szCs w:val="2"/>
              </w:rPr>
            </w:pPr>
          </w:p>
        </w:tc>
        <w:tc>
          <w:tcPr>
            <w:tcW w:w="568" w:type="dxa"/>
            <w:vMerge/>
            <w:tcBorders>
              <w:top w:val="nil"/>
              <w:left w:val="single" w:sz="8" w:space="0" w:color="000000"/>
              <w:bottom w:val="nil"/>
            </w:tcBorders>
          </w:tcPr>
          <w:p>
            <w:pPr>
              <w:rPr>
                <w:sz w:val="2"/>
                <w:szCs w:val="2"/>
              </w:rPr>
            </w:pPr>
          </w:p>
        </w:tc>
      </w:tr>
      <w:tr>
        <w:trPr>
          <w:trHeight w:val="310" w:hRule="atLeast"/>
        </w:trPr>
        <w:tc>
          <w:tcPr>
            <w:tcW w:w="862" w:type="dxa"/>
            <w:tcBorders>
              <w:top w:val="nil"/>
              <w:bottom w:val="nil"/>
            </w:tcBorders>
          </w:tcPr>
          <w:p>
            <w:pPr>
              <w:pStyle w:val="TableParagraph"/>
              <w:spacing w:before="48"/>
              <w:ind w:left="56" w:right="139"/>
              <w:jc w:val="center"/>
              <w:rPr>
                <w:sz w:val="18"/>
              </w:rPr>
            </w:pPr>
            <w:r>
              <w:rPr>
                <w:sz w:val="18"/>
              </w:rPr>
              <w:t>CLDV8</w:t>
            </w:r>
          </w:p>
        </w:tc>
        <w:tc>
          <w:tcPr>
            <w:tcW w:w="557" w:type="dxa"/>
            <w:tcBorders>
              <w:top w:val="nil"/>
              <w:bottom w:val="nil"/>
              <w:right w:val="single" w:sz="8" w:space="0" w:color="000000"/>
            </w:tcBorders>
          </w:tcPr>
          <w:p>
            <w:pPr>
              <w:pStyle w:val="TableParagraph"/>
              <w:spacing w:before="48"/>
              <w:ind w:left="169"/>
              <w:rPr>
                <w:sz w:val="18"/>
              </w:rPr>
            </w:pPr>
            <w:r>
              <w:rPr>
                <w:sz w:val="18"/>
              </w:rPr>
              <w:t>.775</w:t>
            </w:r>
          </w:p>
        </w:tc>
        <w:tc>
          <w:tcPr>
            <w:tcW w:w="567" w:type="dxa"/>
            <w:vMerge/>
            <w:tcBorders>
              <w:top w:val="nil"/>
              <w:left w:val="single" w:sz="8" w:space="0" w:color="000000"/>
              <w:bottom w:val="nil"/>
              <w:right w:val="single" w:sz="8" w:space="0" w:color="000000"/>
            </w:tcBorders>
          </w:tcPr>
          <w:p>
            <w:pPr>
              <w:rPr>
                <w:sz w:val="2"/>
                <w:szCs w:val="2"/>
              </w:rPr>
            </w:pPr>
          </w:p>
        </w:tc>
        <w:tc>
          <w:tcPr>
            <w:tcW w:w="568" w:type="dxa"/>
            <w:vMerge/>
            <w:tcBorders>
              <w:top w:val="nil"/>
              <w:left w:val="single" w:sz="8" w:space="0" w:color="000000"/>
              <w:bottom w:val="nil"/>
              <w:right w:val="single" w:sz="8" w:space="0" w:color="000000"/>
            </w:tcBorders>
          </w:tcPr>
          <w:p>
            <w:pPr>
              <w:rPr>
                <w:sz w:val="2"/>
                <w:szCs w:val="2"/>
              </w:rPr>
            </w:pPr>
          </w:p>
        </w:tc>
        <w:tc>
          <w:tcPr>
            <w:tcW w:w="711" w:type="dxa"/>
            <w:vMerge/>
            <w:tcBorders>
              <w:top w:val="nil"/>
              <w:left w:val="single" w:sz="8" w:space="0" w:color="000000"/>
              <w:bottom w:val="nil"/>
              <w:right w:val="single" w:sz="8" w:space="0" w:color="000000"/>
            </w:tcBorders>
          </w:tcPr>
          <w:p>
            <w:pPr>
              <w:rPr>
                <w:sz w:val="2"/>
                <w:szCs w:val="2"/>
              </w:rPr>
            </w:pPr>
          </w:p>
        </w:tc>
        <w:tc>
          <w:tcPr>
            <w:tcW w:w="709" w:type="dxa"/>
            <w:vMerge/>
            <w:tcBorders>
              <w:top w:val="nil"/>
              <w:left w:val="single" w:sz="8" w:space="0" w:color="000000"/>
              <w:bottom w:val="nil"/>
              <w:right w:val="single" w:sz="8" w:space="0" w:color="000000"/>
            </w:tcBorders>
          </w:tcPr>
          <w:p>
            <w:pPr>
              <w:rPr>
                <w:sz w:val="2"/>
                <w:szCs w:val="2"/>
              </w:rPr>
            </w:pPr>
          </w:p>
        </w:tc>
        <w:tc>
          <w:tcPr>
            <w:tcW w:w="709" w:type="dxa"/>
            <w:vMerge/>
            <w:tcBorders>
              <w:top w:val="nil"/>
              <w:left w:val="single" w:sz="8" w:space="0" w:color="000000"/>
              <w:bottom w:val="nil"/>
              <w:right w:val="single" w:sz="8" w:space="0" w:color="000000"/>
            </w:tcBorders>
          </w:tcPr>
          <w:p>
            <w:pPr>
              <w:rPr>
                <w:sz w:val="2"/>
                <w:szCs w:val="2"/>
              </w:rPr>
            </w:pPr>
          </w:p>
        </w:tc>
        <w:tc>
          <w:tcPr>
            <w:tcW w:w="712" w:type="dxa"/>
            <w:vMerge/>
            <w:tcBorders>
              <w:top w:val="nil"/>
              <w:left w:val="single" w:sz="8" w:space="0" w:color="000000"/>
              <w:bottom w:val="nil"/>
              <w:right w:val="single" w:sz="8" w:space="0" w:color="000000"/>
            </w:tcBorders>
          </w:tcPr>
          <w:p>
            <w:pPr>
              <w:rPr>
                <w:sz w:val="2"/>
                <w:szCs w:val="2"/>
              </w:rPr>
            </w:pPr>
          </w:p>
        </w:tc>
        <w:tc>
          <w:tcPr>
            <w:tcW w:w="568" w:type="dxa"/>
            <w:vMerge/>
            <w:tcBorders>
              <w:top w:val="nil"/>
              <w:left w:val="single" w:sz="8" w:space="0" w:color="000000"/>
              <w:bottom w:val="nil"/>
              <w:right w:val="single" w:sz="8" w:space="0" w:color="000000"/>
            </w:tcBorders>
          </w:tcPr>
          <w:p>
            <w:pPr>
              <w:rPr>
                <w:sz w:val="2"/>
                <w:szCs w:val="2"/>
              </w:rPr>
            </w:pPr>
          </w:p>
        </w:tc>
        <w:tc>
          <w:tcPr>
            <w:tcW w:w="568" w:type="dxa"/>
            <w:vMerge/>
            <w:tcBorders>
              <w:top w:val="nil"/>
              <w:left w:val="single" w:sz="8" w:space="0" w:color="000000"/>
              <w:bottom w:val="nil"/>
              <w:right w:val="single" w:sz="8" w:space="0" w:color="000000"/>
            </w:tcBorders>
          </w:tcPr>
          <w:p>
            <w:pPr>
              <w:rPr>
                <w:sz w:val="2"/>
                <w:szCs w:val="2"/>
              </w:rPr>
            </w:pPr>
          </w:p>
        </w:tc>
        <w:tc>
          <w:tcPr>
            <w:tcW w:w="568" w:type="dxa"/>
            <w:vMerge/>
            <w:tcBorders>
              <w:top w:val="nil"/>
              <w:left w:val="single" w:sz="8" w:space="0" w:color="000000"/>
              <w:bottom w:val="nil"/>
              <w:right w:val="single" w:sz="8" w:space="0" w:color="000000"/>
            </w:tcBorders>
          </w:tcPr>
          <w:p>
            <w:pPr>
              <w:rPr>
                <w:sz w:val="2"/>
                <w:szCs w:val="2"/>
              </w:rPr>
            </w:pPr>
          </w:p>
        </w:tc>
        <w:tc>
          <w:tcPr>
            <w:tcW w:w="571" w:type="dxa"/>
            <w:vMerge/>
            <w:tcBorders>
              <w:top w:val="nil"/>
              <w:left w:val="single" w:sz="8" w:space="0" w:color="000000"/>
              <w:bottom w:val="nil"/>
              <w:right w:val="single" w:sz="8" w:space="0" w:color="000000"/>
            </w:tcBorders>
          </w:tcPr>
          <w:p>
            <w:pPr>
              <w:rPr>
                <w:sz w:val="2"/>
                <w:szCs w:val="2"/>
              </w:rPr>
            </w:pPr>
          </w:p>
        </w:tc>
        <w:tc>
          <w:tcPr>
            <w:tcW w:w="568" w:type="dxa"/>
            <w:vMerge/>
            <w:tcBorders>
              <w:top w:val="nil"/>
              <w:left w:val="single" w:sz="8" w:space="0" w:color="000000"/>
              <w:bottom w:val="nil"/>
            </w:tcBorders>
          </w:tcPr>
          <w:p>
            <w:pPr>
              <w:rPr>
                <w:sz w:val="2"/>
                <w:szCs w:val="2"/>
              </w:rPr>
            </w:pPr>
          </w:p>
        </w:tc>
      </w:tr>
      <w:tr>
        <w:trPr>
          <w:trHeight w:val="309" w:hRule="atLeast"/>
        </w:trPr>
        <w:tc>
          <w:tcPr>
            <w:tcW w:w="862" w:type="dxa"/>
            <w:tcBorders>
              <w:top w:val="nil"/>
              <w:bottom w:val="nil"/>
            </w:tcBorders>
          </w:tcPr>
          <w:p>
            <w:pPr>
              <w:pStyle w:val="TableParagraph"/>
              <w:spacing w:before="47"/>
              <w:ind w:left="56" w:right="139"/>
              <w:jc w:val="center"/>
              <w:rPr>
                <w:sz w:val="18"/>
              </w:rPr>
            </w:pPr>
            <w:r>
              <w:rPr>
                <w:sz w:val="18"/>
              </w:rPr>
              <w:t>CLDV3</w:t>
            </w:r>
          </w:p>
        </w:tc>
        <w:tc>
          <w:tcPr>
            <w:tcW w:w="557" w:type="dxa"/>
            <w:tcBorders>
              <w:top w:val="nil"/>
              <w:bottom w:val="nil"/>
              <w:right w:val="single" w:sz="8" w:space="0" w:color="000000"/>
            </w:tcBorders>
          </w:tcPr>
          <w:p>
            <w:pPr>
              <w:pStyle w:val="TableParagraph"/>
              <w:spacing w:before="47"/>
              <w:ind w:left="169"/>
              <w:rPr>
                <w:sz w:val="18"/>
              </w:rPr>
            </w:pPr>
            <w:r>
              <w:rPr>
                <w:sz w:val="18"/>
              </w:rPr>
              <w:t>.741</w:t>
            </w:r>
          </w:p>
        </w:tc>
        <w:tc>
          <w:tcPr>
            <w:tcW w:w="567" w:type="dxa"/>
            <w:vMerge/>
            <w:tcBorders>
              <w:top w:val="nil"/>
              <w:left w:val="single" w:sz="8" w:space="0" w:color="000000"/>
              <w:bottom w:val="nil"/>
              <w:right w:val="single" w:sz="8" w:space="0" w:color="000000"/>
            </w:tcBorders>
          </w:tcPr>
          <w:p>
            <w:pPr>
              <w:rPr>
                <w:sz w:val="2"/>
                <w:szCs w:val="2"/>
              </w:rPr>
            </w:pPr>
          </w:p>
        </w:tc>
        <w:tc>
          <w:tcPr>
            <w:tcW w:w="568" w:type="dxa"/>
            <w:vMerge/>
            <w:tcBorders>
              <w:top w:val="nil"/>
              <w:left w:val="single" w:sz="8" w:space="0" w:color="000000"/>
              <w:bottom w:val="nil"/>
              <w:right w:val="single" w:sz="8" w:space="0" w:color="000000"/>
            </w:tcBorders>
          </w:tcPr>
          <w:p>
            <w:pPr>
              <w:rPr>
                <w:sz w:val="2"/>
                <w:szCs w:val="2"/>
              </w:rPr>
            </w:pPr>
          </w:p>
        </w:tc>
        <w:tc>
          <w:tcPr>
            <w:tcW w:w="711" w:type="dxa"/>
            <w:vMerge/>
            <w:tcBorders>
              <w:top w:val="nil"/>
              <w:left w:val="single" w:sz="8" w:space="0" w:color="000000"/>
              <w:bottom w:val="nil"/>
              <w:right w:val="single" w:sz="8" w:space="0" w:color="000000"/>
            </w:tcBorders>
          </w:tcPr>
          <w:p>
            <w:pPr>
              <w:rPr>
                <w:sz w:val="2"/>
                <w:szCs w:val="2"/>
              </w:rPr>
            </w:pPr>
          </w:p>
        </w:tc>
        <w:tc>
          <w:tcPr>
            <w:tcW w:w="709" w:type="dxa"/>
            <w:vMerge/>
            <w:tcBorders>
              <w:top w:val="nil"/>
              <w:left w:val="single" w:sz="8" w:space="0" w:color="000000"/>
              <w:bottom w:val="nil"/>
              <w:right w:val="single" w:sz="8" w:space="0" w:color="000000"/>
            </w:tcBorders>
          </w:tcPr>
          <w:p>
            <w:pPr>
              <w:rPr>
                <w:sz w:val="2"/>
                <w:szCs w:val="2"/>
              </w:rPr>
            </w:pPr>
          </w:p>
        </w:tc>
        <w:tc>
          <w:tcPr>
            <w:tcW w:w="709" w:type="dxa"/>
            <w:vMerge/>
            <w:tcBorders>
              <w:top w:val="nil"/>
              <w:left w:val="single" w:sz="8" w:space="0" w:color="000000"/>
              <w:bottom w:val="nil"/>
              <w:right w:val="single" w:sz="8" w:space="0" w:color="000000"/>
            </w:tcBorders>
          </w:tcPr>
          <w:p>
            <w:pPr>
              <w:rPr>
                <w:sz w:val="2"/>
                <w:szCs w:val="2"/>
              </w:rPr>
            </w:pPr>
          </w:p>
        </w:tc>
        <w:tc>
          <w:tcPr>
            <w:tcW w:w="712" w:type="dxa"/>
            <w:vMerge/>
            <w:tcBorders>
              <w:top w:val="nil"/>
              <w:left w:val="single" w:sz="8" w:space="0" w:color="000000"/>
              <w:bottom w:val="nil"/>
              <w:right w:val="single" w:sz="8" w:space="0" w:color="000000"/>
            </w:tcBorders>
          </w:tcPr>
          <w:p>
            <w:pPr>
              <w:rPr>
                <w:sz w:val="2"/>
                <w:szCs w:val="2"/>
              </w:rPr>
            </w:pPr>
          </w:p>
        </w:tc>
        <w:tc>
          <w:tcPr>
            <w:tcW w:w="568" w:type="dxa"/>
            <w:vMerge/>
            <w:tcBorders>
              <w:top w:val="nil"/>
              <w:left w:val="single" w:sz="8" w:space="0" w:color="000000"/>
              <w:bottom w:val="nil"/>
              <w:right w:val="single" w:sz="8" w:space="0" w:color="000000"/>
            </w:tcBorders>
          </w:tcPr>
          <w:p>
            <w:pPr>
              <w:rPr>
                <w:sz w:val="2"/>
                <w:szCs w:val="2"/>
              </w:rPr>
            </w:pPr>
          </w:p>
        </w:tc>
        <w:tc>
          <w:tcPr>
            <w:tcW w:w="568" w:type="dxa"/>
            <w:vMerge/>
            <w:tcBorders>
              <w:top w:val="nil"/>
              <w:left w:val="single" w:sz="8" w:space="0" w:color="000000"/>
              <w:bottom w:val="nil"/>
              <w:right w:val="single" w:sz="8" w:space="0" w:color="000000"/>
            </w:tcBorders>
          </w:tcPr>
          <w:p>
            <w:pPr>
              <w:rPr>
                <w:sz w:val="2"/>
                <w:szCs w:val="2"/>
              </w:rPr>
            </w:pPr>
          </w:p>
        </w:tc>
        <w:tc>
          <w:tcPr>
            <w:tcW w:w="568" w:type="dxa"/>
            <w:vMerge/>
            <w:tcBorders>
              <w:top w:val="nil"/>
              <w:left w:val="single" w:sz="8" w:space="0" w:color="000000"/>
              <w:bottom w:val="nil"/>
              <w:right w:val="single" w:sz="8" w:space="0" w:color="000000"/>
            </w:tcBorders>
          </w:tcPr>
          <w:p>
            <w:pPr>
              <w:rPr>
                <w:sz w:val="2"/>
                <w:szCs w:val="2"/>
              </w:rPr>
            </w:pPr>
          </w:p>
        </w:tc>
        <w:tc>
          <w:tcPr>
            <w:tcW w:w="571" w:type="dxa"/>
            <w:vMerge/>
            <w:tcBorders>
              <w:top w:val="nil"/>
              <w:left w:val="single" w:sz="8" w:space="0" w:color="000000"/>
              <w:bottom w:val="nil"/>
              <w:right w:val="single" w:sz="8" w:space="0" w:color="000000"/>
            </w:tcBorders>
          </w:tcPr>
          <w:p>
            <w:pPr>
              <w:rPr>
                <w:sz w:val="2"/>
                <w:szCs w:val="2"/>
              </w:rPr>
            </w:pPr>
          </w:p>
        </w:tc>
        <w:tc>
          <w:tcPr>
            <w:tcW w:w="568" w:type="dxa"/>
            <w:vMerge/>
            <w:tcBorders>
              <w:top w:val="nil"/>
              <w:left w:val="single" w:sz="8" w:space="0" w:color="000000"/>
              <w:bottom w:val="nil"/>
            </w:tcBorders>
          </w:tcPr>
          <w:p>
            <w:pPr>
              <w:rPr>
                <w:sz w:val="2"/>
                <w:szCs w:val="2"/>
              </w:rPr>
            </w:pPr>
          </w:p>
        </w:tc>
      </w:tr>
      <w:tr>
        <w:trPr>
          <w:trHeight w:val="310" w:hRule="atLeast"/>
        </w:trPr>
        <w:tc>
          <w:tcPr>
            <w:tcW w:w="862" w:type="dxa"/>
            <w:tcBorders>
              <w:top w:val="nil"/>
              <w:bottom w:val="nil"/>
            </w:tcBorders>
          </w:tcPr>
          <w:p>
            <w:pPr>
              <w:pStyle w:val="TableParagraph"/>
              <w:spacing w:before="47"/>
              <w:ind w:left="56" w:right="139"/>
              <w:jc w:val="center"/>
              <w:rPr>
                <w:sz w:val="18"/>
              </w:rPr>
            </w:pPr>
            <w:r>
              <w:rPr>
                <w:sz w:val="18"/>
              </w:rPr>
              <w:t>CLDV6</w:t>
            </w:r>
          </w:p>
        </w:tc>
        <w:tc>
          <w:tcPr>
            <w:tcW w:w="557" w:type="dxa"/>
            <w:tcBorders>
              <w:top w:val="nil"/>
              <w:bottom w:val="nil"/>
              <w:right w:val="single" w:sz="8" w:space="0" w:color="000000"/>
            </w:tcBorders>
          </w:tcPr>
          <w:p>
            <w:pPr>
              <w:pStyle w:val="TableParagraph"/>
              <w:spacing w:before="47"/>
              <w:ind w:left="169"/>
              <w:rPr>
                <w:sz w:val="18"/>
              </w:rPr>
            </w:pPr>
            <w:r>
              <w:rPr>
                <w:sz w:val="18"/>
              </w:rPr>
              <w:t>.703</w:t>
            </w:r>
          </w:p>
        </w:tc>
        <w:tc>
          <w:tcPr>
            <w:tcW w:w="567" w:type="dxa"/>
            <w:vMerge/>
            <w:tcBorders>
              <w:top w:val="nil"/>
              <w:left w:val="single" w:sz="8" w:space="0" w:color="000000"/>
              <w:bottom w:val="nil"/>
              <w:right w:val="single" w:sz="8" w:space="0" w:color="000000"/>
            </w:tcBorders>
          </w:tcPr>
          <w:p>
            <w:pPr>
              <w:rPr>
                <w:sz w:val="2"/>
                <w:szCs w:val="2"/>
              </w:rPr>
            </w:pPr>
          </w:p>
        </w:tc>
        <w:tc>
          <w:tcPr>
            <w:tcW w:w="568" w:type="dxa"/>
            <w:vMerge/>
            <w:tcBorders>
              <w:top w:val="nil"/>
              <w:left w:val="single" w:sz="8" w:space="0" w:color="000000"/>
              <w:bottom w:val="nil"/>
              <w:right w:val="single" w:sz="8" w:space="0" w:color="000000"/>
            </w:tcBorders>
          </w:tcPr>
          <w:p>
            <w:pPr>
              <w:rPr>
                <w:sz w:val="2"/>
                <w:szCs w:val="2"/>
              </w:rPr>
            </w:pPr>
          </w:p>
        </w:tc>
        <w:tc>
          <w:tcPr>
            <w:tcW w:w="711" w:type="dxa"/>
            <w:vMerge/>
            <w:tcBorders>
              <w:top w:val="nil"/>
              <w:left w:val="single" w:sz="8" w:space="0" w:color="000000"/>
              <w:bottom w:val="nil"/>
              <w:right w:val="single" w:sz="8" w:space="0" w:color="000000"/>
            </w:tcBorders>
          </w:tcPr>
          <w:p>
            <w:pPr>
              <w:rPr>
                <w:sz w:val="2"/>
                <w:szCs w:val="2"/>
              </w:rPr>
            </w:pPr>
          </w:p>
        </w:tc>
        <w:tc>
          <w:tcPr>
            <w:tcW w:w="709" w:type="dxa"/>
            <w:vMerge/>
            <w:tcBorders>
              <w:top w:val="nil"/>
              <w:left w:val="single" w:sz="8" w:space="0" w:color="000000"/>
              <w:bottom w:val="nil"/>
              <w:right w:val="single" w:sz="8" w:space="0" w:color="000000"/>
            </w:tcBorders>
          </w:tcPr>
          <w:p>
            <w:pPr>
              <w:rPr>
                <w:sz w:val="2"/>
                <w:szCs w:val="2"/>
              </w:rPr>
            </w:pPr>
          </w:p>
        </w:tc>
        <w:tc>
          <w:tcPr>
            <w:tcW w:w="709" w:type="dxa"/>
            <w:vMerge/>
            <w:tcBorders>
              <w:top w:val="nil"/>
              <w:left w:val="single" w:sz="8" w:space="0" w:color="000000"/>
              <w:bottom w:val="nil"/>
              <w:right w:val="single" w:sz="8" w:space="0" w:color="000000"/>
            </w:tcBorders>
          </w:tcPr>
          <w:p>
            <w:pPr>
              <w:rPr>
                <w:sz w:val="2"/>
                <w:szCs w:val="2"/>
              </w:rPr>
            </w:pPr>
          </w:p>
        </w:tc>
        <w:tc>
          <w:tcPr>
            <w:tcW w:w="712" w:type="dxa"/>
            <w:vMerge/>
            <w:tcBorders>
              <w:top w:val="nil"/>
              <w:left w:val="single" w:sz="8" w:space="0" w:color="000000"/>
              <w:bottom w:val="nil"/>
              <w:right w:val="single" w:sz="8" w:space="0" w:color="000000"/>
            </w:tcBorders>
          </w:tcPr>
          <w:p>
            <w:pPr>
              <w:rPr>
                <w:sz w:val="2"/>
                <w:szCs w:val="2"/>
              </w:rPr>
            </w:pPr>
          </w:p>
        </w:tc>
        <w:tc>
          <w:tcPr>
            <w:tcW w:w="568" w:type="dxa"/>
            <w:vMerge/>
            <w:tcBorders>
              <w:top w:val="nil"/>
              <w:left w:val="single" w:sz="8" w:space="0" w:color="000000"/>
              <w:bottom w:val="nil"/>
              <w:right w:val="single" w:sz="8" w:space="0" w:color="000000"/>
            </w:tcBorders>
          </w:tcPr>
          <w:p>
            <w:pPr>
              <w:rPr>
                <w:sz w:val="2"/>
                <w:szCs w:val="2"/>
              </w:rPr>
            </w:pPr>
          </w:p>
        </w:tc>
        <w:tc>
          <w:tcPr>
            <w:tcW w:w="568" w:type="dxa"/>
            <w:vMerge/>
            <w:tcBorders>
              <w:top w:val="nil"/>
              <w:left w:val="single" w:sz="8" w:space="0" w:color="000000"/>
              <w:bottom w:val="nil"/>
              <w:right w:val="single" w:sz="8" w:space="0" w:color="000000"/>
            </w:tcBorders>
          </w:tcPr>
          <w:p>
            <w:pPr>
              <w:rPr>
                <w:sz w:val="2"/>
                <w:szCs w:val="2"/>
              </w:rPr>
            </w:pPr>
          </w:p>
        </w:tc>
        <w:tc>
          <w:tcPr>
            <w:tcW w:w="568" w:type="dxa"/>
            <w:vMerge/>
            <w:tcBorders>
              <w:top w:val="nil"/>
              <w:left w:val="single" w:sz="8" w:space="0" w:color="000000"/>
              <w:bottom w:val="nil"/>
              <w:right w:val="single" w:sz="8" w:space="0" w:color="000000"/>
            </w:tcBorders>
          </w:tcPr>
          <w:p>
            <w:pPr>
              <w:rPr>
                <w:sz w:val="2"/>
                <w:szCs w:val="2"/>
              </w:rPr>
            </w:pPr>
          </w:p>
        </w:tc>
        <w:tc>
          <w:tcPr>
            <w:tcW w:w="571" w:type="dxa"/>
            <w:vMerge/>
            <w:tcBorders>
              <w:top w:val="nil"/>
              <w:left w:val="single" w:sz="8" w:space="0" w:color="000000"/>
              <w:bottom w:val="nil"/>
              <w:right w:val="single" w:sz="8" w:space="0" w:color="000000"/>
            </w:tcBorders>
          </w:tcPr>
          <w:p>
            <w:pPr>
              <w:rPr>
                <w:sz w:val="2"/>
                <w:szCs w:val="2"/>
              </w:rPr>
            </w:pPr>
          </w:p>
        </w:tc>
        <w:tc>
          <w:tcPr>
            <w:tcW w:w="568" w:type="dxa"/>
            <w:vMerge/>
            <w:tcBorders>
              <w:top w:val="nil"/>
              <w:left w:val="single" w:sz="8" w:space="0" w:color="000000"/>
              <w:bottom w:val="nil"/>
            </w:tcBorders>
          </w:tcPr>
          <w:p>
            <w:pPr>
              <w:rPr>
                <w:sz w:val="2"/>
                <w:szCs w:val="2"/>
              </w:rPr>
            </w:pPr>
          </w:p>
        </w:tc>
      </w:tr>
      <w:tr>
        <w:trPr>
          <w:trHeight w:val="358" w:hRule="atLeast"/>
        </w:trPr>
        <w:tc>
          <w:tcPr>
            <w:tcW w:w="862" w:type="dxa"/>
            <w:tcBorders>
              <w:top w:val="nil"/>
              <w:bottom w:val="nil"/>
            </w:tcBorders>
          </w:tcPr>
          <w:p>
            <w:pPr>
              <w:pStyle w:val="TableParagraph"/>
              <w:spacing w:before="48"/>
              <w:ind w:left="56" w:right="50"/>
              <w:jc w:val="center"/>
              <w:rPr>
                <w:sz w:val="18"/>
              </w:rPr>
            </w:pPr>
            <w:r>
              <w:rPr>
                <w:sz w:val="18"/>
              </w:rPr>
              <w:t>CLDV10</w:t>
            </w:r>
          </w:p>
        </w:tc>
        <w:tc>
          <w:tcPr>
            <w:tcW w:w="557" w:type="dxa"/>
            <w:tcBorders>
              <w:top w:val="nil"/>
              <w:bottom w:val="nil"/>
              <w:right w:val="single" w:sz="8" w:space="0" w:color="000000"/>
            </w:tcBorders>
          </w:tcPr>
          <w:p>
            <w:pPr>
              <w:pStyle w:val="TableParagraph"/>
              <w:spacing w:before="48"/>
              <w:ind w:left="169"/>
              <w:rPr>
                <w:sz w:val="18"/>
              </w:rPr>
            </w:pPr>
            <w:r>
              <w:rPr>
                <w:sz w:val="18"/>
              </w:rPr>
              <w:t>.587</w:t>
            </w:r>
          </w:p>
        </w:tc>
        <w:tc>
          <w:tcPr>
            <w:tcW w:w="567" w:type="dxa"/>
            <w:vMerge/>
            <w:tcBorders>
              <w:top w:val="nil"/>
              <w:left w:val="single" w:sz="8" w:space="0" w:color="000000"/>
              <w:bottom w:val="nil"/>
              <w:right w:val="single" w:sz="8" w:space="0" w:color="000000"/>
            </w:tcBorders>
          </w:tcPr>
          <w:p>
            <w:pPr>
              <w:rPr>
                <w:sz w:val="2"/>
                <w:szCs w:val="2"/>
              </w:rPr>
            </w:pPr>
          </w:p>
        </w:tc>
        <w:tc>
          <w:tcPr>
            <w:tcW w:w="568" w:type="dxa"/>
            <w:vMerge/>
            <w:tcBorders>
              <w:top w:val="nil"/>
              <w:left w:val="single" w:sz="8" w:space="0" w:color="000000"/>
              <w:bottom w:val="nil"/>
              <w:right w:val="single" w:sz="8" w:space="0" w:color="000000"/>
            </w:tcBorders>
          </w:tcPr>
          <w:p>
            <w:pPr>
              <w:rPr>
                <w:sz w:val="2"/>
                <w:szCs w:val="2"/>
              </w:rPr>
            </w:pPr>
          </w:p>
        </w:tc>
        <w:tc>
          <w:tcPr>
            <w:tcW w:w="711" w:type="dxa"/>
            <w:vMerge/>
            <w:tcBorders>
              <w:top w:val="nil"/>
              <w:left w:val="single" w:sz="8" w:space="0" w:color="000000"/>
              <w:bottom w:val="nil"/>
              <w:right w:val="single" w:sz="8" w:space="0" w:color="000000"/>
            </w:tcBorders>
          </w:tcPr>
          <w:p>
            <w:pPr>
              <w:rPr>
                <w:sz w:val="2"/>
                <w:szCs w:val="2"/>
              </w:rPr>
            </w:pPr>
          </w:p>
        </w:tc>
        <w:tc>
          <w:tcPr>
            <w:tcW w:w="709" w:type="dxa"/>
            <w:vMerge/>
            <w:tcBorders>
              <w:top w:val="nil"/>
              <w:left w:val="single" w:sz="8" w:space="0" w:color="000000"/>
              <w:bottom w:val="nil"/>
              <w:right w:val="single" w:sz="8" w:space="0" w:color="000000"/>
            </w:tcBorders>
          </w:tcPr>
          <w:p>
            <w:pPr>
              <w:rPr>
                <w:sz w:val="2"/>
                <w:szCs w:val="2"/>
              </w:rPr>
            </w:pPr>
          </w:p>
        </w:tc>
        <w:tc>
          <w:tcPr>
            <w:tcW w:w="709" w:type="dxa"/>
            <w:vMerge/>
            <w:tcBorders>
              <w:top w:val="nil"/>
              <w:left w:val="single" w:sz="8" w:space="0" w:color="000000"/>
              <w:bottom w:val="nil"/>
              <w:right w:val="single" w:sz="8" w:space="0" w:color="000000"/>
            </w:tcBorders>
          </w:tcPr>
          <w:p>
            <w:pPr>
              <w:rPr>
                <w:sz w:val="2"/>
                <w:szCs w:val="2"/>
              </w:rPr>
            </w:pPr>
          </w:p>
        </w:tc>
        <w:tc>
          <w:tcPr>
            <w:tcW w:w="712" w:type="dxa"/>
            <w:vMerge/>
            <w:tcBorders>
              <w:top w:val="nil"/>
              <w:left w:val="single" w:sz="8" w:space="0" w:color="000000"/>
              <w:bottom w:val="nil"/>
              <w:right w:val="single" w:sz="8" w:space="0" w:color="000000"/>
            </w:tcBorders>
          </w:tcPr>
          <w:p>
            <w:pPr>
              <w:rPr>
                <w:sz w:val="2"/>
                <w:szCs w:val="2"/>
              </w:rPr>
            </w:pPr>
          </w:p>
        </w:tc>
        <w:tc>
          <w:tcPr>
            <w:tcW w:w="568" w:type="dxa"/>
            <w:vMerge/>
            <w:tcBorders>
              <w:top w:val="nil"/>
              <w:left w:val="single" w:sz="8" w:space="0" w:color="000000"/>
              <w:bottom w:val="nil"/>
              <w:right w:val="single" w:sz="8" w:space="0" w:color="000000"/>
            </w:tcBorders>
          </w:tcPr>
          <w:p>
            <w:pPr>
              <w:rPr>
                <w:sz w:val="2"/>
                <w:szCs w:val="2"/>
              </w:rPr>
            </w:pPr>
          </w:p>
        </w:tc>
        <w:tc>
          <w:tcPr>
            <w:tcW w:w="568" w:type="dxa"/>
            <w:vMerge/>
            <w:tcBorders>
              <w:top w:val="nil"/>
              <w:left w:val="single" w:sz="8" w:space="0" w:color="000000"/>
              <w:bottom w:val="nil"/>
              <w:right w:val="single" w:sz="8" w:space="0" w:color="000000"/>
            </w:tcBorders>
          </w:tcPr>
          <w:p>
            <w:pPr>
              <w:rPr>
                <w:sz w:val="2"/>
                <w:szCs w:val="2"/>
              </w:rPr>
            </w:pPr>
          </w:p>
        </w:tc>
        <w:tc>
          <w:tcPr>
            <w:tcW w:w="568" w:type="dxa"/>
            <w:vMerge/>
            <w:tcBorders>
              <w:top w:val="nil"/>
              <w:left w:val="single" w:sz="8" w:space="0" w:color="000000"/>
              <w:bottom w:val="nil"/>
              <w:right w:val="single" w:sz="8" w:space="0" w:color="000000"/>
            </w:tcBorders>
          </w:tcPr>
          <w:p>
            <w:pPr>
              <w:rPr>
                <w:sz w:val="2"/>
                <w:szCs w:val="2"/>
              </w:rPr>
            </w:pPr>
          </w:p>
        </w:tc>
        <w:tc>
          <w:tcPr>
            <w:tcW w:w="571" w:type="dxa"/>
            <w:vMerge/>
            <w:tcBorders>
              <w:top w:val="nil"/>
              <w:left w:val="single" w:sz="8" w:space="0" w:color="000000"/>
              <w:bottom w:val="nil"/>
              <w:right w:val="single" w:sz="8" w:space="0" w:color="000000"/>
            </w:tcBorders>
          </w:tcPr>
          <w:p>
            <w:pPr>
              <w:rPr>
                <w:sz w:val="2"/>
                <w:szCs w:val="2"/>
              </w:rPr>
            </w:pPr>
          </w:p>
        </w:tc>
        <w:tc>
          <w:tcPr>
            <w:tcW w:w="568" w:type="dxa"/>
            <w:vMerge/>
            <w:tcBorders>
              <w:top w:val="nil"/>
              <w:left w:val="single" w:sz="8" w:space="0" w:color="000000"/>
              <w:bottom w:val="nil"/>
            </w:tcBorders>
          </w:tcPr>
          <w:p>
            <w:pPr>
              <w:rPr>
                <w:sz w:val="2"/>
                <w:szCs w:val="2"/>
              </w:rPr>
            </w:pPr>
          </w:p>
        </w:tc>
      </w:tr>
    </w:tbl>
    <w:p>
      <w:pPr>
        <w:spacing w:after="0"/>
        <w:rPr>
          <w:sz w:val="2"/>
          <w:szCs w:val="2"/>
        </w:rPr>
        <w:sectPr>
          <w:pgSz w:w="11910" w:h="16850"/>
          <w:pgMar w:header="751" w:footer="0" w:top="960" w:bottom="280" w:left="820" w:right="240"/>
        </w:sectPr>
      </w:pPr>
    </w:p>
    <w:p>
      <w:pPr>
        <w:pStyle w:val="BodyText"/>
        <w:spacing w:before="9"/>
        <w:rPr>
          <w:sz w:val="23"/>
        </w:rPr>
      </w:pPr>
    </w:p>
    <w:tbl>
      <w:tblPr>
        <w:tblW w:w="0" w:type="auto"/>
        <w:jc w:val="left"/>
        <w:tblInd w:w="907" w:type="dxa"/>
        <w:tblBorders>
          <w:top w:val="single" w:sz="18" w:space="0" w:color="000000"/>
          <w:left w:val="single" w:sz="18" w:space="0" w:color="000000"/>
          <w:bottom w:val="single" w:sz="18" w:space="0" w:color="000000"/>
          <w:right w:val="single" w:sz="18" w:space="0" w:color="000000"/>
          <w:insideH w:val="single" w:sz="18" w:space="0" w:color="000000"/>
          <w:insideV w:val="single" w:sz="18" w:space="0" w:color="000000"/>
        </w:tblBorders>
        <w:tblLayout w:type="fixed"/>
        <w:tblCellMar>
          <w:top w:w="0" w:type="dxa"/>
          <w:left w:w="0" w:type="dxa"/>
          <w:bottom w:w="0" w:type="dxa"/>
          <w:right w:w="0" w:type="dxa"/>
        </w:tblCellMar>
        <w:tblLook w:val="01E0"/>
      </w:tblPr>
      <w:tblGrid>
        <w:gridCol w:w="852"/>
        <w:gridCol w:w="566"/>
        <w:gridCol w:w="566"/>
        <w:gridCol w:w="567"/>
        <w:gridCol w:w="710"/>
        <w:gridCol w:w="708"/>
        <w:gridCol w:w="708"/>
        <w:gridCol w:w="711"/>
        <w:gridCol w:w="567"/>
        <w:gridCol w:w="567"/>
        <w:gridCol w:w="567"/>
        <w:gridCol w:w="570"/>
        <w:gridCol w:w="567"/>
      </w:tblGrid>
      <w:tr>
        <w:trPr>
          <w:trHeight w:val="240" w:hRule="atLeast"/>
        </w:trPr>
        <w:tc>
          <w:tcPr>
            <w:tcW w:w="852" w:type="dxa"/>
            <w:tcBorders>
              <w:top w:val="nil"/>
              <w:bottom w:val="nil"/>
            </w:tcBorders>
          </w:tcPr>
          <w:p>
            <w:pPr>
              <w:pStyle w:val="TableParagraph"/>
              <w:ind w:left="75"/>
              <w:rPr>
                <w:sz w:val="18"/>
              </w:rPr>
            </w:pPr>
            <w:r>
              <w:rPr>
                <w:sz w:val="18"/>
              </w:rPr>
              <w:t>CP3</w:t>
            </w:r>
          </w:p>
        </w:tc>
        <w:tc>
          <w:tcPr>
            <w:tcW w:w="566" w:type="dxa"/>
            <w:vMerge w:val="restart"/>
            <w:tcBorders>
              <w:top w:val="nil"/>
              <w:right w:val="single" w:sz="8" w:space="0" w:color="000000"/>
            </w:tcBorders>
          </w:tcPr>
          <w:p>
            <w:pPr>
              <w:pStyle w:val="TableParagraph"/>
              <w:rPr>
                <w:sz w:val="18"/>
              </w:rPr>
            </w:pPr>
          </w:p>
        </w:tc>
        <w:tc>
          <w:tcPr>
            <w:tcW w:w="566" w:type="dxa"/>
            <w:tcBorders>
              <w:top w:val="nil"/>
              <w:left w:val="single" w:sz="8" w:space="0" w:color="000000"/>
              <w:bottom w:val="nil"/>
              <w:right w:val="single" w:sz="8" w:space="0" w:color="000000"/>
            </w:tcBorders>
          </w:tcPr>
          <w:p>
            <w:pPr>
              <w:pStyle w:val="TableParagraph"/>
              <w:ind w:right="36"/>
              <w:jc w:val="right"/>
              <w:rPr>
                <w:sz w:val="18"/>
              </w:rPr>
            </w:pPr>
            <w:r>
              <w:rPr>
                <w:sz w:val="18"/>
              </w:rPr>
              <w:t>.831</w:t>
            </w:r>
          </w:p>
        </w:tc>
        <w:tc>
          <w:tcPr>
            <w:tcW w:w="567" w:type="dxa"/>
            <w:tcBorders>
              <w:top w:val="nil"/>
              <w:left w:val="single" w:sz="8" w:space="0" w:color="000000"/>
              <w:bottom w:val="nil"/>
              <w:right w:val="single" w:sz="8" w:space="0" w:color="000000"/>
            </w:tcBorders>
          </w:tcPr>
          <w:p>
            <w:pPr>
              <w:pStyle w:val="TableParagraph"/>
              <w:rPr>
                <w:sz w:val="16"/>
              </w:rPr>
            </w:pPr>
          </w:p>
        </w:tc>
        <w:tc>
          <w:tcPr>
            <w:tcW w:w="710" w:type="dxa"/>
            <w:tcBorders>
              <w:top w:val="nil"/>
              <w:left w:val="single" w:sz="8" w:space="0" w:color="000000"/>
              <w:bottom w:val="nil"/>
              <w:right w:val="single" w:sz="8" w:space="0" w:color="000000"/>
            </w:tcBorders>
          </w:tcPr>
          <w:p>
            <w:pPr>
              <w:pStyle w:val="TableParagraph"/>
              <w:rPr>
                <w:sz w:val="16"/>
              </w:rPr>
            </w:pPr>
          </w:p>
        </w:tc>
        <w:tc>
          <w:tcPr>
            <w:tcW w:w="708" w:type="dxa"/>
            <w:tcBorders>
              <w:top w:val="nil"/>
              <w:left w:val="single" w:sz="8" w:space="0" w:color="000000"/>
              <w:bottom w:val="nil"/>
              <w:right w:val="single" w:sz="8" w:space="0" w:color="000000"/>
            </w:tcBorders>
          </w:tcPr>
          <w:p>
            <w:pPr>
              <w:pStyle w:val="TableParagraph"/>
              <w:rPr>
                <w:sz w:val="16"/>
              </w:rPr>
            </w:pPr>
          </w:p>
        </w:tc>
        <w:tc>
          <w:tcPr>
            <w:tcW w:w="708" w:type="dxa"/>
            <w:tcBorders>
              <w:top w:val="nil"/>
              <w:left w:val="single" w:sz="8" w:space="0" w:color="000000"/>
              <w:bottom w:val="nil"/>
              <w:right w:val="single" w:sz="8" w:space="0" w:color="000000"/>
            </w:tcBorders>
          </w:tcPr>
          <w:p>
            <w:pPr>
              <w:pStyle w:val="TableParagraph"/>
              <w:rPr>
                <w:sz w:val="16"/>
              </w:rPr>
            </w:pPr>
          </w:p>
        </w:tc>
        <w:tc>
          <w:tcPr>
            <w:tcW w:w="711" w:type="dxa"/>
            <w:tcBorders>
              <w:top w:val="nil"/>
              <w:left w:val="single" w:sz="8" w:space="0" w:color="000000"/>
              <w:bottom w:val="nil"/>
              <w:right w:val="single" w:sz="8" w:space="0" w:color="000000"/>
            </w:tcBorders>
          </w:tcPr>
          <w:p>
            <w:pPr>
              <w:pStyle w:val="TableParagraph"/>
              <w:rPr>
                <w:sz w:val="16"/>
              </w:rPr>
            </w:pPr>
          </w:p>
        </w:tc>
        <w:tc>
          <w:tcPr>
            <w:tcW w:w="567" w:type="dxa"/>
            <w:tcBorders>
              <w:top w:val="nil"/>
              <w:left w:val="single" w:sz="8" w:space="0" w:color="000000"/>
              <w:bottom w:val="nil"/>
              <w:right w:val="single" w:sz="8" w:space="0" w:color="000000"/>
            </w:tcBorders>
          </w:tcPr>
          <w:p>
            <w:pPr>
              <w:pStyle w:val="TableParagraph"/>
              <w:rPr>
                <w:sz w:val="16"/>
              </w:rPr>
            </w:pPr>
          </w:p>
        </w:tc>
        <w:tc>
          <w:tcPr>
            <w:tcW w:w="567" w:type="dxa"/>
            <w:tcBorders>
              <w:top w:val="nil"/>
              <w:left w:val="single" w:sz="8" w:space="0" w:color="000000"/>
              <w:bottom w:val="nil"/>
              <w:right w:val="single" w:sz="8" w:space="0" w:color="000000"/>
            </w:tcBorders>
          </w:tcPr>
          <w:p>
            <w:pPr>
              <w:pStyle w:val="TableParagraph"/>
              <w:rPr>
                <w:sz w:val="16"/>
              </w:rPr>
            </w:pPr>
          </w:p>
        </w:tc>
        <w:tc>
          <w:tcPr>
            <w:tcW w:w="567" w:type="dxa"/>
            <w:tcBorders>
              <w:top w:val="nil"/>
              <w:left w:val="single" w:sz="8" w:space="0" w:color="000000"/>
              <w:bottom w:val="nil"/>
              <w:right w:val="single" w:sz="8" w:space="0" w:color="000000"/>
            </w:tcBorders>
          </w:tcPr>
          <w:p>
            <w:pPr>
              <w:pStyle w:val="TableParagraph"/>
              <w:rPr>
                <w:sz w:val="16"/>
              </w:rPr>
            </w:pPr>
          </w:p>
        </w:tc>
        <w:tc>
          <w:tcPr>
            <w:tcW w:w="570" w:type="dxa"/>
            <w:tcBorders>
              <w:top w:val="nil"/>
              <w:left w:val="single" w:sz="8" w:space="0" w:color="000000"/>
              <w:bottom w:val="nil"/>
              <w:right w:val="single" w:sz="8" w:space="0" w:color="000000"/>
            </w:tcBorders>
          </w:tcPr>
          <w:p>
            <w:pPr>
              <w:pStyle w:val="TableParagraph"/>
              <w:rPr>
                <w:sz w:val="16"/>
              </w:rPr>
            </w:pPr>
          </w:p>
        </w:tc>
        <w:tc>
          <w:tcPr>
            <w:tcW w:w="567" w:type="dxa"/>
            <w:vMerge w:val="restart"/>
            <w:tcBorders>
              <w:top w:val="nil"/>
              <w:left w:val="single" w:sz="8" w:space="0" w:color="000000"/>
            </w:tcBorders>
          </w:tcPr>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spacing w:before="151"/>
              <w:ind w:left="180"/>
              <w:rPr>
                <w:sz w:val="18"/>
              </w:rPr>
            </w:pPr>
            <w:r>
              <w:rPr>
                <w:sz w:val="18"/>
              </w:rPr>
              <w:t>.870</w:t>
            </w:r>
          </w:p>
        </w:tc>
      </w:tr>
      <w:tr>
        <w:trPr>
          <w:trHeight w:val="265" w:hRule="atLeast"/>
        </w:trPr>
        <w:tc>
          <w:tcPr>
            <w:tcW w:w="852" w:type="dxa"/>
            <w:tcBorders>
              <w:top w:val="nil"/>
              <w:bottom w:val="nil"/>
            </w:tcBorders>
          </w:tcPr>
          <w:p>
            <w:pPr>
              <w:pStyle w:val="TableParagraph"/>
              <w:spacing w:before="26"/>
              <w:ind w:left="75"/>
              <w:rPr>
                <w:sz w:val="18"/>
              </w:rPr>
            </w:pPr>
            <w:r>
              <w:rPr>
                <w:sz w:val="18"/>
              </w:rPr>
              <w:t>CP2</w:t>
            </w:r>
          </w:p>
        </w:tc>
        <w:tc>
          <w:tcPr>
            <w:tcW w:w="566" w:type="dxa"/>
            <w:vMerge/>
            <w:tcBorders>
              <w:top w:val="nil"/>
              <w:right w:val="single" w:sz="8" w:space="0" w:color="000000"/>
            </w:tcBorders>
          </w:tcPr>
          <w:p>
            <w:pPr>
              <w:rPr>
                <w:sz w:val="2"/>
                <w:szCs w:val="2"/>
              </w:rPr>
            </w:pPr>
          </w:p>
        </w:tc>
        <w:tc>
          <w:tcPr>
            <w:tcW w:w="566" w:type="dxa"/>
            <w:tcBorders>
              <w:top w:val="nil"/>
              <w:left w:val="single" w:sz="8" w:space="0" w:color="000000"/>
              <w:bottom w:val="nil"/>
              <w:right w:val="single" w:sz="8" w:space="0" w:color="000000"/>
            </w:tcBorders>
          </w:tcPr>
          <w:p>
            <w:pPr>
              <w:pStyle w:val="TableParagraph"/>
              <w:spacing w:before="26"/>
              <w:ind w:right="36"/>
              <w:jc w:val="right"/>
              <w:rPr>
                <w:sz w:val="18"/>
              </w:rPr>
            </w:pPr>
            <w:r>
              <w:rPr>
                <w:sz w:val="18"/>
              </w:rPr>
              <w:t>.803</w:t>
            </w:r>
          </w:p>
        </w:tc>
        <w:tc>
          <w:tcPr>
            <w:tcW w:w="567" w:type="dxa"/>
            <w:tcBorders>
              <w:top w:val="nil"/>
              <w:left w:val="single" w:sz="8" w:space="0" w:color="000000"/>
              <w:bottom w:val="nil"/>
              <w:right w:val="single" w:sz="8" w:space="0" w:color="000000"/>
            </w:tcBorders>
          </w:tcPr>
          <w:p>
            <w:pPr>
              <w:pStyle w:val="TableParagraph"/>
              <w:rPr>
                <w:sz w:val="18"/>
              </w:rPr>
            </w:pPr>
          </w:p>
        </w:tc>
        <w:tc>
          <w:tcPr>
            <w:tcW w:w="710" w:type="dxa"/>
            <w:tcBorders>
              <w:top w:val="nil"/>
              <w:left w:val="single" w:sz="8" w:space="0" w:color="000000"/>
              <w:bottom w:val="nil"/>
              <w:right w:val="single" w:sz="8" w:space="0" w:color="000000"/>
            </w:tcBorders>
          </w:tcPr>
          <w:p>
            <w:pPr>
              <w:pStyle w:val="TableParagraph"/>
              <w:rPr>
                <w:sz w:val="18"/>
              </w:rPr>
            </w:pPr>
          </w:p>
        </w:tc>
        <w:tc>
          <w:tcPr>
            <w:tcW w:w="708" w:type="dxa"/>
            <w:tcBorders>
              <w:top w:val="nil"/>
              <w:left w:val="single" w:sz="8" w:space="0" w:color="000000"/>
              <w:bottom w:val="nil"/>
              <w:right w:val="single" w:sz="8" w:space="0" w:color="000000"/>
            </w:tcBorders>
          </w:tcPr>
          <w:p>
            <w:pPr>
              <w:pStyle w:val="TableParagraph"/>
              <w:rPr>
                <w:sz w:val="18"/>
              </w:rPr>
            </w:pPr>
          </w:p>
        </w:tc>
        <w:tc>
          <w:tcPr>
            <w:tcW w:w="708" w:type="dxa"/>
            <w:tcBorders>
              <w:top w:val="nil"/>
              <w:left w:val="single" w:sz="8" w:space="0" w:color="000000"/>
              <w:bottom w:val="nil"/>
              <w:right w:val="single" w:sz="8" w:space="0" w:color="000000"/>
            </w:tcBorders>
          </w:tcPr>
          <w:p>
            <w:pPr>
              <w:pStyle w:val="TableParagraph"/>
              <w:rPr>
                <w:sz w:val="18"/>
              </w:rPr>
            </w:pPr>
          </w:p>
        </w:tc>
        <w:tc>
          <w:tcPr>
            <w:tcW w:w="711" w:type="dxa"/>
            <w:tcBorders>
              <w:top w:val="nil"/>
              <w:left w:val="single" w:sz="8" w:space="0" w:color="000000"/>
              <w:bottom w:val="nil"/>
              <w:right w:val="single" w:sz="8" w:space="0" w:color="000000"/>
            </w:tcBorders>
          </w:tcPr>
          <w:p>
            <w:pPr>
              <w:pStyle w:val="TableParagraph"/>
              <w:rPr>
                <w:sz w:val="18"/>
              </w:rPr>
            </w:pPr>
          </w:p>
        </w:tc>
        <w:tc>
          <w:tcPr>
            <w:tcW w:w="567" w:type="dxa"/>
            <w:tcBorders>
              <w:top w:val="nil"/>
              <w:left w:val="single" w:sz="8" w:space="0" w:color="000000"/>
              <w:bottom w:val="nil"/>
              <w:right w:val="single" w:sz="8" w:space="0" w:color="000000"/>
            </w:tcBorders>
          </w:tcPr>
          <w:p>
            <w:pPr>
              <w:pStyle w:val="TableParagraph"/>
              <w:rPr>
                <w:sz w:val="18"/>
              </w:rPr>
            </w:pPr>
          </w:p>
        </w:tc>
        <w:tc>
          <w:tcPr>
            <w:tcW w:w="567" w:type="dxa"/>
            <w:tcBorders>
              <w:top w:val="nil"/>
              <w:left w:val="single" w:sz="8" w:space="0" w:color="000000"/>
              <w:bottom w:val="nil"/>
              <w:right w:val="single" w:sz="8" w:space="0" w:color="000000"/>
            </w:tcBorders>
          </w:tcPr>
          <w:p>
            <w:pPr>
              <w:pStyle w:val="TableParagraph"/>
              <w:rPr>
                <w:sz w:val="18"/>
              </w:rPr>
            </w:pPr>
          </w:p>
        </w:tc>
        <w:tc>
          <w:tcPr>
            <w:tcW w:w="567" w:type="dxa"/>
            <w:tcBorders>
              <w:top w:val="nil"/>
              <w:left w:val="single" w:sz="8" w:space="0" w:color="000000"/>
              <w:bottom w:val="nil"/>
              <w:right w:val="single" w:sz="8" w:space="0" w:color="000000"/>
            </w:tcBorders>
          </w:tcPr>
          <w:p>
            <w:pPr>
              <w:pStyle w:val="TableParagraph"/>
              <w:rPr>
                <w:sz w:val="18"/>
              </w:rPr>
            </w:pPr>
          </w:p>
        </w:tc>
        <w:tc>
          <w:tcPr>
            <w:tcW w:w="570" w:type="dxa"/>
            <w:tcBorders>
              <w:top w:val="nil"/>
              <w:left w:val="single" w:sz="8" w:space="0" w:color="000000"/>
              <w:bottom w:val="nil"/>
              <w:right w:val="single" w:sz="8" w:space="0" w:color="000000"/>
            </w:tcBorders>
          </w:tcPr>
          <w:p>
            <w:pPr>
              <w:pStyle w:val="TableParagraph"/>
              <w:rPr>
                <w:sz w:val="18"/>
              </w:rPr>
            </w:pPr>
          </w:p>
        </w:tc>
        <w:tc>
          <w:tcPr>
            <w:tcW w:w="567" w:type="dxa"/>
            <w:vMerge/>
            <w:tcBorders>
              <w:top w:val="nil"/>
              <w:left w:val="single" w:sz="8" w:space="0" w:color="000000"/>
            </w:tcBorders>
          </w:tcPr>
          <w:p>
            <w:pPr>
              <w:rPr>
                <w:sz w:val="2"/>
                <w:szCs w:val="2"/>
              </w:rPr>
            </w:pPr>
          </w:p>
        </w:tc>
      </w:tr>
      <w:tr>
        <w:trPr>
          <w:trHeight w:val="264" w:hRule="atLeast"/>
        </w:trPr>
        <w:tc>
          <w:tcPr>
            <w:tcW w:w="852" w:type="dxa"/>
            <w:tcBorders>
              <w:top w:val="nil"/>
              <w:bottom w:val="nil"/>
            </w:tcBorders>
          </w:tcPr>
          <w:p>
            <w:pPr>
              <w:pStyle w:val="TableParagraph"/>
              <w:spacing w:before="25"/>
              <w:ind w:left="75"/>
              <w:rPr>
                <w:sz w:val="18"/>
              </w:rPr>
            </w:pPr>
            <w:r>
              <w:rPr>
                <w:sz w:val="18"/>
              </w:rPr>
              <w:t>CP5</w:t>
            </w:r>
          </w:p>
        </w:tc>
        <w:tc>
          <w:tcPr>
            <w:tcW w:w="566" w:type="dxa"/>
            <w:vMerge/>
            <w:tcBorders>
              <w:top w:val="nil"/>
              <w:right w:val="single" w:sz="8" w:space="0" w:color="000000"/>
            </w:tcBorders>
          </w:tcPr>
          <w:p>
            <w:pPr>
              <w:rPr>
                <w:sz w:val="2"/>
                <w:szCs w:val="2"/>
              </w:rPr>
            </w:pPr>
          </w:p>
        </w:tc>
        <w:tc>
          <w:tcPr>
            <w:tcW w:w="566" w:type="dxa"/>
            <w:tcBorders>
              <w:top w:val="nil"/>
              <w:left w:val="single" w:sz="8" w:space="0" w:color="000000"/>
              <w:bottom w:val="nil"/>
              <w:right w:val="single" w:sz="8" w:space="0" w:color="000000"/>
            </w:tcBorders>
          </w:tcPr>
          <w:p>
            <w:pPr>
              <w:pStyle w:val="TableParagraph"/>
              <w:spacing w:before="25"/>
              <w:ind w:right="36"/>
              <w:jc w:val="right"/>
              <w:rPr>
                <w:sz w:val="18"/>
              </w:rPr>
            </w:pPr>
            <w:r>
              <w:rPr>
                <w:sz w:val="18"/>
              </w:rPr>
              <w:t>.784</w:t>
            </w:r>
          </w:p>
        </w:tc>
        <w:tc>
          <w:tcPr>
            <w:tcW w:w="567" w:type="dxa"/>
            <w:tcBorders>
              <w:top w:val="nil"/>
              <w:left w:val="single" w:sz="8" w:space="0" w:color="000000"/>
              <w:bottom w:val="nil"/>
              <w:right w:val="single" w:sz="8" w:space="0" w:color="000000"/>
            </w:tcBorders>
          </w:tcPr>
          <w:p>
            <w:pPr>
              <w:pStyle w:val="TableParagraph"/>
              <w:rPr>
                <w:sz w:val="18"/>
              </w:rPr>
            </w:pPr>
          </w:p>
        </w:tc>
        <w:tc>
          <w:tcPr>
            <w:tcW w:w="710" w:type="dxa"/>
            <w:tcBorders>
              <w:top w:val="nil"/>
              <w:left w:val="single" w:sz="8" w:space="0" w:color="000000"/>
              <w:bottom w:val="nil"/>
              <w:right w:val="single" w:sz="8" w:space="0" w:color="000000"/>
            </w:tcBorders>
          </w:tcPr>
          <w:p>
            <w:pPr>
              <w:pStyle w:val="TableParagraph"/>
              <w:rPr>
                <w:sz w:val="18"/>
              </w:rPr>
            </w:pPr>
          </w:p>
        </w:tc>
        <w:tc>
          <w:tcPr>
            <w:tcW w:w="708" w:type="dxa"/>
            <w:tcBorders>
              <w:top w:val="nil"/>
              <w:left w:val="single" w:sz="8" w:space="0" w:color="000000"/>
              <w:bottom w:val="nil"/>
              <w:right w:val="single" w:sz="8" w:space="0" w:color="000000"/>
            </w:tcBorders>
          </w:tcPr>
          <w:p>
            <w:pPr>
              <w:pStyle w:val="TableParagraph"/>
              <w:rPr>
                <w:sz w:val="18"/>
              </w:rPr>
            </w:pPr>
          </w:p>
        </w:tc>
        <w:tc>
          <w:tcPr>
            <w:tcW w:w="708" w:type="dxa"/>
            <w:tcBorders>
              <w:top w:val="nil"/>
              <w:left w:val="single" w:sz="8" w:space="0" w:color="000000"/>
              <w:bottom w:val="nil"/>
              <w:right w:val="single" w:sz="8" w:space="0" w:color="000000"/>
            </w:tcBorders>
          </w:tcPr>
          <w:p>
            <w:pPr>
              <w:pStyle w:val="TableParagraph"/>
              <w:rPr>
                <w:sz w:val="18"/>
              </w:rPr>
            </w:pPr>
          </w:p>
        </w:tc>
        <w:tc>
          <w:tcPr>
            <w:tcW w:w="711" w:type="dxa"/>
            <w:tcBorders>
              <w:top w:val="nil"/>
              <w:left w:val="single" w:sz="8" w:space="0" w:color="000000"/>
              <w:bottom w:val="nil"/>
              <w:right w:val="single" w:sz="8" w:space="0" w:color="000000"/>
            </w:tcBorders>
          </w:tcPr>
          <w:p>
            <w:pPr>
              <w:pStyle w:val="TableParagraph"/>
              <w:rPr>
                <w:sz w:val="18"/>
              </w:rPr>
            </w:pPr>
          </w:p>
        </w:tc>
        <w:tc>
          <w:tcPr>
            <w:tcW w:w="567" w:type="dxa"/>
            <w:tcBorders>
              <w:top w:val="nil"/>
              <w:left w:val="single" w:sz="8" w:space="0" w:color="000000"/>
              <w:bottom w:val="nil"/>
              <w:right w:val="single" w:sz="8" w:space="0" w:color="000000"/>
            </w:tcBorders>
          </w:tcPr>
          <w:p>
            <w:pPr>
              <w:pStyle w:val="TableParagraph"/>
              <w:rPr>
                <w:sz w:val="18"/>
              </w:rPr>
            </w:pPr>
          </w:p>
        </w:tc>
        <w:tc>
          <w:tcPr>
            <w:tcW w:w="567" w:type="dxa"/>
            <w:tcBorders>
              <w:top w:val="nil"/>
              <w:left w:val="single" w:sz="8" w:space="0" w:color="000000"/>
              <w:bottom w:val="nil"/>
              <w:right w:val="single" w:sz="8" w:space="0" w:color="000000"/>
            </w:tcBorders>
          </w:tcPr>
          <w:p>
            <w:pPr>
              <w:pStyle w:val="TableParagraph"/>
              <w:rPr>
                <w:sz w:val="18"/>
              </w:rPr>
            </w:pPr>
          </w:p>
        </w:tc>
        <w:tc>
          <w:tcPr>
            <w:tcW w:w="567" w:type="dxa"/>
            <w:tcBorders>
              <w:top w:val="nil"/>
              <w:left w:val="single" w:sz="8" w:space="0" w:color="000000"/>
              <w:bottom w:val="nil"/>
              <w:right w:val="single" w:sz="8" w:space="0" w:color="000000"/>
            </w:tcBorders>
          </w:tcPr>
          <w:p>
            <w:pPr>
              <w:pStyle w:val="TableParagraph"/>
              <w:rPr>
                <w:sz w:val="18"/>
              </w:rPr>
            </w:pPr>
          </w:p>
        </w:tc>
        <w:tc>
          <w:tcPr>
            <w:tcW w:w="570" w:type="dxa"/>
            <w:tcBorders>
              <w:top w:val="nil"/>
              <w:left w:val="single" w:sz="8" w:space="0" w:color="000000"/>
              <w:bottom w:val="nil"/>
              <w:right w:val="single" w:sz="8" w:space="0" w:color="000000"/>
            </w:tcBorders>
          </w:tcPr>
          <w:p>
            <w:pPr>
              <w:pStyle w:val="TableParagraph"/>
              <w:rPr>
                <w:sz w:val="18"/>
              </w:rPr>
            </w:pPr>
          </w:p>
        </w:tc>
        <w:tc>
          <w:tcPr>
            <w:tcW w:w="567" w:type="dxa"/>
            <w:vMerge/>
            <w:tcBorders>
              <w:top w:val="nil"/>
              <w:left w:val="single" w:sz="8" w:space="0" w:color="000000"/>
            </w:tcBorders>
          </w:tcPr>
          <w:p>
            <w:pPr>
              <w:rPr>
                <w:sz w:val="2"/>
                <w:szCs w:val="2"/>
              </w:rPr>
            </w:pPr>
          </w:p>
        </w:tc>
      </w:tr>
      <w:tr>
        <w:trPr>
          <w:trHeight w:val="265" w:hRule="atLeast"/>
        </w:trPr>
        <w:tc>
          <w:tcPr>
            <w:tcW w:w="852" w:type="dxa"/>
            <w:tcBorders>
              <w:top w:val="nil"/>
              <w:bottom w:val="nil"/>
            </w:tcBorders>
          </w:tcPr>
          <w:p>
            <w:pPr>
              <w:pStyle w:val="TableParagraph"/>
              <w:spacing w:before="25"/>
              <w:ind w:left="75"/>
              <w:rPr>
                <w:sz w:val="18"/>
              </w:rPr>
            </w:pPr>
            <w:r>
              <w:rPr>
                <w:sz w:val="18"/>
              </w:rPr>
              <w:t>CP4</w:t>
            </w:r>
          </w:p>
        </w:tc>
        <w:tc>
          <w:tcPr>
            <w:tcW w:w="566" w:type="dxa"/>
            <w:vMerge/>
            <w:tcBorders>
              <w:top w:val="nil"/>
              <w:right w:val="single" w:sz="8" w:space="0" w:color="000000"/>
            </w:tcBorders>
          </w:tcPr>
          <w:p>
            <w:pPr>
              <w:rPr>
                <w:sz w:val="2"/>
                <w:szCs w:val="2"/>
              </w:rPr>
            </w:pPr>
          </w:p>
        </w:tc>
        <w:tc>
          <w:tcPr>
            <w:tcW w:w="566" w:type="dxa"/>
            <w:tcBorders>
              <w:top w:val="nil"/>
              <w:left w:val="single" w:sz="8" w:space="0" w:color="000000"/>
              <w:bottom w:val="nil"/>
              <w:right w:val="single" w:sz="8" w:space="0" w:color="000000"/>
            </w:tcBorders>
          </w:tcPr>
          <w:p>
            <w:pPr>
              <w:pStyle w:val="TableParagraph"/>
              <w:spacing w:before="25"/>
              <w:ind w:right="36"/>
              <w:jc w:val="right"/>
              <w:rPr>
                <w:sz w:val="18"/>
              </w:rPr>
            </w:pPr>
            <w:r>
              <w:rPr>
                <w:sz w:val="18"/>
              </w:rPr>
              <w:t>.778</w:t>
            </w:r>
          </w:p>
        </w:tc>
        <w:tc>
          <w:tcPr>
            <w:tcW w:w="567" w:type="dxa"/>
            <w:tcBorders>
              <w:top w:val="nil"/>
              <w:left w:val="single" w:sz="8" w:space="0" w:color="000000"/>
              <w:bottom w:val="nil"/>
              <w:right w:val="single" w:sz="8" w:space="0" w:color="000000"/>
            </w:tcBorders>
          </w:tcPr>
          <w:p>
            <w:pPr>
              <w:pStyle w:val="TableParagraph"/>
              <w:rPr>
                <w:sz w:val="18"/>
              </w:rPr>
            </w:pPr>
          </w:p>
        </w:tc>
        <w:tc>
          <w:tcPr>
            <w:tcW w:w="710" w:type="dxa"/>
            <w:tcBorders>
              <w:top w:val="nil"/>
              <w:left w:val="single" w:sz="8" w:space="0" w:color="000000"/>
              <w:bottom w:val="nil"/>
              <w:right w:val="single" w:sz="8" w:space="0" w:color="000000"/>
            </w:tcBorders>
          </w:tcPr>
          <w:p>
            <w:pPr>
              <w:pStyle w:val="TableParagraph"/>
              <w:rPr>
                <w:sz w:val="18"/>
              </w:rPr>
            </w:pPr>
          </w:p>
        </w:tc>
        <w:tc>
          <w:tcPr>
            <w:tcW w:w="708" w:type="dxa"/>
            <w:tcBorders>
              <w:top w:val="nil"/>
              <w:left w:val="single" w:sz="8" w:space="0" w:color="000000"/>
              <w:bottom w:val="nil"/>
              <w:right w:val="single" w:sz="8" w:space="0" w:color="000000"/>
            </w:tcBorders>
          </w:tcPr>
          <w:p>
            <w:pPr>
              <w:pStyle w:val="TableParagraph"/>
              <w:rPr>
                <w:sz w:val="18"/>
              </w:rPr>
            </w:pPr>
          </w:p>
        </w:tc>
        <w:tc>
          <w:tcPr>
            <w:tcW w:w="708" w:type="dxa"/>
            <w:tcBorders>
              <w:top w:val="nil"/>
              <w:left w:val="single" w:sz="8" w:space="0" w:color="000000"/>
              <w:bottom w:val="nil"/>
              <w:right w:val="single" w:sz="8" w:space="0" w:color="000000"/>
            </w:tcBorders>
          </w:tcPr>
          <w:p>
            <w:pPr>
              <w:pStyle w:val="TableParagraph"/>
              <w:rPr>
                <w:sz w:val="18"/>
              </w:rPr>
            </w:pPr>
          </w:p>
        </w:tc>
        <w:tc>
          <w:tcPr>
            <w:tcW w:w="711" w:type="dxa"/>
            <w:tcBorders>
              <w:top w:val="nil"/>
              <w:left w:val="single" w:sz="8" w:space="0" w:color="000000"/>
              <w:bottom w:val="nil"/>
              <w:right w:val="single" w:sz="8" w:space="0" w:color="000000"/>
            </w:tcBorders>
          </w:tcPr>
          <w:p>
            <w:pPr>
              <w:pStyle w:val="TableParagraph"/>
              <w:rPr>
                <w:sz w:val="18"/>
              </w:rPr>
            </w:pPr>
          </w:p>
        </w:tc>
        <w:tc>
          <w:tcPr>
            <w:tcW w:w="567" w:type="dxa"/>
            <w:tcBorders>
              <w:top w:val="nil"/>
              <w:left w:val="single" w:sz="8" w:space="0" w:color="000000"/>
              <w:bottom w:val="nil"/>
              <w:right w:val="single" w:sz="8" w:space="0" w:color="000000"/>
            </w:tcBorders>
          </w:tcPr>
          <w:p>
            <w:pPr>
              <w:pStyle w:val="TableParagraph"/>
              <w:rPr>
                <w:sz w:val="18"/>
              </w:rPr>
            </w:pPr>
          </w:p>
        </w:tc>
        <w:tc>
          <w:tcPr>
            <w:tcW w:w="567" w:type="dxa"/>
            <w:tcBorders>
              <w:top w:val="nil"/>
              <w:left w:val="single" w:sz="8" w:space="0" w:color="000000"/>
              <w:bottom w:val="nil"/>
              <w:right w:val="single" w:sz="8" w:space="0" w:color="000000"/>
            </w:tcBorders>
          </w:tcPr>
          <w:p>
            <w:pPr>
              <w:pStyle w:val="TableParagraph"/>
              <w:rPr>
                <w:sz w:val="18"/>
              </w:rPr>
            </w:pPr>
          </w:p>
        </w:tc>
        <w:tc>
          <w:tcPr>
            <w:tcW w:w="567" w:type="dxa"/>
            <w:tcBorders>
              <w:top w:val="nil"/>
              <w:left w:val="single" w:sz="8" w:space="0" w:color="000000"/>
              <w:bottom w:val="nil"/>
              <w:right w:val="single" w:sz="8" w:space="0" w:color="000000"/>
            </w:tcBorders>
          </w:tcPr>
          <w:p>
            <w:pPr>
              <w:pStyle w:val="TableParagraph"/>
              <w:rPr>
                <w:sz w:val="18"/>
              </w:rPr>
            </w:pPr>
          </w:p>
        </w:tc>
        <w:tc>
          <w:tcPr>
            <w:tcW w:w="570" w:type="dxa"/>
            <w:tcBorders>
              <w:top w:val="nil"/>
              <w:left w:val="single" w:sz="8" w:space="0" w:color="000000"/>
              <w:bottom w:val="nil"/>
              <w:right w:val="single" w:sz="8" w:space="0" w:color="000000"/>
            </w:tcBorders>
          </w:tcPr>
          <w:p>
            <w:pPr>
              <w:pStyle w:val="TableParagraph"/>
              <w:rPr>
                <w:sz w:val="18"/>
              </w:rPr>
            </w:pPr>
          </w:p>
        </w:tc>
        <w:tc>
          <w:tcPr>
            <w:tcW w:w="567" w:type="dxa"/>
            <w:vMerge/>
            <w:tcBorders>
              <w:top w:val="nil"/>
              <w:left w:val="single" w:sz="8" w:space="0" w:color="000000"/>
            </w:tcBorders>
          </w:tcPr>
          <w:p>
            <w:pPr>
              <w:rPr>
                <w:sz w:val="2"/>
                <w:szCs w:val="2"/>
              </w:rPr>
            </w:pPr>
          </w:p>
        </w:tc>
      </w:tr>
      <w:tr>
        <w:trPr>
          <w:trHeight w:val="265" w:hRule="atLeast"/>
        </w:trPr>
        <w:tc>
          <w:tcPr>
            <w:tcW w:w="852" w:type="dxa"/>
            <w:tcBorders>
              <w:top w:val="nil"/>
              <w:bottom w:val="nil"/>
            </w:tcBorders>
          </w:tcPr>
          <w:p>
            <w:pPr>
              <w:pStyle w:val="TableParagraph"/>
              <w:spacing w:before="26"/>
              <w:ind w:left="75"/>
              <w:rPr>
                <w:sz w:val="18"/>
              </w:rPr>
            </w:pPr>
            <w:r>
              <w:rPr>
                <w:sz w:val="18"/>
              </w:rPr>
              <w:t>CP6</w:t>
            </w:r>
          </w:p>
        </w:tc>
        <w:tc>
          <w:tcPr>
            <w:tcW w:w="566" w:type="dxa"/>
            <w:vMerge/>
            <w:tcBorders>
              <w:top w:val="nil"/>
              <w:right w:val="single" w:sz="8" w:space="0" w:color="000000"/>
            </w:tcBorders>
          </w:tcPr>
          <w:p>
            <w:pPr>
              <w:rPr>
                <w:sz w:val="2"/>
                <w:szCs w:val="2"/>
              </w:rPr>
            </w:pPr>
          </w:p>
        </w:tc>
        <w:tc>
          <w:tcPr>
            <w:tcW w:w="566" w:type="dxa"/>
            <w:tcBorders>
              <w:top w:val="nil"/>
              <w:left w:val="single" w:sz="8" w:space="0" w:color="000000"/>
              <w:bottom w:val="nil"/>
              <w:right w:val="single" w:sz="8" w:space="0" w:color="000000"/>
            </w:tcBorders>
          </w:tcPr>
          <w:p>
            <w:pPr>
              <w:pStyle w:val="TableParagraph"/>
              <w:spacing w:before="26"/>
              <w:ind w:right="36"/>
              <w:jc w:val="right"/>
              <w:rPr>
                <w:sz w:val="18"/>
              </w:rPr>
            </w:pPr>
            <w:r>
              <w:rPr>
                <w:sz w:val="18"/>
              </w:rPr>
              <w:t>.762</w:t>
            </w:r>
          </w:p>
        </w:tc>
        <w:tc>
          <w:tcPr>
            <w:tcW w:w="567" w:type="dxa"/>
            <w:tcBorders>
              <w:top w:val="nil"/>
              <w:left w:val="single" w:sz="8" w:space="0" w:color="000000"/>
              <w:bottom w:val="nil"/>
              <w:right w:val="single" w:sz="8" w:space="0" w:color="000000"/>
            </w:tcBorders>
          </w:tcPr>
          <w:p>
            <w:pPr>
              <w:pStyle w:val="TableParagraph"/>
              <w:rPr>
                <w:sz w:val="18"/>
              </w:rPr>
            </w:pPr>
          </w:p>
        </w:tc>
        <w:tc>
          <w:tcPr>
            <w:tcW w:w="710" w:type="dxa"/>
            <w:tcBorders>
              <w:top w:val="nil"/>
              <w:left w:val="single" w:sz="8" w:space="0" w:color="000000"/>
              <w:bottom w:val="nil"/>
              <w:right w:val="single" w:sz="8" w:space="0" w:color="000000"/>
            </w:tcBorders>
          </w:tcPr>
          <w:p>
            <w:pPr>
              <w:pStyle w:val="TableParagraph"/>
              <w:rPr>
                <w:sz w:val="18"/>
              </w:rPr>
            </w:pPr>
          </w:p>
        </w:tc>
        <w:tc>
          <w:tcPr>
            <w:tcW w:w="708" w:type="dxa"/>
            <w:tcBorders>
              <w:top w:val="nil"/>
              <w:left w:val="single" w:sz="8" w:space="0" w:color="000000"/>
              <w:bottom w:val="nil"/>
              <w:right w:val="single" w:sz="8" w:space="0" w:color="000000"/>
            </w:tcBorders>
          </w:tcPr>
          <w:p>
            <w:pPr>
              <w:pStyle w:val="TableParagraph"/>
              <w:rPr>
                <w:sz w:val="18"/>
              </w:rPr>
            </w:pPr>
          </w:p>
        </w:tc>
        <w:tc>
          <w:tcPr>
            <w:tcW w:w="708" w:type="dxa"/>
            <w:tcBorders>
              <w:top w:val="nil"/>
              <w:left w:val="single" w:sz="8" w:space="0" w:color="000000"/>
              <w:bottom w:val="nil"/>
              <w:right w:val="single" w:sz="8" w:space="0" w:color="000000"/>
            </w:tcBorders>
          </w:tcPr>
          <w:p>
            <w:pPr>
              <w:pStyle w:val="TableParagraph"/>
              <w:rPr>
                <w:sz w:val="18"/>
              </w:rPr>
            </w:pPr>
          </w:p>
        </w:tc>
        <w:tc>
          <w:tcPr>
            <w:tcW w:w="711" w:type="dxa"/>
            <w:tcBorders>
              <w:top w:val="nil"/>
              <w:left w:val="single" w:sz="8" w:space="0" w:color="000000"/>
              <w:bottom w:val="nil"/>
              <w:right w:val="single" w:sz="8" w:space="0" w:color="000000"/>
            </w:tcBorders>
          </w:tcPr>
          <w:p>
            <w:pPr>
              <w:pStyle w:val="TableParagraph"/>
              <w:rPr>
                <w:sz w:val="18"/>
              </w:rPr>
            </w:pPr>
          </w:p>
        </w:tc>
        <w:tc>
          <w:tcPr>
            <w:tcW w:w="567" w:type="dxa"/>
            <w:tcBorders>
              <w:top w:val="nil"/>
              <w:left w:val="single" w:sz="8" w:space="0" w:color="000000"/>
              <w:bottom w:val="nil"/>
              <w:right w:val="single" w:sz="8" w:space="0" w:color="000000"/>
            </w:tcBorders>
          </w:tcPr>
          <w:p>
            <w:pPr>
              <w:pStyle w:val="TableParagraph"/>
              <w:rPr>
                <w:sz w:val="18"/>
              </w:rPr>
            </w:pPr>
          </w:p>
        </w:tc>
        <w:tc>
          <w:tcPr>
            <w:tcW w:w="567" w:type="dxa"/>
            <w:tcBorders>
              <w:top w:val="nil"/>
              <w:left w:val="single" w:sz="8" w:space="0" w:color="000000"/>
              <w:bottom w:val="nil"/>
              <w:right w:val="single" w:sz="8" w:space="0" w:color="000000"/>
            </w:tcBorders>
          </w:tcPr>
          <w:p>
            <w:pPr>
              <w:pStyle w:val="TableParagraph"/>
              <w:rPr>
                <w:sz w:val="18"/>
              </w:rPr>
            </w:pPr>
          </w:p>
        </w:tc>
        <w:tc>
          <w:tcPr>
            <w:tcW w:w="567" w:type="dxa"/>
            <w:tcBorders>
              <w:top w:val="nil"/>
              <w:left w:val="single" w:sz="8" w:space="0" w:color="000000"/>
              <w:bottom w:val="nil"/>
              <w:right w:val="single" w:sz="8" w:space="0" w:color="000000"/>
            </w:tcBorders>
          </w:tcPr>
          <w:p>
            <w:pPr>
              <w:pStyle w:val="TableParagraph"/>
              <w:rPr>
                <w:sz w:val="18"/>
              </w:rPr>
            </w:pPr>
          </w:p>
        </w:tc>
        <w:tc>
          <w:tcPr>
            <w:tcW w:w="570" w:type="dxa"/>
            <w:tcBorders>
              <w:top w:val="nil"/>
              <w:left w:val="single" w:sz="8" w:space="0" w:color="000000"/>
              <w:bottom w:val="nil"/>
              <w:right w:val="single" w:sz="8" w:space="0" w:color="000000"/>
            </w:tcBorders>
          </w:tcPr>
          <w:p>
            <w:pPr>
              <w:pStyle w:val="TableParagraph"/>
              <w:rPr>
                <w:sz w:val="18"/>
              </w:rPr>
            </w:pPr>
          </w:p>
        </w:tc>
        <w:tc>
          <w:tcPr>
            <w:tcW w:w="567" w:type="dxa"/>
            <w:vMerge/>
            <w:tcBorders>
              <w:top w:val="nil"/>
              <w:left w:val="single" w:sz="8" w:space="0" w:color="000000"/>
            </w:tcBorders>
          </w:tcPr>
          <w:p>
            <w:pPr>
              <w:rPr>
                <w:sz w:val="2"/>
                <w:szCs w:val="2"/>
              </w:rPr>
            </w:pPr>
          </w:p>
        </w:tc>
      </w:tr>
      <w:tr>
        <w:trPr>
          <w:trHeight w:val="264" w:hRule="atLeast"/>
        </w:trPr>
        <w:tc>
          <w:tcPr>
            <w:tcW w:w="852" w:type="dxa"/>
            <w:tcBorders>
              <w:top w:val="nil"/>
              <w:bottom w:val="nil"/>
            </w:tcBorders>
          </w:tcPr>
          <w:p>
            <w:pPr>
              <w:pStyle w:val="TableParagraph"/>
              <w:spacing w:before="25"/>
              <w:ind w:left="75"/>
              <w:rPr>
                <w:sz w:val="18"/>
              </w:rPr>
            </w:pPr>
            <w:r>
              <w:rPr>
                <w:sz w:val="18"/>
              </w:rPr>
              <w:t>CP1</w:t>
            </w:r>
          </w:p>
        </w:tc>
        <w:tc>
          <w:tcPr>
            <w:tcW w:w="566" w:type="dxa"/>
            <w:vMerge/>
            <w:tcBorders>
              <w:top w:val="nil"/>
              <w:right w:val="single" w:sz="8" w:space="0" w:color="000000"/>
            </w:tcBorders>
          </w:tcPr>
          <w:p>
            <w:pPr>
              <w:rPr>
                <w:sz w:val="2"/>
                <w:szCs w:val="2"/>
              </w:rPr>
            </w:pPr>
          </w:p>
        </w:tc>
        <w:tc>
          <w:tcPr>
            <w:tcW w:w="566" w:type="dxa"/>
            <w:tcBorders>
              <w:top w:val="nil"/>
              <w:left w:val="single" w:sz="8" w:space="0" w:color="000000"/>
              <w:bottom w:val="nil"/>
              <w:right w:val="single" w:sz="8" w:space="0" w:color="000000"/>
            </w:tcBorders>
          </w:tcPr>
          <w:p>
            <w:pPr>
              <w:pStyle w:val="TableParagraph"/>
              <w:spacing w:before="25"/>
              <w:ind w:right="36"/>
              <w:jc w:val="right"/>
              <w:rPr>
                <w:sz w:val="18"/>
              </w:rPr>
            </w:pPr>
            <w:r>
              <w:rPr>
                <w:sz w:val="18"/>
              </w:rPr>
              <w:t>.745</w:t>
            </w:r>
          </w:p>
        </w:tc>
        <w:tc>
          <w:tcPr>
            <w:tcW w:w="567" w:type="dxa"/>
            <w:tcBorders>
              <w:top w:val="nil"/>
              <w:left w:val="single" w:sz="8" w:space="0" w:color="000000"/>
              <w:bottom w:val="nil"/>
              <w:right w:val="single" w:sz="8" w:space="0" w:color="000000"/>
            </w:tcBorders>
          </w:tcPr>
          <w:p>
            <w:pPr>
              <w:pStyle w:val="TableParagraph"/>
              <w:rPr>
                <w:sz w:val="18"/>
              </w:rPr>
            </w:pPr>
          </w:p>
        </w:tc>
        <w:tc>
          <w:tcPr>
            <w:tcW w:w="710" w:type="dxa"/>
            <w:tcBorders>
              <w:top w:val="nil"/>
              <w:left w:val="single" w:sz="8" w:space="0" w:color="000000"/>
              <w:bottom w:val="nil"/>
              <w:right w:val="single" w:sz="8" w:space="0" w:color="000000"/>
            </w:tcBorders>
          </w:tcPr>
          <w:p>
            <w:pPr>
              <w:pStyle w:val="TableParagraph"/>
              <w:rPr>
                <w:sz w:val="18"/>
              </w:rPr>
            </w:pPr>
          </w:p>
        </w:tc>
        <w:tc>
          <w:tcPr>
            <w:tcW w:w="708" w:type="dxa"/>
            <w:tcBorders>
              <w:top w:val="nil"/>
              <w:left w:val="single" w:sz="8" w:space="0" w:color="000000"/>
              <w:bottom w:val="nil"/>
              <w:right w:val="single" w:sz="8" w:space="0" w:color="000000"/>
            </w:tcBorders>
          </w:tcPr>
          <w:p>
            <w:pPr>
              <w:pStyle w:val="TableParagraph"/>
              <w:rPr>
                <w:sz w:val="18"/>
              </w:rPr>
            </w:pPr>
          </w:p>
        </w:tc>
        <w:tc>
          <w:tcPr>
            <w:tcW w:w="708" w:type="dxa"/>
            <w:tcBorders>
              <w:top w:val="nil"/>
              <w:left w:val="single" w:sz="8" w:space="0" w:color="000000"/>
              <w:bottom w:val="nil"/>
              <w:right w:val="single" w:sz="8" w:space="0" w:color="000000"/>
            </w:tcBorders>
          </w:tcPr>
          <w:p>
            <w:pPr>
              <w:pStyle w:val="TableParagraph"/>
              <w:rPr>
                <w:sz w:val="18"/>
              </w:rPr>
            </w:pPr>
          </w:p>
        </w:tc>
        <w:tc>
          <w:tcPr>
            <w:tcW w:w="711" w:type="dxa"/>
            <w:tcBorders>
              <w:top w:val="nil"/>
              <w:left w:val="single" w:sz="8" w:space="0" w:color="000000"/>
              <w:bottom w:val="nil"/>
              <w:right w:val="single" w:sz="8" w:space="0" w:color="000000"/>
            </w:tcBorders>
          </w:tcPr>
          <w:p>
            <w:pPr>
              <w:pStyle w:val="TableParagraph"/>
              <w:rPr>
                <w:sz w:val="18"/>
              </w:rPr>
            </w:pPr>
          </w:p>
        </w:tc>
        <w:tc>
          <w:tcPr>
            <w:tcW w:w="567" w:type="dxa"/>
            <w:tcBorders>
              <w:top w:val="nil"/>
              <w:left w:val="single" w:sz="8" w:space="0" w:color="000000"/>
              <w:bottom w:val="nil"/>
              <w:right w:val="single" w:sz="8" w:space="0" w:color="000000"/>
            </w:tcBorders>
          </w:tcPr>
          <w:p>
            <w:pPr>
              <w:pStyle w:val="TableParagraph"/>
              <w:rPr>
                <w:sz w:val="18"/>
              </w:rPr>
            </w:pPr>
          </w:p>
        </w:tc>
        <w:tc>
          <w:tcPr>
            <w:tcW w:w="567" w:type="dxa"/>
            <w:tcBorders>
              <w:top w:val="nil"/>
              <w:left w:val="single" w:sz="8" w:space="0" w:color="000000"/>
              <w:bottom w:val="nil"/>
              <w:right w:val="single" w:sz="8" w:space="0" w:color="000000"/>
            </w:tcBorders>
          </w:tcPr>
          <w:p>
            <w:pPr>
              <w:pStyle w:val="TableParagraph"/>
              <w:rPr>
                <w:sz w:val="18"/>
              </w:rPr>
            </w:pPr>
          </w:p>
        </w:tc>
        <w:tc>
          <w:tcPr>
            <w:tcW w:w="567" w:type="dxa"/>
            <w:tcBorders>
              <w:top w:val="nil"/>
              <w:left w:val="single" w:sz="8" w:space="0" w:color="000000"/>
              <w:bottom w:val="nil"/>
              <w:right w:val="single" w:sz="8" w:space="0" w:color="000000"/>
            </w:tcBorders>
          </w:tcPr>
          <w:p>
            <w:pPr>
              <w:pStyle w:val="TableParagraph"/>
              <w:rPr>
                <w:sz w:val="18"/>
              </w:rPr>
            </w:pPr>
          </w:p>
        </w:tc>
        <w:tc>
          <w:tcPr>
            <w:tcW w:w="570" w:type="dxa"/>
            <w:tcBorders>
              <w:top w:val="nil"/>
              <w:left w:val="single" w:sz="8" w:space="0" w:color="000000"/>
              <w:bottom w:val="nil"/>
              <w:right w:val="single" w:sz="8" w:space="0" w:color="000000"/>
            </w:tcBorders>
          </w:tcPr>
          <w:p>
            <w:pPr>
              <w:pStyle w:val="TableParagraph"/>
              <w:rPr>
                <w:sz w:val="18"/>
              </w:rPr>
            </w:pPr>
          </w:p>
        </w:tc>
        <w:tc>
          <w:tcPr>
            <w:tcW w:w="567" w:type="dxa"/>
            <w:vMerge/>
            <w:tcBorders>
              <w:top w:val="nil"/>
              <w:left w:val="single" w:sz="8" w:space="0" w:color="000000"/>
            </w:tcBorders>
          </w:tcPr>
          <w:p>
            <w:pPr>
              <w:rPr>
                <w:sz w:val="2"/>
                <w:szCs w:val="2"/>
              </w:rPr>
            </w:pPr>
          </w:p>
        </w:tc>
      </w:tr>
      <w:tr>
        <w:trPr>
          <w:trHeight w:val="265" w:hRule="atLeast"/>
        </w:trPr>
        <w:tc>
          <w:tcPr>
            <w:tcW w:w="852" w:type="dxa"/>
            <w:tcBorders>
              <w:top w:val="nil"/>
              <w:bottom w:val="nil"/>
            </w:tcBorders>
          </w:tcPr>
          <w:p>
            <w:pPr>
              <w:pStyle w:val="TableParagraph"/>
              <w:spacing w:before="25"/>
              <w:ind w:left="75"/>
              <w:rPr>
                <w:sz w:val="18"/>
              </w:rPr>
            </w:pPr>
            <w:r>
              <w:rPr>
                <w:sz w:val="18"/>
              </w:rPr>
              <w:t>VT7</w:t>
            </w:r>
          </w:p>
        </w:tc>
        <w:tc>
          <w:tcPr>
            <w:tcW w:w="566" w:type="dxa"/>
            <w:vMerge/>
            <w:tcBorders>
              <w:top w:val="nil"/>
              <w:right w:val="single" w:sz="8" w:space="0" w:color="000000"/>
            </w:tcBorders>
          </w:tcPr>
          <w:p>
            <w:pPr>
              <w:rPr>
                <w:sz w:val="2"/>
                <w:szCs w:val="2"/>
              </w:rPr>
            </w:pPr>
          </w:p>
        </w:tc>
        <w:tc>
          <w:tcPr>
            <w:tcW w:w="566" w:type="dxa"/>
            <w:tcBorders>
              <w:top w:val="nil"/>
              <w:left w:val="single" w:sz="8" w:space="0" w:color="000000"/>
              <w:bottom w:val="nil"/>
              <w:right w:val="single" w:sz="8" w:space="0" w:color="000000"/>
            </w:tcBorders>
          </w:tcPr>
          <w:p>
            <w:pPr>
              <w:pStyle w:val="TableParagraph"/>
              <w:rPr>
                <w:sz w:val="18"/>
              </w:rPr>
            </w:pPr>
          </w:p>
        </w:tc>
        <w:tc>
          <w:tcPr>
            <w:tcW w:w="567" w:type="dxa"/>
            <w:tcBorders>
              <w:top w:val="nil"/>
              <w:left w:val="single" w:sz="8" w:space="0" w:color="000000"/>
              <w:bottom w:val="nil"/>
              <w:right w:val="single" w:sz="8" w:space="0" w:color="000000"/>
            </w:tcBorders>
          </w:tcPr>
          <w:p>
            <w:pPr>
              <w:pStyle w:val="TableParagraph"/>
              <w:spacing w:before="25"/>
              <w:ind w:right="37"/>
              <w:jc w:val="right"/>
              <w:rPr>
                <w:sz w:val="18"/>
              </w:rPr>
            </w:pPr>
            <w:r>
              <w:rPr>
                <w:sz w:val="18"/>
              </w:rPr>
              <w:t>.833</w:t>
            </w:r>
          </w:p>
        </w:tc>
        <w:tc>
          <w:tcPr>
            <w:tcW w:w="710" w:type="dxa"/>
            <w:tcBorders>
              <w:top w:val="nil"/>
              <w:left w:val="single" w:sz="8" w:space="0" w:color="000000"/>
              <w:bottom w:val="nil"/>
              <w:right w:val="single" w:sz="8" w:space="0" w:color="000000"/>
            </w:tcBorders>
          </w:tcPr>
          <w:p>
            <w:pPr>
              <w:pStyle w:val="TableParagraph"/>
              <w:rPr>
                <w:sz w:val="18"/>
              </w:rPr>
            </w:pPr>
          </w:p>
        </w:tc>
        <w:tc>
          <w:tcPr>
            <w:tcW w:w="708" w:type="dxa"/>
            <w:tcBorders>
              <w:top w:val="nil"/>
              <w:left w:val="single" w:sz="8" w:space="0" w:color="000000"/>
              <w:bottom w:val="nil"/>
              <w:right w:val="single" w:sz="8" w:space="0" w:color="000000"/>
            </w:tcBorders>
          </w:tcPr>
          <w:p>
            <w:pPr>
              <w:pStyle w:val="TableParagraph"/>
              <w:rPr>
                <w:sz w:val="18"/>
              </w:rPr>
            </w:pPr>
          </w:p>
        </w:tc>
        <w:tc>
          <w:tcPr>
            <w:tcW w:w="708" w:type="dxa"/>
            <w:tcBorders>
              <w:top w:val="nil"/>
              <w:left w:val="single" w:sz="8" w:space="0" w:color="000000"/>
              <w:bottom w:val="nil"/>
              <w:right w:val="single" w:sz="8" w:space="0" w:color="000000"/>
            </w:tcBorders>
          </w:tcPr>
          <w:p>
            <w:pPr>
              <w:pStyle w:val="TableParagraph"/>
              <w:rPr>
                <w:sz w:val="18"/>
              </w:rPr>
            </w:pPr>
          </w:p>
        </w:tc>
        <w:tc>
          <w:tcPr>
            <w:tcW w:w="711" w:type="dxa"/>
            <w:tcBorders>
              <w:top w:val="nil"/>
              <w:left w:val="single" w:sz="8" w:space="0" w:color="000000"/>
              <w:bottom w:val="nil"/>
              <w:right w:val="single" w:sz="8" w:space="0" w:color="000000"/>
            </w:tcBorders>
          </w:tcPr>
          <w:p>
            <w:pPr>
              <w:pStyle w:val="TableParagraph"/>
              <w:rPr>
                <w:sz w:val="18"/>
              </w:rPr>
            </w:pPr>
          </w:p>
        </w:tc>
        <w:tc>
          <w:tcPr>
            <w:tcW w:w="567" w:type="dxa"/>
            <w:tcBorders>
              <w:top w:val="nil"/>
              <w:left w:val="single" w:sz="8" w:space="0" w:color="000000"/>
              <w:bottom w:val="nil"/>
              <w:right w:val="single" w:sz="8" w:space="0" w:color="000000"/>
            </w:tcBorders>
          </w:tcPr>
          <w:p>
            <w:pPr>
              <w:pStyle w:val="TableParagraph"/>
              <w:rPr>
                <w:sz w:val="18"/>
              </w:rPr>
            </w:pPr>
          </w:p>
        </w:tc>
        <w:tc>
          <w:tcPr>
            <w:tcW w:w="567" w:type="dxa"/>
            <w:tcBorders>
              <w:top w:val="nil"/>
              <w:left w:val="single" w:sz="8" w:space="0" w:color="000000"/>
              <w:bottom w:val="nil"/>
              <w:right w:val="single" w:sz="8" w:space="0" w:color="000000"/>
            </w:tcBorders>
          </w:tcPr>
          <w:p>
            <w:pPr>
              <w:pStyle w:val="TableParagraph"/>
              <w:rPr>
                <w:sz w:val="18"/>
              </w:rPr>
            </w:pPr>
          </w:p>
        </w:tc>
        <w:tc>
          <w:tcPr>
            <w:tcW w:w="567" w:type="dxa"/>
            <w:tcBorders>
              <w:top w:val="nil"/>
              <w:left w:val="single" w:sz="8" w:space="0" w:color="000000"/>
              <w:bottom w:val="nil"/>
              <w:right w:val="single" w:sz="8" w:space="0" w:color="000000"/>
            </w:tcBorders>
          </w:tcPr>
          <w:p>
            <w:pPr>
              <w:pStyle w:val="TableParagraph"/>
              <w:rPr>
                <w:sz w:val="18"/>
              </w:rPr>
            </w:pPr>
          </w:p>
        </w:tc>
        <w:tc>
          <w:tcPr>
            <w:tcW w:w="570" w:type="dxa"/>
            <w:tcBorders>
              <w:top w:val="nil"/>
              <w:left w:val="single" w:sz="8" w:space="0" w:color="000000"/>
              <w:bottom w:val="nil"/>
              <w:right w:val="single" w:sz="8" w:space="0" w:color="000000"/>
            </w:tcBorders>
          </w:tcPr>
          <w:p>
            <w:pPr>
              <w:pStyle w:val="TableParagraph"/>
              <w:rPr>
                <w:sz w:val="18"/>
              </w:rPr>
            </w:pPr>
          </w:p>
        </w:tc>
        <w:tc>
          <w:tcPr>
            <w:tcW w:w="567" w:type="dxa"/>
            <w:vMerge/>
            <w:tcBorders>
              <w:top w:val="nil"/>
              <w:left w:val="single" w:sz="8" w:space="0" w:color="000000"/>
            </w:tcBorders>
          </w:tcPr>
          <w:p>
            <w:pPr>
              <w:rPr>
                <w:sz w:val="2"/>
                <w:szCs w:val="2"/>
              </w:rPr>
            </w:pPr>
          </w:p>
        </w:tc>
      </w:tr>
      <w:tr>
        <w:trPr>
          <w:trHeight w:val="265" w:hRule="atLeast"/>
        </w:trPr>
        <w:tc>
          <w:tcPr>
            <w:tcW w:w="852" w:type="dxa"/>
            <w:tcBorders>
              <w:top w:val="nil"/>
              <w:bottom w:val="nil"/>
            </w:tcBorders>
          </w:tcPr>
          <w:p>
            <w:pPr>
              <w:pStyle w:val="TableParagraph"/>
              <w:spacing w:before="26"/>
              <w:ind w:left="75"/>
              <w:rPr>
                <w:sz w:val="18"/>
              </w:rPr>
            </w:pPr>
            <w:r>
              <w:rPr>
                <w:sz w:val="18"/>
              </w:rPr>
              <w:t>VT2</w:t>
            </w:r>
          </w:p>
        </w:tc>
        <w:tc>
          <w:tcPr>
            <w:tcW w:w="566" w:type="dxa"/>
            <w:vMerge/>
            <w:tcBorders>
              <w:top w:val="nil"/>
              <w:right w:val="single" w:sz="8" w:space="0" w:color="000000"/>
            </w:tcBorders>
          </w:tcPr>
          <w:p>
            <w:pPr>
              <w:rPr>
                <w:sz w:val="2"/>
                <w:szCs w:val="2"/>
              </w:rPr>
            </w:pPr>
          </w:p>
        </w:tc>
        <w:tc>
          <w:tcPr>
            <w:tcW w:w="566" w:type="dxa"/>
            <w:tcBorders>
              <w:top w:val="nil"/>
              <w:left w:val="single" w:sz="8" w:space="0" w:color="000000"/>
              <w:bottom w:val="nil"/>
              <w:right w:val="single" w:sz="8" w:space="0" w:color="000000"/>
            </w:tcBorders>
          </w:tcPr>
          <w:p>
            <w:pPr>
              <w:pStyle w:val="TableParagraph"/>
              <w:rPr>
                <w:sz w:val="18"/>
              </w:rPr>
            </w:pPr>
          </w:p>
        </w:tc>
        <w:tc>
          <w:tcPr>
            <w:tcW w:w="567" w:type="dxa"/>
            <w:tcBorders>
              <w:top w:val="nil"/>
              <w:left w:val="single" w:sz="8" w:space="0" w:color="000000"/>
              <w:bottom w:val="nil"/>
              <w:right w:val="single" w:sz="8" w:space="0" w:color="000000"/>
            </w:tcBorders>
          </w:tcPr>
          <w:p>
            <w:pPr>
              <w:pStyle w:val="TableParagraph"/>
              <w:spacing w:before="26"/>
              <w:ind w:right="37"/>
              <w:jc w:val="right"/>
              <w:rPr>
                <w:sz w:val="18"/>
              </w:rPr>
            </w:pPr>
            <w:r>
              <w:rPr>
                <w:sz w:val="18"/>
              </w:rPr>
              <w:t>.795</w:t>
            </w:r>
          </w:p>
        </w:tc>
        <w:tc>
          <w:tcPr>
            <w:tcW w:w="710" w:type="dxa"/>
            <w:tcBorders>
              <w:top w:val="nil"/>
              <w:left w:val="single" w:sz="8" w:space="0" w:color="000000"/>
              <w:bottom w:val="nil"/>
              <w:right w:val="single" w:sz="8" w:space="0" w:color="000000"/>
            </w:tcBorders>
          </w:tcPr>
          <w:p>
            <w:pPr>
              <w:pStyle w:val="TableParagraph"/>
              <w:rPr>
                <w:sz w:val="18"/>
              </w:rPr>
            </w:pPr>
          </w:p>
        </w:tc>
        <w:tc>
          <w:tcPr>
            <w:tcW w:w="708" w:type="dxa"/>
            <w:tcBorders>
              <w:top w:val="nil"/>
              <w:left w:val="single" w:sz="8" w:space="0" w:color="000000"/>
              <w:bottom w:val="nil"/>
              <w:right w:val="single" w:sz="8" w:space="0" w:color="000000"/>
            </w:tcBorders>
          </w:tcPr>
          <w:p>
            <w:pPr>
              <w:pStyle w:val="TableParagraph"/>
              <w:rPr>
                <w:sz w:val="18"/>
              </w:rPr>
            </w:pPr>
          </w:p>
        </w:tc>
        <w:tc>
          <w:tcPr>
            <w:tcW w:w="708" w:type="dxa"/>
            <w:tcBorders>
              <w:top w:val="nil"/>
              <w:left w:val="single" w:sz="8" w:space="0" w:color="000000"/>
              <w:bottom w:val="nil"/>
              <w:right w:val="single" w:sz="8" w:space="0" w:color="000000"/>
            </w:tcBorders>
          </w:tcPr>
          <w:p>
            <w:pPr>
              <w:pStyle w:val="TableParagraph"/>
              <w:rPr>
                <w:sz w:val="18"/>
              </w:rPr>
            </w:pPr>
          </w:p>
        </w:tc>
        <w:tc>
          <w:tcPr>
            <w:tcW w:w="711" w:type="dxa"/>
            <w:tcBorders>
              <w:top w:val="nil"/>
              <w:left w:val="single" w:sz="8" w:space="0" w:color="000000"/>
              <w:bottom w:val="nil"/>
              <w:right w:val="single" w:sz="8" w:space="0" w:color="000000"/>
            </w:tcBorders>
          </w:tcPr>
          <w:p>
            <w:pPr>
              <w:pStyle w:val="TableParagraph"/>
              <w:rPr>
                <w:sz w:val="18"/>
              </w:rPr>
            </w:pPr>
          </w:p>
        </w:tc>
        <w:tc>
          <w:tcPr>
            <w:tcW w:w="567" w:type="dxa"/>
            <w:tcBorders>
              <w:top w:val="nil"/>
              <w:left w:val="single" w:sz="8" w:space="0" w:color="000000"/>
              <w:bottom w:val="nil"/>
              <w:right w:val="single" w:sz="8" w:space="0" w:color="000000"/>
            </w:tcBorders>
          </w:tcPr>
          <w:p>
            <w:pPr>
              <w:pStyle w:val="TableParagraph"/>
              <w:rPr>
                <w:sz w:val="18"/>
              </w:rPr>
            </w:pPr>
          </w:p>
        </w:tc>
        <w:tc>
          <w:tcPr>
            <w:tcW w:w="567" w:type="dxa"/>
            <w:tcBorders>
              <w:top w:val="nil"/>
              <w:left w:val="single" w:sz="8" w:space="0" w:color="000000"/>
              <w:bottom w:val="nil"/>
              <w:right w:val="single" w:sz="8" w:space="0" w:color="000000"/>
            </w:tcBorders>
          </w:tcPr>
          <w:p>
            <w:pPr>
              <w:pStyle w:val="TableParagraph"/>
              <w:rPr>
                <w:sz w:val="18"/>
              </w:rPr>
            </w:pPr>
          </w:p>
        </w:tc>
        <w:tc>
          <w:tcPr>
            <w:tcW w:w="567" w:type="dxa"/>
            <w:tcBorders>
              <w:top w:val="nil"/>
              <w:left w:val="single" w:sz="8" w:space="0" w:color="000000"/>
              <w:bottom w:val="nil"/>
              <w:right w:val="single" w:sz="8" w:space="0" w:color="000000"/>
            </w:tcBorders>
          </w:tcPr>
          <w:p>
            <w:pPr>
              <w:pStyle w:val="TableParagraph"/>
              <w:rPr>
                <w:sz w:val="18"/>
              </w:rPr>
            </w:pPr>
          </w:p>
        </w:tc>
        <w:tc>
          <w:tcPr>
            <w:tcW w:w="570" w:type="dxa"/>
            <w:tcBorders>
              <w:top w:val="nil"/>
              <w:left w:val="single" w:sz="8" w:space="0" w:color="000000"/>
              <w:bottom w:val="nil"/>
              <w:right w:val="single" w:sz="8" w:space="0" w:color="000000"/>
            </w:tcBorders>
          </w:tcPr>
          <w:p>
            <w:pPr>
              <w:pStyle w:val="TableParagraph"/>
              <w:rPr>
                <w:sz w:val="18"/>
              </w:rPr>
            </w:pPr>
          </w:p>
        </w:tc>
        <w:tc>
          <w:tcPr>
            <w:tcW w:w="567" w:type="dxa"/>
            <w:vMerge/>
            <w:tcBorders>
              <w:top w:val="nil"/>
              <w:left w:val="single" w:sz="8" w:space="0" w:color="000000"/>
            </w:tcBorders>
          </w:tcPr>
          <w:p>
            <w:pPr>
              <w:rPr>
                <w:sz w:val="2"/>
                <w:szCs w:val="2"/>
              </w:rPr>
            </w:pPr>
          </w:p>
        </w:tc>
      </w:tr>
      <w:tr>
        <w:trPr>
          <w:trHeight w:val="264" w:hRule="atLeast"/>
        </w:trPr>
        <w:tc>
          <w:tcPr>
            <w:tcW w:w="852" w:type="dxa"/>
            <w:tcBorders>
              <w:top w:val="nil"/>
              <w:bottom w:val="nil"/>
            </w:tcBorders>
          </w:tcPr>
          <w:p>
            <w:pPr>
              <w:pStyle w:val="TableParagraph"/>
              <w:spacing w:before="25"/>
              <w:ind w:left="75"/>
              <w:rPr>
                <w:sz w:val="18"/>
              </w:rPr>
            </w:pPr>
            <w:r>
              <w:rPr>
                <w:sz w:val="18"/>
              </w:rPr>
              <w:t>VT9</w:t>
            </w:r>
          </w:p>
        </w:tc>
        <w:tc>
          <w:tcPr>
            <w:tcW w:w="566" w:type="dxa"/>
            <w:vMerge/>
            <w:tcBorders>
              <w:top w:val="nil"/>
              <w:right w:val="single" w:sz="8" w:space="0" w:color="000000"/>
            </w:tcBorders>
          </w:tcPr>
          <w:p>
            <w:pPr>
              <w:rPr>
                <w:sz w:val="2"/>
                <w:szCs w:val="2"/>
              </w:rPr>
            </w:pPr>
          </w:p>
        </w:tc>
        <w:tc>
          <w:tcPr>
            <w:tcW w:w="566" w:type="dxa"/>
            <w:tcBorders>
              <w:top w:val="nil"/>
              <w:left w:val="single" w:sz="8" w:space="0" w:color="000000"/>
              <w:bottom w:val="nil"/>
              <w:right w:val="single" w:sz="8" w:space="0" w:color="000000"/>
            </w:tcBorders>
          </w:tcPr>
          <w:p>
            <w:pPr>
              <w:pStyle w:val="TableParagraph"/>
              <w:rPr>
                <w:sz w:val="18"/>
              </w:rPr>
            </w:pPr>
          </w:p>
        </w:tc>
        <w:tc>
          <w:tcPr>
            <w:tcW w:w="567" w:type="dxa"/>
            <w:tcBorders>
              <w:top w:val="nil"/>
              <w:left w:val="single" w:sz="8" w:space="0" w:color="000000"/>
              <w:bottom w:val="nil"/>
              <w:right w:val="single" w:sz="8" w:space="0" w:color="000000"/>
            </w:tcBorders>
          </w:tcPr>
          <w:p>
            <w:pPr>
              <w:pStyle w:val="TableParagraph"/>
              <w:spacing w:before="25"/>
              <w:ind w:right="37"/>
              <w:jc w:val="right"/>
              <w:rPr>
                <w:sz w:val="18"/>
              </w:rPr>
            </w:pPr>
            <w:r>
              <w:rPr>
                <w:sz w:val="18"/>
              </w:rPr>
              <w:t>.781</w:t>
            </w:r>
          </w:p>
        </w:tc>
        <w:tc>
          <w:tcPr>
            <w:tcW w:w="710" w:type="dxa"/>
            <w:tcBorders>
              <w:top w:val="nil"/>
              <w:left w:val="single" w:sz="8" w:space="0" w:color="000000"/>
              <w:bottom w:val="nil"/>
              <w:right w:val="single" w:sz="8" w:space="0" w:color="000000"/>
            </w:tcBorders>
          </w:tcPr>
          <w:p>
            <w:pPr>
              <w:pStyle w:val="TableParagraph"/>
              <w:rPr>
                <w:sz w:val="18"/>
              </w:rPr>
            </w:pPr>
          </w:p>
        </w:tc>
        <w:tc>
          <w:tcPr>
            <w:tcW w:w="708" w:type="dxa"/>
            <w:tcBorders>
              <w:top w:val="nil"/>
              <w:left w:val="single" w:sz="8" w:space="0" w:color="000000"/>
              <w:bottom w:val="nil"/>
              <w:right w:val="single" w:sz="8" w:space="0" w:color="000000"/>
            </w:tcBorders>
          </w:tcPr>
          <w:p>
            <w:pPr>
              <w:pStyle w:val="TableParagraph"/>
              <w:rPr>
                <w:sz w:val="18"/>
              </w:rPr>
            </w:pPr>
          </w:p>
        </w:tc>
        <w:tc>
          <w:tcPr>
            <w:tcW w:w="708" w:type="dxa"/>
            <w:tcBorders>
              <w:top w:val="nil"/>
              <w:left w:val="single" w:sz="8" w:space="0" w:color="000000"/>
              <w:bottom w:val="nil"/>
              <w:right w:val="single" w:sz="8" w:space="0" w:color="000000"/>
            </w:tcBorders>
          </w:tcPr>
          <w:p>
            <w:pPr>
              <w:pStyle w:val="TableParagraph"/>
              <w:rPr>
                <w:sz w:val="18"/>
              </w:rPr>
            </w:pPr>
          </w:p>
        </w:tc>
        <w:tc>
          <w:tcPr>
            <w:tcW w:w="711" w:type="dxa"/>
            <w:tcBorders>
              <w:top w:val="nil"/>
              <w:left w:val="single" w:sz="8" w:space="0" w:color="000000"/>
              <w:bottom w:val="nil"/>
              <w:right w:val="single" w:sz="8" w:space="0" w:color="000000"/>
            </w:tcBorders>
          </w:tcPr>
          <w:p>
            <w:pPr>
              <w:pStyle w:val="TableParagraph"/>
              <w:rPr>
                <w:sz w:val="18"/>
              </w:rPr>
            </w:pPr>
          </w:p>
        </w:tc>
        <w:tc>
          <w:tcPr>
            <w:tcW w:w="567" w:type="dxa"/>
            <w:tcBorders>
              <w:top w:val="nil"/>
              <w:left w:val="single" w:sz="8" w:space="0" w:color="000000"/>
              <w:bottom w:val="nil"/>
              <w:right w:val="single" w:sz="8" w:space="0" w:color="000000"/>
            </w:tcBorders>
          </w:tcPr>
          <w:p>
            <w:pPr>
              <w:pStyle w:val="TableParagraph"/>
              <w:rPr>
                <w:sz w:val="18"/>
              </w:rPr>
            </w:pPr>
          </w:p>
        </w:tc>
        <w:tc>
          <w:tcPr>
            <w:tcW w:w="567" w:type="dxa"/>
            <w:tcBorders>
              <w:top w:val="nil"/>
              <w:left w:val="single" w:sz="8" w:space="0" w:color="000000"/>
              <w:bottom w:val="nil"/>
              <w:right w:val="single" w:sz="8" w:space="0" w:color="000000"/>
            </w:tcBorders>
          </w:tcPr>
          <w:p>
            <w:pPr>
              <w:pStyle w:val="TableParagraph"/>
              <w:rPr>
                <w:sz w:val="18"/>
              </w:rPr>
            </w:pPr>
          </w:p>
        </w:tc>
        <w:tc>
          <w:tcPr>
            <w:tcW w:w="567" w:type="dxa"/>
            <w:tcBorders>
              <w:top w:val="nil"/>
              <w:left w:val="single" w:sz="8" w:space="0" w:color="000000"/>
              <w:bottom w:val="nil"/>
              <w:right w:val="single" w:sz="8" w:space="0" w:color="000000"/>
            </w:tcBorders>
          </w:tcPr>
          <w:p>
            <w:pPr>
              <w:pStyle w:val="TableParagraph"/>
              <w:rPr>
                <w:sz w:val="18"/>
              </w:rPr>
            </w:pPr>
          </w:p>
        </w:tc>
        <w:tc>
          <w:tcPr>
            <w:tcW w:w="570" w:type="dxa"/>
            <w:tcBorders>
              <w:top w:val="nil"/>
              <w:left w:val="single" w:sz="8" w:space="0" w:color="000000"/>
              <w:bottom w:val="nil"/>
              <w:right w:val="single" w:sz="8" w:space="0" w:color="000000"/>
            </w:tcBorders>
          </w:tcPr>
          <w:p>
            <w:pPr>
              <w:pStyle w:val="TableParagraph"/>
              <w:rPr>
                <w:sz w:val="18"/>
              </w:rPr>
            </w:pPr>
          </w:p>
        </w:tc>
        <w:tc>
          <w:tcPr>
            <w:tcW w:w="567" w:type="dxa"/>
            <w:vMerge/>
            <w:tcBorders>
              <w:top w:val="nil"/>
              <w:left w:val="single" w:sz="8" w:space="0" w:color="000000"/>
            </w:tcBorders>
          </w:tcPr>
          <w:p>
            <w:pPr>
              <w:rPr>
                <w:sz w:val="2"/>
                <w:szCs w:val="2"/>
              </w:rPr>
            </w:pPr>
          </w:p>
        </w:tc>
      </w:tr>
      <w:tr>
        <w:trPr>
          <w:trHeight w:val="265" w:hRule="atLeast"/>
        </w:trPr>
        <w:tc>
          <w:tcPr>
            <w:tcW w:w="852" w:type="dxa"/>
            <w:tcBorders>
              <w:top w:val="nil"/>
              <w:bottom w:val="nil"/>
            </w:tcBorders>
          </w:tcPr>
          <w:p>
            <w:pPr>
              <w:pStyle w:val="TableParagraph"/>
              <w:spacing w:before="25"/>
              <w:ind w:left="75"/>
              <w:rPr>
                <w:sz w:val="18"/>
              </w:rPr>
            </w:pPr>
            <w:r>
              <w:rPr>
                <w:sz w:val="18"/>
              </w:rPr>
              <w:t>VT6</w:t>
            </w:r>
          </w:p>
        </w:tc>
        <w:tc>
          <w:tcPr>
            <w:tcW w:w="566" w:type="dxa"/>
            <w:vMerge/>
            <w:tcBorders>
              <w:top w:val="nil"/>
              <w:right w:val="single" w:sz="8" w:space="0" w:color="000000"/>
            </w:tcBorders>
          </w:tcPr>
          <w:p>
            <w:pPr>
              <w:rPr>
                <w:sz w:val="2"/>
                <w:szCs w:val="2"/>
              </w:rPr>
            </w:pPr>
          </w:p>
        </w:tc>
        <w:tc>
          <w:tcPr>
            <w:tcW w:w="566" w:type="dxa"/>
            <w:tcBorders>
              <w:top w:val="nil"/>
              <w:left w:val="single" w:sz="8" w:space="0" w:color="000000"/>
              <w:bottom w:val="nil"/>
              <w:right w:val="single" w:sz="8" w:space="0" w:color="000000"/>
            </w:tcBorders>
          </w:tcPr>
          <w:p>
            <w:pPr>
              <w:pStyle w:val="TableParagraph"/>
              <w:rPr>
                <w:sz w:val="18"/>
              </w:rPr>
            </w:pPr>
          </w:p>
        </w:tc>
        <w:tc>
          <w:tcPr>
            <w:tcW w:w="567" w:type="dxa"/>
            <w:tcBorders>
              <w:top w:val="nil"/>
              <w:left w:val="single" w:sz="8" w:space="0" w:color="000000"/>
              <w:bottom w:val="nil"/>
              <w:right w:val="single" w:sz="8" w:space="0" w:color="000000"/>
            </w:tcBorders>
          </w:tcPr>
          <w:p>
            <w:pPr>
              <w:pStyle w:val="TableParagraph"/>
              <w:spacing w:before="25"/>
              <w:ind w:right="37"/>
              <w:jc w:val="right"/>
              <w:rPr>
                <w:sz w:val="18"/>
              </w:rPr>
            </w:pPr>
            <w:r>
              <w:rPr>
                <w:sz w:val="18"/>
              </w:rPr>
              <w:t>.776</w:t>
            </w:r>
          </w:p>
        </w:tc>
        <w:tc>
          <w:tcPr>
            <w:tcW w:w="710" w:type="dxa"/>
            <w:tcBorders>
              <w:top w:val="nil"/>
              <w:left w:val="single" w:sz="8" w:space="0" w:color="000000"/>
              <w:bottom w:val="nil"/>
              <w:right w:val="single" w:sz="8" w:space="0" w:color="000000"/>
            </w:tcBorders>
          </w:tcPr>
          <w:p>
            <w:pPr>
              <w:pStyle w:val="TableParagraph"/>
              <w:rPr>
                <w:sz w:val="18"/>
              </w:rPr>
            </w:pPr>
          </w:p>
        </w:tc>
        <w:tc>
          <w:tcPr>
            <w:tcW w:w="708" w:type="dxa"/>
            <w:tcBorders>
              <w:top w:val="nil"/>
              <w:left w:val="single" w:sz="8" w:space="0" w:color="000000"/>
              <w:bottom w:val="nil"/>
              <w:right w:val="single" w:sz="8" w:space="0" w:color="000000"/>
            </w:tcBorders>
          </w:tcPr>
          <w:p>
            <w:pPr>
              <w:pStyle w:val="TableParagraph"/>
              <w:rPr>
                <w:sz w:val="18"/>
              </w:rPr>
            </w:pPr>
          </w:p>
        </w:tc>
        <w:tc>
          <w:tcPr>
            <w:tcW w:w="708" w:type="dxa"/>
            <w:tcBorders>
              <w:top w:val="nil"/>
              <w:left w:val="single" w:sz="8" w:space="0" w:color="000000"/>
              <w:bottom w:val="nil"/>
              <w:right w:val="single" w:sz="8" w:space="0" w:color="000000"/>
            </w:tcBorders>
          </w:tcPr>
          <w:p>
            <w:pPr>
              <w:pStyle w:val="TableParagraph"/>
              <w:rPr>
                <w:sz w:val="18"/>
              </w:rPr>
            </w:pPr>
          </w:p>
        </w:tc>
        <w:tc>
          <w:tcPr>
            <w:tcW w:w="711" w:type="dxa"/>
            <w:tcBorders>
              <w:top w:val="nil"/>
              <w:left w:val="single" w:sz="8" w:space="0" w:color="000000"/>
              <w:bottom w:val="nil"/>
              <w:right w:val="single" w:sz="8" w:space="0" w:color="000000"/>
            </w:tcBorders>
          </w:tcPr>
          <w:p>
            <w:pPr>
              <w:pStyle w:val="TableParagraph"/>
              <w:rPr>
                <w:sz w:val="18"/>
              </w:rPr>
            </w:pPr>
          </w:p>
        </w:tc>
        <w:tc>
          <w:tcPr>
            <w:tcW w:w="567" w:type="dxa"/>
            <w:tcBorders>
              <w:top w:val="nil"/>
              <w:left w:val="single" w:sz="8" w:space="0" w:color="000000"/>
              <w:bottom w:val="nil"/>
              <w:right w:val="single" w:sz="8" w:space="0" w:color="000000"/>
            </w:tcBorders>
          </w:tcPr>
          <w:p>
            <w:pPr>
              <w:pStyle w:val="TableParagraph"/>
              <w:rPr>
                <w:sz w:val="18"/>
              </w:rPr>
            </w:pPr>
          </w:p>
        </w:tc>
        <w:tc>
          <w:tcPr>
            <w:tcW w:w="567" w:type="dxa"/>
            <w:tcBorders>
              <w:top w:val="nil"/>
              <w:left w:val="single" w:sz="8" w:space="0" w:color="000000"/>
              <w:bottom w:val="nil"/>
              <w:right w:val="single" w:sz="8" w:space="0" w:color="000000"/>
            </w:tcBorders>
          </w:tcPr>
          <w:p>
            <w:pPr>
              <w:pStyle w:val="TableParagraph"/>
              <w:rPr>
                <w:sz w:val="18"/>
              </w:rPr>
            </w:pPr>
          </w:p>
        </w:tc>
        <w:tc>
          <w:tcPr>
            <w:tcW w:w="567" w:type="dxa"/>
            <w:tcBorders>
              <w:top w:val="nil"/>
              <w:left w:val="single" w:sz="8" w:space="0" w:color="000000"/>
              <w:bottom w:val="nil"/>
              <w:right w:val="single" w:sz="8" w:space="0" w:color="000000"/>
            </w:tcBorders>
          </w:tcPr>
          <w:p>
            <w:pPr>
              <w:pStyle w:val="TableParagraph"/>
              <w:rPr>
                <w:sz w:val="18"/>
              </w:rPr>
            </w:pPr>
          </w:p>
        </w:tc>
        <w:tc>
          <w:tcPr>
            <w:tcW w:w="570" w:type="dxa"/>
            <w:tcBorders>
              <w:top w:val="nil"/>
              <w:left w:val="single" w:sz="8" w:space="0" w:color="000000"/>
              <w:bottom w:val="nil"/>
              <w:right w:val="single" w:sz="8" w:space="0" w:color="000000"/>
            </w:tcBorders>
          </w:tcPr>
          <w:p>
            <w:pPr>
              <w:pStyle w:val="TableParagraph"/>
              <w:rPr>
                <w:sz w:val="18"/>
              </w:rPr>
            </w:pPr>
          </w:p>
        </w:tc>
        <w:tc>
          <w:tcPr>
            <w:tcW w:w="567" w:type="dxa"/>
            <w:vMerge/>
            <w:tcBorders>
              <w:top w:val="nil"/>
              <w:left w:val="single" w:sz="8" w:space="0" w:color="000000"/>
            </w:tcBorders>
          </w:tcPr>
          <w:p>
            <w:pPr>
              <w:rPr>
                <w:sz w:val="2"/>
                <w:szCs w:val="2"/>
              </w:rPr>
            </w:pPr>
          </w:p>
        </w:tc>
      </w:tr>
      <w:tr>
        <w:trPr>
          <w:trHeight w:val="265" w:hRule="atLeast"/>
        </w:trPr>
        <w:tc>
          <w:tcPr>
            <w:tcW w:w="852" w:type="dxa"/>
            <w:tcBorders>
              <w:top w:val="nil"/>
              <w:bottom w:val="nil"/>
            </w:tcBorders>
          </w:tcPr>
          <w:p>
            <w:pPr>
              <w:pStyle w:val="TableParagraph"/>
              <w:spacing w:before="26"/>
              <w:ind w:left="75"/>
              <w:rPr>
                <w:sz w:val="18"/>
              </w:rPr>
            </w:pPr>
            <w:r>
              <w:rPr>
                <w:sz w:val="18"/>
              </w:rPr>
              <w:t>VT5</w:t>
            </w:r>
          </w:p>
        </w:tc>
        <w:tc>
          <w:tcPr>
            <w:tcW w:w="566" w:type="dxa"/>
            <w:vMerge/>
            <w:tcBorders>
              <w:top w:val="nil"/>
              <w:right w:val="single" w:sz="8" w:space="0" w:color="000000"/>
            </w:tcBorders>
          </w:tcPr>
          <w:p>
            <w:pPr>
              <w:rPr>
                <w:sz w:val="2"/>
                <w:szCs w:val="2"/>
              </w:rPr>
            </w:pPr>
          </w:p>
        </w:tc>
        <w:tc>
          <w:tcPr>
            <w:tcW w:w="566" w:type="dxa"/>
            <w:tcBorders>
              <w:top w:val="nil"/>
              <w:left w:val="single" w:sz="8" w:space="0" w:color="000000"/>
              <w:bottom w:val="nil"/>
              <w:right w:val="single" w:sz="8" w:space="0" w:color="000000"/>
            </w:tcBorders>
          </w:tcPr>
          <w:p>
            <w:pPr>
              <w:pStyle w:val="TableParagraph"/>
              <w:rPr>
                <w:sz w:val="18"/>
              </w:rPr>
            </w:pPr>
          </w:p>
        </w:tc>
        <w:tc>
          <w:tcPr>
            <w:tcW w:w="567" w:type="dxa"/>
            <w:tcBorders>
              <w:top w:val="nil"/>
              <w:left w:val="single" w:sz="8" w:space="0" w:color="000000"/>
              <w:bottom w:val="nil"/>
              <w:right w:val="single" w:sz="8" w:space="0" w:color="000000"/>
            </w:tcBorders>
          </w:tcPr>
          <w:p>
            <w:pPr>
              <w:pStyle w:val="TableParagraph"/>
              <w:spacing w:before="26"/>
              <w:ind w:right="37"/>
              <w:jc w:val="right"/>
              <w:rPr>
                <w:sz w:val="18"/>
              </w:rPr>
            </w:pPr>
            <w:r>
              <w:rPr>
                <w:sz w:val="18"/>
              </w:rPr>
              <w:t>.762</w:t>
            </w:r>
          </w:p>
        </w:tc>
        <w:tc>
          <w:tcPr>
            <w:tcW w:w="710" w:type="dxa"/>
            <w:tcBorders>
              <w:top w:val="nil"/>
              <w:left w:val="single" w:sz="8" w:space="0" w:color="000000"/>
              <w:bottom w:val="nil"/>
              <w:right w:val="single" w:sz="8" w:space="0" w:color="000000"/>
            </w:tcBorders>
          </w:tcPr>
          <w:p>
            <w:pPr>
              <w:pStyle w:val="TableParagraph"/>
              <w:rPr>
                <w:sz w:val="18"/>
              </w:rPr>
            </w:pPr>
          </w:p>
        </w:tc>
        <w:tc>
          <w:tcPr>
            <w:tcW w:w="708" w:type="dxa"/>
            <w:tcBorders>
              <w:top w:val="nil"/>
              <w:left w:val="single" w:sz="8" w:space="0" w:color="000000"/>
              <w:bottom w:val="nil"/>
              <w:right w:val="single" w:sz="8" w:space="0" w:color="000000"/>
            </w:tcBorders>
          </w:tcPr>
          <w:p>
            <w:pPr>
              <w:pStyle w:val="TableParagraph"/>
              <w:rPr>
                <w:sz w:val="18"/>
              </w:rPr>
            </w:pPr>
          </w:p>
        </w:tc>
        <w:tc>
          <w:tcPr>
            <w:tcW w:w="708" w:type="dxa"/>
            <w:tcBorders>
              <w:top w:val="nil"/>
              <w:left w:val="single" w:sz="8" w:space="0" w:color="000000"/>
              <w:bottom w:val="nil"/>
              <w:right w:val="single" w:sz="8" w:space="0" w:color="000000"/>
            </w:tcBorders>
          </w:tcPr>
          <w:p>
            <w:pPr>
              <w:pStyle w:val="TableParagraph"/>
              <w:rPr>
                <w:sz w:val="18"/>
              </w:rPr>
            </w:pPr>
          </w:p>
        </w:tc>
        <w:tc>
          <w:tcPr>
            <w:tcW w:w="711" w:type="dxa"/>
            <w:tcBorders>
              <w:top w:val="nil"/>
              <w:left w:val="single" w:sz="8" w:space="0" w:color="000000"/>
              <w:bottom w:val="nil"/>
              <w:right w:val="single" w:sz="8" w:space="0" w:color="000000"/>
            </w:tcBorders>
          </w:tcPr>
          <w:p>
            <w:pPr>
              <w:pStyle w:val="TableParagraph"/>
              <w:rPr>
                <w:sz w:val="18"/>
              </w:rPr>
            </w:pPr>
          </w:p>
        </w:tc>
        <w:tc>
          <w:tcPr>
            <w:tcW w:w="567" w:type="dxa"/>
            <w:tcBorders>
              <w:top w:val="nil"/>
              <w:left w:val="single" w:sz="8" w:space="0" w:color="000000"/>
              <w:bottom w:val="nil"/>
              <w:right w:val="single" w:sz="8" w:space="0" w:color="000000"/>
            </w:tcBorders>
          </w:tcPr>
          <w:p>
            <w:pPr>
              <w:pStyle w:val="TableParagraph"/>
              <w:rPr>
                <w:sz w:val="18"/>
              </w:rPr>
            </w:pPr>
          </w:p>
        </w:tc>
        <w:tc>
          <w:tcPr>
            <w:tcW w:w="567" w:type="dxa"/>
            <w:tcBorders>
              <w:top w:val="nil"/>
              <w:left w:val="single" w:sz="8" w:space="0" w:color="000000"/>
              <w:bottom w:val="nil"/>
              <w:right w:val="single" w:sz="8" w:space="0" w:color="000000"/>
            </w:tcBorders>
          </w:tcPr>
          <w:p>
            <w:pPr>
              <w:pStyle w:val="TableParagraph"/>
              <w:rPr>
                <w:sz w:val="18"/>
              </w:rPr>
            </w:pPr>
          </w:p>
        </w:tc>
        <w:tc>
          <w:tcPr>
            <w:tcW w:w="567" w:type="dxa"/>
            <w:tcBorders>
              <w:top w:val="nil"/>
              <w:left w:val="single" w:sz="8" w:space="0" w:color="000000"/>
              <w:bottom w:val="nil"/>
              <w:right w:val="single" w:sz="8" w:space="0" w:color="000000"/>
            </w:tcBorders>
          </w:tcPr>
          <w:p>
            <w:pPr>
              <w:pStyle w:val="TableParagraph"/>
              <w:rPr>
                <w:sz w:val="18"/>
              </w:rPr>
            </w:pPr>
          </w:p>
        </w:tc>
        <w:tc>
          <w:tcPr>
            <w:tcW w:w="570" w:type="dxa"/>
            <w:tcBorders>
              <w:top w:val="nil"/>
              <w:left w:val="single" w:sz="8" w:space="0" w:color="000000"/>
              <w:bottom w:val="nil"/>
              <w:right w:val="single" w:sz="8" w:space="0" w:color="000000"/>
            </w:tcBorders>
          </w:tcPr>
          <w:p>
            <w:pPr>
              <w:pStyle w:val="TableParagraph"/>
              <w:rPr>
                <w:sz w:val="18"/>
              </w:rPr>
            </w:pPr>
          </w:p>
        </w:tc>
        <w:tc>
          <w:tcPr>
            <w:tcW w:w="567" w:type="dxa"/>
            <w:vMerge/>
            <w:tcBorders>
              <w:top w:val="nil"/>
              <w:left w:val="single" w:sz="8" w:space="0" w:color="000000"/>
            </w:tcBorders>
          </w:tcPr>
          <w:p>
            <w:pPr>
              <w:rPr>
                <w:sz w:val="2"/>
                <w:szCs w:val="2"/>
              </w:rPr>
            </w:pPr>
          </w:p>
        </w:tc>
      </w:tr>
      <w:tr>
        <w:trPr>
          <w:trHeight w:val="265" w:hRule="atLeast"/>
        </w:trPr>
        <w:tc>
          <w:tcPr>
            <w:tcW w:w="852" w:type="dxa"/>
            <w:tcBorders>
              <w:top w:val="nil"/>
              <w:bottom w:val="nil"/>
            </w:tcBorders>
          </w:tcPr>
          <w:p>
            <w:pPr>
              <w:pStyle w:val="TableParagraph"/>
              <w:spacing w:before="25"/>
              <w:ind w:left="75"/>
              <w:rPr>
                <w:sz w:val="18"/>
              </w:rPr>
            </w:pPr>
            <w:r>
              <w:rPr>
                <w:sz w:val="18"/>
              </w:rPr>
              <w:t>VT3</w:t>
            </w:r>
          </w:p>
        </w:tc>
        <w:tc>
          <w:tcPr>
            <w:tcW w:w="566" w:type="dxa"/>
            <w:vMerge/>
            <w:tcBorders>
              <w:top w:val="nil"/>
              <w:right w:val="single" w:sz="8" w:space="0" w:color="000000"/>
            </w:tcBorders>
          </w:tcPr>
          <w:p>
            <w:pPr>
              <w:rPr>
                <w:sz w:val="2"/>
                <w:szCs w:val="2"/>
              </w:rPr>
            </w:pPr>
          </w:p>
        </w:tc>
        <w:tc>
          <w:tcPr>
            <w:tcW w:w="566" w:type="dxa"/>
            <w:tcBorders>
              <w:top w:val="nil"/>
              <w:left w:val="single" w:sz="8" w:space="0" w:color="000000"/>
              <w:bottom w:val="nil"/>
              <w:right w:val="single" w:sz="8" w:space="0" w:color="000000"/>
            </w:tcBorders>
          </w:tcPr>
          <w:p>
            <w:pPr>
              <w:pStyle w:val="TableParagraph"/>
              <w:rPr>
                <w:sz w:val="18"/>
              </w:rPr>
            </w:pPr>
          </w:p>
        </w:tc>
        <w:tc>
          <w:tcPr>
            <w:tcW w:w="567" w:type="dxa"/>
            <w:tcBorders>
              <w:top w:val="nil"/>
              <w:left w:val="single" w:sz="8" w:space="0" w:color="000000"/>
              <w:bottom w:val="nil"/>
              <w:right w:val="single" w:sz="8" w:space="0" w:color="000000"/>
            </w:tcBorders>
          </w:tcPr>
          <w:p>
            <w:pPr>
              <w:pStyle w:val="TableParagraph"/>
              <w:spacing w:before="25"/>
              <w:ind w:right="37"/>
              <w:jc w:val="right"/>
              <w:rPr>
                <w:sz w:val="18"/>
              </w:rPr>
            </w:pPr>
            <w:r>
              <w:rPr>
                <w:sz w:val="18"/>
              </w:rPr>
              <w:t>.741</w:t>
            </w:r>
          </w:p>
        </w:tc>
        <w:tc>
          <w:tcPr>
            <w:tcW w:w="710" w:type="dxa"/>
            <w:tcBorders>
              <w:top w:val="nil"/>
              <w:left w:val="single" w:sz="8" w:space="0" w:color="000000"/>
              <w:bottom w:val="nil"/>
              <w:right w:val="single" w:sz="8" w:space="0" w:color="000000"/>
            </w:tcBorders>
          </w:tcPr>
          <w:p>
            <w:pPr>
              <w:pStyle w:val="TableParagraph"/>
              <w:rPr>
                <w:sz w:val="18"/>
              </w:rPr>
            </w:pPr>
          </w:p>
        </w:tc>
        <w:tc>
          <w:tcPr>
            <w:tcW w:w="708" w:type="dxa"/>
            <w:tcBorders>
              <w:top w:val="nil"/>
              <w:left w:val="single" w:sz="8" w:space="0" w:color="000000"/>
              <w:bottom w:val="nil"/>
              <w:right w:val="single" w:sz="8" w:space="0" w:color="000000"/>
            </w:tcBorders>
          </w:tcPr>
          <w:p>
            <w:pPr>
              <w:pStyle w:val="TableParagraph"/>
              <w:rPr>
                <w:sz w:val="18"/>
              </w:rPr>
            </w:pPr>
          </w:p>
        </w:tc>
        <w:tc>
          <w:tcPr>
            <w:tcW w:w="708" w:type="dxa"/>
            <w:tcBorders>
              <w:top w:val="nil"/>
              <w:left w:val="single" w:sz="8" w:space="0" w:color="000000"/>
              <w:bottom w:val="nil"/>
              <w:right w:val="single" w:sz="8" w:space="0" w:color="000000"/>
            </w:tcBorders>
          </w:tcPr>
          <w:p>
            <w:pPr>
              <w:pStyle w:val="TableParagraph"/>
              <w:rPr>
                <w:sz w:val="18"/>
              </w:rPr>
            </w:pPr>
          </w:p>
        </w:tc>
        <w:tc>
          <w:tcPr>
            <w:tcW w:w="711" w:type="dxa"/>
            <w:tcBorders>
              <w:top w:val="nil"/>
              <w:left w:val="single" w:sz="8" w:space="0" w:color="000000"/>
              <w:bottom w:val="nil"/>
              <w:right w:val="single" w:sz="8" w:space="0" w:color="000000"/>
            </w:tcBorders>
          </w:tcPr>
          <w:p>
            <w:pPr>
              <w:pStyle w:val="TableParagraph"/>
              <w:rPr>
                <w:sz w:val="18"/>
              </w:rPr>
            </w:pPr>
          </w:p>
        </w:tc>
        <w:tc>
          <w:tcPr>
            <w:tcW w:w="567" w:type="dxa"/>
            <w:tcBorders>
              <w:top w:val="nil"/>
              <w:left w:val="single" w:sz="8" w:space="0" w:color="000000"/>
              <w:bottom w:val="nil"/>
              <w:right w:val="single" w:sz="8" w:space="0" w:color="000000"/>
            </w:tcBorders>
          </w:tcPr>
          <w:p>
            <w:pPr>
              <w:pStyle w:val="TableParagraph"/>
              <w:rPr>
                <w:sz w:val="18"/>
              </w:rPr>
            </w:pPr>
          </w:p>
        </w:tc>
        <w:tc>
          <w:tcPr>
            <w:tcW w:w="567" w:type="dxa"/>
            <w:tcBorders>
              <w:top w:val="nil"/>
              <w:left w:val="single" w:sz="8" w:space="0" w:color="000000"/>
              <w:bottom w:val="nil"/>
              <w:right w:val="single" w:sz="8" w:space="0" w:color="000000"/>
            </w:tcBorders>
          </w:tcPr>
          <w:p>
            <w:pPr>
              <w:pStyle w:val="TableParagraph"/>
              <w:rPr>
                <w:sz w:val="18"/>
              </w:rPr>
            </w:pPr>
          </w:p>
        </w:tc>
        <w:tc>
          <w:tcPr>
            <w:tcW w:w="567" w:type="dxa"/>
            <w:tcBorders>
              <w:top w:val="nil"/>
              <w:left w:val="single" w:sz="8" w:space="0" w:color="000000"/>
              <w:bottom w:val="nil"/>
              <w:right w:val="single" w:sz="8" w:space="0" w:color="000000"/>
            </w:tcBorders>
          </w:tcPr>
          <w:p>
            <w:pPr>
              <w:pStyle w:val="TableParagraph"/>
              <w:rPr>
                <w:sz w:val="18"/>
              </w:rPr>
            </w:pPr>
          </w:p>
        </w:tc>
        <w:tc>
          <w:tcPr>
            <w:tcW w:w="570" w:type="dxa"/>
            <w:tcBorders>
              <w:top w:val="nil"/>
              <w:left w:val="single" w:sz="8" w:space="0" w:color="000000"/>
              <w:bottom w:val="nil"/>
              <w:right w:val="single" w:sz="8" w:space="0" w:color="000000"/>
            </w:tcBorders>
          </w:tcPr>
          <w:p>
            <w:pPr>
              <w:pStyle w:val="TableParagraph"/>
              <w:rPr>
                <w:sz w:val="18"/>
              </w:rPr>
            </w:pPr>
          </w:p>
        </w:tc>
        <w:tc>
          <w:tcPr>
            <w:tcW w:w="567" w:type="dxa"/>
            <w:vMerge/>
            <w:tcBorders>
              <w:top w:val="nil"/>
              <w:left w:val="single" w:sz="8" w:space="0" w:color="000000"/>
            </w:tcBorders>
          </w:tcPr>
          <w:p>
            <w:pPr>
              <w:rPr>
                <w:sz w:val="2"/>
                <w:szCs w:val="2"/>
              </w:rPr>
            </w:pPr>
          </w:p>
        </w:tc>
      </w:tr>
      <w:tr>
        <w:trPr>
          <w:trHeight w:val="266" w:hRule="atLeast"/>
        </w:trPr>
        <w:tc>
          <w:tcPr>
            <w:tcW w:w="852" w:type="dxa"/>
            <w:tcBorders>
              <w:top w:val="nil"/>
              <w:bottom w:val="nil"/>
            </w:tcBorders>
          </w:tcPr>
          <w:p>
            <w:pPr>
              <w:pStyle w:val="TableParagraph"/>
              <w:spacing w:before="26"/>
              <w:ind w:left="75"/>
              <w:rPr>
                <w:sz w:val="18"/>
              </w:rPr>
            </w:pPr>
            <w:r>
              <w:rPr>
                <w:sz w:val="18"/>
              </w:rPr>
              <w:t>HT4</w:t>
            </w:r>
          </w:p>
        </w:tc>
        <w:tc>
          <w:tcPr>
            <w:tcW w:w="566" w:type="dxa"/>
            <w:vMerge/>
            <w:tcBorders>
              <w:top w:val="nil"/>
              <w:right w:val="single" w:sz="8" w:space="0" w:color="000000"/>
            </w:tcBorders>
          </w:tcPr>
          <w:p>
            <w:pPr>
              <w:rPr>
                <w:sz w:val="2"/>
                <w:szCs w:val="2"/>
              </w:rPr>
            </w:pPr>
          </w:p>
        </w:tc>
        <w:tc>
          <w:tcPr>
            <w:tcW w:w="566" w:type="dxa"/>
            <w:tcBorders>
              <w:top w:val="nil"/>
              <w:left w:val="single" w:sz="8" w:space="0" w:color="000000"/>
              <w:bottom w:val="nil"/>
              <w:right w:val="single" w:sz="8" w:space="0" w:color="000000"/>
            </w:tcBorders>
          </w:tcPr>
          <w:p>
            <w:pPr>
              <w:pStyle w:val="TableParagraph"/>
              <w:rPr>
                <w:sz w:val="18"/>
              </w:rPr>
            </w:pPr>
          </w:p>
        </w:tc>
        <w:tc>
          <w:tcPr>
            <w:tcW w:w="567" w:type="dxa"/>
            <w:tcBorders>
              <w:top w:val="nil"/>
              <w:left w:val="single" w:sz="8" w:space="0" w:color="000000"/>
              <w:bottom w:val="nil"/>
              <w:right w:val="single" w:sz="8" w:space="0" w:color="000000"/>
            </w:tcBorders>
          </w:tcPr>
          <w:p>
            <w:pPr>
              <w:pStyle w:val="TableParagraph"/>
              <w:rPr>
                <w:sz w:val="18"/>
              </w:rPr>
            </w:pPr>
          </w:p>
        </w:tc>
        <w:tc>
          <w:tcPr>
            <w:tcW w:w="710" w:type="dxa"/>
            <w:tcBorders>
              <w:top w:val="nil"/>
              <w:left w:val="single" w:sz="8" w:space="0" w:color="000000"/>
              <w:bottom w:val="nil"/>
              <w:right w:val="single" w:sz="8" w:space="0" w:color="000000"/>
            </w:tcBorders>
          </w:tcPr>
          <w:p>
            <w:pPr>
              <w:pStyle w:val="TableParagraph"/>
              <w:spacing w:before="26"/>
              <w:ind w:right="38"/>
              <w:jc w:val="right"/>
              <w:rPr>
                <w:sz w:val="18"/>
              </w:rPr>
            </w:pPr>
            <w:r>
              <w:rPr>
                <w:sz w:val="18"/>
              </w:rPr>
              <w:t>.843</w:t>
            </w:r>
          </w:p>
        </w:tc>
        <w:tc>
          <w:tcPr>
            <w:tcW w:w="708" w:type="dxa"/>
            <w:tcBorders>
              <w:top w:val="nil"/>
              <w:left w:val="single" w:sz="8" w:space="0" w:color="000000"/>
              <w:bottom w:val="nil"/>
              <w:right w:val="single" w:sz="8" w:space="0" w:color="000000"/>
            </w:tcBorders>
          </w:tcPr>
          <w:p>
            <w:pPr>
              <w:pStyle w:val="TableParagraph"/>
              <w:rPr>
                <w:sz w:val="18"/>
              </w:rPr>
            </w:pPr>
          </w:p>
        </w:tc>
        <w:tc>
          <w:tcPr>
            <w:tcW w:w="708" w:type="dxa"/>
            <w:tcBorders>
              <w:top w:val="nil"/>
              <w:left w:val="single" w:sz="8" w:space="0" w:color="000000"/>
              <w:bottom w:val="nil"/>
              <w:right w:val="single" w:sz="8" w:space="0" w:color="000000"/>
            </w:tcBorders>
          </w:tcPr>
          <w:p>
            <w:pPr>
              <w:pStyle w:val="TableParagraph"/>
              <w:rPr>
                <w:sz w:val="18"/>
              </w:rPr>
            </w:pPr>
          </w:p>
        </w:tc>
        <w:tc>
          <w:tcPr>
            <w:tcW w:w="711" w:type="dxa"/>
            <w:tcBorders>
              <w:top w:val="nil"/>
              <w:left w:val="single" w:sz="8" w:space="0" w:color="000000"/>
              <w:bottom w:val="nil"/>
              <w:right w:val="single" w:sz="8" w:space="0" w:color="000000"/>
            </w:tcBorders>
          </w:tcPr>
          <w:p>
            <w:pPr>
              <w:pStyle w:val="TableParagraph"/>
              <w:rPr>
                <w:sz w:val="18"/>
              </w:rPr>
            </w:pPr>
          </w:p>
        </w:tc>
        <w:tc>
          <w:tcPr>
            <w:tcW w:w="567" w:type="dxa"/>
            <w:tcBorders>
              <w:top w:val="nil"/>
              <w:left w:val="single" w:sz="8" w:space="0" w:color="000000"/>
              <w:bottom w:val="nil"/>
              <w:right w:val="single" w:sz="8" w:space="0" w:color="000000"/>
            </w:tcBorders>
          </w:tcPr>
          <w:p>
            <w:pPr>
              <w:pStyle w:val="TableParagraph"/>
              <w:rPr>
                <w:sz w:val="18"/>
              </w:rPr>
            </w:pPr>
          </w:p>
        </w:tc>
        <w:tc>
          <w:tcPr>
            <w:tcW w:w="567" w:type="dxa"/>
            <w:tcBorders>
              <w:top w:val="nil"/>
              <w:left w:val="single" w:sz="8" w:space="0" w:color="000000"/>
              <w:bottom w:val="nil"/>
              <w:right w:val="single" w:sz="8" w:space="0" w:color="000000"/>
            </w:tcBorders>
          </w:tcPr>
          <w:p>
            <w:pPr>
              <w:pStyle w:val="TableParagraph"/>
              <w:rPr>
                <w:sz w:val="18"/>
              </w:rPr>
            </w:pPr>
          </w:p>
        </w:tc>
        <w:tc>
          <w:tcPr>
            <w:tcW w:w="567" w:type="dxa"/>
            <w:tcBorders>
              <w:top w:val="nil"/>
              <w:left w:val="single" w:sz="8" w:space="0" w:color="000000"/>
              <w:bottom w:val="nil"/>
              <w:right w:val="single" w:sz="8" w:space="0" w:color="000000"/>
            </w:tcBorders>
          </w:tcPr>
          <w:p>
            <w:pPr>
              <w:pStyle w:val="TableParagraph"/>
              <w:rPr>
                <w:sz w:val="18"/>
              </w:rPr>
            </w:pPr>
          </w:p>
        </w:tc>
        <w:tc>
          <w:tcPr>
            <w:tcW w:w="570" w:type="dxa"/>
            <w:tcBorders>
              <w:top w:val="nil"/>
              <w:left w:val="single" w:sz="8" w:space="0" w:color="000000"/>
              <w:bottom w:val="nil"/>
              <w:right w:val="single" w:sz="8" w:space="0" w:color="000000"/>
            </w:tcBorders>
          </w:tcPr>
          <w:p>
            <w:pPr>
              <w:pStyle w:val="TableParagraph"/>
              <w:rPr>
                <w:sz w:val="18"/>
              </w:rPr>
            </w:pPr>
          </w:p>
        </w:tc>
        <w:tc>
          <w:tcPr>
            <w:tcW w:w="567" w:type="dxa"/>
            <w:vMerge/>
            <w:tcBorders>
              <w:top w:val="nil"/>
              <w:left w:val="single" w:sz="8" w:space="0" w:color="000000"/>
            </w:tcBorders>
          </w:tcPr>
          <w:p>
            <w:pPr>
              <w:rPr>
                <w:sz w:val="2"/>
                <w:szCs w:val="2"/>
              </w:rPr>
            </w:pPr>
          </w:p>
        </w:tc>
      </w:tr>
      <w:tr>
        <w:trPr>
          <w:trHeight w:val="264" w:hRule="atLeast"/>
        </w:trPr>
        <w:tc>
          <w:tcPr>
            <w:tcW w:w="852" w:type="dxa"/>
            <w:tcBorders>
              <w:top w:val="nil"/>
              <w:bottom w:val="nil"/>
            </w:tcBorders>
          </w:tcPr>
          <w:p>
            <w:pPr>
              <w:pStyle w:val="TableParagraph"/>
              <w:spacing w:before="25"/>
              <w:ind w:left="75"/>
              <w:rPr>
                <w:sz w:val="18"/>
              </w:rPr>
            </w:pPr>
            <w:r>
              <w:rPr>
                <w:sz w:val="18"/>
              </w:rPr>
              <w:t>HT5</w:t>
            </w:r>
          </w:p>
        </w:tc>
        <w:tc>
          <w:tcPr>
            <w:tcW w:w="566" w:type="dxa"/>
            <w:vMerge/>
            <w:tcBorders>
              <w:top w:val="nil"/>
              <w:right w:val="single" w:sz="8" w:space="0" w:color="000000"/>
            </w:tcBorders>
          </w:tcPr>
          <w:p>
            <w:pPr>
              <w:rPr>
                <w:sz w:val="2"/>
                <w:szCs w:val="2"/>
              </w:rPr>
            </w:pPr>
          </w:p>
        </w:tc>
        <w:tc>
          <w:tcPr>
            <w:tcW w:w="566" w:type="dxa"/>
            <w:tcBorders>
              <w:top w:val="nil"/>
              <w:left w:val="single" w:sz="8" w:space="0" w:color="000000"/>
              <w:bottom w:val="nil"/>
              <w:right w:val="single" w:sz="8" w:space="0" w:color="000000"/>
            </w:tcBorders>
          </w:tcPr>
          <w:p>
            <w:pPr>
              <w:pStyle w:val="TableParagraph"/>
              <w:rPr>
                <w:sz w:val="18"/>
              </w:rPr>
            </w:pPr>
          </w:p>
        </w:tc>
        <w:tc>
          <w:tcPr>
            <w:tcW w:w="567" w:type="dxa"/>
            <w:tcBorders>
              <w:top w:val="nil"/>
              <w:left w:val="single" w:sz="8" w:space="0" w:color="000000"/>
              <w:bottom w:val="nil"/>
              <w:right w:val="single" w:sz="8" w:space="0" w:color="000000"/>
            </w:tcBorders>
          </w:tcPr>
          <w:p>
            <w:pPr>
              <w:pStyle w:val="TableParagraph"/>
              <w:rPr>
                <w:sz w:val="18"/>
              </w:rPr>
            </w:pPr>
          </w:p>
        </w:tc>
        <w:tc>
          <w:tcPr>
            <w:tcW w:w="710" w:type="dxa"/>
            <w:tcBorders>
              <w:top w:val="nil"/>
              <w:left w:val="single" w:sz="8" w:space="0" w:color="000000"/>
              <w:bottom w:val="nil"/>
              <w:right w:val="single" w:sz="8" w:space="0" w:color="000000"/>
            </w:tcBorders>
          </w:tcPr>
          <w:p>
            <w:pPr>
              <w:pStyle w:val="TableParagraph"/>
              <w:spacing w:before="25"/>
              <w:ind w:right="38"/>
              <w:jc w:val="right"/>
              <w:rPr>
                <w:sz w:val="18"/>
              </w:rPr>
            </w:pPr>
            <w:r>
              <w:rPr>
                <w:sz w:val="18"/>
              </w:rPr>
              <w:t>.830</w:t>
            </w:r>
          </w:p>
        </w:tc>
        <w:tc>
          <w:tcPr>
            <w:tcW w:w="708" w:type="dxa"/>
            <w:tcBorders>
              <w:top w:val="nil"/>
              <w:left w:val="single" w:sz="8" w:space="0" w:color="000000"/>
              <w:bottom w:val="nil"/>
              <w:right w:val="single" w:sz="8" w:space="0" w:color="000000"/>
            </w:tcBorders>
          </w:tcPr>
          <w:p>
            <w:pPr>
              <w:pStyle w:val="TableParagraph"/>
              <w:rPr>
                <w:sz w:val="18"/>
              </w:rPr>
            </w:pPr>
          </w:p>
        </w:tc>
        <w:tc>
          <w:tcPr>
            <w:tcW w:w="708" w:type="dxa"/>
            <w:tcBorders>
              <w:top w:val="nil"/>
              <w:left w:val="single" w:sz="8" w:space="0" w:color="000000"/>
              <w:bottom w:val="nil"/>
              <w:right w:val="single" w:sz="8" w:space="0" w:color="000000"/>
            </w:tcBorders>
          </w:tcPr>
          <w:p>
            <w:pPr>
              <w:pStyle w:val="TableParagraph"/>
              <w:rPr>
                <w:sz w:val="18"/>
              </w:rPr>
            </w:pPr>
          </w:p>
        </w:tc>
        <w:tc>
          <w:tcPr>
            <w:tcW w:w="711" w:type="dxa"/>
            <w:tcBorders>
              <w:top w:val="nil"/>
              <w:left w:val="single" w:sz="8" w:space="0" w:color="000000"/>
              <w:bottom w:val="nil"/>
              <w:right w:val="single" w:sz="8" w:space="0" w:color="000000"/>
            </w:tcBorders>
          </w:tcPr>
          <w:p>
            <w:pPr>
              <w:pStyle w:val="TableParagraph"/>
              <w:rPr>
                <w:sz w:val="18"/>
              </w:rPr>
            </w:pPr>
          </w:p>
        </w:tc>
        <w:tc>
          <w:tcPr>
            <w:tcW w:w="567" w:type="dxa"/>
            <w:tcBorders>
              <w:top w:val="nil"/>
              <w:left w:val="single" w:sz="8" w:space="0" w:color="000000"/>
              <w:bottom w:val="nil"/>
              <w:right w:val="single" w:sz="8" w:space="0" w:color="000000"/>
            </w:tcBorders>
          </w:tcPr>
          <w:p>
            <w:pPr>
              <w:pStyle w:val="TableParagraph"/>
              <w:rPr>
                <w:sz w:val="18"/>
              </w:rPr>
            </w:pPr>
          </w:p>
        </w:tc>
        <w:tc>
          <w:tcPr>
            <w:tcW w:w="567" w:type="dxa"/>
            <w:tcBorders>
              <w:top w:val="nil"/>
              <w:left w:val="single" w:sz="8" w:space="0" w:color="000000"/>
              <w:bottom w:val="nil"/>
              <w:right w:val="single" w:sz="8" w:space="0" w:color="000000"/>
            </w:tcBorders>
          </w:tcPr>
          <w:p>
            <w:pPr>
              <w:pStyle w:val="TableParagraph"/>
              <w:rPr>
                <w:sz w:val="18"/>
              </w:rPr>
            </w:pPr>
          </w:p>
        </w:tc>
        <w:tc>
          <w:tcPr>
            <w:tcW w:w="567" w:type="dxa"/>
            <w:tcBorders>
              <w:top w:val="nil"/>
              <w:left w:val="single" w:sz="8" w:space="0" w:color="000000"/>
              <w:bottom w:val="nil"/>
              <w:right w:val="single" w:sz="8" w:space="0" w:color="000000"/>
            </w:tcBorders>
          </w:tcPr>
          <w:p>
            <w:pPr>
              <w:pStyle w:val="TableParagraph"/>
              <w:rPr>
                <w:sz w:val="18"/>
              </w:rPr>
            </w:pPr>
          </w:p>
        </w:tc>
        <w:tc>
          <w:tcPr>
            <w:tcW w:w="570" w:type="dxa"/>
            <w:tcBorders>
              <w:top w:val="nil"/>
              <w:left w:val="single" w:sz="8" w:space="0" w:color="000000"/>
              <w:bottom w:val="nil"/>
              <w:right w:val="single" w:sz="8" w:space="0" w:color="000000"/>
            </w:tcBorders>
          </w:tcPr>
          <w:p>
            <w:pPr>
              <w:pStyle w:val="TableParagraph"/>
              <w:rPr>
                <w:sz w:val="18"/>
              </w:rPr>
            </w:pPr>
          </w:p>
        </w:tc>
        <w:tc>
          <w:tcPr>
            <w:tcW w:w="567" w:type="dxa"/>
            <w:vMerge/>
            <w:tcBorders>
              <w:top w:val="nil"/>
              <w:left w:val="single" w:sz="8" w:space="0" w:color="000000"/>
            </w:tcBorders>
          </w:tcPr>
          <w:p>
            <w:pPr>
              <w:rPr>
                <w:sz w:val="2"/>
                <w:szCs w:val="2"/>
              </w:rPr>
            </w:pPr>
          </w:p>
        </w:tc>
      </w:tr>
      <w:tr>
        <w:trPr>
          <w:trHeight w:val="265" w:hRule="atLeast"/>
        </w:trPr>
        <w:tc>
          <w:tcPr>
            <w:tcW w:w="852" w:type="dxa"/>
            <w:tcBorders>
              <w:top w:val="nil"/>
              <w:bottom w:val="nil"/>
            </w:tcBorders>
          </w:tcPr>
          <w:p>
            <w:pPr>
              <w:pStyle w:val="TableParagraph"/>
              <w:spacing w:before="25"/>
              <w:ind w:left="75"/>
              <w:rPr>
                <w:sz w:val="18"/>
              </w:rPr>
            </w:pPr>
            <w:r>
              <w:rPr>
                <w:sz w:val="18"/>
              </w:rPr>
              <w:t>HT6</w:t>
            </w:r>
          </w:p>
        </w:tc>
        <w:tc>
          <w:tcPr>
            <w:tcW w:w="566" w:type="dxa"/>
            <w:vMerge/>
            <w:tcBorders>
              <w:top w:val="nil"/>
              <w:right w:val="single" w:sz="8" w:space="0" w:color="000000"/>
            </w:tcBorders>
          </w:tcPr>
          <w:p>
            <w:pPr>
              <w:rPr>
                <w:sz w:val="2"/>
                <w:szCs w:val="2"/>
              </w:rPr>
            </w:pPr>
          </w:p>
        </w:tc>
        <w:tc>
          <w:tcPr>
            <w:tcW w:w="566" w:type="dxa"/>
            <w:tcBorders>
              <w:top w:val="nil"/>
              <w:left w:val="single" w:sz="8" w:space="0" w:color="000000"/>
              <w:bottom w:val="nil"/>
              <w:right w:val="single" w:sz="8" w:space="0" w:color="000000"/>
            </w:tcBorders>
          </w:tcPr>
          <w:p>
            <w:pPr>
              <w:pStyle w:val="TableParagraph"/>
              <w:rPr>
                <w:sz w:val="18"/>
              </w:rPr>
            </w:pPr>
          </w:p>
        </w:tc>
        <w:tc>
          <w:tcPr>
            <w:tcW w:w="567" w:type="dxa"/>
            <w:tcBorders>
              <w:top w:val="nil"/>
              <w:left w:val="single" w:sz="8" w:space="0" w:color="000000"/>
              <w:bottom w:val="nil"/>
              <w:right w:val="single" w:sz="8" w:space="0" w:color="000000"/>
            </w:tcBorders>
          </w:tcPr>
          <w:p>
            <w:pPr>
              <w:pStyle w:val="TableParagraph"/>
              <w:rPr>
                <w:sz w:val="18"/>
              </w:rPr>
            </w:pPr>
          </w:p>
        </w:tc>
        <w:tc>
          <w:tcPr>
            <w:tcW w:w="710" w:type="dxa"/>
            <w:tcBorders>
              <w:top w:val="nil"/>
              <w:left w:val="single" w:sz="8" w:space="0" w:color="000000"/>
              <w:bottom w:val="nil"/>
              <w:right w:val="single" w:sz="8" w:space="0" w:color="000000"/>
            </w:tcBorders>
          </w:tcPr>
          <w:p>
            <w:pPr>
              <w:pStyle w:val="TableParagraph"/>
              <w:spacing w:before="25"/>
              <w:ind w:right="38"/>
              <w:jc w:val="right"/>
              <w:rPr>
                <w:sz w:val="18"/>
              </w:rPr>
            </w:pPr>
            <w:r>
              <w:rPr>
                <w:sz w:val="18"/>
              </w:rPr>
              <w:t>.786</w:t>
            </w:r>
          </w:p>
        </w:tc>
        <w:tc>
          <w:tcPr>
            <w:tcW w:w="708" w:type="dxa"/>
            <w:tcBorders>
              <w:top w:val="nil"/>
              <w:left w:val="single" w:sz="8" w:space="0" w:color="000000"/>
              <w:bottom w:val="nil"/>
              <w:right w:val="single" w:sz="8" w:space="0" w:color="000000"/>
            </w:tcBorders>
          </w:tcPr>
          <w:p>
            <w:pPr>
              <w:pStyle w:val="TableParagraph"/>
              <w:rPr>
                <w:sz w:val="18"/>
              </w:rPr>
            </w:pPr>
          </w:p>
        </w:tc>
        <w:tc>
          <w:tcPr>
            <w:tcW w:w="708" w:type="dxa"/>
            <w:tcBorders>
              <w:top w:val="nil"/>
              <w:left w:val="single" w:sz="8" w:space="0" w:color="000000"/>
              <w:bottom w:val="nil"/>
              <w:right w:val="single" w:sz="8" w:space="0" w:color="000000"/>
            </w:tcBorders>
          </w:tcPr>
          <w:p>
            <w:pPr>
              <w:pStyle w:val="TableParagraph"/>
              <w:rPr>
                <w:sz w:val="18"/>
              </w:rPr>
            </w:pPr>
          </w:p>
        </w:tc>
        <w:tc>
          <w:tcPr>
            <w:tcW w:w="711" w:type="dxa"/>
            <w:tcBorders>
              <w:top w:val="nil"/>
              <w:left w:val="single" w:sz="8" w:space="0" w:color="000000"/>
              <w:bottom w:val="nil"/>
              <w:right w:val="single" w:sz="8" w:space="0" w:color="000000"/>
            </w:tcBorders>
          </w:tcPr>
          <w:p>
            <w:pPr>
              <w:pStyle w:val="TableParagraph"/>
              <w:rPr>
                <w:sz w:val="18"/>
              </w:rPr>
            </w:pPr>
          </w:p>
        </w:tc>
        <w:tc>
          <w:tcPr>
            <w:tcW w:w="567" w:type="dxa"/>
            <w:tcBorders>
              <w:top w:val="nil"/>
              <w:left w:val="single" w:sz="8" w:space="0" w:color="000000"/>
              <w:bottom w:val="nil"/>
              <w:right w:val="single" w:sz="8" w:space="0" w:color="000000"/>
            </w:tcBorders>
          </w:tcPr>
          <w:p>
            <w:pPr>
              <w:pStyle w:val="TableParagraph"/>
              <w:rPr>
                <w:sz w:val="18"/>
              </w:rPr>
            </w:pPr>
          </w:p>
        </w:tc>
        <w:tc>
          <w:tcPr>
            <w:tcW w:w="567" w:type="dxa"/>
            <w:tcBorders>
              <w:top w:val="nil"/>
              <w:left w:val="single" w:sz="8" w:space="0" w:color="000000"/>
              <w:bottom w:val="nil"/>
              <w:right w:val="single" w:sz="8" w:space="0" w:color="000000"/>
            </w:tcBorders>
          </w:tcPr>
          <w:p>
            <w:pPr>
              <w:pStyle w:val="TableParagraph"/>
              <w:rPr>
                <w:sz w:val="18"/>
              </w:rPr>
            </w:pPr>
          </w:p>
        </w:tc>
        <w:tc>
          <w:tcPr>
            <w:tcW w:w="567" w:type="dxa"/>
            <w:tcBorders>
              <w:top w:val="nil"/>
              <w:left w:val="single" w:sz="8" w:space="0" w:color="000000"/>
              <w:bottom w:val="nil"/>
              <w:right w:val="single" w:sz="8" w:space="0" w:color="000000"/>
            </w:tcBorders>
          </w:tcPr>
          <w:p>
            <w:pPr>
              <w:pStyle w:val="TableParagraph"/>
              <w:rPr>
                <w:sz w:val="18"/>
              </w:rPr>
            </w:pPr>
          </w:p>
        </w:tc>
        <w:tc>
          <w:tcPr>
            <w:tcW w:w="570" w:type="dxa"/>
            <w:tcBorders>
              <w:top w:val="nil"/>
              <w:left w:val="single" w:sz="8" w:space="0" w:color="000000"/>
              <w:bottom w:val="nil"/>
              <w:right w:val="single" w:sz="8" w:space="0" w:color="000000"/>
            </w:tcBorders>
          </w:tcPr>
          <w:p>
            <w:pPr>
              <w:pStyle w:val="TableParagraph"/>
              <w:rPr>
                <w:sz w:val="18"/>
              </w:rPr>
            </w:pPr>
          </w:p>
        </w:tc>
        <w:tc>
          <w:tcPr>
            <w:tcW w:w="567" w:type="dxa"/>
            <w:vMerge/>
            <w:tcBorders>
              <w:top w:val="nil"/>
              <w:left w:val="single" w:sz="8" w:space="0" w:color="000000"/>
            </w:tcBorders>
          </w:tcPr>
          <w:p>
            <w:pPr>
              <w:rPr>
                <w:sz w:val="2"/>
                <w:szCs w:val="2"/>
              </w:rPr>
            </w:pPr>
          </w:p>
        </w:tc>
      </w:tr>
      <w:tr>
        <w:trPr>
          <w:trHeight w:val="265" w:hRule="atLeast"/>
        </w:trPr>
        <w:tc>
          <w:tcPr>
            <w:tcW w:w="852" w:type="dxa"/>
            <w:tcBorders>
              <w:top w:val="nil"/>
              <w:bottom w:val="nil"/>
            </w:tcBorders>
          </w:tcPr>
          <w:p>
            <w:pPr>
              <w:pStyle w:val="TableParagraph"/>
              <w:spacing w:before="26"/>
              <w:ind w:left="75"/>
              <w:rPr>
                <w:sz w:val="18"/>
              </w:rPr>
            </w:pPr>
            <w:r>
              <w:rPr>
                <w:sz w:val="18"/>
              </w:rPr>
              <w:t>HT1</w:t>
            </w:r>
          </w:p>
        </w:tc>
        <w:tc>
          <w:tcPr>
            <w:tcW w:w="566" w:type="dxa"/>
            <w:vMerge/>
            <w:tcBorders>
              <w:top w:val="nil"/>
              <w:right w:val="single" w:sz="8" w:space="0" w:color="000000"/>
            </w:tcBorders>
          </w:tcPr>
          <w:p>
            <w:pPr>
              <w:rPr>
                <w:sz w:val="2"/>
                <w:szCs w:val="2"/>
              </w:rPr>
            </w:pPr>
          </w:p>
        </w:tc>
        <w:tc>
          <w:tcPr>
            <w:tcW w:w="566" w:type="dxa"/>
            <w:tcBorders>
              <w:top w:val="nil"/>
              <w:left w:val="single" w:sz="8" w:space="0" w:color="000000"/>
              <w:bottom w:val="nil"/>
              <w:right w:val="single" w:sz="8" w:space="0" w:color="000000"/>
            </w:tcBorders>
          </w:tcPr>
          <w:p>
            <w:pPr>
              <w:pStyle w:val="TableParagraph"/>
              <w:rPr>
                <w:sz w:val="18"/>
              </w:rPr>
            </w:pPr>
          </w:p>
        </w:tc>
        <w:tc>
          <w:tcPr>
            <w:tcW w:w="567" w:type="dxa"/>
            <w:tcBorders>
              <w:top w:val="nil"/>
              <w:left w:val="single" w:sz="8" w:space="0" w:color="000000"/>
              <w:bottom w:val="nil"/>
              <w:right w:val="single" w:sz="8" w:space="0" w:color="000000"/>
            </w:tcBorders>
          </w:tcPr>
          <w:p>
            <w:pPr>
              <w:pStyle w:val="TableParagraph"/>
              <w:rPr>
                <w:sz w:val="18"/>
              </w:rPr>
            </w:pPr>
          </w:p>
        </w:tc>
        <w:tc>
          <w:tcPr>
            <w:tcW w:w="710" w:type="dxa"/>
            <w:tcBorders>
              <w:top w:val="nil"/>
              <w:left w:val="single" w:sz="8" w:space="0" w:color="000000"/>
              <w:bottom w:val="nil"/>
              <w:right w:val="single" w:sz="8" w:space="0" w:color="000000"/>
            </w:tcBorders>
          </w:tcPr>
          <w:p>
            <w:pPr>
              <w:pStyle w:val="TableParagraph"/>
              <w:spacing w:before="26"/>
              <w:ind w:right="38"/>
              <w:jc w:val="right"/>
              <w:rPr>
                <w:sz w:val="18"/>
              </w:rPr>
            </w:pPr>
            <w:r>
              <w:rPr>
                <w:sz w:val="18"/>
              </w:rPr>
              <w:t>.695</w:t>
            </w:r>
          </w:p>
        </w:tc>
        <w:tc>
          <w:tcPr>
            <w:tcW w:w="708" w:type="dxa"/>
            <w:tcBorders>
              <w:top w:val="nil"/>
              <w:left w:val="single" w:sz="8" w:space="0" w:color="000000"/>
              <w:bottom w:val="nil"/>
              <w:right w:val="single" w:sz="8" w:space="0" w:color="000000"/>
            </w:tcBorders>
          </w:tcPr>
          <w:p>
            <w:pPr>
              <w:pStyle w:val="TableParagraph"/>
              <w:rPr>
                <w:sz w:val="18"/>
              </w:rPr>
            </w:pPr>
          </w:p>
        </w:tc>
        <w:tc>
          <w:tcPr>
            <w:tcW w:w="708" w:type="dxa"/>
            <w:tcBorders>
              <w:top w:val="nil"/>
              <w:left w:val="single" w:sz="8" w:space="0" w:color="000000"/>
              <w:bottom w:val="nil"/>
              <w:right w:val="single" w:sz="8" w:space="0" w:color="000000"/>
            </w:tcBorders>
          </w:tcPr>
          <w:p>
            <w:pPr>
              <w:pStyle w:val="TableParagraph"/>
              <w:rPr>
                <w:sz w:val="18"/>
              </w:rPr>
            </w:pPr>
          </w:p>
        </w:tc>
        <w:tc>
          <w:tcPr>
            <w:tcW w:w="711" w:type="dxa"/>
            <w:tcBorders>
              <w:top w:val="nil"/>
              <w:left w:val="single" w:sz="8" w:space="0" w:color="000000"/>
              <w:bottom w:val="nil"/>
              <w:right w:val="single" w:sz="8" w:space="0" w:color="000000"/>
            </w:tcBorders>
          </w:tcPr>
          <w:p>
            <w:pPr>
              <w:pStyle w:val="TableParagraph"/>
              <w:rPr>
                <w:sz w:val="18"/>
              </w:rPr>
            </w:pPr>
          </w:p>
        </w:tc>
        <w:tc>
          <w:tcPr>
            <w:tcW w:w="567" w:type="dxa"/>
            <w:tcBorders>
              <w:top w:val="nil"/>
              <w:left w:val="single" w:sz="8" w:space="0" w:color="000000"/>
              <w:bottom w:val="nil"/>
              <w:right w:val="single" w:sz="8" w:space="0" w:color="000000"/>
            </w:tcBorders>
          </w:tcPr>
          <w:p>
            <w:pPr>
              <w:pStyle w:val="TableParagraph"/>
              <w:rPr>
                <w:sz w:val="18"/>
              </w:rPr>
            </w:pPr>
          </w:p>
        </w:tc>
        <w:tc>
          <w:tcPr>
            <w:tcW w:w="567" w:type="dxa"/>
            <w:tcBorders>
              <w:top w:val="nil"/>
              <w:left w:val="single" w:sz="8" w:space="0" w:color="000000"/>
              <w:bottom w:val="nil"/>
              <w:right w:val="single" w:sz="8" w:space="0" w:color="000000"/>
            </w:tcBorders>
          </w:tcPr>
          <w:p>
            <w:pPr>
              <w:pStyle w:val="TableParagraph"/>
              <w:rPr>
                <w:sz w:val="18"/>
              </w:rPr>
            </w:pPr>
          </w:p>
        </w:tc>
        <w:tc>
          <w:tcPr>
            <w:tcW w:w="567" w:type="dxa"/>
            <w:tcBorders>
              <w:top w:val="nil"/>
              <w:left w:val="single" w:sz="8" w:space="0" w:color="000000"/>
              <w:bottom w:val="nil"/>
              <w:right w:val="single" w:sz="8" w:space="0" w:color="000000"/>
            </w:tcBorders>
          </w:tcPr>
          <w:p>
            <w:pPr>
              <w:pStyle w:val="TableParagraph"/>
              <w:rPr>
                <w:sz w:val="18"/>
              </w:rPr>
            </w:pPr>
          </w:p>
        </w:tc>
        <w:tc>
          <w:tcPr>
            <w:tcW w:w="570" w:type="dxa"/>
            <w:tcBorders>
              <w:top w:val="nil"/>
              <w:left w:val="single" w:sz="8" w:space="0" w:color="000000"/>
              <w:bottom w:val="nil"/>
              <w:right w:val="single" w:sz="8" w:space="0" w:color="000000"/>
            </w:tcBorders>
          </w:tcPr>
          <w:p>
            <w:pPr>
              <w:pStyle w:val="TableParagraph"/>
              <w:rPr>
                <w:sz w:val="18"/>
              </w:rPr>
            </w:pPr>
          </w:p>
        </w:tc>
        <w:tc>
          <w:tcPr>
            <w:tcW w:w="567" w:type="dxa"/>
            <w:vMerge/>
            <w:tcBorders>
              <w:top w:val="nil"/>
              <w:left w:val="single" w:sz="8" w:space="0" w:color="000000"/>
            </w:tcBorders>
          </w:tcPr>
          <w:p>
            <w:pPr>
              <w:rPr>
                <w:sz w:val="2"/>
                <w:szCs w:val="2"/>
              </w:rPr>
            </w:pPr>
          </w:p>
        </w:tc>
      </w:tr>
      <w:tr>
        <w:trPr>
          <w:trHeight w:val="264" w:hRule="atLeast"/>
        </w:trPr>
        <w:tc>
          <w:tcPr>
            <w:tcW w:w="852" w:type="dxa"/>
            <w:tcBorders>
              <w:top w:val="nil"/>
              <w:bottom w:val="nil"/>
            </w:tcBorders>
          </w:tcPr>
          <w:p>
            <w:pPr>
              <w:pStyle w:val="TableParagraph"/>
              <w:spacing w:before="25"/>
              <w:ind w:left="75"/>
              <w:rPr>
                <w:sz w:val="18"/>
              </w:rPr>
            </w:pPr>
            <w:r>
              <w:rPr>
                <w:sz w:val="18"/>
              </w:rPr>
              <w:t>HT2</w:t>
            </w:r>
          </w:p>
        </w:tc>
        <w:tc>
          <w:tcPr>
            <w:tcW w:w="566" w:type="dxa"/>
            <w:vMerge/>
            <w:tcBorders>
              <w:top w:val="nil"/>
              <w:right w:val="single" w:sz="8" w:space="0" w:color="000000"/>
            </w:tcBorders>
          </w:tcPr>
          <w:p>
            <w:pPr>
              <w:rPr>
                <w:sz w:val="2"/>
                <w:szCs w:val="2"/>
              </w:rPr>
            </w:pPr>
          </w:p>
        </w:tc>
        <w:tc>
          <w:tcPr>
            <w:tcW w:w="566" w:type="dxa"/>
            <w:tcBorders>
              <w:top w:val="nil"/>
              <w:left w:val="single" w:sz="8" w:space="0" w:color="000000"/>
              <w:bottom w:val="nil"/>
              <w:right w:val="single" w:sz="8" w:space="0" w:color="000000"/>
            </w:tcBorders>
          </w:tcPr>
          <w:p>
            <w:pPr>
              <w:pStyle w:val="TableParagraph"/>
              <w:rPr>
                <w:sz w:val="18"/>
              </w:rPr>
            </w:pPr>
          </w:p>
        </w:tc>
        <w:tc>
          <w:tcPr>
            <w:tcW w:w="567" w:type="dxa"/>
            <w:tcBorders>
              <w:top w:val="nil"/>
              <w:left w:val="single" w:sz="8" w:space="0" w:color="000000"/>
              <w:bottom w:val="nil"/>
              <w:right w:val="single" w:sz="8" w:space="0" w:color="000000"/>
            </w:tcBorders>
          </w:tcPr>
          <w:p>
            <w:pPr>
              <w:pStyle w:val="TableParagraph"/>
              <w:rPr>
                <w:sz w:val="18"/>
              </w:rPr>
            </w:pPr>
          </w:p>
        </w:tc>
        <w:tc>
          <w:tcPr>
            <w:tcW w:w="710" w:type="dxa"/>
            <w:tcBorders>
              <w:top w:val="nil"/>
              <w:left w:val="single" w:sz="8" w:space="0" w:color="000000"/>
              <w:bottom w:val="nil"/>
              <w:right w:val="single" w:sz="8" w:space="0" w:color="000000"/>
            </w:tcBorders>
          </w:tcPr>
          <w:p>
            <w:pPr>
              <w:pStyle w:val="TableParagraph"/>
              <w:spacing w:before="25"/>
              <w:ind w:right="38"/>
              <w:jc w:val="right"/>
              <w:rPr>
                <w:sz w:val="18"/>
              </w:rPr>
            </w:pPr>
            <w:r>
              <w:rPr>
                <w:sz w:val="18"/>
              </w:rPr>
              <w:t>.648</w:t>
            </w:r>
          </w:p>
        </w:tc>
        <w:tc>
          <w:tcPr>
            <w:tcW w:w="708" w:type="dxa"/>
            <w:tcBorders>
              <w:top w:val="nil"/>
              <w:left w:val="single" w:sz="8" w:space="0" w:color="000000"/>
              <w:bottom w:val="nil"/>
              <w:right w:val="single" w:sz="8" w:space="0" w:color="000000"/>
            </w:tcBorders>
          </w:tcPr>
          <w:p>
            <w:pPr>
              <w:pStyle w:val="TableParagraph"/>
              <w:rPr>
                <w:sz w:val="18"/>
              </w:rPr>
            </w:pPr>
          </w:p>
        </w:tc>
        <w:tc>
          <w:tcPr>
            <w:tcW w:w="708" w:type="dxa"/>
            <w:tcBorders>
              <w:top w:val="nil"/>
              <w:left w:val="single" w:sz="8" w:space="0" w:color="000000"/>
              <w:bottom w:val="nil"/>
              <w:right w:val="single" w:sz="8" w:space="0" w:color="000000"/>
            </w:tcBorders>
          </w:tcPr>
          <w:p>
            <w:pPr>
              <w:pStyle w:val="TableParagraph"/>
              <w:rPr>
                <w:sz w:val="18"/>
              </w:rPr>
            </w:pPr>
          </w:p>
        </w:tc>
        <w:tc>
          <w:tcPr>
            <w:tcW w:w="711" w:type="dxa"/>
            <w:tcBorders>
              <w:top w:val="nil"/>
              <w:left w:val="single" w:sz="8" w:space="0" w:color="000000"/>
              <w:bottom w:val="nil"/>
              <w:right w:val="single" w:sz="8" w:space="0" w:color="000000"/>
            </w:tcBorders>
          </w:tcPr>
          <w:p>
            <w:pPr>
              <w:pStyle w:val="TableParagraph"/>
              <w:rPr>
                <w:sz w:val="18"/>
              </w:rPr>
            </w:pPr>
          </w:p>
        </w:tc>
        <w:tc>
          <w:tcPr>
            <w:tcW w:w="567" w:type="dxa"/>
            <w:tcBorders>
              <w:top w:val="nil"/>
              <w:left w:val="single" w:sz="8" w:space="0" w:color="000000"/>
              <w:bottom w:val="nil"/>
              <w:right w:val="single" w:sz="8" w:space="0" w:color="000000"/>
            </w:tcBorders>
          </w:tcPr>
          <w:p>
            <w:pPr>
              <w:pStyle w:val="TableParagraph"/>
              <w:rPr>
                <w:sz w:val="18"/>
              </w:rPr>
            </w:pPr>
          </w:p>
        </w:tc>
        <w:tc>
          <w:tcPr>
            <w:tcW w:w="567" w:type="dxa"/>
            <w:tcBorders>
              <w:top w:val="nil"/>
              <w:left w:val="single" w:sz="8" w:space="0" w:color="000000"/>
              <w:bottom w:val="nil"/>
              <w:right w:val="single" w:sz="8" w:space="0" w:color="000000"/>
            </w:tcBorders>
          </w:tcPr>
          <w:p>
            <w:pPr>
              <w:pStyle w:val="TableParagraph"/>
              <w:rPr>
                <w:sz w:val="18"/>
              </w:rPr>
            </w:pPr>
          </w:p>
        </w:tc>
        <w:tc>
          <w:tcPr>
            <w:tcW w:w="567" w:type="dxa"/>
            <w:tcBorders>
              <w:top w:val="nil"/>
              <w:left w:val="single" w:sz="8" w:space="0" w:color="000000"/>
              <w:bottom w:val="nil"/>
              <w:right w:val="single" w:sz="8" w:space="0" w:color="000000"/>
            </w:tcBorders>
          </w:tcPr>
          <w:p>
            <w:pPr>
              <w:pStyle w:val="TableParagraph"/>
              <w:rPr>
                <w:sz w:val="18"/>
              </w:rPr>
            </w:pPr>
          </w:p>
        </w:tc>
        <w:tc>
          <w:tcPr>
            <w:tcW w:w="570" w:type="dxa"/>
            <w:tcBorders>
              <w:top w:val="nil"/>
              <w:left w:val="single" w:sz="8" w:space="0" w:color="000000"/>
              <w:bottom w:val="nil"/>
              <w:right w:val="single" w:sz="8" w:space="0" w:color="000000"/>
            </w:tcBorders>
          </w:tcPr>
          <w:p>
            <w:pPr>
              <w:pStyle w:val="TableParagraph"/>
              <w:rPr>
                <w:sz w:val="18"/>
              </w:rPr>
            </w:pPr>
          </w:p>
        </w:tc>
        <w:tc>
          <w:tcPr>
            <w:tcW w:w="567" w:type="dxa"/>
            <w:vMerge/>
            <w:tcBorders>
              <w:top w:val="nil"/>
              <w:left w:val="single" w:sz="8" w:space="0" w:color="000000"/>
            </w:tcBorders>
          </w:tcPr>
          <w:p>
            <w:pPr>
              <w:rPr>
                <w:sz w:val="2"/>
                <w:szCs w:val="2"/>
              </w:rPr>
            </w:pPr>
          </w:p>
        </w:tc>
      </w:tr>
      <w:tr>
        <w:trPr>
          <w:trHeight w:val="265" w:hRule="atLeast"/>
        </w:trPr>
        <w:tc>
          <w:tcPr>
            <w:tcW w:w="852" w:type="dxa"/>
            <w:tcBorders>
              <w:top w:val="nil"/>
              <w:bottom w:val="nil"/>
            </w:tcBorders>
          </w:tcPr>
          <w:p>
            <w:pPr>
              <w:pStyle w:val="TableParagraph"/>
              <w:spacing w:before="25"/>
              <w:ind w:left="75"/>
              <w:rPr>
                <w:sz w:val="18"/>
              </w:rPr>
            </w:pPr>
            <w:r>
              <w:rPr>
                <w:sz w:val="18"/>
              </w:rPr>
              <w:t>HT7</w:t>
            </w:r>
          </w:p>
        </w:tc>
        <w:tc>
          <w:tcPr>
            <w:tcW w:w="566" w:type="dxa"/>
            <w:vMerge/>
            <w:tcBorders>
              <w:top w:val="nil"/>
              <w:right w:val="single" w:sz="8" w:space="0" w:color="000000"/>
            </w:tcBorders>
          </w:tcPr>
          <w:p>
            <w:pPr>
              <w:rPr>
                <w:sz w:val="2"/>
                <w:szCs w:val="2"/>
              </w:rPr>
            </w:pPr>
          </w:p>
        </w:tc>
        <w:tc>
          <w:tcPr>
            <w:tcW w:w="566" w:type="dxa"/>
            <w:tcBorders>
              <w:top w:val="nil"/>
              <w:left w:val="single" w:sz="8" w:space="0" w:color="000000"/>
              <w:bottom w:val="nil"/>
              <w:right w:val="single" w:sz="8" w:space="0" w:color="000000"/>
            </w:tcBorders>
          </w:tcPr>
          <w:p>
            <w:pPr>
              <w:pStyle w:val="TableParagraph"/>
              <w:rPr>
                <w:sz w:val="18"/>
              </w:rPr>
            </w:pPr>
          </w:p>
        </w:tc>
        <w:tc>
          <w:tcPr>
            <w:tcW w:w="567" w:type="dxa"/>
            <w:tcBorders>
              <w:top w:val="nil"/>
              <w:left w:val="single" w:sz="8" w:space="0" w:color="000000"/>
              <w:bottom w:val="nil"/>
              <w:right w:val="single" w:sz="8" w:space="0" w:color="000000"/>
            </w:tcBorders>
          </w:tcPr>
          <w:p>
            <w:pPr>
              <w:pStyle w:val="TableParagraph"/>
              <w:rPr>
                <w:sz w:val="18"/>
              </w:rPr>
            </w:pPr>
          </w:p>
        </w:tc>
        <w:tc>
          <w:tcPr>
            <w:tcW w:w="710" w:type="dxa"/>
            <w:tcBorders>
              <w:top w:val="nil"/>
              <w:left w:val="single" w:sz="8" w:space="0" w:color="000000"/>
              <w:bottom w:val="nil"/>
              <w:right w:val="single" w:sz="8" w:space="0" w:color="000000"/>
            </w:tcBorders>
          </w:tcPr>
          <w:p>
            <w:pPr>
              <w:pStyle w:val="TableParagraph"/>
              <w:spacing w:before="25"/>
              <w:ind w:right="38"/>
              <w:jc w:val="right"/>
              <w:rPr>
                <w:sz w:val="18"/>
              </w:rPr>
            </w:pPr>
            <w:r>
              <w:rPr>
                <w:sz w:val="18"/>
              </w:rPr>
              <w:t>.612</w:t>
            </w:r>
          </w:p>
        </w:tc>
        <w:tc>
          <w:tcPr>
            <w:tcW w:w="708" w:type="dxa"/>
            <w:tcBorders>
              <w:top w:val="nil"/>
              <w:left w:val="single" w:sz="8" w:space="0" w:color="000000"/>
              <w:bottom w:val="nil"/>
              <w:right w:val="single" w:sz="8" w:space="0" w:color="000000"/>
            </w:tcBorders>
          </w:tcPr>
          <w:p>
            <w:pPr>
              <w:pStyle w:val="TableParagraph"/>
              <w:rPr>
                <w:sz w:val="18"/>
              </w:rPr>
            </w:pPr>
          </w:p>
        </w:tc>
        <w:tc>
          <w:tcPr>
            <w:tcW w:w="708" w:type="dxa"/>
            <w:tcBorders>
              <w:top w:val="nil"/>
              <w:left w:val="single" w:sz="8" w:space="0" w:color="000000"/>
              <w:bottom w:val="nil"/>
              <w:right w:val="single" w:sz="8" w:space="0" w:color="000000"/>
            </w:tcBorders>
          </w:tcPr>
          <w:p>
            <w:pPr>
              <w:pStyle w:val="TableParagraph"/>
              <w:rPr>
                <w:sz w:val="18"/>
              </w:rPr>
            </w:pPr>
          </w:p>
        </w:tc>
        <w:tc>
          <w:tcPr>
            <w:tcW w:w="711" w:type="dxa"/>
            <w:tcBorders>
              <w:top w:val="nil"/>
              <w:left w:val="single" w:sz="8" w:space="0" w:color="000000"/>
              <w:bottom w:val="nil"/>
              <w:right w:val="single" w:sz="8" w:space="0" w:color="000000"/>
            </w:tcBorders>
          </w:tcPr>
          <w:p>
            <w:pPr>
              <w:pStyle w:val="TableParagraph"/>
              <w:rPr>
                <w:sz w:val="18"/>
              </w:rPr>
            </w:pPr>
          </w:p>
        </w:tc>
        <w:tc>
          <w:tcPr>
            <w:tcW w:w="567" w:type="dxa"/>
            <w:tcBorders>
              <w:top w:val="nil"/>
              <w:left w:val="single" w:sz="8" w:space="0" w:color="000000"/>
              <w:bottom w:val="nil"/>
              <w:right w:val="single" w:sz="8" w:space="0" w:color="000000"/>
            </w:tcBorders>
          </w:tcPr>
          <w:p>
            <w:pPr>
              <w:pStyle w:val="TableParagraph"/>
              <w:rPr>
                <w:sz w:val="18"/>
              </w:rPr>
            </w:pPr>
          </w:p>
        </w:tc>
        <w:tc>
          <w:tcPr>
            <w:tcW w:w="567" w:type="dxa"/>
            <w:tcBorders>
              <w:top w:val="nil"/>
              <w:left w:val="single" w:sz="8" w:space="0" w:color="000000"/>
              <w:bottom w:val="nil"/>
              <w:right w:val="single" w:sz="8" w:space="0" w:color="000000"/>
            </w:tcBorders>
          </w:tcPr>
          <w:p>
            <w:pPr>
              <w:pStyle w:val="TableParagraph"/>
              <w:rPr>
                <w:sz w:val="18"/>
              </w:rPr>
            </w:pPr>
          </w:p>
        </w:tc>
        <w:tc>
          <w:tcPr>
            <w:tcW w:w="567" w:type="dxa"/>
            <w:tcBorders>
              <w:top w:val="nil"/>
              <w:left w:val="single" w:sz="8" w:space="0" w:color="000000"/>
              <w:bottom w:val="nil"/>
              <w:right w:val="single" w:sz="8" w:space="0" w:color="000000"/>
            </w:tcBorders>
          </w:tcPr>
          <w:p>
            <w:pPr>
              <w:pStyle w:val="TableParagraph"/>
              <w:rPr>
                <w:sz w:val="18"/>
              </w:rPr>
            </w:pPr>
          </w:p>
        </w:tc>
        <w:tc>
          <w:tcPr>
            <w:tcW w:w="570" w:type="dxa"/>
            <w:tcBorders>
              <w:top w:val="nil"/>
              <w:left w:val="single" w:sz="8" w:space="0" w:color="000000"/>
              <w:bottom w:val="nil"/>
              <w:right w:val="single" w:sz="8" w:space="0" w:color="000000"/>
            </w:tcBorders>
          </w:tcPr>
          <w:p>
            <w:pPr>
              <w:pStyle w:val="TableParagraph"/>
              <w:rPr>
                <w:sz w:val="18"/>
              </w:rPr>
            </w:pPr>
          </w:p>
        </w:tc>
        <w:tc>
          <w:tcPr>
            <w:tcW w:w="567" w:type="dxa"/>
            <w:vMerge/>
            <w:tcBorders>
              <w:top w:val="nil"/>
              <w:left w:val="single" w:sz="8" w:space="0" w:color="000000"/>
            </w:tcBorders>
          </w:tcPr>
          <w:p>
            <w:pPr>
              <w:rPr>
                <w:sz w:val="2"/>
                <w:szCs w:val="2"/>
              </w:rPr>
            </w:pPr>
          </w:p>
        </w:tc>
      </w:tr>
      <w:tr>
        <w:trPr>
          <w:trHeight w:val="265" w:hRule="atLeast"/>
        </w:trPr>
        <w:tc>
          <w:tcPr>
            <w:tcW w:w="852" w:type="dxa"/>
            <w:tcBorders>
              <w:top w:val="nil"/>
              <w:bottom w:val="nil"/>
            </w:tcBorders>
          </w:tcPr>
          <w:p>
            <w:pPr>
              <w:pStyle w:val="TableParagraph"/>
              <w:spacing w:before="26"/>
              <w:ind w:left="75"/>
              <w:rPr>
                <w:sz w:val="18"/>
              </w:rPr>
            </w:pPr>
            <w:r>
              <w:rPr>
                <w:sz w:val="18"/>
              </w:rPr>
              <w:t>ND1</w:t>
            </w:r>
          </w:p>
        </w:tc>
        <w:tc>
          <w:tcPr>
            <w:tcW w:w="566" w:type="dxa"/>
            <w:vMerge/>
            <w:tcBorders>
              <w:top w:val="nil"/>
              <w:right w:val="single" w:sz="8" w:space="0" w:color="000000"/>
            </w:tcBorders>
          </w:tcPr>
          <w:p>
            <w:pPr>
              <w:rPr>
                <w:sz w:val="2"/>
                <w:szCs w:val="2"/>
              </w:rPr>
            </w:pPr>
          </w:p>
        </w:tc>
        <w:tc>
          <w:tcPr>
            <w:tcW w:w="566" w:type="dxa"/>
            <w:tcBorders>
              <w:top w:val="nil"/>
              <w:left w:val="single" w:sz="8" w:space="0" w:color="000000"/>
              <w:bottom w:val="nil"/>
              <w:right w:val="single" w:sz="8" w:space="0" w:color="000000"/>
            </w:tcBorders>
          </w:tcPr>
          <w:p>
            <w:pPr>
              <w:pStyle w:val="TableParagraph"/>
              <w:rPr>
                <w:sz w:val="18"/>
              </w:rPr>
            </w:pPr>
          </w:p>
        </w:tc>
        <w:tc>
          <w:tcPr>
            <w:tcW w:w="567" w:type="dxa"/>
            <w:tcBorders>
              <w:top w:val="nil"/>
              <w:left w:val="single" w:sz="8" w:space="0" w:color="000000"/>
              <w:bottom w:val="nil"/>
              <w:right w:val="single" w:sz="8" w:space="0" w:color="000000"/>
            </w:tcBorders>
          </w:tcPr>
          <w:p>
            <w:pPr>
              <w:pStyle w:val="TableParagraph"/>
              <w:rPr>
                <w:sz w:val="18"/>
              </w:rPr>
            </w:pPr>
          </w:p>
        </w:tc>
        <w:tc>
          <w:tcPr>
            <w:tcW w:w="710" w:type="dxa"/>
            <w:tcBorders>
              <w:top w:val="nil"/>
              <w:left w:val="single" w:sz="8" w:space="0" w:color="000000"/>
              <w:bottom w:val="nil"/>
              <w:right w:val="single" w:sz="8" w:space="0" w:color="000000"/>
            </w:tcBorders>
          </w:tcPr>
          <w:p>
            <w:pPr>
              <w:pStyle w:val="TableParagraph"/>
              <w:rPr>
                <w:sz w:val="18"/>
              </w:rPr>
            </w:pPr>
          </w:p>
        </w:tc>
        <w:tc>
          <w:tcPr>
            <w:tcW w:w="708" w:type="dxa"/>
            <w:tcBorders>
              <w:top w:val="nil"/>
              <w:left w:val="single" w:sz="8" w:space="0" w:color="000000"/>
              <w:bottom w:val="nil"/>
              <w:right w:val="single" w:sz="8" w:space="0" w:color="000000"/>
            </w:tcBorders>
          </w:tcPr>
          <w:p>
            <w:pPr>
              <w:pStyle w:val="TableParagraph"/>
              <w:spacing w:before="26"/>
              <w:ind w:right="36"/>
              <w:jc w:val="right"/>
              <w:rPr>
                <w:sz w:val="18"/>
              </w:rPr>
            </w:pPr>
            <w:r>
              <w:rPr>
                <w:sz w:val="18"/>
              </w:rPr>
              <w:t>.833</w:t>
            </w:r>
          </w:p>
        </w:tc>
        <w:tc>
          <w:tcPr>
            <w:tcW w:w="708" w:type="dxa"/>
            <w:tcBorders>
              <w:top w:val="nil"/>
              <w:left w:val="single" w:sz="8" w:space="0" w:color="000000"/>
              <w:bottom w:val="nil"/>
              <w:right w:val="single" w:sz="8" w:space="0" w:color="000000"/>
            </w:tcBorders>
          </w:tcPr>
          <w:p>
            <w:pPr>
              <w:pStyle w:val="TableParagraph"/>
              <w:rPr>
                <w:sz w:val="18"/>
              </w:rPr>
            </w:pPr>
          </w:p>
        </w:tc>
        <w:tc>
          <w:tcPr>
            <w:tcW w:w="711" w:type="dxa"/>
            <w:tcBorders>
              <w:top w:val="nil"/>
              <w:left w:val="single" w:sz="8" w:space="0" w:color="000000"/>
              <w:bottom w:val="nil"/>
              <w:right w:val="single" w:sz="8" w:space="0" w:color="000000"/>
            </w:tcBorders>
          </w:tcPr>
          <w:p>
            <w:pPr>
              <w:pStyle w:val="TableParagraph"/>
              <w:rPr>
                <w:sz w:val="18"/>
              </w:rPr>
            </w:pPr>
          </w:p>
        </w:tc>
        <w:tc>
          <w:tcPr>
            <w:tcW w:w="567" w:type="dxa"/>
            <w:tcBorders>
              <w:top w:val="nil"/>
              <w:left w:val="single" w:sz="8" w:space="0" w:color="000000"/>
              <w:bottom w:val="nil"/>
              <w:right w:val="single" w:sz="8" w:space="0" w:color="000000"/>
            </w:tcBorders>
          </w:tcPr>
          <w:p>
            <w:pPr>
              <w:pStyle w:val="TableParagraph"/>
              <w:rPr>
                <w:sz w:val="18"/>
              </w:rPr>
            </w:pPr>
          </w:p>
        </w:tc>
        <w:tc>
          <w:tcPr>
            <w:tcW w:w="567" w:type="dxa"/>
            <w:tcBorders>
              <w:top w:val="nil"/>
              <w:left w:val="single" w:sz="8" w:space="0" w:color="000000"/>
              <w:bottom w:val="nil"/>
              <w:right w:val="single" w:sz="8" w:space="0" w:color="000000"/>
            </w:tcBorders>
          </w:tcPr>
          <w:p>
            <w:pPr>
              <w:pStyle w:val="TableParagraph"/>
              <w:rPr>
                <w:sz w:val="18"/>
              </w:rPr>
            </w:pPr>
          </w:p>
        </w:tc>
        <w:tc>
          <w:tcPr>
            <w:tcW w:w="567" w:type="dxa"/>
            <w:tcBorders>
              <w:top w:val="nil"/>
              <w:left w:val="single" w:sz="8" w:space="0" w:color="000000"/>
              <w:bottom w:val="nil"/>
              <w:right w:val="single" w:sz="8" w:space="0" w:color="000000"/>
            </w:tcBorders>
          </w:tcPr>
          <w:p>
            <w:pPr>
              <w:pStyle w:val="TableParagraph"/>
              <w:rPr>
                <w:sz w:val="18"/>
              </w:rPr>
            </w:pPr>
          </w:p>
        </w:tc>
        <w:tc>
          <w:tcPr>
            <w:tcW w:w="570" w:type="dxa"/>
            <w:tcBorders>
              <w:top w:val="nil"/>
              <w:left w:val="single" w:sz="8" w:space="0" w:color="000000"/>
              <w:bottom w:val="nil"/>
              <w:right w:val="single" w:sz="8" w:space="0" w:color="000000"/>
            </w:tcBorders>
          </w:tcPr>
          <w:p>
            <w:pPr>
              <w:pStyle w:val="TableParagraph"/>
              <w:rPr>
                <w:sz w:val="18"/>
              </w:rPr>
            </w:pPr>
          </w:p>
        </w:tc>
        <w:tc>
          <w:tcPr>
            <w:tcW w:w="567" w:type="dxa"/>
            <w:vMerge/>
            <w:tcBorders>
              <w:top w:val="nil"/>
              <w:left w:val="single" w:sz="8" w:space="0" w:color="000000"/>
            </w:tcBorders>
          </w:tcPr>
          <w:p>
            <w:pPr>
              <w:rPr>
                <w:sz w:val="2"/>
                <w:szCs w:val="2"/>
              </w:rPr>
            </w:pPr>
          </w:p>
        </w:tc>
      </w:tr>
      <w:tr>
        <w:trPr>
          <w:trHeight w:val="264" w:hRule="atLeast"/>
        </w:trPr>
        <w:tc>
          <w:tcPr>
            <w:tcW w:w="852" w:type="dxa"/>
            <w:tcBorders>
              <w:top w:val="nil"/>
              <w:bottom w:val="nil"/>
            </w:tcBorders>
          </w:tcPr>
          <w:p>
            <w:pPr>
              <w:pStyle w:val="TableParagraph"/>
              <w:spacing w:before="25"/>
              <w:ind w:left="75"/>
              <w:rPr>
                <w:sz w:val="18"/>
              </w:rPr>
            </w:pPr>
            <w:r>
              <w:rPr>
                <w:sz w:val="18"/>
              </w:rPr>
              <w:t>ND4</w:t>
            </w:r>
          </w:p>
        </w:tc>
        <w:tc>
          <w:tcPr>
            <w:tcW w:w="566" w:type="dxa"/>
            <w:vMerge/>
            <w:tcBorders>
              <w:top w:val="nil"/>
              <w:right w:val="single" w:sz="8" w:space="0" w:color="000000"/>
            </w:tcBorders>
          </w:tcPr>
          <w:p>
            <w:pPr>
              <w:rPr>
                <w:sz w:val="2"/>
                <w:szCs w:val="2"/>
              </w:rPr>
            </w:pPr>
          </w:p>
        </w:tc>
        <w:tc>
          <w:tcPr>
            <w:tcW w:w="566" w:type="dxa"/>
            <w:tcBorders>
              <w:top w:val="nil"/>
              <w:left w:val="single" w:sz="8" w:space="0" w:color="000000"/>
              <w:bottom w:val="nil"/>
              <w:right w:val="single" w:sz="8" w:space="0" w:color="000000"/>
            </w:tcBorders>
          </w:tcPr>
          <w:p>
            <w:pPr>
              <w:pStyle w:val="TableParagraph"/>
              <w:rPr>
                <w:sz w:val="18"/>
              </w:rPr>
            </w:pPr>
          </w:p>
        </w:tc>
        <w:tc>
          <w:tcPr>
            <w:tcW w:w="567" w:type="dxa"/>
            <w:tcBorders>
              <w:top w:val="nil"/>
              <w:left w:val="single" w:sz="8" w:space="0" w:color="000000"/>
              <w:bottom w:val="nil"/>
              <w:right w:val="single" w:sz="8" w:space="0" w:color="000000"/>
            </w:tcBorders>
          </w:tcPr>
          <w:p>
            <w:pPr>
              <w:pStyle w:val="TableParagraph"/>
              <w:rPr>
                <w:sz w:val="18"/>
              </w:rPr>
            </w:pPr>
          </w:p>
        </w:tc>
        <w:tc>
          <w:tcPr>
            <w:tcW w:w="710" w:type="dxa"/>
            <w:tcBorders>
              <w:top w:val="nil"/>
              <w:left w:val="single" w:sz="8" w:space="0" w:color="000000"/>
              <w:bottom w:val="nil"/>
              <w:right w:val="single" w:sz="8" w:space="0" w:color="000000"/>
            </w:tcBorders>
          </w:tcPr>
          <w:p>
            <w:pPr>
              <w:pStyle w:val="TableParagraph"/>
              <w:rPr>
                <w:sz w:val="18"/>
              </w:rPr>
            </w:pPr>
          </w:p>
        </w:tc>
        <w:tc>
          <w:tcPr>
            <w:tcW w:w="708" w:type="dxa"/>
            <w:tcBorders>
              <w:top w:val="nil"/>
              <w:left w:val="single" w:sz="8" w:space="0" w:color="000000"/>
              <w:bottom w:val="nil"/>
              <w:right w:val="single" w:sz="8" w:space="0" w:color="000000"/>
            </w:tcBorders>
          </w:tcPr>
          <w:p>
            <w:pPr>
              <w:pStyle w:val="TableParagraph"/>
              <w:spacing w:before="25"/>
              <w:ind w:right="36"/>
              <w:jc w:val="right"/>
              <w:rPr>
                <w:sz w:val="18"/>
              </w:rPr>
            </w:pPr>
            <w:r>
              <w:rPr>
                <w:sz w:val="18"/>
              </w:rPr>
              <w:t>.824</w:t>
            </w:r>
          </w:p>
        </w:tc>
        <w:tc>
          <w:tcPr>
            <w:tcW w:w="708" w:type="dxa"/>
            <w:tcBorders>
              <w:top w:val="nil"/>
              <w:left w:val="single" w:sz="8" w:space="0" w:color="000000"/>
              <w:bottom w:val="nil"/>
              <w:right w:val="single" w:sz="8" w:space="0" w:color="000000"/>
            </w:tcBorders>
          </w:tcPr>
          <w:p>
            <w:pPr>
              <w:pStyle w:val="TableParagraph"/>
              <w:rPr>
                <w:sz w:val="18"/>
              </w:rPr>
            </w:pPr>
          </w:p>
        </w:tc>
        <w:tc>
          <w:tcPr>
            <w:tcW w:w="711" w:type="dxa"/>
            <w:tcBorders>
              <w:top w:val="nil"/>
              <w:left w:val="single" w:sz="8" w:space="0" w:color="000000"/>
              <w:bottom w:val="nil"/>
              <w:right w:val="single" w:sz="8" w:space="0" w:color="000000"/>
            </w:tcBorders>
          </w:tcPr>
          <w:p>
            <w:pPr>
              <w:pStyle w:val="TableParagraph"/>
              <w:rPr>
                <w:sz w:val="18"/>
              </w:rPr>
            </w:pPr>
          </w:p>
        </w:tc>
        <w:tc>
          <w:tcPr>
            <w:tcW w:w="567" w:type="dxa"/>
            <w:tcBorders>
              <w:top w:val="nil"/>
              <w:left w:val="single" w:sz="8" w:space="0" w:color="000000"/>
              <w:bottom w:val="nil"/>
              <w:right w:val="single" w:sz="8" w:space="0" w:color="000000"/>
            </w:tcBorders>
          </w:tcPr>
          <w:p>
            <w:pPr>
              <w:pStyle w:val="TableParagraph"/>
              <w:rPr>
                <w:sz w:val="18"/>
              </w:rPr>
            </w:pPr>
          </w:p>
        </w:tc>
        <w:tc>
          <w:tcPr>
            <w:tcW w:w="567" w:type="dxa"/>
            <w:tcBorders>
              <w:top w:val="nil"/>
              <w:left w:val="single" w:sz="8" w:space="0" w:color="000000"/>
              <w:bottom w:val="nil"/>
              <w:right w:val="single" w:sz="8" w:space="0" w:color="000000"/>
            </w:tcBorders>
          </w:tcPr>
          <w:p>
            <w:pPr>
              <w:pStyle w:val="TableParagraph"/>
              <w:rPr>
                <w:sz w:val="18"/>
              </w:rPr>
            </w:pPr>
          </w:p>
        </w:tc>
        <w:tc>
          <w:tcPr>
            <w:tcW w:w="567" w:type="dxa"/>
            <w:tcBorders>
              <w:top w:val="nil"/>
              <w:left w:val="single" w:sz="8" w:space="0" w:color="000000"/>
              <w:bottom w:val="nil"/>
              <w:right w:val="single" w:sz="8" w:space="0" w:color="000000"/>
            </w:tcBorders>
          </w:tcPr>
          <w:p>
            <w:pPr>
              <w:pStyle w:val="TableParagraph"/>
              <w:rPr>
                <w:sz w:val="18"/>
              </w:rPr>
            </w:pPr>
          </w:p>
        </w:tc>
        <w:tc>
          <w:tcPr>
            <w:tcW w:w="570" w:type="dxa"/>
            <w:tcBorders>
              <w:top w:val="nil"/>
              <w:left w:val="single" w:sz="8" w:space="0" w:color="000000"/>
              <w:bottom w:val="nil"/>
              <w:right w:val="single" w:sz="8" w:space="0" w:color="000000"/>
            </w:tcBorders>
          </w:tcPr>
          <w:p>
            <w:pPr>
              <w:pStyle w:val="TableParagraph"/>
              <w:rPr>
                <w:sz w:val="18"/>
              </w:rPr>
            </w:pPr>
          </w:p>
        </w:tc>
        <w:tc>
          <w:tcPr>
            <w:tcW w:w="567" w:type="dxa"/>
            <w:vMerge/>
            <w:tcBorders>
              <w:top w:val="nil"/>
              <w:left w:val="single" w:sz="8" w:space="0" w:color="000000"/>
            </w:tcBorders>
          </w:tcPr>
          <w:p>
            <w:pPr>
              <w:rPr>
                <w:sz w:val="2"/>
                <w:szCs w:val="2"/>
              </w:rPr>
            </w:pPr>
          </w:p>
        </w:tc>
      </w:tr>
      <w:tr>
        <w:trPr>
          <w:trHeight w:val="265" w:hRule="atLeast"/>
        </w:trPr>
        <w:tc>
          <w:tcPr>
            <w:tcW w:w="852" w:type="dxa"/>
            <w:tcBorders>
              <w:top w:val="nil"/>
              <w:bottom w:val="nil"/>
            </w:tcBorders>
          </w:tcPr>
          <w:p>
            <w:pPr>
              <w:pStyle w:val="TableParagraph"/>
              <w:spacing w:before="25"/>
              <w:ind w:left="75"/>
              <w:rPr>
                <w:sz w:val="18"/>
              </w:rPr>
            </w:pPr>
            <w:r>
              <w:rPr>
                <w:sz w:val="18"/>
              </w:rPr>
              <w:t>ND2</w:t>
            </w:r>
          </w:p>
        </w:tc>
        <w:tc>
          <w:tcPr>
            <w:tcW w:w="566" w:type="dxa"/>
            <w:vMerge/>
            <w:tcBorders>
              <w:top w:val="nil"/>
              <w:right w:val="single" w:sz="8" w:space="0" w:color="000000"/>
            </w:tcBorders>
          </w:tcPr>
          <w:p>
            <w:pPr>
              <w:rPr>
                <w:sz w:val="2"/>
                <w:szCs w:val="2"/>
              </w:rPr>
            </w:pPr>
          </w:p>
        </w:tc>
        <w:tc>
          <w:tcPr>
            <w:tcW w:w="566" w:type="dxa"/>
            <w:tcBorders>
              <w:top w:val="nil"/>
              <w:left w:val="single" w:sz="8" w:space="0" w:color="000000"/>
              <w:bottom w:val="nil"/>
              <w:right w:val="single" w:sz="8" w:space="0" w:color="000000"/>
            </w:tcBorders>
          </w:tcPr>
          <w:p>
            <w:pPr>
              <w:pStyle w:val="TableParagraph"/>
              <w:rPr>
                <w:sz w:val="18"/>
              </w:rPr>
            </w:pPr>
          </w:p>
        </w:tc>
        <w:tc>
          <w:tcPr>
            <w:tcW w:w="567" w:type="dxa"/>
            <w:tcBorders>
              <w:top w:val="nil"/>
              <w:left w:val="single" w:sz="8" w:space="0" w:color="000000"/>
              <w:bottom w:val="nil"/>
              <w:right w:val="single" w:sz="8" w:space="0" w:color="000000"/>
            </w:tcBorders>
          </w:tcPr>
          <w:p>
            <w:pPr>
              <w:pStyle w:val="TableParagraph"/>
              <w:rPr>
                <w:sz w:val="18"/>
              </w:rPr>
            </w:pPr>
          </w:p>
        </w:tc>
        <w:tc>
          <w:tcPr>
            <w:tcW w:w="710" w:type="dxa"/>
            <w:tcBorders>
              <w:top w:val="nil"/>
              <w:left w:val="single" w:sz="8" w:space="0" w:color="000000"/>
              <w:bottom w:val="nil"/>
              <w:right w:val="single" w:sz="8" w:space="0" w:color="000000"/>
            </w:tcBorders>
          </w:tcPr>
          <w:p>
            <w:pPr>
              <w:pStyle w:val="TableParagraph"/>
              <w:rPr>
                <w:sz w:val="18"/>
              </w:rPr>
            </w:pPr>
          </w:p>
        </w:tc>
        <w:tc>
          <w:tcPr>
            <w:tcW w:w="708" w:type="dxa"/>
            <w:tcBorders>
              <w:top w:val="nil"/>
              <w:left w:val="single" w:sz="8" w:space="0" w:color="000000"/>
              <w:bottom w:val="nil"/>
              <w:right w:val="single" w:sz="8" w:space="0" w:color="000000"/>
            </w:tcBorders>
          </w:tcPr>
          <w:p>
            <w:pPr>
              <w:pStyle w:val="TableParagraph"/>
              <w:spacing w:before="25"/>
              <w:ind w:right="36"/>
              <w:jc w:val="right"/>
              <w:rPr>
                <w:sz w:val="18"/>
              </w:rPr>
            </w:pPr>
            <w:r>
              <w:rPr>
                <w:sz w:val="18"/>
              </w:rPr>
              <w:t>.792</w:t>
            </w:r>
          </w:p>
        </w:tc>
        <w:tc>
          <w:tcPr>
            <w:tcW w:w="708" w:type="dxa"/>
            <w:tcBorders>
              <w:top w:val="nil"/>
              <w:left w:val="single" w:sz="8" w:space="0" w:color="000000"/>
              <w:bottom w:val="nil"/>
              <w:right w:val="single" w:sz="8" w:space="0" w:color="000000"/>
            </w:tcBorders>
          </w:tcPr>
          <w:p>
            <w:pPr>
              <w:pStyle w:val="TableParagraph"/>
              <w:rPr>
                <w:sz w:val="18"/>
              </w:rPr>
            </w:pPr>
          </w:p>
        </w:tc>
        <w:tc>
          <w:tcPr>
            <w:tcW w:w="711" w:type="dxa"/>
            <w:tcBorders>
              <w:top w:val="nil"/>
              <w:left w:val="single" w:sz="8" w:space="0" w:color="000000"/>
              <w:bottom w:val="nil"/>
              <w:right w:val="single" w:sz="8" w:space="0" w:color="000000"/>
            </w:tcBorders>
          </w:tcPr>
          <w:p>
            <w:pPr>
              <w:pStyle w:val="TableParagraph"/>
              <w:rPr>
                <w:sz w:val="18"/>
              </w:rPr>
            </w:pPr>
          </w:p>
        </w:tc>
        <w:tc>
          <w:tcPr>
            <w:tcW w:w="567" w:type="dxa"/>
            <w:tcBorders>
              <w:top w:val="nil"/>
              <w:left w:val="single" w:sz="8" w:space="0" w:color="000000"/>
              <w:bottom w:val="nil"/>
              <w:right w:val="single" w:sz="8" w:space="0" w:color="000000"/>
            </w:tcBorders>
          </w:tcPr>
          <w:p>
            <w:pPr>
              <w:pStyle w:val="TableParagraph"/>
              <w:rPr>
                <w:sz w:val="18"/>
              </w:rPr>
            </w:pPr>
          </w:p>
        </w:tc>
        <w:tc>
          <w:tcPr>
            <w:tcW w:w="567" w:type="dxa"/>
            <w:tcBorders>
              <w:top w:val="nil"/>
              <w:left w:val="single" w:sz="8" w:space="0" w:color="000000"/>
              <w:bottom w:val="nil"/>
              <w:right w:val="single" w:sz="8" w:space="0" w:color="000000"/>
            </w:tcBorders>
          </w:tcPr>
          <w:p>
            <w:pPr>
              <w:pStyle w:val="TableParagraph"/>
              <w:rPr>
                <w:sz w:val="18"/>
              </w:rPr>
            </w:pPr>
          </w:p>
        </w:tc>
        <w:tc>
          <w:tcPr>
            <w:tcW w:w="567" w:type="dxa"/>
            <w:tcBorders>
              <w:top w:val="nil"/>
              <w:left w:val="single" w:sz="8" w:space="0" w:color="000000"/>
              <w:bottom w:val="nil"/>
              <w:right w:val="single" w:sz="8" w:space="0" w:color="000000"/>
            </w:tcBorders>
          </w:tcPr>
          <w:p>
            <w:pPr>
              <w:pStyle w:val="TableParagraph"/>
              <w:rPr>
                <w:sz w:val="18"/>
              </w:rPr>
            </w:pPr>
          </w:p>
        </w:tc>
        <w:tc>
          <w:tcPr>
            <w:tcW w:w="570" w:type="dxa"/>
            <w:tcBorders>
              <w:top w:val="nil"/>
              <w:left w:val="single" w:sz="8" w:space="0" w:color="000000"/>
              <w:bottom w:val="nil"/>
              <w:right w:val="single" w:sz="8" w:space="0" w:color="000000"/>
            </w:tcBorders>
          </w:tcPr>
          <w:p>
            <w:pPr>
              <w:pStyle w:val="TableParagraph"/>
              <w:rPr>
                <w:sz w:val="18"/>
              </w:rPr>
            </w:pPr>
          </w:p>
        </w:tc>
        <w:tc>
          <w:tcPr>
            <w:tcW w:w="567" w:type="dxa"/>
            <w:vMerge/>
            <w:tcBorders>
              <w:top w:val="nil"/>
              <w:left w:val="single" w:sz="8" w:space="0" w:color="000000"/>
            </w:tcBorders>
          </w:tcPr>
          <w:p>
            <w:pPr>
              <w:rPr>
                <w:sz w:val="2"/>
                <w:szCs w:val="2"/>
              </w:rPr>
            </w:pPr>
          </w:p>
        </w:tc>
      </w:tr>
      <w:tr>
        <w:trPr>
          <w:trHeight w:val="265" w:hRule="atLeast"/>
        </w:trPr>
        <w:tc>
          <w:tcPr>
            <w:tcW w:w="852" w:type="dxa"/>
            <w:tcBorders>
              <w:top w:val="nil"/>
              <w:bottom w:val="nil"/>
            </w:tcBorders>
          </w:tcPr>
          <w:p>
            <w:pPr>
              <w:pStyle w:val="TableParagraph"/>
              <w:spacing w:before="26"/>
              <w:ind w:left="75"/>
              <w:rPr>
                <w:sz w:val="18"/>
              </w:rPr>
            </w:pPr>
            <w:r>
              <w:rPr>
                <w:sz w:val="18"/>
              </w:rPr>
              <w:t>ND5</w:t>
            </w:r>
          </w:p>
        </w:tc>
        <w:tc>
          <w:tcPr>
            <w:tcW w:w="566" w:type="dxa"/>
            <w:vMerge/>
            <w:tcBorders>
              <w:top w:val="nil"/>
              <w:right w:val="single" w:sz="8" w:space="0" w:color="000000"/>
            </w:tcBorders>
          </w:tcPr>
          <w:p>
            <w:pPr>
              <w:rPr>
                <w:sz w:val="2"/>
                <w:szCs w:val="2"/>
              </w:rPr>
            </w:pPr>
          </w:p>
        </w:tc>
        <w:tc>
          <w:tcPr>
            <w:tcW w:w="566" w:type="dxa"/>
            <w:tcBorders>
              <w:top w:val="nil"/>
              <w:left w:val="single" w:sz="8" w:space="0" w:color="000000"/>
              <w:bottom w:val="nil"/>
              <w:right w:val="single" w:sz="8" w:space="0" w:color="000000"/>
            </w:tcBorders>
          </w:tcPr>
          <w:p>
            <w:pPr>
              <w:pStyle w:val="TableParagraph"/>
              <w:rPr>
                <w:sz w:val="18"/>
              </w:rPr>
            </w:pPr>
          </w:p>
        </w:tc>
        <w:tc>
          <w:tcPr>
            <w:tcW w:w="567" w:type="dxa"/>
            <w:tcBorders>
              <w:top w:val="nil"/>
              <w:left w:val="single" w:sz="8" w:space="0" w:color="000000"/>
              <w:bottom w:val="nil"/>
              <w:right w:val="single" w:sz="8" w:space="0" w:color="000000"/>
            </w:tcBorders>
          </w:tcPr>
          <w:p>
            <w:pPr>
              <w:pStyle w:val="TableParagraph"/>
              <w:rPr>
                <w:sz w:val="18"/>
              </w:rPr>
            </w:pPr>
          </w:p>
        </w:tc>
        <w:tc>
          <w:tcPr>
            <w:tcW w:w="710" w:type="dxa"/>
            <w:tcBorders>
              <w:top w:val="nil"/>
              <w:left w:val="single" w:sz="8" w:space="0" w:color="000000"/>
              <w:bottom w:val="nil"/>
              <w:right w:val="single" w:sz="8" w:space="0" w:color="000000"/>
            </w:tcBorders>
          </w:tcPr>
          <w:p>
            <w:pPr>
              <w:pStyle w:val="TableParagraph"/>
              <w:rPr>
                <w:sz w:val="18"/>
              </w:rPr>
            </w:pPr>
          </w:p>
        </w:tc>
        <w:tc>
          <w:tcPr>
            <w:tcW w:w="708" w:type="dxa"/>
            <w:tcBorders>
              <w:top w:val="nil"/>
              <w:left w:val="single" w:sz="8" w:space="0" w:color="000000"/>
              <w:bottom w:val="nil"/>
              <w:right w:val="single" w:sz="8" w:space="0" w:color="000000"/>
            </w:tcBorders>
          </w:tcPr>
          <w:p>
            <w:pPr>
              <w:pStyle w:val="TableParagraph"/>
              <w:spacing w:before="26"/>
              <w:ind w:right="36"/>
              <w:jc w:val="right"/>
              <w:rPr>
                <w:sz w:val="18"/>
              </w:rPr>
            </w:pPr>
            <w:r>
              <w:rPr>
                <w:sz w:val="18"/>
              </w:rPr>
              <w:t>.784</w:t>
            </w:r>
          </w:p>
        </w:tc>
        <w:tc>
          <w:tcPr>
            <w:tcW w:w="708" w:type="dxa"/>
            <w:tcBorders>
              <w:top w:val="nil"/>
              <w:left w:val="single" w:sz="8" w:space="0" w:color="000000"/>
              <w:bottom w:val="nil"/>
              <w:right w:val="single" w:sz="8" w:space="0" w:color="000000"/>
            </w:tcBorders>
          </w:tcPr>
          <w:p>
            <w:pPr>
              <w:pStyle w:val="TableParagraph"/>
              <w:rPr>
                <w:sz w:val="18"/>
              </w:rPr>
            </w:pPr>
          </w:p>
        </w:tc>
        <w:tc>
          <w:tcPr>
            <w:tcW w:w="711" w:type="dxa"/>
            <w:tcBorders>
              <w:top w:val="nil"/>
              <w:left w:val="single" w:sz="8" w:space="0" w:color="000000"/>
              <w:bottom w:val="nil"/>
              <w:right w:val="single" w:sz="8" w:space="0" w:color="000000"/>
            </w:tcBorders>
          </w:tcPr>
          <w:p>
            <w:pPr>
              <w:pStyle w:val="TableParagraph"/>
              <w:rPr>
                <w:sz w:val="18"/>
              </w:rPr>
            </w:pPr>
          </w:p>
        </w:tc>
        <w:tc>
          <w:tcPr>
            <w:tcW w:w="567" w:type="dxa"/>
            <w:tcBorders>
              <w:top w:val="nil"/>
              <w:left w:val="single" w:sz="8" w:space="0" w:color="000000"/>
              <w:bottom w:val="nil"/>
              <w:right w:val="single" w:sz="8" w:space="0" w:color="000000"/>
            </w:tcBorders>
          </w:tcPr>
          <w:p>
            <w:pPr>
              <w:pStyle w:val="TableParagraph"/>
              <w:rPr>
                <w:sz w:val="18"/>
              </w:rPr>
            </w:pPr>
          </w:p>
        </w:tc>
        <w:tc>
          <w:tcPr>
            <w:tcW w:w="567" w:type="dxa"/>
            <w:tcBorders>
              <w:top w:val="nil"/>
              <w:left w:val="single" w:sz="8" w:space="0" w:color="000000"/>
              <w:bottom w:val="nil"/>
              <w:right w:val="single" w:sz="8" w:space="0" w:color="000000"/>
            </w:tcBorders>
          </w:tcPr>
          <w:p>
            <w:pPr>
              <w:pStyle w:val="TableParagraph"/>
              <w:rPr>
                <w:sz w:val="18"/>
              </w:rPr>
            </w:pPr>
          </w:p>
        </w:tc>
        <w:tc>
          <w:tcPr>
            <w:tcW w:w="567" w:type="dxa"/>
            <w:tcBorders>
              <w:top w:val="nil"/>
              <w:left w:val="single" w:sz="8" w:space="0" w:color="000000"/>
              <w:bottom w:val="nil"/>
              <w:right w:val="single" w:sz="8" w:space="0" w:color="000000"/>
            </w:tcBorders>
          </w:tcPr>
          <w:p>
            <w:pPr>
              <w:pStyle w:val="TableParagraph"/>
              <w:rPr>
                <w:sz w:val="18"/>
              </w:rPr>
            </w:pPr>
          </w:p>
        </w:tc>
        <w:tc>
          <w:tcPr>
            <w:tcW w:w="570" w:type="dxa"/>
            <w:tcBorders>
              <w:top w:val="nil"/>
              <w:left w:val="single" w:sz="8" w:space="0" w:color="000000"/>
              <w:bottom w:val="nil"/>
              <w:right w:val="single" w:sz="8" w:space="0" w:color="000000"/>
            </w:tcBorders>
          </w:tcPr>
          <w:p>
            <w:pPr>
              <w:pStyle w:val="TableParagraph"/>
              <w:rPr>
                <w:sz w:val="18"/>
              </w:rPr>
            </w:pPr>
          </w:p>
        </w:tc>
        <w:tc>
          <w:tcPr>
            <w:tcW w:w="567" w:type="dxa"/>
            <w:vMerge/>
            <w:tcBorders>
              <w:top w:val="nil"/>
              <w:left w:val="single" w:sz="8" w:space="0" w:color="000000"/>
            </w:tcBorders>
          </w:tcPr>
          <w:p>
            <w:pPr>
              <w:rPr>
                <w:sz w:val="2"/>
                <w:szCs w:val="2"/>
              </w:rPr>
            </w:pPr>
          </w:p>
        </w:tc>
      </w:tr>
      <w:tr>
        <w:trPr>
          <w:trHeight w:val="265" w:hRule="atLeast"/>
        </w:trPr>
        <w:tc>
          <w:tcPr>
            <w:tcW w:w="852" w:type="dxa"/>
            <w:tcBorders>
              <w:top w:val="nil"/>
              <w:bottom w:val="nil"/>
            </w:tcBorders>
          </w:tcPr>
          <w:p>
            <w:pPr>
              <w:pStyle w:val="TableParagraph"/>
              <w:spacing w:before="25"/>
              <w:ind w:left="75"/>
              <w:rPr>
                <w:sz w:val="18"/>
              </w:rPr>
            </w:pPr>
            <w:r>
              <w:rPr>
                <w:sz w:val="18"/>
              </w:rPr>
              <w:t>ND3</w:t>
            </w:r>
          </w:p>
        </w:tc>
        <w:tc>
          <w:tcPr>
            <w:tcW w:w="566" w:type="dxa"/>
            <w:vMerge/>
            <w:tcBorders>
              <w:top w:val="nil"/>
              <w:right w:val="single" w:sz="8" w:space="0" w:color="000000"/>
            </w:tcBorders>
          </w:tcPr>
          <w:p>
            <w:pPr>
              <w:rPr>
                <w:sz w:val="2"/>
                <w:szCs w:val="2"/>
              </w:rPr>
            </w:pPr>
          </w:p>
        </w:tc>
        <w:tc>
          <w:tcPr>
            <w:tcW w:w="566" w:type="dxa"/>
            <w:tcBorders>
              <w:top w:val="nil"/>
              <w:left w:val="single" w:sz="8" w:space="0" w:color="000000"/>
              <w:bottom w:val="nil"/>
              <w:right w:val="single" w:sz="8" w:space="0" w:color="000000"/>
            </w:tcBorders>
          </w:tcPr>
          <w:p>
            <w:pPr>
              <w:pStyle w:val="TableParagraph"/>
              <w:rPr>
                <w:sz w:val="18"/>
              </w:rPr>
            </w:pPr>
          </w:p>
        </w:tc>
        <w:tc>
          <w:tcPr>
            <w:tcW w:w="567" w:type="dxa"/>
            <w:tcBorders>
              <w:top w:val="nil"/>
              <w:left w:val="single" w:sz="8" w:space="0" w:color="000000"/>
              <w:bottom w:val="nil"/>
              <w:right w:val="single" w:sz="8" w:space="0" w:color="000000"/>
            </w:tcBorders>
          </w:tcPr>
          <w:p>
            <w:pPr>
              <w:pStyle w:val="TableParagraph"/>
              <w:rPr>
                <w:sz w:val="18"/>
              </w:rPr>
            </w:pPr>
          </w:p>
        </w:tc>
        <w:tc>
          <w:tcPr>
            <w:tcW w:w="710" w:type="dxa"/>
            <w:tcBorders>
              <w:top w:val="nil"/>
              <w:left w:val="single" w:sz="8" w:space="0" w:color="000000"/>
              <w:bottom w:val="nil"/>
              <w:right w:val="single" w:sz="8" w:space="0" w:color="000000"/>
            </w:tcBorders>
          </w:tcPr>
          <w:p>
            <w:pPr>
              <w:pStyle w:val="TableParagraph"/>
              <w:rPr>
                <w:sz w:val="18"/>
              </w:rPr>
            </w:pPr>
          </w:p>
        </w:tc>
        <w:tc>
          <w:tcPr>
            <w:tcW w:w="708" w:type="dxa"/>
            <w:tcBorders>
              <w:top w:val="nil"/>
              <w:left w:val="single" w:sz="8" w:space="0" w:color="000000"/>
              <w:bottom w:val="nil"/>
              <w:right w:val="single" w:sz="8" w:space="0" w:color="000000"/>
            </w:tcBorders>
          </w:tcPr>
          <w:p>
            <w:pPr>
              <w:pStyle w:val="TableParagraph"/>
              <w:spacing w:before="25"/>
              <w:ind w:right="36"/>
              <w:jc w:val="right"/>
              <w:rPr>
                <w:sz w:val="18"/>
              </w:rPr>
            </w:pPr>
            <w:r>
              <w:rPr>
                <w:sz w:val="18"/>
              </w:rPr>
              <w:t>.711</w:t>
            </w:r>
          </w:p>
        </w:tc>
        <w:tc>
          <w:tcPr>
            <w:tcW w:w="708" w:type="dxa"/>
            <w:tcBorders>
              <w:top w:val="nil"/>
              <w:left w:val="single" w:sz="8" w:space="0" w:color="000000"/>
              <w:bottom w:val="nil"/>
              <w:right w:val="single" w:sz="8" w:space="0" w:color="000000"/>
            </w:tcBorders>
          </w:tcPr>
          <w:p>
            <w:pPr>
              <w:pStyle w:val="TableParagraph"/>
              <w:rPr>
                <w:sz w:val="18"/>
              </w:rPr>
            </w:pPr>
          </w:p>
        </w:tc>
        <w:tc>
          <w:tcPr>
            <w:tcW w:w="711" w:type="dxa"/>
            <w:tcBorders>
              <w:top w:val="nil"/>
              <w:left w:val="single" w:sz="8" w:space="0" w:color="000000"/>
              <w:bottom w:val="nil"/>
              <w:right w:val="single" w:sz="8" w:space="0" w:color="000000"/>
            </w:tcBorders>
          </w:tcPr>
          <w:p>
            <w:pPr>
              <w:pStyle w:val="TableParagraph"/>
              <w:rPr>
                <w:sz w:val="18"/>
              </w:rPr>
            </w:pPr>
          </w:p>
        </w:tc>
        <w:tc>
          <w:tcPr>
            <w:tcW w:w="567" w:type="dxa"/>
            <w:tcBorders>
              <w:top w:val="nil"/>
              <w:left w:val="single" w:sz="8" w:space="0" w:color="000000"/>
              <w:bottom w:val="nil"/>
              <w:right w:val="single" w:sz="8" w:space="0" w:color="000000"/>
            </w:tcBorders>
          </w:tcPr>
          <w:p>
            <w:pPr>
              <w:pStyle w:val="TableParagraph"/>
              <w:rPr>
                <w:sz w:val="18"/>
              </w:rPr>
            </w:pPr>
          </w:p>
        </w:tc>
        <w:tc>
          <w:tcPr>
            <w:tcW w:w="567" w:type="dxa"/>
            <w:tcBorders>
              <w:top w:val="nil"/>
              <w:left w:val="single" w:sz="8" w:space="0" w:color="000000"/>
              <w:bottom w:val="nil"/>
              <w:right w:val="single" w:sz="8" w:space="0" w:color="000000"/>
            </w:tcBorders>
          </w:tcPr>
          <w:p>
            <w:pPr>
              <w:pStyle w:val="TableParagraph"/>
              <w:rPr>
                <w:sz w:val="18"/>
              </w:rPr>
            </w:pPr>
          </w:p>
        </w:tc>
        <w:tc>
          <w:tcPr>
            <w:tcW w:w="567" w:type="dxa"/>
            <w:tcBorders>
              <w:top w:val="nil"/>
              <w:left w:val="single" w:sz="8" w:space="0" w:color="000000"/>
              <w:bottom w:val="nil"/>
              <w:right w:val="single" w:sz="8" w:space="0" w:color="000000"/>
            </w:tcBorders>
          </w:tcPr>
          <w:p>
            <w:pPr>
              <w:pStyle w:val="TableParagraph"/>
              <w:rPr>
                <w:sz w:val="18"/>
              </w:rPr>
            </w:pPr>
          </w:p>
        </w:tc>
        <w:tc>
          <w:tcPr>
            <w:tcW w:w="570" w:type="dxa"/>
            <w:tcBorders>
              <w:top w:val="nil"/>
              <w:left w:val="single" w:sz="8" w:space="0" w:color="000000"/>
              <w:bottom w:val="nil"/>
              <w:right w:val="single" w:sz="8" w:space="0" w:color="000000"/>
            </w:tcBorders>
          </w:tcPr>
          <w:p>
            <w:pPr>
              <w:pStyle w:val="TableParagraph"/>
              <w:rPr>
                <w:sz w:val="18"/>
              </w:rPr>
            </w:pPr>
          </w:p>
        </w:tc>
        <w:tc>
          <w:tcPr>
            <w:tcW w:w="567" w:type="dxa"/>
            <w:vMerge/>
            <w:tcBorders>
              <w:top w:val="nil"/>
              <w:left w:val="single" w:sz="8" w:space="0" w:color="000000"/>
            </w:tcBorders>
          </w:tcPr>
          <w:p>
            <w:pPr>
              <w:rPr>
                <w:sz w:val="2"/>
                <w:szCs w:val="2"/>
              </w:rPr>
            </w:pPr>
          </w:p>
        </w:tc>
      </w:tr>
      <w:tr>
        <w:trPr>
          <w:trHeight w:val="265" w:hRule="atLeast"/>
        </w:trPr>
        <w:tc>
          <w:tcPr>
            <w:tcW w:w="852" w:type="dxa"/>
            <w:tcBorders>
              <w:top w:val="nil"/>
              <w:bottom w:val="nil"/>
            </w:tcBorders>
          </w:tcPr>
          <w:p>
            <w:pPr>
              <w:pStyle w:val="TableParagraph"/>
              <w:spacing w:before="26"/>
              <w:ind w:left="75"/>
              <w:rPr>
                <w:sz w:val="18"/>
              </w:rPr>
            </w:pPr>
            <w:r>
              <w:rPr>
                <w:sz w:val="18"/>
              </w:rPr>
              <w:t>TC4</w:t>
            </w:r>
          </w:p>
        </w:tc>
        <w:tc>
          <w:tcPr>
            <w:tcW w:w="566" w:type="dxa"/>
            <w:vMerge/>
            <w:tcBorders>
              <w:top w:val="nil"/>
              <w:right w:val="single" w:sz="8" w:space="0" w:color="000000"/>
            </w:tcBorders>
          </w:tcPr>
          <w:p>
            <w:pPr>
              <w:rPr>
                <w:sz w:val="2"/>
                <w:szCs w:val="2"/>
              </w:rPr>
            </w:pPr>
          </w:p>
        </w:tc>
        <w:tc>
          <w:tcPr>
            <w:tcW w:w="566" w:type="dxa"/>
            <w:tcBorders>
              <w:top w:val="nil"/>
              <w:left w:val="single" w:sz="8" w:space="0" w:color="000000"/>
              <w:bottom w:val="nil"/>
              <w:right w:val="single" w:sz="8" w:space="0" w:color="000000"/>
            </w:tcBorders>
          </w:tcPr>
          <w:p>
            <w:pPr>
              <w:pStyle w:val="TableParagraph"/>
              <w:rPr>
                <w:sz w:val="18"/>
              </w:rPr>
            </w:pPr>
          </w:p>
        </w:tc>
        <w:tc>
          <w:tcPr>
            <w:tcW w:w="567" w:type="dxa"/>
            <w:tcBorders>
              <w:top w:val="nil"/>
              <w:left w:val="single" w:sz="8" w:space="0" w:color="000000"/>
              <w:bottom w:val="nil"/>
              <w:right w:val="single" w:sz="8" w:space="0" w:color="000000"/>
            </w:tcBorders>
          </w:tcPr>
          <w:p>
            <w:pPr>
              <w:pStyle w:val="TableParagraph"/>
              <w:rPr>
                <w:sz w:val="18"/>
              </w:rPr>
            </w:pPr>
          </w:p>
        </w:tc>
        <w:tc>
          <w:tcPr>
            <w:tcW w:w="710" w:type="dxa"/>
            <w:tcBorders>
              <w:top w:val="nil"/>
              <w:left w:val="single" w:sz="8" w:space="0" w:color="000000"/>
              <w:bottom w:val="nil"/>
              <w:right w:val="single" w:sz="8" w:space="0" w:color="000000"/>
            </w:tcBorders>
          </w:tcPr>
          <w:p>
            <w:pPr>
              <w:pStyle w:val="TableParagraph"/>
              <w:rPr>
                <w:sz w:val="18"/>
              </w:rPr>
            </w:pPr>
          </w:p>
        </w:tc>
        <w:tc>
          <w:tcPr>
            <w:tcW w:w="708" w:type="dxa"/>
            <w:tcBorders>
              <w:top w:val="nil"/>
              <w:left w:val="single" w:sz="8" w:space="0" w:color="000000"/>
              <w:bottom w:val="nil"/>
              <w:right w:val="single" w:sz="8" w:space="0" w:color="000000"/>
            </w:tcBorders>
          </w:tcPr>
          <w:p>
            <w:pPr>
              <w:pStyle w:val="TableParagraph"/>
              <w:rPr>
                <w:sz w:val="18"/>
              </w:rPr>
            </w:pPr>
          </w:p>
        </w:tc>
        <w:tc>
          <w:tcPr>
            <w:tcW w:w="708" w:type="dxa"/>
            <w:tcBorders>
              <w:top w:val="nil"/>
              <w:left w:val="single" w:sz="8" w:space="0" w:color="000000"/>
              <w:bottom w:val="nil"/>
              <w:right w:val="single" w:sz="8" w:space="0" w:color="000000"/>
            </w:tcBorders>
          </w:tcPr>
          <w:p>
            <w:pPr>
              <w:pStyle w:val="TableParagraph"/>
              <w:spacing w:before="26"/>
              <w:ind w:right="37"/>
              <w:jc w:val="right"/>
              <w:rPr>
                <w:sz w:val="18"/>
              </w:rPr>
            </w:pPr>
            <w:r>
              <w:rPr>
                <w:sz w:val="18"/>
              </w:rPr>
              <w:t>.853</w:t>
            </w:r>
          </w:p>
        </w:tc>
        <w:tc>
          <w:tcPr>
            <w:tcW w:w="711" w:type="dxa"/>
            <w:tcBorders>
              <w:top w:val="nil"/>
              <w:left w:val="single" w:sz="8" w:space="0" w:color="000000"/>
              <w:bottom w:val="nil"/>
              <w:right w:val="single" w:sz="8" w:space="0" w:color="000000"/>
            </w:tcBorders>
          </w:tcPr>
          <w:p>
            <w:pPr>
              <w:pStyle w:val="TableParagraph"/>
              <w:rPr>
                <w:sz w:val="18"/>
              </w:rPr>
            </w:pPr>
          </w:p>
        </w:tc>
        <w:tc>
          <w:tcPr>
            <w:tcW w:w="567" w:type="dxa"/>
            <w:tcBorders>
              <w:top w:val="nil"/>
              <w:left w:val="single" w:sz="8" w:space="0" w:color="000000"/>
              <w:bottom w:val="nil"/>
              <w:right w:val="single" w:sz="8" w:space="0" w:color="000000"/>
            </w:tcBorders>
          </w:tcPr>
          <w:p>
            <w:pPr>
              <w:pStyle w:val="TableParagraph"/>
              <w:rPr>
                <w:sz w:val="18"/>
              </w:rPr>
            </w:pPr>
          </w:p>
        </w:tc>
        <w:tc>
          <w:tcPr>
            <w:tcW w:w="567" w:type="dxa"/>
            <w:tcBorders>
              <w:top w:val="nil"/>
              <w:left w:val="single" w:sz="8" w:space="0" w:color="000000"/>
              <w:bottom w:val="nil"/>
              <w:right w:val="single" w:sz="8" w:space="0" w:color="000000"/>
            </w:tcBorders>
          </w:tcPr>
          <w:p>
            <w:pPr>
              <w:pStyle w:val="TableParagraph"/>
              <w:rPr>
                <w:sz w:val="18"/>
              </w:rPr>
            </w:pPr>
          </w:p>
        </w:tc>
        <w:tc>
          <w:tcPr>
            <w:tcW w:w="567" w:type="dxa"/>
            <w:tcBorders>
              <w:top w:val="nil"/>
              <w:left w:val="single" w:sz="8" w:space="0" w:color="000000"/>
              <w:bottom w:val="nil"/>
              <w:right w:val="single" w:sz="8" w:space="0" w:color="000000"/>
            </w:tcBorders>
          </w:tcPr>
          <w:p>
            <w:pPr>
              <w:pStyle w:val="TableParagraph"/>
              <w:rPr>
                <w:sz w:val="18"/>
              </w:rPr>
            </w:pPr>
          </w:p>
        </w:tc>
        <w:tc>
          <w:tcPr>
            <w:tcW w:w="570" w:type="dxa"/>
            <w:tcBorders>
              <w:top w:val="nil"/>
              <w:left w:val="single" w:sz="8" w:space="0" w:color="000000"/>
              <w:bottom w:val="nil"/>
              <w:right w:val="single" w:sz="8" w:space="0" w:color="000000"/>
            </w:tcBorders>
          </w:tcPr>
          <w:p>
            <w:pPr>
              <w:pStyle w:val="TableParagraph"/>
              <w:rPr>
                <w:sz w:val="18"/>
              </w:rPr>
            </w:pPr>
          </w:p>
        </w:tc>
        <w:tc>
          <w:tcPr>
            <w:tcW w:w="567" w:type="dxa"/>
            <w:vMerge/>
            <w:tcBorders>
              <w:top w:val="nil"/>
              <w:left w:val="single" w:sz="8" w:space="0" w:color="000000"/>
            </w:tcBorders>
          </w:tcPr>
          <w:p>
            <w:pPr>
              <w:rPr>
                <w:sz w:val="2"/>
                <w:szCs w:val="2"/>
              </w:rPr>
            </w:pPr>
          </w:p>
        </w:tc>
      </w:tr>
      <w:tr>
        <w:trPr>
          <w:trHeight w:val="264" w:hRule="atLeast"/>
        </w:trPr>
        <w:tc>
          <w:tcPr>
            <w:tcW w:w="852" w:type="dxa"/>
            <w:tcBorders>
              <w:top w:val="nil"/>
              <w:bottom w:val="nil"/>
            </w:tcBorders>
          </w:tcPr>
          <w:p>
            <w:pPr>
              <w:pStyle w:val="TableParagraph"/>
              <w:spacing w:before="25"/>
              <w:ind w:left="75"/>
              <w:rPr>
                <w:sz w:val="18"/>
              </w:rPr>
            </w:pPr>
            <w:r>
              <w:rPr>
                <w:sz w:val="18"/>
              </w:rPr>
              <w:t>TC1</w:t>
            </w:r>
          </w:p>
        </w:tc>
        <w:tc>
          <w:tcPr>
            <w:tcW w:w="566" w:type="dxa"/>
            <w:vMerge/>
            <w:tcBorders>
              <w:top w:val="nil"/>
              <w:right w:val="single" w:sz="8" w:space="0" w:color="000000"/>
            </w:tcBorders>
          </w:tcPr>
          <w:p>
            <w:pPr>
              <w:rPr>
                <w:sz w:val="2"/>
                <w:szCs w:val="2"/>
              </w:rPr>
            </w:pPr>
          </w:p>
        </w:tc>
        <w:tc>
          <w:tcPr>
            <w:tcW w:w="566" w:type="dxa"/>
            <w:tcBorders>
              <w:top w:val="nil"/>
              <w:left w:val="single" w:sz="8" w:space="0" w:color="000000"/>
              <w:bottom w:val="nil"/>
              <w:right w:val="single" w:sz="8" w:space="0" w:color="000000"/>
            </w:tcBorders>
          </w:tcPr>
          <w:p>
            <w:pPr>
              <w:pStyle w:val="TableParagraph"/>
              <w:rPr>
                <w:sz w:val="18"/>
              </w:rPr>
            </w:pPr>
          </w:p>
        </w:tc>
        <w:tc>
          <w:tcPr>
            <w:tcW w:w="567" w:type="dxa"/>
            <w:tcBorders>
              <w:top w:val="nil"/>
              <w:left w:val="single" w:sz="8" w:space="0" w:color="000000"/>
              <w:bottom w:val="nil"/>
              <w:right w:val="single" w:sz="8" w:space="0" w:color="000000"/>
            </w:tcBorders>
          </w:tcPr>
          <w:p>
            <w:pPr>
              <w:pStyle w:val="TableParagraph"/>
              <w:rPr>
                <w:sz w:val="18"/>
              </w:rPr>
            </w:pPr>
          </w:p>
        </w:tc>
        <w:tc>
          <w:tcPr>
            <w:tcW w:w="710" w:type="dxa"/>
            <w:tcBorders>
              <w:top w:val="nil"/>
              <w:left w:val="single" w:sz="8" w:space="0" w:color="000000"/>
              <w:bottom w:val="nil"/>
              <w:right w:val="single" w:sz="8" w:space="0" w:color="000000"/>
            </w:tcBorders>
          </w:tcPr>
          <w:p>
            <w:pPr>
              <w:pStyle w:val="TableParagraph"/>
              <w:rPr>
                <w:sz w:val="18"/>
              </w:rPr>
            </w:pPr>
          </w:p>
        </w:tc>
        <w:tc>
          <w:tcPr>
            <w:tcW w:w="708" w:type="dxa"/>
            <w:tcBorders>
              <w:top w:val="nil"/>
              <w:left w:val="single" w:sz="8" w:space="0" w:color="000000"/>
              <w:bottom w:val="nil"/>
              <w:right w:val="single" w:sz="8" w:space="0" w:color="000000"/>
            </w:tcBorders>
          </w:tcPr>
          <w:p>
            <w:pPr>
              <w:pStyle w:val="TableParagraph"/>
              <w:rPr>
                <w:sz w:val="18"/>
              </w:rPr>
            </w:pPr>
          </w:p>
        </w:tc>
        <w:tc>
          <w:tcPr>
            <w:tcW w:w="708" w:type="dxa"/>
            <w:tcBorders>
              <w:top w:val="nil"/>
              <w:left w:val="single" w:sz="8" w:space="0" w:color="000000"/>
              <w:bottom w:val="nil"/>
              <w:right w:val="single" w:sz="8" w:space="0" w:color="000000"/>
            </w:tcBorders>
          </w:tcPr>
          <w:p>
            <w:pPr>
              <w:pStyle w:val="TableParagraph"/>
              <w:spacing w:before="25"/>
              <w:ind w:right="36"/>
              <w:jc w:val="right"/>
              <w:rPr>
                <w:sz w:val="18"/>
              </w:rPr>
            </w:pPr>
            <w:r>
              <w:rPr>
                <w:sz w:val="18"/>
              </w:rPr>
              <w:t>.835</w:t>
            </w:r>
          </w:p>
        </w:tc>
        <w:tc>
          <w:tcPr>
            <w:tcW w:w="711" w:type="dxa"/>
            <w:tcBorders>
              <w:top w:val="nil"/>
              <w:left w:val="single" w:sz="8" w:space="0" w:color="000000"/>
              <w:bottom w:val="nil"/>
              <w:right w:val="single" w:sz="8" w:space="0" w:color="000000"/>
            </w:tcBorders>
          </w:tcPr>
          <w:p>
            <w:pPr>
              <w:pStyle w:val="TableParagraph"/>
              <w:rPr>
                <w:sz w:val="18"/>
              </w:rPr>
            </w:pPr>
          </w:p>
        </w:tc>
        <w:tc>
          <w:tcPr>
            <w:tcW w:w="567" w:type="dxa"/>
            <w:tcBorders>
              <w:top w:val="nil"/>
              <w:left w:val="single" w:sz="8" w:space="0" w:color="000000"/>
              <w:bottom w:val="nil"/>
              <w:right w:val="single" w:sz="8" w:space="0" w:color="000000"/>
            </w:tcBorders>
          </w:tcPr>
          <w:p>
            <w:pPr>
              <w:pStyle w:val="TableParagraph"/>
              <w:rPr>
                <w:sz w:val="18"/>
              </w:rPr>
            </w:pPr>
          </w:p>
        </w:tc>
        <w:tc>
          <w:tcPr>
            <w:tcW w:w="567" w:type="dxa"/>
            <w:tcBorders>
              <w:top w:val="nil"/>
              <w:left w:val="single" w:sz="8" w:space="0" w:color="000000"/>
              <w:bottom w:val="nil"/>
              <w:right w:val="single" w:sz="8" w:space="0" w:color="000000"/>
            </w:tcBorders>
          </w:tcPr>
          <w:p>
            <w:pPr>
              <w:pStyle w:val="TableParagraph"/>
              <w:rPr>
                <w:sz w:val="18"/>
              </w:rPr>
            </w:pPr>
          </w:p>
        </w:tc>
        <w:tc>
          <w:tcPr>
            <w:tcW w:w="567" w:type="dxa"/>
            <w:tcBorders>
              <w:top w:val="nil"/>
              <w:left w:val="single" w:sz="8" w:space="0" w:color="000000"/>
              <w:bottom w:val="nil"/>
              <w:right w:val="single" w:sz="8" w:space="0" w:color="000000"/>
            </w:tcBorders>
          </w:tcPr>
          <w:p>
            <w:pPr>
              <w:pStyle w:val="TableParagraph"/>
              <w:rPr>
                <w:sz w:val="18"/>
              </w:rPr>
            </w:pPr>
          </w:p>
        </w:tc>
        <w:tc>
          <w:tcPr>
            <w:tcW w:w="570" w:type="dxa"/>
            <w:tcBorders>
              <w:top w:val="nil"/>
              <w:left w:val="single" w:sz="8" w:space="0" w:color="000000"/>
              <w:bottom w:val="nil"/>
              <w:right w:val="single" w:sz="8" w:space="0" w:color="000000"/>
            </w:tcBorders>
          </w:tcPr>
          <w:p>
            <w:pPr>
              <w:pStyle w:val="TableParagraph"/>
              <w:rPr>
                <w:sz w:val="18"/>
              </w:rPr>
            </w:pPr>
          </w:p>
        </w:tc>
        <w:tc>
          <w:tcPr>
            <w:tcW w:w="567" w:type="dxa"/>
            <w:vMerge/>
            <w:tcBorders>
              <w:top w:val="nil"/>
              <w:left w:val="single" w:sz="8" w:space="0" w:color="000000"/>
            </w:tcBorders>
          </w:tcPr>
          <w:p>
            <w:pPr>
              <w:rPr>
                <w:sz w:val="2"/>
                <w:szCs w:val="2"/>
              </w:rPr>
            </w:pPr>
          </w:p>
        </w:tc>
      </w:tr>
      <w:tr>
        <w:trPr>
          <w:trHeight w:val="266" w:hRule="atLeast"/>
        </w:trPr>
        <w:tc>
          <w:tcPr>
            <w:tcW w:w="852" w:type="dxa"/>
            <w:tcBorders>
              <w:top w:val="nil"/>
              <w:bottom w:val="nil"/>
            </w:tcBorders>
          </w:tcPr>
          <w:p>
            <w:pPr>
              <w:pStyle w:val="TableParagraph"/>
              <w:spacing w:before="25"/>
              <w:ind w:left="75"/>
              <w:rPr>
                <w:sz w:val="18"/>
              </w:rPr>
            </w:pPr>
            <w:r>
              <w:rPr>
                <w:sz w:val="18"/>
              </w:rPr>
              <w:t>TC3</w:t>
            </w:r>
          </w:p>
        </w:tc>
        <w:tc>
          <w:tcPr>
            <w:tcW w:w="566" w:type="dxa"/>
            <w:vMerge/>
            <w:tcBorders>
              <w:top w:val="nil"/>
              <w:right w:val="single" w:sz="8" w:space="0" w:color="000000"/>
            </w:tcBorders>
          </w:tcPr>
          <w:p>
            <w:pPr>
              <w:rPr>
                <w:sz w:val="2"/>
                <w:szCs w:val="2"/>
              </w:rPr>
            </w:pPr>
          </w:p>
        </w:tc>
        <w:tc>
          <w:tcPr>
            <w:tcW w:w="566" w:type="dxa"/>
            <w:tcBorders>
              <w:top w:val="nil"/>
              <w:left w:val="single" w:sz="8" w:space="0" w:color="000000"/>
              <w:bottom w:val="nil"/>
              <w:right w:val="single" w:sz="8" w:space="0" w:color="000000"/>
            </w:tcBorders>
          </w:tcPr>
          <w:p>
            <w:pPr>
              <w:pStyle w:val="TableParagraph"/>
              <w:rPr>
                <w:sz w:val="18"/>
              </w:rPr>
            </w:pPr>
          </w:p>
        </w:tc>
        <w:tc>
          <w:tcPr>
            <w:tcW w:w="567" w:type="dxa"/>
            <w:tcBorders>
              <w:top w:val="nil"/>
              <w:left w:val="single" w:sz="8" w:space="0" w:color="000000"/>
              <w:bottom w:val="nil"/>
              <w:right w:val="single" w:sz="8" w:space="0" w:color="000000"/>
            </w:tcBorders>
          </w:tcPr>
          <w:p>
            <w:pPr>
              <w:pStyle w:val="TableParagraph"/>
              <w:rPr>
                <w:sz w:val="18"/>
              </w:rPr>
            </w:pPr>
          </w:p>
        </w:tc>
        <w:tc>
          <w:tcPr>
            <w:tcW w:w="710" w:type="dxa"/>
            <w:tcBorders>
              <w:top w:val="nil"/>
              <w:left w:val="single" w:sz="8" w:space="0" w:color="000000"/>
              <w:bottom w:val="nil"/>
              <w:right w:val="single" w:sz="8" w:space="0" w:color="000000"/>
            </w:tcBorders>
          </w:tcPr>
          <w:p>
            <w:pPr>
              <w:pStyle w:val="TableParagraph"/>
              <w:rPr>
                <w:sz w:val="18"/>
              </w:rPr>
            </w:pPr>
          </w:p>
        </w:tc>
        <w:tc>
          <w:tcPr>
            <w:tcW w:w="708" w:type="dxa"/>
            <w:tcBorders>
              <w:top w:val="nil"/>
              <w:left w:val="single" w:sz="8" w:space="0" w:color="000000"/>
              <w:bottom w:val="nil"/>
              <w:right w:val="single" w:sz="8" w:space="0" w:color="000000"/>
            </w:tcBorders>
          </w:tcPr>
          <w:p>
            <w:pPr>
              <w:pStyle w:val="TableParagraph"/>
              <w:rPr>
                <w:sz w:val="18"/>
              </w:rPr>
            </w:pPr>
          </w:p>
        </w:tc>
        <w:tc>
          <w:tcPr>
            <w:tcW w:w="708" w:type="dxa"/>
            <w:tcBorders>
              <w:top w:val="nil"/>
              <w:left w:val="single" w:sz="8" w:space="0" w:color="000000"/>
              <w:bottom w:val="nil"/>
              <w:right w:val="single" w:sz="8" w:space="0" w:color="000000"/>
            </w:tcBorders>
          </w:tcPr>
          <w:p>
            <w:pPr>
              <w:pStyle w:val="TableParagraph"/>
              <w:spacing w:before="25"/>
              <w:ind w:right="36"/>
              <w:jc w:val="right"/>
              <w:rPr>
                <w:sz w:val="18"/>
              </w:rPr>
            </w:pPr>
            <w:r>
              <w:rPr>
                <w:sz w:val="18"/>
              </w:rPr>
              <w:t>.811</w:t>
            </w:r>
          </w:p>
        </w:tc>
        <w:tc>
          <w:tcPr>
            <w:tcW w:w="711" w:type="dxa"/>
            <w:tcBorders>
              <w:top w:val="nil"/>
              <w:left w:val="single" w:sz="8" w:space="0" w:color="000000"/>
              <w:bottom w:val="nil"/>
              <w:right w:val="single" w:sz="8" w:space="0" w:color="000000"/>
            </w:tcBorders>
          </w:tcPr>
          <w:p>
            <w:pPr>
              <w:pStyle w:val="TableParagraph"/>
              <w:rPr>
                <w:sz w:val="18"/>
              </w:rPr>
            </w:pPr>
          </w:p>
        </w:tc>
        <w:tc>
          <w:tcPr>
            <w:tcW w:w="567" w:type="dxa"/>
            <w:tcBorders>
              <w:top w:val="nil"/>
              <w:left w:val="single" w:sz="8" w:space="0" w:color="000000"/>
              <w:bottom w:val="nil"/>
              <w:right w:val="single" w:sz="8" w:space="0" w:color="000000"/>
            </w:tcBorders>
          </w:tcPr>
          <w:p>
            <w:pPr>
              <w:pStyle w:val="TableParagraph"/>
              <w:rPr>
                <w:sz w:val="18"/>
              </w:rPr>
            </w:pPr>
          </w:p>
        </w:tc>
        <w:tc>
          <w:tcPr>
            <w:tcW w:w="567" w:type="dxa"/>
            <w:tcBorders>
              <w:top w:val="nil"/>
              <w:left w:val="single" w:sz="8" w:space="0" w:color="000000"/>
              <w:bottom w:val="nil"/>
              <w:right w:val="single" w:sz="8" w:space="0" w:color="000000"/>
            </w:tcBorders>
          </w:tcPr>
          <w:p>
            <w:pPr>
              <w:pStyle w:val="TableParagraph"/>
              <w:rPr>
                <w:sz w:val="18"/>
              </w:rPr>
            </w:pPr>
          </w:p>
        </w:tc>
        <w:tc>
          <w:tcPr>
            <w:tcW w:w="567" w:type="dxa"/>
            <w:tcBorders>
              <w:top w:val="nil"/>
              <w:left w:val="single" w:sz="8" w:space="0" w:color="000000"/>
              <w:bottom w:val="nil"/>
              <w:right w:val="single" w:sz="8" w:space="0" w:color="000000"/>
            </w:tcBorders>
          </w:tcPr>
          <w:p>
            <w:pPr>
              <w:pStyle w:val="TableParagraph"/>
              <w:rPr>
                <w:sz w:val="18"/>
              </w:rPr>
            </w:pPr>
          </w:p>
        </w:tc>
        <w:tc>
          <w:tcPr>
            <w:tcW w:w="570" w:type="dxa"/>
            <w:tcBorders>
              <w:top w:val="nil"/>
              <w:left w:val="single" w:sz="8" w:space="0" w:color="000000"/>
              <w:bottom w:val="nil"/>
              <w:right w:val="single" w:sz="8" w:space="0" w:color="000000"/>
            </w:tcBorders>
          </w:tcPr>
          <w:p>
            <w:pPr>
              <w:pStyle w:val="TableParagraph"/>
              <w:rPr>
                <w:sz w:val="18"/>
              </w:rPr>
            </w:pPr>
          </w:p>
        </w:tc>
        <w:tc>
          <w:tcPr>
            <w:tcW w:w="567" w:type="dxa"/>
            <w:vMerge/>
            <w:tcBorders>
              <w:top w:val="nil"/>
              <w:left w:val="single" w:sz="8" w:space="0" w:color="000000"/>
            </w:tcBorders>
          </w:tcPr>
          <w:p>
            <w:pPr>
              <w:rPr>
                <w:sz w:val="2"/>
                <w:szCs w:val="2"/>
              </w:rPr>
            </w:pPr>
          </w:p>
        </w:tc>
      </w:tr>
      <w:tr>
        <w:trPr>
          <w:trHeight w:val="265" w:hRule="atLeast"/>
        </w:trPr>
        <w:tc>
          <w:tcPr>
            <w:tcW w:w="852" w:type="dxa"/>
            <w:tcBorders>
              <w:top w:val="nil"/>
              <w:bottom w:val="nil"/>
            </w:tcBorders>
          </w:tcPr>
          <w:p>
            <w:pPr>
              <w:pStyle w:val="TableParagraph"/>
              <w:spacing w:before="26"/>
              <w:ind w:left="75"/>
              <w:rPr>
                <w:sz w:val="18"/>
              </w:rPr>
            </w:pPr>
            <w:r>
              <w:rPr>
                <w:sz w:val="18"/>
              </w:rPr>
              <w:t>TC2</w:t>
            </w:r>
          </w:p>
        </w:tc>
        <w:tc>
          <w:tcPr>
            <w:tcW w:w="566" w:type="dxa"/>
            <w:vMerge/>
            <w:tcBorders>
              <w:top w:val="nil"/>
              <w:right w:val="single" w:sz="8" w:space="0" w:color="000000"/>
            </w:tcBorders>
          </w:tcPr>
          <w:p>
            <w:pPr>
              <w:rPr>
                <w:sz w:val="2"/>
                <w:szCs w:val="2"/>
              </w:rPr>
            </w:pPr>
          </w:p>
        </w:tc>
        <w:tc>
          <w:tcPr>
            <w:tcW w:w="566" w:type="dxa"/>
            <w:tcBorders>
              <w:top w:val="nil"/>
              <w:left w:val="single" w:sz="8" w:space="0" w:color="000000"/>
              <w:bottom w:val="nil"/>
              <w:right w:val="single" w:sz="8" w:space="0" w:color="000000"/>
            </w:tcBorders>
          </w:tcPr>
          <w:p>
            <w:pPr>
              <w:pStyle w:val="TableParagraph"/>
              <w:rPr>
                <w:sz w:val="18"/>
              </w:rPr>
            </w:pPr>
          </w:p>
        </w:tc>
        <w:tc>
          <w:tcPr>
            <w:tcW w:w="567" w:type="dxa"/>
            <w:tcBorders>
              <w:top w:val="nil"/>
              <w:left w:val="single" w:sz="8" w:space="0" w:color="000000"/>
              <w:bottom w:val="nil"/>
              <w:right w:val="single" w:sz="8" w:space="0" w:color="000000"/>
            </w:tcBorders>
          </w:tcPr>
          <w:p>
            <w:pPr>
              <w:pStyle w:val="TableParagraph"/>
              <w:rPr>
                <w:sz w:val="18"/>
              </w:rPr>
            </w:pPr>
          </w:p>
        </w:tc>
        <w:tc>
          <w:tcPr>
            <w:tcW w:w="710" w:type="dxa"/>
            <w:tcBorders>
              <w:top w:val="nil"/>
              <w:left w:val="single" w:sz="8" w:space="0" w:color="000000"/>
              <w:bottom w:val="nil"/>
              <w:right w:val="single" w:sz="8" w:space="0" w:color="000000"/>
            </w:tcBorders>
          </w:tcPr>
          <w:p>
            <w:pPr>
              <w:pStyle w:val="TableParagraph"/>
              <w:rPr>
                <w:sz w:val="18"/>
              </w:rPr>
            </w:pPr>
          </w:p>
        </w:tc>
        <w:tc>
          <w:tcPr>
            <w:tcW w:w="708" w:type="dxa"/>
            <w:tcBorders>
              <w:top w:val="nil"/>
              <w:left w:val="single" w:sz="8" w:space="0" w:color="000000"/>
              <w:bottom w:val="nil"/>
              <w:right w:val="single" w:sz="8" w:space="0" w:color="000000"/>
            </w:tcBorders>
          </w:tcPr>
          <w:p>
            <w:pPr>
              <w:pStyle w:val="TableParagraph"/>
              <w:rPr>
                <w:sz w:val="18"/>
              </w:rPr>
            </w:pPr>
          </w:p>
        </w:tc>
        <w:tc>
          <w:tcPr>
            <w:tcW w:w="708" w:type="dxa"/>
            <w:tcBorders>
              <w:top w:val="nil"/>
              <w:left w:val="single" w:sz="8" w:space="0" w:color="000000"/>
              <w:bottom w:val="nil"/>
              <w:right w:val="single" w:sz="8" w:space="0" w:color="000000"/>
            </w:tcBorders>
          </w:tcPr>
          <w:p>
            <w:pPr>
              <w:pStyle w:val="TableParagraph"/>
              <w:spacing w:before="26"/>
              <w:ind w:right="37"/>
              <w:jc w:val="right"/>
              <w:rPr>
                <w:sz w:val="18"/>
              </w:rPr>
            </w:pPr>
            <w:r>
              <w:rPr>
                <w:sz w:val="18"/>
              </w:rPr>
              <w:t>.809</w:t>
            </w:r>
          </w:p>
        </w:tc>
        <w:tc>
          <w:tcPr>
            <w:tcW w:w="711" w:type="dxa"/>
            <w:tcBorders>
              <w:top w:val="nil"/>
              <w:left w:val="single" w:sz="8" w:space="0" w:color="000000"/>
              <w:bottom w:val="nil"/>
              <w:right w:val="single" w:sz="8" w:space="0" w:color="000000"/>
            </w:tcBorders>
          </w:tcPr>
          <w:p>
            <w:pPr>
              <w:pStyle w:val="TableParagraph"/>
              <w:rPr>
                <w:sz w:val="18"/>
              </w:rPr>
            </w:pPr>
          </w:p>
        </w:tc>
        <w:tc>
          <w:tcPr>
            <w:tcW w:w="567" w:type="dxa"/>
            <w:tcBorders>
              <w:top w:val="nil"/>
              <w:left w:val="single" w:sz="8" w:space="0" w:color="000000"/>
              <w:bottom w:val="nil"/>
              <w:right w:val="single" w:sz="8" w:space="0" w:color="000000"/>
            </w:tcBorders>
          </w:tcPr>
          <w:p>
            <w:pPr>
              <w:pStyle w:val="TableParagraph"/>
              <w:rPr>
                <w:sz w:val="18"/>
              </w:rPr>
            </w:pPr>
          </w:p>
        </w:tc>
        <w:tc>
          <w:tcPr>
            <w:tcW w:w="567" w:type="dxa"/>
            <w:tcBorders>
              <w:top w:val="nil"/>
              <w:left w:val="single" w:sz="8" w:space="0" w:color="000000"/>
              <w:bottom w:val="nil"/>
              <w:right w:val="single" w:sz="8" w:space="0" w:color="000000"/>
            </w:tcBorders>
          </w:tcPr>
          <w:p>
            <w:pPr>
              <w:pStyle w:val="TableParagraph"/>
              <w:rPr>
                <w:sz w:val="18"/>
              </w:rPr>
            </w:pPr>
          </w:p>
        </w:tc>
        <w:tc>
          <w:tcPr>
            <w:tcW w:w="567" w:type="dxa"/>
            <w:tcBorders>
              <w:top w:val="nil"/>
              <w:left w:val="single" w:sz="8" w:space="0" w:color="000000"/>
              <w:bottom w:val="nil"/>
              <w:right w:val="single" w:sz="8" w:space="0" w:color="000000"/>
            </w:tcBorders>
          </w:tcPr>
          <w:p>
            <w:pPr>
              <w:pStyle w:val="TableParagraph"/>
              <w:rPr>
                <w:sz w:val="18"/>
              </w:rPr>
            </w:pPr>
          </w:p>
        </w:tc>
        <w:tc>
          <w:tcPr>
            <w:tcW w:w="570" w:type="dxa"/>
            <w:tcBorders>
              <w:top w:val="nil"/>
              <w:left w:val="single" w:sz="8" w:space="0" w:color="000000"/>
              <w:bottom w:val="nil"/>
              <w:right w:val="single" w:sz="8" w:space="0" w:color="000000"/>
            </w:tcBorders>
          </w:tcPr>
          <w:p>
            <w:pPr>
              <w:pStyle w:val="TableParagraph"/>
              <w:rPr>
                <w:sz w:val="18"/>
              </w:rPr>
            </w:pPr>
          </w:p>
        </w:tc>
        <w:tc>
          <w:tcPr>
            <w:tcW w:w="567" w:type="dxa"/>
            <w:vMerge/>
            <w:tcBorders>
              <w:top w:val="nil"/>
              <w:left w:val="single" w:sz="8" w:space="0" w:color="000000"/>
            </w:tcBorders>
          </w:tcPr>
          <w:p>
            <w:pPr>
              <w:rPr>
                <w:sz w:val="2"/>
                <w:szCs w:val="2"/>
              </w:rPr>
            </w:pPr>
          </w:p>
        </w:tc>
      </w:tr>
      <w:tr>
        <w:trPr>
          <w:trHeight w:val="264" w:hRule="atLeast"/>
        </w:trPr>
        <w:tc>
          <w:tcPr>
            <w:tcW w:w="852" w:type="dxa"/>
            <w:tcBorders>
              <w:top w:val="nil"/>
              <w:bottom w:val="nil"/>
            </w:tcBorders>
          </w:tcPr>
          <w:p>
            <w:pPr>
              <w:pStyle w:val="TableParagraph"/>
              <w:spacing w:before="25"/>
              <w:ind w:left="75"/>
              <w:rPr>
                <w:sz w:val="18"/>
              </w:rPr>
            </w:pPr>
            <w:r>
              <w:rPr>
                <w:sz w:val="18"/>
              </w:rPr>
              <w:t>HL1</w:t>
            </w:r>
          </w:p>
        </w:tc>
        <w:tc>
          <w:tcPr>
            <w:tcW w:w="566" w:type="dxa"/>
            <w:vMerge/>
            <w:tcBorders>
              <w:top w:val="nil"/>
              <w:right w:val="single" w:sz="8" w:space="0" w:color="000000"/>
            </w:tcBorders>
          </w:tcPr>
          <w:p>
            <w:pPr>
              <w:rPr>
                <w:sz w:val="2"/>
                <w:szCs w:val="2"/>
              </w:rPr>
            </w:pPr>
          </w:p>
        </w:tc>
        <w:tc>
          <w:tcPr>
            <w:tcW w:w="566" w:type="dxa"/>
            <w:tcBorders>
              <w:top w:val="nil"/>
              <w:left w:val="single" w:sz="8" w:space="0" w:color="000000"/>
              <w:bottom w:val="nil"/>
              <w:right w:val="single" w:sz="8" w:space="0" w:color="000000"/>
            </w:tcBorders>
          </w:tcPr>
          <w:p>
            <w:pPr>
              <w:pStyle w:val="TableParagraph"/>
              <w:rPr>
                <w:sz w:val="18"/>
              </w:rPr>
            </w:pPr>
          </w:p>
        </w:tc>
        <w:tc>
          <w:tcPr>
            <w:tcW w:w="567" w:type="dxa"/>
            <w:tcBorders>
              <w:top w:val="nil"/>
              <w:left w:val="single" w:sz="8" w:space="0" w:color="000000"/>
              <w:bottom w:val="nil"/>
              <w:right w:val="single" w:sz="8" w:space="0" w:color="000000"/>
            </w:tcBorders>
          </w:tcPr>
          <w:p>
            <w:pPr>
              <w:pStyle w:val="TableParagraph"/>
              <w:rPr>
                <w:sz w:val="18"/>
              </w:rPr>
            </w:pPr>
          </w:p>
        </w:tc>
        <w:tc>
          <w:tcPr>
            <w:tcW w:w="710" w:type="dxa"/>
            <w:tcBorders>
              <w:top w:val="nil"/>
              <w:left w:val="single" w:sz="8" w:space="0" w:color="000000"/>
              <w:bottom w:val="nil"/>
              <w:right w:val="single" w:sz="8" w:space="0" w:color="000000"/>
            </w:tcBorders>
          </w:tcPr>
          <w:p>
            <w:pPr>
              <w:pStyle w:val="TableParagraph"/>
              <w:rPr>
                <w:sz w:val="18"/>
              </w:rPr>
            </w:pPr>
          </w:p>
        </w:tc>
        <w:tc>
          <w:tcPr>
            <w:tcW w:w="708" w:type="dxa"/>
            <w:tcBorders>
              <w:top w:val="nil"/>
              <w:left w:val="single" w:sz="8" w:space="0" w:color="000000"/>
              <w:bottom w:val="nil"/>
              <w:right w:val="single" w:sz="8" w:space="0" w:color="000000"/>
            </w:tcBorders>
          </w:tcPr>
          <w:p>
            <w:pPr>
              <w:pStyle w:val="TableParagraph"/>
              <w:rPr>
                <w:sz w:val="18"/>
              </w:rPr>
            </w:pPr>
          </w:p>
        </w:tc>
        <w:tc>
          <w:tcPr>
            <w:tcW w:w="708" w:type="dxa"/>
            <w:tcBorders>
              <w:top w:val="nil"/>
              <w:left w:val="single" w:sz="8" w:space="0" w:color="000000"/>
              <w:bottom w:val="nil"/>
              <w:right w:val="single" w:sz="8" w:space="0" w:color="000000"/>
            </w:tcBorders>
          </w:tcPr>
          <w:p>
            <w:pPr>
              <w:pStyle w:val="TableParagraph"/>
              <w:rPr>
                <w:sz w:val="18"/>
              </w:rPr>
            </w:pPr>
          </w:p>
        </w:tc>
        <w:tc>
          <w:tcPr>
            <w:tcW w:w="711" w:type="dxa"/>
            <w:tcBorders>
              <w:top w:val="nil"/>
              <w:left w:val="single" w:sz="8" w:space="0" w:color="000000"/>
              <w:bottom w:val="nil"/>
              <w:right w:val="single" w:sz="8" w:space="0" w:color="000000"/>
            </w:tcBorders>
          </w:tcPr>
          <w:p>
            <w:pPr>
              <w:pStyle w:val="TableParagraph"/>
              <w:spacing w:before="25"/>
              <w:ind w:right="39"/>
              <w:jc w:val="right"/>
              <w:rPr>
                <w:sz w:val="18"/>
              </w:rPr>
            </w:pPr>
            <w:r>
              <w:rPr>
                <w:sz w:val="18"/>
              </w:rPr>
              <w:t>.825</w:t>
            </w:r>
          </w:p>
        </w:tc>
        <w:tc>
          <w:tcPr>
            <w:tcW w:w="567" w:type="dxa"/>
            <w:tcBorders>
              <w:top w:val="nil"/>
              <w:left w:val="single" w:sz="8" w:space="0" w:color="000000"/>
              <w:bottom w:val="nil"/>
              <w:right w:val="single" w:sz="8" w:space="0" w:color="000000"/>
            </w:tcBorders>
          </w:tcPr>
          <w:p>
            <w:pPr>
              <w:pStyle w:val="TableParagraph"/>
              <w:rPr>
                <w:sz w:val="18"/>
              </w:rPr>
            </w:pPr>
          </w:p>
        </w:tc>
        <w:tc>
          <w:tcPr>
            <w:tcW w:w="567" w:type="dxa"/>
            <w:tcBorders>
              <w:top w:val="nil"/>
              <w:left w:val="single" w:sz="8" w:space="0" w:color="000000"/>
              <w:bottom w:val="nil"/>
              <w:right w:val="single" w:sz="8" w:space="0" w:color="000000"/>
            </w:tcBorders>
          </w:tcPr>
          <w:p>
            <w:pPr>
              <w:pStyle w:val="TableParagraph"/>
              <w:rPr>
                <w:sz w:val="18"/>
              </w:rPr>
            </w:pPr>
          </w:p>
        </w:tc>
        <w:tc>
          <w:tcPr>
            <w:tcW w:w="567" w:type="dxa"/>
            <w:tcBorders>
              <w:top w:val="nil"/>
              <w:left w:val="single" w:sz="8" w:space="0" w:color="000000"/>
              <w:bottom w:val="nil"/>
              <w:right w:val="single" w:sz="8" w:space="0" w:color="000000"/>
            </w:tcBorders>
          </w:tcPr>
          <w:p>
            <w:pPr>
              <w:pStyle w:val="TableParagraph"/>
              <w:rPr>
                <w:sz w:val="18"/>
              </w:rPr>
            </w:pPr>
          </w:p>
        </w:tc>
        <w:tc>
          <w:tcPr>
            <w:tcW w:w="570" w:type="dxa"/>
            <w:tcBorders>
              <w:top w:val="nil"/>
              <w:left w:val="single" w:sz="8" w:space="0" w:color="000000"/>
              <w:bottom w:val="nil"/>
              <w:right w:val="single" w:sz="8" w:space="0" w:color="000000"/>
            </w:tcBorders>
          </w:tcPr>
          <w:p>
            <w:pPr>
              <w:pStyle w:val="TableParagraph"/>
              <w:rPr>
                <w:sz w:val="18"/>
              </w:rPr>
            </w:pPr>
          </w:p>
        </w:tc>
        <w:tc>
          <w:tcPr>
            <w:tcW w:w="567" w:type="dxa"/>
            <w:vMerge/>
            <w:tcBorders>
              <w:top w:val="nil"/>
              <w:left w:val="single" w:sz="8" w:space="0" w:color="000000"/>
            </w:tcBorders>
          </w:tcPr>
          <w:p>
            <w:pPr>
              <w:rPr>
                <w:sz w:val="2"/>
                <w:szCs w:val="2"/>
              </w:rPr>
            </w:pPr>
          </w:p>
        </w:tc>
      </w:tr>
      <w:tr>
        <w:trPr>
          <w:trHeight w:val="265" w:hRule="atLeast"/>
        </w:trPr>
        <w:tc>
          <w:tcPr>
            <w:tcW w:w="852" w:type="dxa"/>
            <w:tcBorders>
              <w:top w:val="nil"/>
              <w:bottom w:val="nil"/>
            </w:tcBorders>
          </w:tcPr>
          <w:p>
            <w:pPr>
              <w:pStyle w:val="TableParagraph"/>
              <w:spacing w:before="25"/>
              <w:ind w:left="75"/>
              <w:rPr>
                <w:sz w:val="18"/>
              </w:rPr>
            </w:pPr>
            <w:r>
              <w:rPr>
                <w:sz w:val="18"/>
              </w:rPr>
              <w:t>HL3</w:t>
            </w:r>
          </w:p>
        </w:tc>
        <w:tc>
          <w:tcPr>
            <w:tcW w:w="566" w:type="dxa"/>
            <w:vMerge/>
            <w:tcBorders>
              <w:top w:val="nil"/>
              <w:right w:val="single" w:sz="8" w:space="0" w:color="000000"/>
            </w:tcBorders>
          </w:tcPr>
          <w:p>
            <w:pPr>
              <w:rPr>
                <w:sz w:val="2"/>
                <w:szCs w:val="2"/>
              </w:rPr>
            </w:pPr>
          </w:p>
        </w:tc>
        <w:tc>
          <w:tcPr>
            <w:tcW w:w="566" w:type="dxa"/>
            <w:tcBorders>
              <w:top w:val="nil"/>
              <w:left w:val="single" w:sz="8" w:space="0" w:color="000000"/>
              <w:bottom w:val="nil"/>
              <w:right w:val="single" w:sz="8" w:space="0" w:color="000000"/>
            </w:tcBorders>
          </w:tcPr>
          <w:p>
            <w:pPr>
              <w:pStyle w:val="TableParagraph"/>
              <w:rPr>
                <w:sz w:val="18"/>
              </w:rPr>
            </w:pPr>
          </w:p>
        </w:tc>
        <w:tc>
          <w:tcPr>
            <w:tcW w:w="567" w:type="dxa"/>
            <w:tcBorders>
              <w:top w:val="nil"/>
              <w:left w:val="single" w:sz="8" w:space="0" w:color="000000"/>
              <w:bottom w:val="nil"/>
              <w:right w:val="single" w:sz="8" w:space="0" w:color="000000"/>
            </w:tcBorders>
          </w:tcPr>
          <w:p>
            <w:pPr>
              <w:pStyle w:val="TableParagraph"/>
              <w:rPr>
                <w:sz w:val="18"/>
              </w:rPr>
            </w:pPr>
          </w:p>
        </w:tc>
        <w:tc>
          <w:tcPr>
            <w:tcW w:w="710" w:type="dxa"/>
            <w:tcBorders>
              <w:top w:val="nil"/>
              <w:left w:val="single" w:sz="8" w:space="0" w:color="000000"/>
              <w:bottom w:val="nil"/>
              <w:right w:val="single" w:sz="8" w:space="0" w:color="000000"/>
            </w:tcBorders>
          </w:tcPr>
          <w:p>
            <w:pPr>
              <w:pStyle w:val="TableParagraph"/>
              <w:rPr>
                <w:sz w:val="18"/>
              </w:rPr>
            </w:pPr>
          </w:p>
        </w:tc>
        <w:tc>
          <w:tcPr>
            <w:tcW w:w="708" w:type="dxa"/>
            <w:tcBorders>
              <w:top w:val="nil"/>
              <w:left w:val="single" w:sz="8" w:space="0" w:color="000000"/>
              <w:bottom w:val="nil"/>
              <w:right w:val="single" w:sz="8" w:space="0" w:color="000000"/>
            </w:tcBorders>
          </w:tcPr>
          <w:p>
            <w:pPr>
              <w:pStyle w:val="TableParagraph"/>
              <w:rPr>
                <w:sz w:val="18"/>
              </w:rPr>
            </w:pPr>
          </w:p>
        </w:tc>
        <w:tc>
          <w:tcPr>
            <w:tcW w:w="708" w:type="dxa"/>
            <w:tcBorders>
              <w:top w:val="nil"/>
              <w:left w:val="single" w:sz="8" w:space="0" w:color="000000"/>
              <w:bottom w:val="nil"/>
              <w:right w:val="single" w:sz="8" w:space="0" w:color="000000"/>
            </w:tcBorders>
          </w:tcPr>
          <w:p>
            <w:pPr>
              <w:pStyle w:val="TableParagraph"/>
              <w:rPr>
                <w:sz w:val="18"/>
              </w:rPr>
            </w:pPr>
          </w:p>
        </w:tc>
        <w:tc>
          <w:tcPr>
            <w:tcW w:w="711" w:type="dxa"/>
            <w:tcBorders>
              <w:top w:val="nil"/>
              <w:left w:val="single" w:sz="8" w:space="0" w:color="000000"/>
              <w:bottom w:val="nil"/>
              <w:right w:val="single" w:sz="8" w:space="0" w:color="000000"/>
            </w:tcBorders>
          </w:tcPr>
          <w:p>
            <w:pPr>
              <w:pStyle w:val="TableParagraph"/>
              <w:spacing w:before="25"/>
              <w:ind w:right="38"/>
              <w:jc w:val="right"/>
              <w:rPr>
                <w:sz w:val="18"/>
              </w:rPr>
            </w:pPr>
            <w:r>
              <w:rPr>
                <w:sz w:val="18"/>
              </w:rPr>
              <w:t>.816</w:t>
            </w:r>
          </w:p>
        </w:tc>
        <w:tc>
          <w:tcPr>
            <w:tcW w:w="567" w:type="dxa"/>
            <w:tcBorders>
              <w:top w:val="nil"/>
              <w:left w:val="single" w:sz="8" w:space="0" w:color="000000"/>
              <w:bottom w:val="nil"/>
              <w:right w:val="single" w:sz="8" w:space="0" w:color="000000"/>
            </w:tcBorders>
          </w:tcPr>
          <w:p>
            <w:pPr>
              <w:pStyle w:val="TableParagraph"/>
              <w:rPr>
                <w:sz w:val="18"/>
              </w:rPr>
            </w:pPr>
          </w:p>
        </w:tc>
        <w:tc>
          <w:tcPr>
            <w:tcW w:w="567" w:type="dxa"/>
            <w:tcBorders>
              <w:top w:val="nil"/>
              <w:left w:val="single" w:sz="8" w:space="0" w:color="000000"/>
              <w:bottom w:val="nil"/>
              <w:right w:val="single" w:sz="8" w:space="0" w:color="000000"/>
            </w:tcBorders>
          </w:tcPr>
          <w:p>
            <w:pPr>
              <w:pStyle w:val="TableParagraph"/>
              <w:rPr>
                <w:sz w:val="18"/>
              </w:rPr>
            </w:pPr>
          </w:p>
        </w:tc>
        <w:tc>
          <w:tcPr>
            <w:tcW w:w="567" w:type="dxa"/>
            <w:tcBorders>
              <w:top w:val="nil"/>
              <w:left w:val="single" w:sz="8" w:space="0" w:color="000000"/>
              <w:bottom w:val="nil"/>
              <w:right w:val="single" w:sz="8" w:space="0" w:color="000000"/>
            </w:tcBorders>
          </w:tcPr>
          <w:p>
            <w:pPr>
              <w:pStyle w:val="TableParagraph"/>
              <w:rPr>
                <w:sz w:val="18"/>
              </w:rPr>
            </w:pPr>
          </w:p>
        </w:tc>
        <w:tc>
          <w:tcPr>
            <w:tcW w:w="570" w:type="dxa"/>
            <w:tcBorders>
              <w:top w:val="nil"/>
              <w:left w:val="single" w:sz="8" w:space="0" w:color="000000"/>
              <w:bottom w:val="nil"/>
              <w:right w:val="single" w:sz="8" w:space="0" w:color="000000"/>
            </w:tcBorders>
          </w:tcPr>
          <w:p>
            <w:pPr>
              <w:pStyle w:val="TableParagraph"/>
              <w:rPr>
                <w:sz w:val="18"/>
              </w:rPr>
            </w:pPr>
          </w:p>
        </w:tc>
        <w:tc>
          <w:tcPr>
            <w:tcW w:w="567" w:type="dxa"/>
            <w:vMerge/>
            <w:tcBorders>
              <w:top w:val="nil"/>
              <w:left w:val="single" w:sz="8" w:space="0" w:color="000000"/>
            </w:tcBorders>
          </w:tcPr>
          <w:p>
            <w:pPr>
              <w:rPr>
                <w:sz w:val="2"/>
                <w:szCs w:val="2"/>
              </w:rPr>
            </w:pPr>
          </w:p>
        </w:tc>
      </w:tr>
      <w:tr>
        <w:trPr>
          <w:trHeight w:val="265" w:hRule="atLeast"/>
        </w:trPr>
        <w:tc>
          <w:tcPr>
            <w:tcW w:w="852" w:type="dxa"/>
            <w:tcBorders>
              <w:top w:val="nil"/>
              <w:bottom w:val="nil"/>
            </w:tcBorders>
          </w:tcPr>
          <w:p>
            <w:pPr>
              <w:pStyle w:val="TableParagraph"/>
              <w:spacing w:before="26"/>
              <w:ind w:left="75"/>
              <w:rPr>
                <w:sz w:val="18"/>
              </w:rPr>
            </w:pPr>
            <w:r>
              <w:rPr>
                <w:sz w:val="18"/>
              </w:rPr>
              <w:t>HL2</w:t>
            </w:r>
          </w:p>
        </w:tc>
        <w:tc>
          <w:tcPr>
            <w:tcW w:w="566" w:type="dxa"/>
            <w:vMerge/>
            <w:tcBorders>
              <w:top w:val="nil"/>
              <w:right w:val="single" w:sz="8" w:space="0" w:color="000000"/>
            </w:tcBorders>
          </w:tcPr>
          <w:p>
            <w:pPr>
              <w:rPr>
                <w:sz w:val="2"/>
                <w:szCs w:val="2"/>
              </w:rPr>
            </w:pPr>
          </w:p>
        </w:tc>
        <w:tc>
          <w:tcPr>
            <w:tcW w:w="566" w:type="dxa"/>
            <w:tcBorders>
              <w:top w:val="nil"/>
              <w:left w:val="single" w:sz="8" w:space="0" w:color="000000"/>
              <w:bottom w:val="nil"/>
              <w:right w:val="single" w:sz="8" w:space="0" w:color="000000"/>
            </w:tcBorders>
          </w:tcPr>
          <w:p>
            <w:pPr>
              <w:pStyle w:val="TableParagraph"/>
              <w:rPr>
                <w:sz w:val="18"/>
              </w:rPr>
            </w:pPr>
          </w:p>
        </w:tc>
        <w:tc>
          <w:tcPr>
            <w:tcW w:w="567" w:type="dxa"/>
            <w:tcBorders>
              <w:top w:val="nil"/>
              <w:left w:val="single" w:sz="8" w:space="0" w:color="000000"/>
              <w:bottom w:val="nil"/>
              <w:right w:val="single" w:sz="8" w:space="0" w:color="000000"/>
            </w:tcBorders>
          </w:tcPr>
          <w:p>
            <w:pPr>
              <w:pStyle w:val="TableParagraph"/>
              <w:rPr>
                <w:sz w:val="18"/>
              </w:rPr>
            </w:pPr>
          </w:p>
        </w:tc>
        <w:tc>
          <w:tcPr>
            <w:tcW w:w="710" w:type="dxa"/>
            <w:tcBorders>
              <w:top w:val="nil"/>
              <w:left w:val="single" w:sz="8" w:space="0" w:color="000000"/>
              <w:bottom w:val="nil"/>
              <w:right w:val="single" w:sz="8" w:space="0" w:color="000000"/>
            </w:tcBorders>
          </w:tcPr>
          <w:p>
            <w:pPr>
              <w:pStyle w:val="TableParagraph"/>
              <w:rPr>
                <w:sz w:val="18"/>
              </w:rPr>
            </w:pPr>
          </w:p>
        </w:tc>
        <w:tc>
          <w:tcPr>
            <w:tcW w:w="708" w:type="dxa"/>
            <w:tcBorders>
              <w:top w:val="nil"/>
              <w:left w:val="single" w:sz="8" w:space="0" w:color="000000"/>
              <w:bottom w:val="nil"/>
              <w:right w:val="single" w:sz="8" w:space="0" w:color="000000"/>
            </w:tcBorders>
          </w:tcPr>
          <w:p>
            <w:pPr>
              <w:pStyle w:val="TableParagraph"/>
              <w:rPr>
                <w:sz w:val="18"/>
              </w:rPr>
            </w:pPr>
          </w:p>
        </w:tc>
        <w:tc>
          <w:tcPr>
            <w:tcW w:w="708" w:type="dxa"/>
            <w:tcBorders>
              <w:top w:val="nil"/>
              <w:left w:val="single" w:sz="8" w:space="0" w:color="000000"/>
              <w:bottom w:val="nil"/>
              <w:right w:val="single" w:sz="8" w:space="0" w:color="000000"/>
            </w:tcBorders>
          </w:tcPr>
          <w:p>
            <w:pPr>
              <w:pStyle w:val="TableParagraph"/>
              <w:rPr>
                <w:sz w:val="18"/>
              </w:rPr>
            </w:pPr>
          </w:p>
        </w:tc>
        <w:tc>
          <w:tcPr>
            <w:tcW w:w="711" w:type="dxa"/>
            <w:tcBorders>
              <w:top w:val="nil"/>
              <w:left w:val="single" w:sz="8" w:space="0" w:color="000000"/>
              <w:bottom w:val="nil"/>
              <w:right w:val="single" w:sz="8" w:space="0" w:color="000000"/>
            </w:tcBorders>
          </w:tcPr>
          <w:p>
            <w:pPr>
              <w:pStyle w:val="TableParagraph"/>
              <w:spacing w:before="26"/>
              <w:ind w:right="38"/>
              <w:jc w:val="right"/>
              <w:rPr>
                <w:sz w:val="18"/>
              </w:rPr>
            </w:pPr>
            <w:r>
              <w:rPr>
                <w:sz w:val="18"/>
              </w:rPr>
              <w:t>.791</w:t>
            </w:r>
          </w:p>
        </w:tc>
        <w:tc>
          <w:tcPr>
            <w:tcW w:w="567" w:type="dxa"/>
            <w:tcBorders>
              <w:top w:val="nil"/>
              <w:left w:val="single" w:sz="8" w:space="0" w:color="000000"/>
              <w:bottom w:val="nil"/>
              <w:right w:val="single" w:sz="8" w:space="0" w:color="000000"/>
            </w:tcBorders>
          </w:tcPr>
          <w:p>
            <w:pPr>
              <w:pStyle w:val="TableParagraph"/>
              <w:rPr>
                <w:sz w:val="18"/>
              </w:rPr>
            </w:pPr>
          </w:p>
        </w:tc>
        <w:tc>
          <w:tcPr>
            <w:tcW w:w="567" w:type="dxa"/>
            <w:tcBorders>
              <w:top w:val="nil"/>
              <w:left w:val="single" w:sz="8" w:space="0" w:color="000000"/>
              <w:bottom w:val="nil"/>
              <w:right w:val="single" w:sz="8" w:space="0" w:color="000000"/>
            </w:tcBorders>
          </w:tcPr>
          <w:p>
            <w:pPr>
              <w:pStyle w:val="TableParagraph"/>
              <w:rPr>
                <w:sz w:val="18"/>
              </w:rPr>
            </w:pPr>
          </w:p>
        </w:tc>
        <w:tc>
          <w:tcPr>
            <w:tcW w:w="567" w:type="dxa"/>
            <w:tcBorders>
              <w:top w:val="nil"/>
              <w:left w:val="single" w:sz="8" w:space="0" w:color="000000"/>
              <w:bottom w:val="nil"/>
              <w:right w:val="single" w:sz="8" w:space="0" w:color="000000"/>
            </w:tcBorders>
          </w:tcPr>
          <w:p>
            <w:pPr>
              <w:pStyle w:val="TableParagraph"/>
              <w:rPr>
                <w:sz w:val="18"/>
              </w:rPr>
            </w:pPr>
          </w:p>
        </w:tc>
        <w:tc>
          <w:tcPr>
            <w:tcW w:w="570" w:type="dxa"/>
            <w:tcBorders>
              <w:top w:val="nil"/>
              <w:left w:val="single" w:sz="8" w:space="0" w:color="000000"/>
              <w:bottom w:val="nil"/>
              <w:right w:val="single" w:sz="8" w:space="0" w:color="000000"/>
            </w:tcBorders>
          </w:tcPr>
          <w:p>
            <w:pPr>
              <w:pStyle w:val="TableParagraph"/>
              <w:rPr>
                <w:sz w:val="18"/>
              </w:rPr>
            </w:pPr>
          </w:p>
        </w:tc>
        <w:tc>
          <w:tcPr>
            <w:tcW w:w="567" w:type="dxa"/>
            <w:vMerge/>
            <w:tcBorders>
              <w:top w:val="nil"/>
              <w:left w:val="single" w:sz="8" w:space="0" w:color="000000"/>
            </w:tcBorders>
          </w:tcPr>
          <w:p>
            <w:pPr>
              <w:rPr>
                <w:sz w:val="2"/>
                <w:szCs w:val="2"/>
              </w:rPr>
            </w:pPr>
          </w:p>
        </w:tc>
      </w:tr>
      <w:tr>
        <w:trPr>
          <w:trHeight w:val="264" w:hRule="atLeast"/>
        </w:trPr>
        <w:tc>
          <w:tcPr>
            <w:tcW w:w="852" w:type="dxa"/>
            <w:tcBorders>
              <w:top w:val="nil"/>
              <w:bottom w:val="nil"/>
            </w:tcBorders>
          </w:tcPr>
          <w:p>
            <w:pPr>
              <w:pStyle w:val="TableParagraph"/>
              <w:spacing w:before="25"/>
              <w:ind w:left="75"/>
              <w:rPr>
                <w:sz w:val="18"/>
              </w:rPr>
            </w:pPr>
            <w:r>
              <w:rPr>
                <w:sz w:val="18"/>
              </w:rPr>
              <w:t>LI3</w:t>
            </w:r>
          </w:p>
        </w:tc>
        <w:tc>
          <w:tcPr>
            <w:tcW w:w="566" w:type="dxa"/>
            <w:vMerge/>
            <w:tcBorders>
              <w:top w:val="nil"/>
              <w:right w:val="single" w:sz="8" w:space="0" w:color="000000"/>
            </w:tcBorders>
          </w:tcPr>
          <w:p>
            <w:pPr>
              <w:rPr>
                <w:sz w:val="2"/>
                <w:szCs w:val="2"/>
              </w:rPr>
            </w:pPr>
          </w:p>
        </w:tc>
        <w:tc>
          <w:tcPr>
            <w:tcW w:w="566" w:type="dxa"/>
            <w:tcBorders>
              <w:top w:val="nil"/>
              <w:left w:val="single" w:sz="8" w:space="0" w:color="000000"/>
              <w:bottom w:val="nil"/>
              <w:right w:val="single" w:sz="8" w:space="0" w:color="000000"/>
            </w:tcBorders>
          </w:tcPr>
          <w:p>
            <w:pPr>
              <w:pStyle w:val="TableParagraph"/>
              <w:rPr>
                <w:sz w:val="18"/>
              </w:rPr>
            </w:pPr>
          </w:p>
        </w:tc>
        <w:tc>
          <w:tcPr>
            <w:tcW w:w="567" w:type="dxa"/>
            <w:tcBorders>
              <w:top w:val="nil"/>
              <w:left w:val="single" w:sz="8" w:space="0" w:color="000000"/>
              <w:bottom w:val="nil"/>
              <w:right w:val="single" w:sz="8" w:space="0" w:color="000000"/>
            </w:tcBorders>
          </w:tcPr>
          <w:p>
            <w:pPr>
              <w:pStyle w:val="TableParagraph"/>
              <w:rPr>
                <w:sz w:val="18"/>
              </w:rPr>
            </w:pPr>
          </w:p>
        </w:tc>
        <w:tc>
          <w:tcPr>
            <w:tcW w:w="710" w:type="dxa"/>
            <w:tcBorders>
              <w:top w:val="nil"/>
              <w:left w:val="single" w:sz="8" w:space="0" w:color="000000"/>
              <w:bottom w:val="nil"/>
              <w:right w:val="single" w:sz="8" w:space="0" w:color="000000"/>
            </w:tcBorders>
          </w:tcPr>
          <w:p>
            <w:pPr>
              <w:pStyle w:val="TableParagraph"/>
              <w:rPr>
                <w:sz w:val="18"/>
              </w:rPr>
            </w:pPr>
          </w:p>
        </w:tc>
        <w:tc>
          <w:tcPr>
            <w:tcW w:w="708" w:type="dxa"/>
            <w:tcBorders>
              <w:top w:val="nil"/>
              <w:left w:val="single" w:sz="8" w:space="0" w:color="000000"/>
              <w:bottom w:val="nil"/>
              <w:right w:val="single" w:sz="8" w:space="0" w:color="000000"/>
            </w:tcBorders>
          </w:tcPr>
          <w:p>
            <w:pPr>
              <w:pStyle w:val="TableParagraph"/>
              <w:rPr>
                <w:sz w:val="18"/>
              </w:rPr>
            </w:pPr>
          </w:p>
        </w:tc>
        <w:tc>
          <w:tcPr>
            <w:tcW w:w="708" w:type="dxa"/>
            <w:tcBorders>
              <w:top w:val="nil"/>
              <w:left w:val="single" w:sz="8" w:space="0" w:color="000000"/>
              <w:bottom w:val="nil"/>
              <w:right w:val="single" w:sz="8" w:space="0" w:color="000000"/>
            </w:tcBorders>
          </w:tcPr>
          <w:p>
            <w:pPr>
              <w:pStyle w:val="TableParagraph"/>
              <w:rPr>
                <w:sz w:val="18"/>
              </w:rPr>
            </w:pPr>
          </w:p>
        </w:tc>
        <w:tc>
          <w:tcPr>
            <w:tcW w:w="711" w:type="dxa"/>
            <w:tcBorders>
              <w:top w:val="nil"/>
              <w:left w:val="single" w:sz="8" w:space="0" w:color="000000"/>
              <w:bottom w:val="nil"/>
              <w:right w:val="single" w:sz="8" w:space="0" w:color="000000"/>
            </w:tcBorders>
          </w:tcPr>
          <w:p>
            <w:pPr>
              <w:pStyle w:val="TableParagraph"/>
              <w:rPr>
                <w:sz w:val="18"/>
              </w:rPr>
            </w:pPr>
          </w:p>
        </w:tc>
        <w:tc>
          <w:tcPr>
            <w:tcW w:w="567" w:type="dxa"/>
            <w:tcBorders>
              <w:top w:val="nil"/>
              <w:left w:val="single" w:sz="8" w:space="0" w:color="000000"/>
              <w:bottom w:val="nil"/>
              <w:right w:val="single" w:sz="8" w:space="0" w:color="000000"/>
            </w:tcBorders>
          </w:tcPr>
          <w:p>
            <w:pPr>
              <w:pStyle w:val="TableParagraph"/>
              <w:spacing w:before="25"/>
              <w:ind w:right="38"/>
              <w:jc w:val="right"/>
              <w:rPr>
                <w:sz w:val="18"/>
              </w:rPr>
            </w:pPr>
            <w:r>
              <w:rPr>
                <w:sz w:val="18"/>
              </w:rPr>
              <w:t>.820</w:t>
            </w:r>
          </w:p>
        </w:tc>
        <w:tc>
          <w:tcPr>
            <w:tcW w:w="567" w:type="dxa"/>
            <w:tcBorders>
              <w:top w:val="nil"/>
              <w:left w:val="single" w:sz="8" w:space="0" w:color="000000"/>
              <w:bottom w:val="nil"/>
              <w:right w:val="single" w:sz="8" w:space="0" w:color="000000"/>
            </w:tcBorders>
          </w:tcPr>
          <w:p>
            <w:pPr>
              <w:pStyle w:val="TableParagraph"/>
              <w:rPr>
                <w:sz w:val="18"/>
              </w:rPr>
            </w:pPr>
          </w:p>
        </w:tc>
        <w:tc>
          <w:tcPr>
            <w:tcW w:w="567" w:type="dxa"/>
            <w:tcBorders>
              <w:top w:val="nil"/>
              <w:left w:val="single" w:sz="8" w:space="0" w:color="000000"/>
              <w:bottom w:val="nil"/>
              <w:right w:val="single" w:sz="8" w:space="0" w:color="000000"/>
            </w:tcBorders>
          </w:tcPr>
          <w:p>
            <w:pPr>
              <w:pStyle w:val="TableParagraph"/>
              <w:rPr>
                <w:sz w:val="18"/>
              </w:rPr>
            </w:pPr>
          </w:p>
        </w:tc>
        <w:tc>
          <w:tcPr>
            <w:tcW w:w="570" w:type="dxa"/>
            <w:tcBorders>
              <w:top w:val="nil"/>
              <w:left w:val="single" w:sz="8" w:space="0" w:color="000000"/>
              <w:bottom w:val="nil"/>
              <w:right w:val="single" w:sz="8" w:space="0" w:color="000000"/>
            </w:tcBorders>
          </w:tcPr>
          <w:p>
            <w:pPr>
              <w:pStyle w:val="TableParagraph"/>
              <w:rPr>
                <w:sz w:val="18"/>
              </w:rPr>
            </w:pPr>
          </w:p>
        </w:tc>
        <w:tc>
          <w:tcPr>
            <w:tcW w:w="567" w:type="dxa"/>
            <w:vMerge/>
            <w:tcBorders>
              <w:top w:val="nil"/>
              <w:left w:val="single" w:sz="8" w:space="0" w:color="000000"/>
            </w:tcBorders>
          </w:tcPr>
          <w:p>
            <w:pPr>
              <w:rPr>
                <w:sz w:val="2"/>
                <w:szCs w:val="2"/>
              </w:rPr>
            </w:pPr>
          </w:p>
        </w:tc>
      </w:tr>
      <w:tr>
        <w:trPr>
          <w:trHeight w:val="265" w:hRule="atLeast"/>
        </w:trPr>
        <w:tc>
          <w:tcPr>
            <w:tcW w:w="852" w:type="dxa"/>
            <w:tcBorders>
              <w:top w:val="nil"/>
              <w:bottom w:val="nil"/>
            </w:tcBorders>
          </w:tcPr>
          <w:p>
            <w:pPr>
              <w:pStyle w:val="TableParagraph"/>
              <w:spacing w:before="25"/>
              <w:ind w:left="75"/>
              <w:rPr>
                <w:sz w:val="18"/>
              </w:rPr>
            </w:pPr>
            <w:r>
              <w:rPr>
                <w:sz w:val="18"/>
              </w:rPr>
              <w:t>LI1</w:t>
            </w:r>
          </w:p>
        </w:tc>
        <w:tc>
          <w:tcPr>
            <w:tcW w:w="566" w:type="dxa"/>
            <w:vMerge/>
            <w:tcBorders>
              <w:top w:val="nil"/>
              <w:right w:val="single" w:sz="8" w:space="0" w:color="000000"/>
            </w:tcBorders>
          </w:tcPr>
          <w:p>
            <w:pPr>
              <w:rPr>
                <w:sz w:val="2"/>
                <w:szCs w:val="2"/>
              </w:rPr>
            </w:pPr>
          </w:p>
        </w:tc>
        <w:tc>
          <w:tcPr>
            <w:tcW w:w="566" w:type="dxa"/>
            <w:tcBorders>
              <w:top w:val="nil"/>
              <w:left w:val="single" w:sz="8" w:space="0" w:color="000000"/>
              <w:bottom w:val="nil"/>
              <w:right w:val="single" w:sz="8" w:space="0" w:color="000000"/>
            </w:tcBorders>
          </w:tcPr>
          <w:p>
            <w:pPr>
              <w:pStyle w:val="TableParagraph"/>
              <w:rPr>
                <w:sz w:val="18"/>
              </w:rPr>
            </w:pPr>
          </w:p>
        </w:tc>
        <w:tc>
          <w:tcPr>
            <w:tcW w:w="567" w:type="dxa"/>
            <w:tcBorders>
              <w:top w:val="nil"/>
              <w:left w:val="single" w:sz="8" w:space="0" w:color="000000"/>
              <w:bottom w:val="nil"/>
              <w:right w:val="single" w:sz="8" w:space="0" w:color="000000"/>
            </w:tcBorders>
          </w:tcPr>
          <w:p>
            <w:pPr>
              <w:pStyle w:val="TableParagraph"/>
              <w:rPr>
                <w:sz w:val="18"/>
              </w:rPr>
            </w:pPr>
          </w:p>
        </w:tc>
        <w:tc>
          <w:tcPr>
            <w:tcW w:w="710" w:type="dxa"/>
            <w:tcBorders>
              <w:top w:val="nil"/>
              <w:left w:val="single" w:sz="8" w:space="0" w:color="000000"/>
              <w:bottom w:val="nil"/>
              <w:right w:val="single" w:sz="8" w:space="0" w:color="000000"/>
            </w:tcBorders>
          </w:tcPr>
          <w:p>
            <w:pPr>
              <w:pStyle w:val="TableParagraph"/>
              <w:rPr>
                <w:sz w:val="18"/>
              </w:rPr>
            </w:pPr>
          </w:p>
        </w:tc>
        <w:tc>
          <w:tcPr>
            <w:tcW w:w="708" w:type="dxa"/>
            <w:tcBorders>
              <w:top w:val="nil"/>
              <w:left w:val="single" w:sz="8" w:space="0" w:color="000000"/>
              <w:bottom w:val="nil"/>
              <w:right w:val="single" w:sz="8" w:space="0" w:color="000000"/>
            </w:tcBorders>
          </w:tcPr>
          <w:p>
            <w:pPr>
              <w:pStyle w:val="TableParagraph"/>
              <w:rPr>
                <w:sz w:val="18"/>
              </w:rPr>
            </w:pPr>
          </w:p>
        </w:tc>
        <w:tc>
          <w:tcPr>
            <w:tcW w:w="708" w:type="dxa"/>
            <w:tcBorders>
              <w:top w:val="nil"/>
              <w:left w:val="single" w:sz="8" w:space="0" w:color="000000"/>
              <w:bottom w:val="nil"/>
              <w:right w:val="single" w:sz="8" w:space="0" w:color="000000"/>
            </w:tcBorders>
          </w:tcPr>
          <w:p>
            <w:pPr>
              <w:pStyle w:val="TableParagraph"/>
              <w:rPr>
                <w:sz w:val="18"/>
              </w:rPr>
            </w:pPr>
          </w:p>
        </w:tc>
        <w:tc>
          <w:tcPr>
            <w:tcW w:w="711" w:type="dxa"/>
            <w:tcBorders>
              <w:top w:val="nil"/>
              <w:left w:val="single" w:sz="8" w:space="0" w:color="000000"/>
              <w:bottom w:val="nil"/>
              <w:right w:val="single" w:sz="8" w:space="0" w:color="000000"/>
            </w:tcBorders>
          </w:tcPr>
          <w:p>
            <w:pPr>
              <w:pStyle w:val="TableParagraph"/>
              <w:rPr>
                <w:sz w:val="18"/>
              </w:rPr>
            </w:pPr>
          </w:p>
        </w:tc>
        <w:tc>
          <w:tcPr>
            <w:tcW w:w="567" w:type="dxa"/>
            <w:tcBorders>
              <w:top w:val="nil"/>
              <w:left w:val="single" w:sz="8" w:space="0" w:color="000000"/>
              <w:bottom w:val="nil"/>
              <w:right w:val="single" w:sz="8" w:space="0" w:color="000000"/>
            </w:tcBorders>
          </w:tcPr>
          <w:p>
            <w:pPr>
              <w:pStyle w:val="TableParagraph"/>
              <w:spacing w:before="25"/>
              <w:ind w:right="36"/>
              <w:jc w:val="right"/>
              <w:rPr>
                <w:sz w:val="18"/>
              </w:rPr>
            </w:pPr>
            <w:r>
              <w:rPr>
                <w:sz w:val="18"/>
              </w:rPr>
              <w:t>.786</w:t>
            </w:r>
          </w:p>
        </w:tc>
        <w:tc>
          <w:tcPr>
            <w:tcW w:w="567" w:type="dxa"/>
            <w:tcBorders>
              <w:top w:val="nil"/>
              <w:left w:val="single" w:sz="8" w:space="0" w:color="000000"/>
              <w:bottom w:val="nil"/>
              <w:right w:val="single" w:sz="8" w:space="0" w:color="000000"/>
            </w:tcBorders>
          </w:tcPr>
          <w:p>
            <w:pPr>
              <w:pStyle w:val="TableParagraph"/>
              <w:rPr>
                <w:sz w:val="18"/>
              </w:rPr>
            </w:pPr>
          </w:p>
        </w:tc>
        <w:tc>
          <w:tcPr>
            <w:tcW w:w="567" w:type="dxa"/>
            <w:tcBorders>
              <w:top w:val="nil"/>
              <w:left w:val="single" w:sz="8" w:space="0" w:color="000000"/>
              <w:bottom w:val="nil"/>
              <w:right w:val="single" w:sz="8" w:space="0" w:color="000000"/>
            </w:tcBorders>
          </w:tcPr>
          <w:p>
            <w:pPr>
              <w:pStyle w:val="TableParagraph"/>
              <w:rPr>
                <w:sz w:val="18"/>
              </w:rPr>
            </w:pPr>
          </w:p>
        </w:tc>
        <w:tc>
          <w:tcPr>
            <w:tcW w:w="570" w:type="dxa"/>
            <w:tcBorders>
              <w:top w:val="nil"/>
              <w:left w:val="single" w:sz="8" w:space="0" w:color="000000"/>
              <w:bottom w:val="nil"/>
              <w:right w:val="single" w:sz="8" w:space="0" w:color="000000"/>
            </w:tcBorders>
          </w:tcPr>
          <w:p>
            <w:pPr>
              <w:pStyle w:val="TableParagraph"/>
              <w:rPr>
                <w:sz w:val="18"/>
              </w:rPr>
            </w:pPr>
          </w:p>
        </w:tc>
        <w:tc>
          <w:tcPr>
            <w:tcW w:w="567" w:type="dxa"/>
            <w:vMerge/>
            <w:tcBorders>
              <w:top w:val="nil"/>
              <w:left w:val="single" w:sz="8" w:space="0" w:color="000000"/>
            </w:tcBorders>
          </w:tcPr>
          <w:p>
            <w:pPr>
              <w:rPr>
                <w:sz w:val="2"/>
                <w:szCs w:val="2"/>
              </w:rPr>
            </w:pPr>
          </w:p>
        </w:tc>
      </w:tr>
      <w:tr>
        <w:trPr>
          <w:trHeight w:val="265" w:hRule="atLeast"/>
        </w:trPr>
        <w:tc>
          <w:tcPr>
            <w:tcW w:w="852" w:type="dxa"/>
            <w:tcBorders>
              <w:top w:val="nil"/>
              <w:bottom w:val="nil"/>
            </w:tcBorders>
          </w:tcPr>
          <w:p>
            <w:pPr>
              <w:pStyle w:val="TableParagraph"/>
              <w:spacing w:before="26"/>
              <w:ind w:left="75"/>
              <w:rPr>
                <w:sz w:val="18"/>
              </w:rPr>
            </w:pPr>
            <w:r>
              <w:rPr>
                <w:sz w:val="18"/>
              </w:rPr>
              <w:t>LI2</w:t>
            </w:r>
          </w:p>
        </w:tc>
        <w:tc>
          <w:tcPr>
            <w:tcW w:w="566" w:type="dxa"/>
            <w:vMerge/>
            <w:tcBorders>
              <w:top w:val="nil"/>
              <w:right w:val="single" w:sz="8" w:space="0" w:color="000000"/>
            </w:tcBorders>
          </w:tcPr>
          <w:p>
            <w:pPr>
              <w:rPr>
                <w:sz w:val="2"/>
                <w:szCs w:val="2"/>
              </w:rPr>
            </w:pPr>
          </w:p>
        </w:tc>
        <w:tc>
          <w:tcPr>
            <w:tcW w:w="566" w:type="dxa"/>
            <w:tcBorders>
              <w:top w:val="nil"/>
              <w:left w:val="single" w:sz="8" w:space="0" w:color="000000"/>
              <w:bottom w:val="nil"/>
              <w:right w:val="single" w:sz="8" w:space="0" w:color="000000"/>
            </w:tcBorders>
          </w:tcPr>
          <w:p>
            <w:pPr>
              <w:pStyle w:val="TableParagraph"/>
              <w:rPr>
                <w:sz w:val="18"/>
              </w:rPr>
            </w:pPr>
          </w:p>
        </w:tc>
        <w:tc>
          <w:tcPr>
            <w:tcW w:w="567" w:type="dxa"/>
            <w:tcBorders>
              <w:top w:val="nil"/>
              <w:left w:val="single" w:sz="8" w:space="0" w:color="000000"/>
              <w:bottom w:val="nil"/>
              <w:right w:val="single" w:sz="8" w:space="0" w:color="000000"/>
            </w:tcBorders>
          </w:tcPr>
          <w:p>
            <w:pPr>
              <w:pStyle w:val="TableParagraph"/>
              <w:rPr>
                <w:sz w:val="18"/>
              </w:rPr>
            </w:pPr>
          </w:p>
        </w:tc>
        <w:tc>
          <w:tcPr>
            <w:tcW w:w="710" w:type="dxa"/>
            <w:tcBorders>
              <w:top w:val="nil"/>
              <w:left w:val="single" w:sz="8" w:space="0" w:color="000000"/>
              <w:bottom w:val="nil"/>
              <w:right w:val="single" w:sz="8" w:space="0" w:color="000000"/>
            </w:tcBorders>
          </w:tcPr>
          <w:p>
            <w:pPr>
              <w:pStyle w:val="TableParagraph"/>
              <w:rPr>
                <w:sz w:val="18"/>
              </w:rPr>
            </w:pPr>
          </w:p>
        </w:tc>
        <w:tc>
          <w:tcPr>
            <w:tcW w:w="708" w:type="dxa"/>
            <w:tcBorders>
              <w:top w:val="nil"/>
              <w:left w:val="single" w:sz="8" w:space="0" w:color="000000"/>
              <w:bottom w:val="nil"/>
              <w:right w:val="single" w:sz="8" w:space="0" w:color="000000"/>
            </w:tcBorders>
          </w:tcPr>
          <w:p>
            <w:pPr>
              <w:pStyle w:val="TableParagraph"/>
              <w:rPr>
                <w:sz w:val="18"/>
              </w:rPr>
            </w:pPr>
          </w:p>
        </w:tc>
        <w:tc>
          <w:tcPr>
            <w:tcW w:w="708" w:type="dxa"/>
            <w:tcBorders>
              <w:top w:val="nil"/>
              <w:left w:val="single" w:sz="8" w:space="0" w:color="000000"/>
              <w:bottom w:val="nil"/>
              <w:right w:val="single" w:sz="8" w:space="0" w:color="000000"/>
            </w:tcBorders>
          </w:tcPr>
          <w:p>
            <w:pPr>
              <w:pStyle w:val="TableParagraph"/>
              <w:rPr>
                <w:sz w:val="18"/>
              </w:rPr>
            </w:pPr>
          </w:p>
        </w:tc>
        <w:tc>
          <w:tcPr>
            <w:tcW w:w="711" w:type="dxa"/>
            <w:tcBorders>
              <w:top w:val="nil"/>
              <w:left w:val="single" w:sz="8" w:space="0" w:color="000000"/>
              <w:bottom w:val="nil"/>
              <w:right w:val="single" w:sz="8" w:space="0" w:color="000000"/>
            </w:tcBorders>
          </w:tcPr>
          <w:p>
            <w:pPr>
              <w:pStyle w:val="TableParagraph"/>
              <w:rPr>
                <w:sz w:val="18"/>
              </w:rPr>
            </w:pPr>
          </w:p>
        </w:tc>
        <w:tc>
          <w:tcPr>
            <w:tcW w:w="567" w:type="dxa"/>
            <w:tcBorders>
              <w:top w:val="nil"/>
              <w:left w:val="single" w:sz="8" w:space="0" w:color="000000"/>
              <w:bottom w:val="nil"/>
              <w:right w:val="single" w:sz="8" w:space="0" w:color="000000"/>
            </w:tcBorders>
          </w:tcPr>
          <w:p>
            <w:pPr>
              <w:pStyle w:val="TableParagraph"/>
              <w:spacing w:before="26"/>
              <w:ind w:right="37"/>
              <w:jc w:val="right"/>
              <w:rPr>
                <w:sz w:val="18"/>
              </w:rPr>
            </w:pPr>
            <w:r>
              <w:rPr>
                <w:sz w:val="18"/>
              </w:rPr>
              <w:t>.782</w:t>
            </w:r>
          </w:p>
        </w:tc>
        <w:tc>
          <w:tcPr>
            <w:tcW w:w="567" w:type="dxa"/>
            <w:tcBorders>
              <w:top w:val="nil"/>
              <w:left w:val="single" w:sz="8" w:space="0" w:color="000000"/>
              <w:bottom w:val="nil"/>
              <w:right w:val="single" w:sz="8" w:space="0" w:color="000000"/>
            </w:tcBorders>
          </w:tcPr>
          <w:p>
            <w:pPr>
              <w:pStyle w:val="TableParagraph"/>
              <w:rPr>
                <w:sz w:val="18"/>
              </w:rPr>
            </w:pPr>
          </w:p>
        </w:tc>
        <w:tc>
          <w:tcPr>
            <w:tcW w:w="567" w:type="dxa"/>
            <w:tcBorders>
              <w:top w:val="nil"/>
              <w:left w:val="single" w:sz="8" w:space="0" w:color="000000"/>
              <w:bottom w:val="nil"/>
              <w:right w:val="single" w:sz="8" w:space="0" w:color="000000"/>
            </w:tcBorders>
          </w:tcPr>
          <w:p>
            <w:pPr>
              <w:pStyle w:val="TableParagraph"/>
              <w:rPr>
                <w:sz w:val="18"/>
              </w:rPr>
            </w:pPr>
          </w:p>
        </w:tc>
        <w:tc>
          <w:tcPr>
            <w:tcW w:w="570" w:type="dxa"/>
            <w:tcBorders>
              <w:top w:val="nil"/>
              <w:left w:val="single" w:sz="8" w:space="0" w:color="000000"/>
              <w:bottom w:val="nil"/>
              <w:right w:val="single" w:sz="8" w:space="0" w:color="000000"/>
            </w:tcBorders>
          </w:tcPr>
          <w:p>
            <w:pPr>
              <w:pStyle w:val="TableParagraph"/>
              <w:rPr>
                <w:sz w:val="18"/>
              </w:rPr>
            </w:pPr>
          </w:p>
        </w:tc>
        <w:tc>
          <w:tcPr>
            <w:tcW w:w="567" w:type="dxa"/>
            <w:vMerge/>
            <w:tcBorders>
              <w:top w:val="nil"/>
              <w:left w:val="single" w:sz="8" w:space="0" w:color="000000"/>
            </w:tcBorders>
          </w:tcPr>
          <w:p>
            <w:pPr>
              <w:rPr>
                <w:sz w:val="2"/>
                <w:szCs w:val="2"/>
              </w:rPr>
            </w:pPr>
          </w:p>
        </w:tc>
      </w:tr>
      <w:tr>
        <w:trPr>
          <w:trHeight w:val="265" w:hRule="atLeast"/>
        </w:trPr>
        <w:tc>
          <w:tcPr>
            <w:tcW w:w="852" w:type="dxa"/>
            <w:tcBorders>
              <w:top w:val="nil"/>
              <w:bottom w:val="nil"/>
            </w:tcBorders>
          </w:tcPr>
          <w:p>
            <w:pPr>
              <w:pStyle w:val="TableParagraph"/>
              <w:spacing w:before="25"/>
              <w:ind w:left="75"/>
              <w:rPr>
                <w:sz w:val="18"/>
              </w:rPr>
            </w:pPr>
            <w:r>
              <w:rPr>
                <w:sz w:val="18"/>
              </w:rPr>
              <w:t>CLDV5</w:t>
            </w:r>
          </w:p>
        </w:tc>
        <w:tc>
          <w:tcPr>
            <w:tcW w:w="566" w:type="dxa"/>
            <w:vMerge/>
            <w:tcBorders>
              <w:top w:val="nil"/>
              <w:right w:val="single" w:sz="8" w:space="0" w:color="000000"/>
            </w:tcBorders>
          </w:tcPr>
          <w:p>
            <w:pPr>
              <w:rPr>
                <w:sz w:val="2"/>
                <w:szCs w:val="2"/>
              </w:rPr>
            </w:pPr>
          </w:p>
        </w:tc>
        <w:tc>
          <w:tcPr>
            <w:tcW w:w="566" w:type="dxa"/>
            <w:tcBorders>
              <w:top w:val="nil"/>
              <w:left w:val="single" w:sz="8" w:space="0" w:color="000000"/>
              <w:bottom w:val="nil"/>
              <w:right w:val="single" w:sz="8" w:space="0" w:color="000000"/>
            </w:tcBorders>
          </w:tcPr>
          <w:p>
            <w:pPr>
              <w:pStyle w:val="TableParagraph"/>
              <w:rPr>
                <w:sz w:val="18"/>
              </w:rPr>
            </w:pPr>
          </w:p>
        </w:tc>
        <w:tc>
          <w:tcPr>
            <w:tcW w:w="567" w:type="dxa"/>
            <w:tcBorders>
              <w:top w:val="nil"/>
              <w:left w:val="single" w:sz="8" w:space="0" w:color="000000"/>
              <w:bottom w:val="nil"/>
              <w:right w:val="single" w:sz="8" w:space="0" w:color="000000"/>
            </w:tcBorders>
          </w:tcPr>
          <w:p>
            <w:pPr>
              <w:pStyle w:val="TableParagraph"/>
              <w:rPr>
                <w:sz w:val="18"/>
              </w:rPr>
            </w:pPr>
          </w:p>
        </w:tc>
        <w:tc>
          <w:tcPr>
            <w:tcW w:w="710" w:type="dxa"/>
            <w:tcBorders>
              <w:top w:val="nil"/>
              <w:left w:val="single" w:sz="8" w:space="0" w:color="000000"/>
              <w:bottom w:val="nil"/>
              <w:right w:val="single" w:sz="8" w:space="0" w:color="000000"/>
            </w:tcBorders>
          </w:tcPr>
          <w:p>
            <w:pPr>
              <w:pStyle w:val="TableParagraph"/>
              <w:rPr>
                <w:sz w:val="18"/>
              </w:rPr>
            </w:pPr>
          </w:p>
        </w:tc>
        <w:tc>
          <w:tcPr>
            <w:tcW w:w="708" w:type="dxa"/>
            <w:tcBorders>
              <w:top w:val="nil"/>
              <w:left w:val="single" w:sz="8" w:space="0" w:color="000000"/>
              <w:bottom w:val="nil"/>
              <w:right w:val="single" w:sz="8" w:space="0" w:color="000000"/>
            </w:tcBorders>
          </w:tcPr>
          <w:p>
            <w:pPr>
              <w:pStyle w:val="TableParagraph"/>
              <w:rPr>
                <w:sz w:val="18"/>
              </w:rPr>
            </w:pPr>
          </w:p>
        </w:tc>
        <w:tc>
          <w:tcPr>
            <w:tcW w:w="708" w:type="dxa"/>
            <w:tcBorders>
              <w:top w:val="nil"/>
              <w:left w:val="single" w:sz="8" w:space="0" w:color="000000"/>
              <w:bottom w:val="nil"/>
              <w:right w:val="single" w:sz="8" w:space="0" w:color="000000"/>
            </w:tcBorders>
          </w:tcPr>
          <w:p>
            <w:pPr>
              <w:pStyle w:val="TableParagraph"/>
              <w:rPr>
                <w:sz w:val="18"/>
              </w:rPr>
            </w:pPr>
          </w:p>
        </w:tc>
        <w:tc>
          <w:tcPr>
            <w:tcW w:w="711" w:type="dxa"/>
            <w:tcBorders>
              <w:top w:val="nil"/>
              <w:left w:val="single" w:sz="8" w:space="0" w:color="000000"/>
              <w:bottom w:val="nil"/>
              <w:right w:val="single" w:sz="8" w:space="0" w:color="000000"/>
            </w:tcBorders>
          </w:tcPr>
          <w:p>
            <w:pPr>
              <w:pStyle w:val="TableParagraph"/>
              <w:rPr>
                <w:sz w:val="18"/>
              </w:rPr>
            </w:pPr>
          </w:p>
        </w:tc>
        <w:tc>
          <w:tcPr>
            <w:tcW w:w="567" w:type="dxa"/>
            <w:tcBorders>
              <w:top w:val="nil"/>
              <w:left w:val="single" w:sz="8" w:space="0" w:color="000000"/>
              <w:bottom w:val="nil"/>
              <w:right w:val="single" w:sz="8" w:space="0" w:color="000000"/>
            </w:tcBorders>
          </w:tcPr>
          <w:p>
            <w:pPr>
              <w:pStyle w:val="TableParagraph"/>
              <w:rPr>
                <w:sz w:val="18"/>
              </w:rPr>
            </w:pPr>
          </w:p>
        </w:tc>
        <w:tc>
          <w:tcPr>
            <w:tcW w:w="567" w:type="dxa"/>
            <w:tcBorders>
              <w:top w:val="nil"/>
              <w:left w:val="single" w:sz="8" w:space="0" w:color="000000"/>
              <w:bottom w:val="nil"/>
              <w:right w:val="single" w:sz="8" w:space="0" w:color="000000"/>
            </w:tcBorders>
          </w:tcPr>
          <w:p>
            <w:pPr>
              <w:pStyle w:val="TableParagraph"/>
              <w:spacing w:before="25"/>
              <w:ind w:right="37"/>
              <w:jc w:val="right"/>
              <w:rPr>
                <w:sz w:val="18"/>
              </w:rPr>
            </w:pPr>
            <w:r>
              <w:rPr>
                <w:sz w:val="18"/>
              </w:rPr>
              <w:t>.840</w:t>
            </w:r>
          </w:p>
        </w:tc>
        <w:tc>
          <w:tcPr>
            <w:tcW w:w="567" w:type="dxa"/>
            <w:tcBorders>
              <w:top w:val="nil"/>
              <w:left w:val="single" w:sz="8" w:space="0" w:color="000000"/>
              <w:bottom w:val="nil"/>
              <w:right w:val="single" w:sz="8" w:space="0" w:color="000000"/>
            </w:tcBorders>
          </w:tcPr>
          <w:p>
            <w:pPr>
              <w:pStyle w:val="TableParagraph"/>
              <w:rPr>
                <w:sz w:val="18"/>
              </w:rPr>
            </w:pPr>
          </w:p>
        </w:tc>
        <w:tc>
          <w:tcPr>
            <w:tcW w:w="570" w:type="dxa"/>
            <w:tcBorders>
              <w:top w:val="nil"/>
              <w:left w:val="single" w:sz="8" w:space="0" w:color="000000"/>
              <w:bottom w:val="nil"/>
              <w:right w:val="single" w:sz="8" w:space="0" w:color="000000"/>
            </w:tcBorders>
          </w:tcPr>
          <w:p>
            <w:pPr>
              <w:pStyle w:val="TableParagraph"/>
              <w:rPr>
                <w:sz w:val="18"/>
              </w:rPr>
            </w:pPr>
          </w:p>
        </w:tc>
        <w:tc>
          <w:tcPr>
            <w:tcW w:w="567" w:type="dxa"/>
            <w:vMerge/>
            <w:tcBorders>
              <w:top w:val="nil"/>
              <w:left w:val="single" w:sz="8" w:space="0" w:color="000000"/>
            </w:tcBorders>
          </w:tcPr>
          <w:p>
            <w:pPr>
              <w:rPr>
                <w:sz w:val="2"/>
                <w:szCs w:val="2"/>
              </w:rPr>
            </w:pPr>
          </w:p>
        </w:tc>
      </w:tr>
      <w:tr>
        <w:trPr>
          <w:trHeight w:val="265" w:hRule="atLeast"/>
        </w:trPr>
        <w:tc>
          <w:tcPr>
            <w:tcW w:w="852" w:type="dxa"/>
            <w:tcBorders>
              <w:top w:val="nil"/>
              <w:bottom w:val="nil"/>
            </w:tcBorders>
          </w:tcPr>
          <w:p>
            <w:pPr>
              <w:pStyle w:val="TableParagraph"/>
              <w:spacing w:before="26"/>
              <w:ind w:left="75"/>
              <w:rPr>
                <w:sz w:val="18"/>
              </w:rPr>
            </w:pPr>
            <w:r>
              <w:rPr>
                <w:sz w:val="18"/>
              </w:rPr>
              <w:t>CLDV2</w:t>
            </w:r>
          </w:p>
        </w:tc>
        <w:tc>
          <w:tcPr>
            <w:tcW w:w="566" w:type="dxa"/>
            <w:vMerge/>
            <w:tcBorders>
              <w:top w:val="nil"/>
              <w:right w:val="single" w:sz="8" w:space="0" w:color="000000"/>
            </w:tcBorders>
          </w:tcPr>
          <w:p>
            <w:pPr>
              <w:rPr>
                <w:sz w:val="2"/>
                <w:szCs w:val="2"/>
              </w:rPr>
            </w:pPr>
          </w:p>
        </w:tc>
        <w:tc>
          <w:tcPr>
            <w:tcW w:w="566" w:type="dxa"/>
            <w:tcBorders>
              <w:top w:val="nil"/>
              <w:left w:val="single" w:sz="8" w:space="0" w:color="000000"/>
              <w:bottom w:val="nil"/>
              <w:right w:val="single" w:sz="8" w:space="0" w:color="000000"/>
            </w:tcBorders>
          </w:tcPr>
          <w:p>
            <w:pPr>
              <w:pStyle w:val="TableParagraph"/>
              <w:rPr>
                <w:sz w:val="18"/>
              </w:rPr>
            </w:pPr>
          </w:p>
        </w:tc>
        <w:tc>
          <w:tcPr>
            <w:tcW w:w="567" w:type="dxa"/>
            <w:tcBorders>
              <w:top w:val="nil"/>
              <w:left w:val="single" w:sz="8" w:space="0" w:color="000000"/>
              <w:bottom w:val="nil"/>
              <w:right w:val="single" w:sz="8" w:space="0" w:color="000000"/>
            </w:tcBorders>
          </w:tcPr>
          <w:p>
            <w:pPr>
              <w:pStyle w:val="TableParagraph"/>
              <w:rPr>
                <w:sz w:val="18"/>
              </w:rPr>
            </w:pPr>
          </w:p>
        </w:tc>
        <w:tc>
          <w:tcPr>
            <w:tcW w:w="710" w:type="dxa"/>
            <w:tcBorders>
              <w:top w:val="nil"/>
              <w:left w:val="single" w:sz="8" w:space="0" w:color="000000"/>
              <w:bottom w:val="nil"/>
              <w:right w:val="single" w:sz="8" w:space="0" w:color="000000"/>
            </w:tcBorders>
          </w:tcPr>
          <w:p>
            <w:pPr>
              <w:pStyle w:val="TableParagraph"/>
              <w:rPr>
                <w:sz w:val="18"/>
              </w:rPr>
            </w:pPr>
          </w:p>
        </w:tc>
        <w:tc>
          <w:tcPr>
            <w:tcW w:w="708" w:type="dxa"/>
            <w:tcBorders>
              <w:top w:val="nil"/>
              <w:left w:val="single" w:sz="8" w:space="0" w:color="000000"/>
              <w:bottom w:val="nil"/>
              <w:right w:val="single" w:sz="8" w:space="0" w:color="000000"/>
            </w:tcBorders>
          </w:tcPr>
          <w:p>
            <w:pPr>
              <w:pStyle w:val="TableParagraph"/>
              <w:rPr>
                <w:sz w:val="18"/>
              </w:rPr>
            </w:pPr>
          </w:p>
        </w:tc>
        <w:tc>
          <w:tcPr>
            <w:tcW w:w="708" w:type="dxa"/>
            <w:tcBorders>
              <w:top w:val="nil"/>
              <w:left w:val="single" w:sz="8" w:space="0" w:color="000000"/>
              <w:bottom w:val="nil"/>
              <w:right w:val="single" w:sz="8" w:space="0" w:color="000000"/>
            </w:tcBorders>
          </w:tcPr>
          <w:p>
            <w:pPr>
              <w:pStyle w:val="TableParagraph"/>
              <w:rPr>
                <w:sz w:val="18"/>
              </w:rPr>
            </w:pPr>
          </w:p>
        </w:tc>
        <w:tc>
          <w:tcPr>
            <w:tcW w:w="711" w:type="dxa"/>
            <w:tcBorders>
              <w:top w:val="nil"/>
              <w:left w:val="single" w:sz="8" w:space="0" w:color="000000"/>
              <w:bottom w:val="nil"/>
              <w:right w:val="single" w:sz="8" w:space="0" w:color="000000"/>
            </w:tcBorders>
          </w:tcPr>
          <w:p>
            <w:pPr>
              <w:pStyle w:val="TableParagraph"/>
              <w:rPr>
                <w:sz w:val="18"/>
              </w:rPr>
            </w:pPr>
          </w:p>
        </w:tc>
        <w:tc>
          <w:tcPr>
            <w:tcW w:w="567" w:type="dxa"/>
            <w:tcBorders>
              <w:top w:val="nil"/>
              <w:left w:val="single" w:sz="8" w:space="0" w:color="000000"/>
              <w:bottom w:val="nil"/>
              <w:right w:val="single" w:sz="8" w:space="0" w:color="000000"/>
            </w:tcBorders>
          </w:tcPr>
          <w:p>
            <w:pPr>
              <w:pStyle w:val="TableParagraph"/>
              <w:rPr>
                <w:sz w:val="18"/>
              </w:rPr>
            </w:pPr>
          </w:p>
        </w:tc>
        <w:tc>
          <w:tcPr>
            <w:tcW w:w="567" w:type="dxa"/>
            <w:tcBorders>
              <w:top w:val="nil"/>
              <w:left w:val="single" w:sz="8" w:space="0" w:color="000000"/>
              <w:bottom w:val="nil"/>
              <w:right w:val="single" w:sz="8" w:space="0" w:color="000000"/>
            </w:tcBorders>
          </w:tcPr>
          <w:p>
            <w:pPr>
              <w:pStyle w:val="TableParagraph"/>
              <w:spacing w:before="26"/>
              <w:ind w:right="37"/>
              <w:jc w:val="right"/>
              <w:rPr>
                <w:sz w:val="18"/>
              </w:rPr>
            </w:pPr>
            <w:r>
              <w:rPr>
                <w:sz w:val="18"/>
              </w:rPr>
              <w:t>.783</w:t>
            </w:r>
          </w:p>
        </w:tc>
        <w:tc>
          <w:tcPr>
            <w:tcW w:w="567" w:type="dxa"/>
            <w:tcBorders>
              <w:top w:val="nil"/>
              <w:left w:val="single" w:sz="8" w:space="0" w:color="000000"/>
              <w:bottom w:val="nil"/>
              <w:right w:val="single" w:sz="8" w:space="0" w:color="000000"/>
            </w:tcBorders>
          </w:tcPr>
          <w:p>
            <w:pPr>
              <w:pStyle w:val="TableParagraph"/>
              <w:rPr>
                <w:sz w:val="18"/>
              </w:rPr>
            </w:pPr>
          </w:p>
        </w:tc>
        <w:tc>
          <w:tcPr>
            <w:tcW w:w="570" w:type="dxa"/>
            <w:tcBorders>
              <w:top w:val="nil"/>
              <w:left w:val="single" w:sz="8" w:space="0" w:color="000000"/>
              <w:bottom w:val="nil"/>
              <w:right w:val="single" w:sz="8" w:space="0" w:color="000000"/>
            </w:tcBorders>
          </w:tcPr>
          <w:p>
            <w:pPr>
              <w:pStyle w:val="TableParagraph"/>
              <w:rPr>
                <w:sz w:val="18"/>
              </w:rPr>
            </w:pPr>
          </w:p>
        </w:tc>
        <w:tc>
          <w:tcPr>
            <w:tcW w:w="567" w:type="dxa"/>
            <w:vMerge/>
            <w:tcBorders>
              <w:top w:val="nil"/>
              <w:left w:val="single" w:sz="8" w:space="0" w:color="000000"/>
            </w:tcBorders>
          </w:tcPr>
          <w:p>
            <w:pPr>
              <w:rPr>
                <w:sz w:val="2"/>
                <w:szCs w:val="2"/>
              </w:rPr>
            </w:pPr>
          </w:p>
        </w:tc>
      </w:tr>
      <w:tr>
        <w:trPr>
          <w:trHeight w:val="264" w:hRule="atLeast"/>
        </w:trPr>
        <w:tc>
          <w:tcPr>
            <w:tcW w:w="852" w:type="dxa"/>
            <w:tcBorders>
              <w:top w:val="nil"/>
              <w:bottom w:val="nil"/>
            </w:tcBorders>
          </w:tcPr>
          <w:p>
            <w:pPr>
              <w:pStyle w:val="TableParagraph"/>
              <w:spacing w:before="25"/>
              <w:ind w:left="75"/>
              <w:rPr>
                <w:sz w:val="18"/>
              </w:rPr>
            </w:pPr>
            <w:r>
              <w:rPr>
                <w:sz w:val="18"/>
              </w:rPr>
              <w:t>TC5</w:t>
            </w:r>
          </w:p>
        </w:tc>
        <w:tc>
          <w:tcPr>
            <w:tcW w:w="566" w:type="dxa"/>
            <w:vMerge/>
            <w:tcBorders>
              <w:top w:val="nil"/>
              <w:right w:val="single" w:sz="8" w:space="0" w:color="000000"/>
            </w:tcBorders>
          </w:tcPr>
          <w:p>
            <w:pPr>
              <w:rPr>
                <w:sz w:val="2"/>
                <w:szCs w:val="2"/>
              </w:rPr>
            </w:pPr>
          </w:p>
        </w:tc>
        <w:tc>
          <w:tcPr>
            <w:tcW w:w="566" w:type="dxa"/>
            <w:tcBorders>
              <w:top w:val="nil"/>
              <w:left w:val="single" w:sz="8" w:space="0" w:color="000000"/>
              <w:bottom w:val="nil"/>
              <w:right w:val="single" w:sz="8" w:space="0" w:color="000000"/>
            </w:tcBorders>
          </w:tcPr>
          <w:p>
            <w:pPr>
              <w:pStyle w:val="TableParagraph"/>
              <w:rPr>
                <w:sz w:val="18"/>
              </w:rPr>
            </w:pPr>
          </w:p>
        </w:tc>
        <w:tc>
          <w:tcPr>
            <w:tcW w:w="567" w:type="dxa"/>
            <w:tcBorders>
              <w:top w:val="nil"/>
              <w:left w:val="single" w:sz="8" w:space="0" w:color="000000"/>
              <w:bottom w:val="nil"/>
              <w:right w:val="single" w:sz="8" w:space="0" w:color="000000"/>
            </w:tcBorders>
          </w:tcPr>
          <w:p>
            <w:pPr>
              <w:pStyle w:val="TableParagraph"/>
              <w:rPr>
                <w:sz w:val="18"/>
              </w:rPr>
            </w:pPr>
          </w:p>
        </w:tc>
        <w:tc>
          <w:tcPr>
            <w:tcW w:w="710" w:type="dxa"/>
            <w:tcBorders>
              <w:top w:val="nil"/>
              <w:left w:val="single" w:sz="8" w:space="0" w:color="000000"/>
              <w:bottom w:val="nil"/>
              <w:right w:val="single" w:sz="8" w:space="0" w:color="000000"/>
            </w:tcBorders>
          </w:tcPr>
          <w:p>
            <w:pPr>
              <w:pStyle w:val="TableParagraph"/>
              <w:rPr>
                <w:sz w:val="18"/>
              </w:rPr>
            </w:pPr>
          </w:p>
        </w:tc>
        <w:tc>
          <w:tcPr>
            <w:tcW w:w="708" w:type="dxa"/>
            <w:tcBorders>
              <w:top w:val="nil"/>
              <w:left w:val="single" w:sz="8" w:space="0" w:color="000000"/>
              <w:bottom w:val="nil"/>
              <w:right w:val="single" w:sz="8" w:space="0" w:color="000000"/>
            </w:tcBorders>
          </w:tcPr>
          <w:p>
            <w:pPr>
              <w:pStyle w:val="TableParagraph"/>
              <w:rPr>
                <w:sz w:val="18"/>
              </w:rPr>
            </w:pPr>
          </w:p>
        </w:tc>
        <w:tc>
          <w:tcPr>
            <w:tcW w:w="708" w:type="dxa"/>
            <w:tcBorders>
              <w:top w:val="nil"/>
              <w:left w:val="single" w:sz="8" w:space="0" w:color="000000"/>
              <w:bottom w:val="nil"/>
              <w:right w:val="single" w:sz="8" w:space="0" w:color="000000"/>
            </w:tcBorders>
          </w:tcPr>
          <w:p>
            <w:pPr>
              <w:pStyle w:val="TableParagraph"/>
              <w:rPr>
                <w:sz w:val="18"/>
              </w:rPr>
            </w:pPr>
          </w:p>
        </w:tc>
        <w:tc>
          <w:tcPr>
            <w:tcW w:w="711" w:type="dxa"/>
            <w:tcBorders>
              <w:top w:val="nil"/>
              <w:left w:val="single" w:sz="8" w:space="0" w:color="000000"/>
              <w:bottom w:val="nil"/>
              <w:right w:val="single" w:sz="8" w:space="0" w:color="000000"/>
            </w:tcBorders>
          </w:tcPr>
          <w:p>
            <w:pPr>
              <w:pStyle w:val="TableParagraph"/>
              <w:rPr>
                <w:sz w:val="18"/>
              </w:rPr>
            </w:pPr>
          </w:p>
        </w:tc>
        <w:tc>
          <w:tcPr>
            <w:tcW w:w="567" w:type="dxa"/>
            <w:tcBorders>
              <w:top w:val="nil"/>
              <w:left w:val="single" w:sz="8" w:space="0" w:color="000000"/>
              <w:bottom w:val="nil"/>
              <w:right w:val="single" w:sz="8" w:space="0" w:color="000000"/>
            </w:tcBorders>
          </w:tcPr>
          <w:p>
            <w:pPr>
              <w:pStyle w:val="TableParagraph"/>
              <w:rPr>
                <w:sz w:val="18"/>
              </w:rPr>
            </w:pPr>
          </w:p>
        </w:tc>
        <w:tc>
          <w:tcPr>
            <w:tcW w:w="567" w:type="dxa"/>
            <w:tcBorders>
              <w:top w:val="nil"/>
              <w:left w:val="single" w:sz="8" w:space="0" w:color="000000"/>
              <w:bottom w:val="nil"/>
              <w:right w:val="single" w:sz="8" w:space="0" w:color="000000"/>
            </w:tcBorders>
          </w:tcPr>
          <w:p>
            <w:pPr>
              <w:pStyle w:val="TableParagraph"/>
              <w:rPr>
                <w:sz w:val="18"/>
              </w:rPr>
            </w:pPr>
          </w:p>
        </w:tc>
        <w:tc>
          <w:tcPr>
            <w:tcW w:w="567" w:type="dxa"/>
            <w:tcBorders>
              <w:top w:val="nil"/>
              <w:left w:val="single" w:sz="8" w:space="0" w:color="000000"/>
              <w:bottom w:val="nil"/>
              <w:right w:val="single" w:sz="8" w:space="0" w:color="000000"/>
            </w:tcBorders>
          </w:tcPr>
          <w:p>
            <w:pPr>
              <w:pStyle w:val="TableParagraph"/>
              <w:spacing w:before="25"/>
              <w:ind w:left="171" w:right="20"/>
              <w:jc w:val="center"/>
              <w:rPr>
                <w:sz w:val="18"/>
              </w:rPr>
            </w:pPr>
            <w:r>
              <w:rPr>
                <w:sz w:val="18"/>
              </w:rPr>
              <w:t>.701</w:t>
            </w:r>
          </w:p>
        </w:tc>
        <w:tc>
          <w:tcPr>
            <w:tcW w:w="570" w:type="dxa"/>
            <w:tcBorders>
              <w:top w:val="nil"/>
              <w:left w:val="single" w:sz="8" w:space="0" w:color="000000"/>
              <w:bottom w:val="nil"/>
              <w:right w:val="single" w:sz="8" w:space="0" w:color="000000"/>
            </w:tcBorders>
          </w:tcPr>
          <w:p>
            <w:pPr>
              <w:pStyle w:val="TableParagraph"/>
              <w:rPr>
                <w:sz w:val="18"/>
              </w:rPr>
            </w:pPr>
          </w:p>
        </w:tc>
        <w:tc>
          <w:tcPr>
            <w:tcW w:w="567" w:type="dxa"/>
            <w:vMerge/>
            <w:tcBorders>
              <w:top w:val="nil"/>
              <w:left w:val="single" w:sz="8" w:space="0" w:color="000000"/>
            </w:tcBorders>
          </w:tcPr>
          <w:p>
            <w:pPr>
              <w:rPr>
                <w:sz w:val="2"/>
                <w:szCs w:val="2"/>
              </w:rPr>
            </w:pPr>
          </w:p>
        </w:tc>
      </w:tr>
      <w:tr>
        <w:trPr>
          <w:trHeight w:val="266" w:hRule="atLeast"/>
        </w:trPr>
        <w:tc>
          <w:tcPr>
            <w:tcW w:w="852" w:type="dxa"/>
            <w:tcBorders>
              <w:top w:val="nil"/>
              <w:bottom w:val="nil"/>
            </w:tcBorders>
          </w:tcPr>
          <w:p>
            <w:pPr>
              <w:pStyle w:val="TableParagraph"/>
              <w:spacing w:before="25"/>
              <w:ind w:left="75"/>
              <w:rPr>
                <w:sz w:val="18"/>
              </w:rPr>
            </w:pPr>
            <w:r>
              <w:rPr>
                <w:sz w:val="18"/>
              </w:rPr>
              <w:t>CLDV9</w:t>
            </w:r>
          </w:p>
        </w:tc>
        <w:tc>
          <w:tcPr>
            <w:tcW w:w="566" w:type="dxa"/>
            <w:vMerge/>
            <w:tcBorders>
              <w:top w:val="nil"/>
              <w:right w:val="single" w:sz="8" w:space="0" w:color="000000"/>
            </w:tcBorders>
          </w:tcPr>
          <w:p>
            <w:pPr>
              <w:rPr>
                <w:sz w:val="2"/>
                <w:szCs w:val="2"/>
              </w:rPr>
            </w:pPr>
          </w:p>
        </w:tc>
        <w:tc>
          <w:tcPr>
            <w:tcW w:w="566" w:type="dxa"/>
            <w:tcBorders>
              <w:top w:val="nil"/>
              <w:left w:val="single" w:sz="8" w:space="0" w:color="000000"/>
              <w:bottom w:val="nil"/>
              <w:right w:val="single" w:sz="8" w:space="0" w:color="000000"/>
            </w:tcBorders>
          </w:tcPr>
          <w:p>
            <w:pPr>
              <w:pStyle w:val="TableParagraph"/>
              <w:rPr>
                <w:sz w:val="18"/>
              </w:rPr>
            </w:pPr>
          </w:p>
        </w:tc>
        <w:tc>
          <w:tcPr>
            <w:tcW w:w="567" w:type="dxa"/>
            <w:tcBorders>
              <w:top w:val="nil"/>
              <w:left w:val="single" w:sz="8" w:space="0" w:color="000000"/>
              <w:bottom w:val="nil"/>
              <w:right w:val="single" w:sz="8" w:space="0" w:color="000000"/>
            </w:tcBorders>
          </w:tcPr>
          <w:p>
            <w:pPr>
              <w:pStyle w:val="TableParagraph"/>
              <w:rPr>
                <w:sz w:val="18"/>
              </w:rPr>
            </w:pPr>
          </w:p>
        </w:tc>
        <w:tc>
          <w:tcPr>
            <w:tcW w:w="710" w:type="dxa"/>
            <w:tcBorders>
              <w:top w:val="nil"/>
              <w:left w:val="single" w:sz="8" w:space="0" w:color="000000"/>
              <w:bottom w:val="nil"/>
              <w:right w:val="single" w:sz="8" w:space="0" w:color="000000"/>
            </w:tcBorders>
          </w:tcPr>
          <w:p>
            <w:pPr>
              <w:pStyle w:val="TableParagraph"/>
              <w:rPr>
                <w:sz w:val="18"/>
              </w:rPr>
            </w:pPr>
          </w:p>
        </w:tc>
        <w:tc>
          <w:tcPr>
            <w:tcW w:w="708" w:type="dxa"/>
            <w:tcBorders>
              <w:top w:val="nil"/>
              <w:left w:val="single" w:sz="8" w:space="0" w:color="000000"/>
              <w:bottom w:val="nil"/>
              <w:right w:val="single" w:sz="8" w:space="0" w:color="000000"/>
            </w:tcBorders>
          </w:tcPr>
          <w:p>
            <w:pPr>
              <w:pStyle w:val="TableParagraph"/>
              <w:rPr>
                <w:sz w:val="18"/>
              </w:rPr>
            </w:pPr>
          </w:p>
        </w:tc>
        <w:tc>
          <w:tcPr>
            <w:tcW w:w="708" w:type="dxa"/>
            <w:tcBorders>
              <w:top w:val="nil"/>
              <w:left w:val="single" w:sz="8" w:space="0" w:color="000000"/>
              <w:bottom w:val="nil"/>
              <w:right w:val="single" w:sz="8" w:space="0" w:color="000000"/>
            </w:tcBorders>
          </w:tcPr>
          <w:p>
            <w:pPr>
              <w:pStyle w:val="TableParagraph"/>
              <w:rPr>
                <w:sz w:val="18"/>
              </w:rPr>
            </w:pPr>
          </w:p>
        </w:tc>
        <w:tc>
          <w:tcPr>
            <w:tcW w:w="711" w:type="dxa"/>
            <w:tcBorders>
              <w:top w:val="nil"/>
              <w:left w:val="single" w:sz="8" w:space="0" w:color="000000"/>
              <w:bottom w:val="nil"/>
              <w:right w:val="single" w:sz="8" w:space="0" w:color="000000"/>
            </w:tcBorders>
          </w:tcPr>
          <w:p>
            <w:pPr>
              <w:pStyle w:val="TableParagraph"/>
              <w:rPr>
                <w:sz w:val="18"/>
              </w:rPr>
            </w:pPr>
          </w:p>
        </w:tc>
        <w:tc>
          <w:tcPr>
            <w:tcW w:w="567" w:type="dxa"/>
            <w:tcBorders>
              <w:top w:val="nil"/>
              <w:left w:val="single" w:sz="8" w:space="0" w:color="000000"/>
              <w:bottom w:val="nil"/>
              <w:right w:val="single" w:sz="8" w:space="0" w:color="000000"/>
            </w:tcBorders>
          </w:tcPr>
          <w:p>
            <w:pPr>
              <w:pStyle w:val="TableParagraph"/>
              <w:rPr>
                <w:sz w:val="18"/>
              </w:rPr>
            </w:pPr>
          </w:p>
        </w:tc>
        <w:tc>
          <w:tcPr>
            <w:tcW w:w="567" w:type="dxa"/>
            <w:tcBorders>
              <w:top w:val="nil"/>
              <w:left w:val="single" w:sz="8" w:space="0" w:color="000000"/>
              <w:bottom w:val="nil"/>
              <w:right w:val="single" w:sz="8" w:space="0" w:color="000000"/>
            </w:tcBorders>
          </w:tcPr>
          <w:p>
            <w:pPr>
              <w:pStyle w:val="TableParagraph"/>
              <w:rPr>
                <w:sz w:val="18"/>
              </w:rPr>
            </w:pPr>
          </w:p>
        </w:tc>
        <w:tc>
          <w:tcPr>
            <w:tcW w:w="567" w:type="dxa"/>
            <w:tcBorders>
              <w:top w:val="nil"/>
              <w:left w:val="single" w:sz="8" w:space="0" w:color="000000"/>
              <w:bottom w:val="nil"/>
              <w:right w:val="single" w:sz="8" w:space="0" w:color="000000"/>
            </w:tcBorders>
          </w:tcPr>
          <w:p>
            <w:pPr>
              <w:pStyle w:val="TableParagraph"/>
              <w:spacing w:before="25"/>
              <w:ind w:left="111" w:right="20"/>
              <w:jc w:val="center"/>
              <w:rPr>
                <w:sz w:val="18"/>
              </w:rPr>
            </w:pPr>
            <w:r>
              <w:rPr>
                <w:sz w:val="18"/>
              </w:rPr>
              <w:t>-.632</w:t>
            </w:r>
          </w:p>
        </w:tc>
        <w:tc>
          <w:tcPr>
            <w:tcW w:w="570" w:type="dxa"/>
            <w:tcBorders>
              <w:top w:val="nil"/>
              <w:left w:val="single" w:sz="8" w:space="0" w:color="000000"/>
              <w:bottom w:val="nil"/>
              <w:right w:val="single" w:sz="8" w:space="0" w:color="000000"/>
            </w:tcBorders>
          </w:tcPr>
          <w:p>
            <w:pPr>
              <w:pStyle w:val="TableParagraph"/>
              <w:rPr>
                <w:sz w:val="18"/>
              </w:rPr>
            </w:pPr>
          </w:p>
        </w:tc>
        <w:tc>
          <w:tcPr>
            <w:tcW w:w="567" w:type="dxa"/>
            <w:vMerge/>
            <w:tcBorders>
              <w:top w:val="nil"/>
              <w:left w:val="single" w:sz="8" w:space="0" w:color="000000"/>
            </w:tcBorders>
          </w:tcPr>
          <w:p>
            <w:pPr>
              <w:rPr>
                <w:sz w:val="2"/>
                <w:szCs w:val="2"/>
              </w:rPr>
            </w:pPr>
          </w:p>
        </w:tc>
      </w:tr>
      <w:tr>
        <w:trPr>
          <w:trHeight w:val="265" w:hRule="atLeast"/>
        </w:trPr>
        <w:tc>
          <w:tcPr>
            <w:tcW w:w="852" w:type="dxa"/>
            <w:tcBorders>
              <w:top w:val="nil"/>
              <w:bottom w:val="nil"/>
            </w:tcBorders>
          </w:tcPr>
          <w:p>
            <w:pPr>
              <w:pStyle w:val="TableParagraph"/>
              <w:spacing w:before="26"/>
              <w:ind w:left="75"/>
              <w:rPr>
                <w:sz w:val="18"/>
              </w:rPr>
            </w:pPr>
            <w:r>
              <w:rPr>
                <w:sz w:val="18"/>
              </w:rPr>
              <w:t>HT3</w:t>
            </w:r>
          </w:p>
        </w:tc>
        <w:tc>
          <w:tcPr>
            <w:tcW w:w="566" w:type="dxa"/>
            <w:vMerge/>
            <w:tcBorders>
              <w:top w:val="nil"/>
              <w:right w:val="single" w:sz="8" w:space="0" w:color="000000"/>
            </w:tcBorders>
          </w:tcPr>
          <w:p>
            <w:pPr>
              <w:rPr>
                <w:sz w:val="2"/>
                <w:szCs w:val="2"/>
              </w:rPr>
            </w:pPr>
          </w:p>
        </w:tc>
        <w:tc>
          <w:tcPr>
            <w:tcW w:w="566" w:type="dxa"/>
            <w:tcBorders>
              <w:top w:val="nil"/>
              <w:left w:val="single" w:sz="8" w:space="0" w:color="000000"/>
              <w:bottom w:val="nil"/>
              <w:right w:val="single" w:sz="8" w:space="0" w:color="000000"/>
            </w:tcBorders>
          </w:tcPr>
          <w:p>
            <w:pPr>
              <w:pStyle w:val="TableParagraph"/>
              <w:rPr>
                <w:sz w:val="18"/>
              </w:rPr>
            </w:pPr>
          </w:p>
        </w:tc>
        <w:tc>
          <w:tcPr>
            <w:tcW w:w="567" w:type="dxa"/>
            <w:tcBorders>
              <w:top w:val="nil"/>
              <w:left w:val="single" w:sz="8" w:space="0" w:color="000000"/>
              <w:bottom w:val="nil"/>
              <w:right w:val="single" w:sz="8" w:space="0" w:color="000000"/>
            </w:tcBorders>
          </w:tcPr>
          <w:p>
            <w:pPr>
              <w:pStyle w:val="TableParagraph"/>
              <w:rPr>
                <w:sz w:val="18"/>
              </w:rPr>
            </w:pPr>
          </w:p>
        </w:tc>
        <w:tc>
          <w:tcPr>
            <w:tcW w:w="710" w:type="dxa"/>
            <w:tcBorders>
              <w:top w:val="nil"/>
              <w:left w:val="single" w:sz="8" w:space="0" w:color="000000"/>
              <w:bottom w:val="nil"/>
              <w:right w:val="single" w:sz="8" w:space="0" w:color="000000"/>
            </w:tcBorders>
          </w:tcPr>
          <w:p>
            <w:pPr>
              <w:pStyle w:val="TableParagraph"/>
              <w:rPr>
                <w:sz w:val="18"/>
              </w:rPr>
            </w:pPr>
          </w:p>
        </w:tc>
        <w:tc>
          <w:tcPr>
            <w:tcW w:w="708" w:type="dxa"/>
            <w:tcBorders>
              <w:top w:val="nil"/>
              <w:left w:val="single" w:sz="8" w:space="0" w:color="000000"/>
              <w:bottom w:val="nil"/>
              <w:right w:val="single" w:sz="8" w:space="0" w:color="000000"/>
            </w:tcBorders>
          </w:tcPr>
          <w:p>
            <w:pPr>
              <w:pStyle w:val="TableParagraph"/>
              <w:rPr>
                <w:sz w:val="18"/>
              </w:rPr>
            </w:pPr>
          </w:p>
        </w:tc>
        <w:tc>
          <w:tcPr>
            <w:tcW w:w="708" w:type="dxa"/>
            <w:tcBorders>
              <w:top w:val="nil"/>
              <w:left w:val="single" w:sz="8" w:space="0" w:color="000000"/>
              <w:bottom w:val="nil"/>
              <w:right w:val="single" w:sz="8" w:space="0" w:color="000000"/>
            </w:tcBorders>
          </w:tcPr>
          <w:p>
            <w:pPr>
              <w:pStyle w:val="TableParagraph"/>
              <w:rPr>
                <w:sz w:val="18"/>
              </w:rPr>
            </w:pPr>
          </w:p>
        </w:tc>
        <w:tc>
          <w:tcPr>
            <w:tcW w:w="711" w:type="dxa"/>
            <w:tcBorders>
              <w:top w:val="nil"/>
              <w:left w:val="single" w:sz="8" w:space="0" w:color="000000"/>
              <w:bottom w:val="nil"/>
              <w:right w:val="single" w:sz="8" w:space="0" w:color="000000"/>
            </w:tcBorders>
          </w:tcPr>
          <w:p>
            <w:pPr>
              <w:pStyle w:val="TableParagraph"/>
              <w:rPr>
                <w:sz w:val="18"/>
              </w:rPr>
            </w:pPr>
          </w:p>
        </w:tc>
        <w:tc>
          <w:tcPr>
            <w:tcW w:w="567" w:type="dxa"/>
            <w:tcBorders>
              <w:top w:val="nil"/>
              <w:left w:val="single" w:sz="8" w:space="0" w:color="000000"/>
              <w:bottom w:val="nil"/>
              <w:right w:val="single" w:sz="8" w:space="0" w:color="000000"/>
            </w:tcBorders>
          </w:tcPr>
          <w:p>
            <w:pPr>
              <w:pStyle w:val="TableParagraph"/>
              <w:rPr>
                <w:sz w:val="18"/>
              </w:rPr>
            </w:pPr>
          </w:p>
        </w:tc>
        <w:tc>
          <w:tcPr>
            <w:tcW w:w="567" w:type="dxa"/>
            <w:tcBorders>
              <w:top w:val="nil"/>
              <w:left w:val="single" w:sz="8" w:space="0" w:color="000000"/>
              <w:bottom w:val="nil"/>
              <w:right w:val="single" w:sz="8" w:space="0" w:color="000000"/>
            </w:tcBorders>
          </w:tcPr>
          <w:p>
            <w:pPr>
              <w:pStyle w:val="TableParagraph"/>
              <w:rPr>
                <w:sz w:val="18"/>
              </w:rPr>
            </w:pPr>
          </w:p>
        </w:tc>
        <w:tc>
          <w:tcPr>
            <w:tcW w:w="567" w:type="dxa"/>
            <w:tcBorders>
              <w:top w:val="nil"/>
              <w:left w:val="single" w:sz="8" w:space="0" w:color="000000"/>
              <w:bottom w:val="nil"/>
              <w:right w:val="single" w:sz="8" w:space="0" w:color="000000"/>
            </w:tcBorders>
          </w:tcPr>
          <w:p>
            <w:pPr>
              <w:pStyle w:val="TableParagraph"/>
              <w:rPr>
                <w:sz w:val="18"/>
              </w:rPr>
            </w:pPr>
          </w:p>
        </w:tc>
        <w:tc>
          <w:tcPr>
            <w:tcW w:w="570" w:type="dxa"/>
            <w:tcBorders>
              <w:top w:val="nil"/>
              <w:left w:val="single" w:sz="8" w:space="0" w:color="000000"/>
              <w:bottom w:val="nil"/>
              <w:right w:val="single" w:sz="8" w:space="0" w:color="000000"/>
            </w:tcBorders>
          </w:tcPr>
          <w:p>
            <w:pPr>
              <w:pStyle w:val="TableParagraph"/>
              <w:spacing w:before="26"/>
              <w:ind w:right="41"/>
              <w:jc w:val="right"/>
              <w:rPr>
                <w:sz w:val="18"/>
              </w:rPr>
            </w:pPr>
            <w:r>
              <w:rPr>
                <w:sz w:val="18"/>
              </w:rPr>
              <w:t>.753</w:t>
            </w:r>
          </w:p>
        </w:tc>
        <w:tc>
          <w:tcPr>
            <w:tcW w:w="567" w:type="dxa"/>
            <w:vMerge/>
            <w:tcBorders>
              <w:top w:val="nil"/>
              <w:left w:val="single" w:sz="8" w:space="0" w:color="000000"/>
            </w:tcBorders>
          </w:tcPr>
          <w:p>
            <w:pPr>
              <w:rPr>
                <w:sz w:val="2"/>
                <w:szCs w:val="2"/>
              </w:rPr>
            </w:pPr>
          </w:p>
        </w:tc>
      </w:tr>
      <w:tr>
        <w:trPr>
          <w:trHeight w:val="264" w:hRule="atLeast"/>
        </w:trPr>
        <w:tc>
          <w:tcPr>
            <w:tcW w:w="852" w:type="dxa"/>
            <w:tcBorders>
              <w:top w:val="nil"/>
              <w:bottom w:val="nil"/>
            </w:tcBorders>
          </w:tcPr>
          <w:p>
            <w:pPr>
              <w:pStyle w:val="TableParagraph"/>
              <w:spacing w:before="25"/>
              <w:ind w:left="75"/>
              <w:rPr>
                <w:sz w:val="18"/>
              </w:rPr>
            </w:pPr>
            <w:r>
              <w:rPr>
                <w:sz w:val="18"/>
              </w:rPr>
              <w:t>VT1</w:t>
            </w:r>
          </w:p>
        </w:tc>
        <w:tc>
          <w:tcPr>
            <w:tcW w:w="566" w:type="dxa"/>
            <w:vMerge/>
            <w:tcBorders>
              <w:top w:val="nil"/>
              <w:right w:val="single" w:sz="8" w:space="0" w:color="000000"/>
            </w:tcBorders>
          </w:tcPr>
          <w:p>
            <w:pPr>
              <w:rPr>
                <w:sz w:val="2"/>
                <w:szCs w:val="2"/>
              </w:rPr>
            </w:pPr>
          </w:p>
        </w:tc>
        <w:tc>
          <w:tcPr>
            <w:tcW w:w="566" w:type="dxa"/>
            <w:tcBorders>
              <w:top w:val="nil"/>
              <w:left w:val="single" w:sz="8" w:space="0" w:color="000000"/>
              <w:bottom w:val="nil"/>
              <w:right w:val="single" w:sz="8" w:space="0" w:color="000000"/>
            </w:tcBorders>
          </w:tcPr>
          <w:p>
            <w:pPr>
              <w:pStyle w:val="TableParagraph"/>
              <w:rPr>
                <w:sz w:val="18"/>
              </w:rPr>
            </w:pPr>
          </w:p>
        </w:tc>
        <w:tc>
          <w:tcPr>
            <w:tcW w:w="567" w:type="dxa"/>
            <w:tcBorders>
              <w:top w:val="nil"/>
              <w:left w:val="single" w:sz="8" w:space="0" w:color="000000"/>
              <w:bottom w:val="nil"/>
              <w:right w:val="single" w:sz="8" w:space="0" w:color="000000"/>
            </w:tcBorders>
          </w:tcPr>
          <w:p>
            <w:pPr>
              <w:pStyle w:val="TableParagraph"/>
              <w:rPr>
                <w:sz w:val="18"/>
              </w:rPr>
            </w:pPr>
          </w:p>
        </w:tc>
        <w:tc>
          <w:tcPr>
            <w:tcW w:w="710" w:type="dxa"/>
            <w:tcBorders>
              <w:top w:val="nil"/>
              <w:left w:val="single" w:sz="8" w:space="0" w:color="000000"/>
              <w:bottom w:val="nil"/>
              <w:right w:val="single" w:sz="8" w:space="0" w:color="000000"/>
            </w:tcBorders>
          </w:tcPr>
          <w:p>
            <w:pPr>
              <w:pStyle w:val="TableParagraph"/>
              <w:rPr>
                <w:sz w:val="18"/>
              </w:rPr>
            </w:pPr>
          </w:p>
        </w:tc>
        <w:tc>
          <w:tcPr>
            <w:tcW w:w="708" w:type="dxa"/>
            <w:tcBorders>
              <w:top w:val="nil"/>
              <w:left w:val="single" w:sz="8" w:space="0" w:color="000000"/>
              <w:bottom w:val="nil"/>
              <w:right w:val="single" w:sz="8" w:space="0" w:color="000000"/>
            </w:tcBorders>
          </w:tcPr>
          <w:p>
            <w:pPr>
              <w:pStyle w:val="TableParagraph"/>
              <w:rPr>
                <w:sz w:val="18"/>
              </w:rPr>
            </w:pPr>
          </w:p>
        </w:tc>
        <w:tc>
          <w:tcPr>
            <w:tcW w:w="708" w:type="dxa"/>
            <w:tcBorders>
              <w:top w:val="nil"/>
              <w:left w:val="single" w:sz="8" w:space="0" w:color="000000"/>
              <w:bottom w:val="nil"/>
              <w:right w:val="single" w:sz="8" w:space="0" w:color="000000"/>
            </w:tcBorders>
          </w:tcPr>
          <w:p>
            <w:pPr>
              <w:pStyle w:val="TableParagraph"/>
              <w:rPr>
                <w:sz w:val="18"/>
              </w:rPr>
            </w:pPr>
          </w:p>
        </w:tc>
        <w:tc>
          <w:tcPr>
            <w:tcW w:w="711" w:type="dxa"/>
            <w:tcBorders>
              <w:top w:val="nil"/>
              <w:left w:val="single" w:sz="8" w:space="0" w:color="000000"/>
              <w:bottom w:val="nil"/>
              <w:right w:val="single" w:sz="8" w:space="0" w:color="000000"/>
            </w:tcBorders>
          </w:tcPr>
          <w:p>
            <w:pPr>
              <w:pStyle w:val="TableParagraph"/>
              <w:rPr>
                <w:sz w:val="18"/>
              </w:rPr>
            </w:pPr>
          </w:p>
        </w:tc>
        <w:tc>
          <w:tcPr>
            <w:tcW w:w="567" w:type="dxa"/>
            <w:tcBorders>
              <w:top w:val="nil"/>
              <w:left w:val="single" w:sz="8" w:space="0" w:color="000000"/>
              <w:bottom w:val="nil"/>
              <w:right w:val="single" w:sz="8" w:space="0" w:color="000000"/>
            </w:tcBorders>
          </w:tcPr>
          <w:p>
            <w:pPr>
              <w:pStyle w:val="TableParagraph"/>
              <w:rPr>
                <w:sz w:val="18"/>
              </w:rPr>
            </w:pPr>
          </w:p>
        </w:tc>
        <w:tc>
          <w:tcPr>
            <w:tcW w:w="567" w:type="dxa"/>
            <w:tcBorders>
              <w:top w:val="nil"/>
              <w:left w:val="single" w:sz="8" w:space="0" w:color="000000"/>
              <w:bottom w:val="nil"/>
              <w:right w:val="single" w:sz="8" w:space="0" w:color="000000"/>
            </w:tcBorders>
          </w:tcPr>
          <w:p>
            <w:pPr>
              <w:pStyle w:val="TableParagraph"/>
              <w:rPr>
                <w:sz w:val="18"/>
              </w:rPr>
            </w:pPr>
          </w:p>
        </w:tc>
        <w:tc>
          <w:tcPr>
            <w:tcW w:w="567" w:type="dxa"/>
            <w:tcBorders>
              <w:top w:val="nil"/>
              <w:left w:val="single" w:sz="8" w:space="0" w:color="000000"/>
              <w:bottom w:val="nil"/>
              <w:right w:val="single" w:sz="8" w:space="0" w:color="000000"/>
            </w:tcBorders>
          </w:tcPr>
          <w:p>
            <w:pPr>
              <w:pStyle w:val="TableParagraph"/>
              <w:rPr>
                <w:sz w:val="18"/>
              </w:rPr>
            </w:pPr>
          </w:p>
        </w:tc>
        <w:tc>
          <w:tcPr>
            <w:tcW w:w="570" w:type="dxa"/>
            <w:tcBorders>
              <w:top w:val="nil"/>
              <w:left w:val="single" w:sz="8" w:space="0" w:color="000000"/>
              <w:bottom w:val="nil"/>
              <w:right w:val="single" w:sz="8" w:space="0" w:color="000000"/>
            </w:tcBorders>
          </w:tcPr>
          <w:p>
            <w:pPr>
              <w:pStyle w:val="TableParagraph"/>
              <w:spacing w:before="25"/>
              <w:ind w:right="42"/>
              <w:jc w:val="right"/>
              <w:rPr>
                <w:sz w:val="18"/>
              </w:rPr>
            </w:pPr>
            <w:r>
              <w:rPr>
                <w:sz w:val="18"/>
              </w:rPr>
              <w:t>.606</w:t>
            </w:r>
          </w:p>
        </w:tc>
        <w:tc>
          <w:tcPr>
            <w:tcW w:w="567" w:type="dxa"/>
            <w:vMerge/>
            <w:tcBorders>
              <w:top w:val="nil"/>
              <w:left w:val="single" w:sz="8" w:space="0" w:color="000000"/>
            </w:tcBorders>
          </w:tcPr>
          <w:p>
            <w:pPr>
              <w:rPr>
                <w:sz w:val="2"/>
                <w:szCs w:val="2"/>
              </w:rPr>
            </w:pPr>
          </w:p>
        </w:tc>
      </w:tr>
      <w:tr>
        <w:trPr>
          <w:trHeight w:val="265" w:hRule="atLeast"/>
        </w:trPr>
        <w:tc>
          <w:tcPr>
            <w:tcW w:w="852" w:type="dxa"/>
            <w:tcBorders>
              <w:top w:val="nil"/>
              <w:bottom w:val="nil"/>
            </w:tcBorders>
          </w:tcPr>
          <w:p>
            <w:pPr>
              <w:pStyle w:val="TableParagraph"/>
              <w:spacing w:before="25"/>
              <w:ind w:left="75"/>
              <w:rPr>
                <w:sz w:val="18"/>
              </w:rPr>
            </w:pPr>
            <w:r>
              <w:rPr>
                <w:sz w:val="18"/>
              </w:rPr>
              <w:t>VT4</w:t>
            </w:r>
          </w:p>
        </w:tc>
        <w:tc>
          <w:tcPr>
            <w:tcW w:w="566" w:type="dxa"/>
            <w:vMerge/>
            <w:tcBorders>
              <w:top w:val="nil"/>
              <w:right w:val="single" w:sz="8" w:space="0" w:color="000000"/>
            </w:tcBorders>
          </w:tcPr>
          <w:p>
            <w:pPr>
              <w:rPr>
                <w:sz w:val="2"/>
                <w:szCs w:val="2"/>
              </w:rPr>
            </w:pPr>
          </w:p>
        </w:tc>
        <w:tc>
          <w:tcPr>
            <w:tcW w:w="566" w:type="dxa"/>
            <w:tcBorders>
              <w:top w:val="nil"/>
              <w:left w:val="single" w:sz="8" w:space="0" w:color="000000"/>
              <w:bottom w:val="nil"/>
              <w:right w:val="single" w:sz="8" w:space="0" w:color="000000"/>
            </w:tcBorders>
          </w:tcPr>
          <w:p>
            <w:pPr>
              <w:pStyle w:val="TableParagraph"/>
              <w:rPr>
                <w:sz w:val="18"/>
              </w:rPr>
            </w:pPr>
          </w:p>
        </w:tc>
        <w:tc>
          <w:tcPr>
            <w:tcW w:w="567" w:type="dxa"/>
            <w:tcBorders>
              <w:top w:val="nil"/>
              <w:left w:val="single" w:sz="8" w:space="0" w:color="000000"/>
              <w:bottom w:val="nil"/>
              <w:right w:val="single" w:sz="8" w:space="0" w:color="000000"/>
            </w:tcBorders>
          </w:tcPr>
          <w:p>
            <w:pPr>
              <w:pStyle w:val="TableParagraph"/>
              <w:rPr>
                <w:sz w:val="18"/>
              </w:rPr>
            </w:pPr>
          </w:p>
        </w:tc>
        <w:tc>
          <w:tcPr>
            <w:tcW w:w="710" w:type="dxa"/>
            <w:tcBorders>
              <w:top w:val="nil"/>
              <w:left w:val="single" w:sz="8" w:space="0" w:color="000000"/>
              <w:bottom w:val="nil"/>
              <w:right w:val="single" w:sz="8" w:space="0" w:color="000000"/>
            </w:tcBorders>
          </w:tcPr>
          <w:p>
            <w:pPr>
              <w:pStyle w:val="TableParagraph"/>
              <w:rPr>
                <w:sz w:val="18"/>
              </w:rPr>
            </w:pPr>
          </w:p>
        </w:tc>
        <w:tc>
          <w:tcPr>
            <w:tcW w:w="708" w:type="dxa"/>
            <w:tcBorders>
              <w:top w:val="nil"/>
              <w:left w:val="single" w:sz="8" w:space="0" w:color="000000"/>
              <w:bottom w:val="nil"/>
              <w:right w:val="single" w:sz="8" w:space="0" w:color="000000"/>
            </w:tcBorders>
          </w:tcPr>
          <w:p>
            <w:pPr>
              <w:pStyle w:val="TableParagraph"/>
              <w:rPr>
                <w:sz w:val="18"/>
              </w:rPr>
            </w:pPr>
          </w:p>
        </w:tc>
        <w:tc>
          <w:tcPr>
            <w:tcW w:w="708" w:type="dxa"/>
            <w:tcBorders>
              <w:top w:val="nil"/>
              <w:left w:val="single" w:sz="8" w:space="0" w:color="000000"/>
              <w:bottom w:val="nil"/>
              <w:right w:val="single" w:sz="8" w:space="0" w:color="000000"/>
            </w:tcBorders>
          </w:tcPr>
          <w:p>
            <w:pPr>
              <w:pStyle w:val="TableParagraph"/>
              <w:rPr>
                <w:sz w:val="18"/>
              </w:rPr>
            </w:pPr>
          </w:p>
        </w:tc>
        <w:tc>
          <w:tcPr>
            <w:tcW w:w="711" w:type="dxa"/>
            <w:tcBorders>
              <w:top w:val="nil"/>
              <w:left w:val="single" w:sz="8" w:space="0" w:color="000000"/>
              <w:bottom w:val="nil"/>
              <w:right w:val="single" w:sz="8" w:space="0" w:color="000000"/>
            </w:tcBorders>
          </w:tcPr>
          <w:p>
            <w:pPr>
              <w:pStyle w:val="TableParagraph"/>
              <w:rPr>
                <w:sz w:val="18"/>
              </w:rPr>
            </w:pPr>
          </w:p>
        </w:tc>
        <w:tc>
          <w:tcPr>
            <w:tcW w:w="567" w:type="dxa"/>
            <w:tcBorders>
              <w:top w:val="nil"/>
              <w:left w:val="single" w:sz="8" w:space="0" w:color="000000"/>
              <w:bottom w:val="nil"/>
              <w:right w:val="single" w:sz="8" w:space="0" w:color="000000"/>
            </w:tcBorders>
          </w:tcPr>
          <w:p>
            <w:pPr>
              <w:pStyle w:val="TableParagraph"/>
              <w:rPr>
                <w:sz w:val="18"/>
              </w:rPr>
            </w:pPr>
          </w:p>
        </w:tc>
        <w:tc>
          <w:tcPr>
            <w:tcW w:w="567" w:type="dxa"/>
            <w:tcBorders>
              <w:top w:val="nil"/>
              <w:left w:val="single" w:sz="8" w:space="0" w:color="000000"/>
              <w:bottom w:val="nil"/>
              <w:right w:val="single" w:sz="8" w:space="0" w:color="000000"/>
            </w:tcBorders>
          </w:tcPr>
          <w:p>
            <w:pPr>
              <w:pStyle w:val="TableParagraph"/>
              <w:rPr>
                <w:sz w:val="18"/>
              </w:rPr>
            </w:pPr>
          </w:p>
        </w:tc>
        <w:tc>
          <w:tcPr>
            <w:tcW w:w="567" w:type="dxa"/>
            <w:tcBorders>
              <w:top w:val="nil"/>
              <w:left w:val="single" w:sz="8" w:space="0" w:color="000000"/>
              <w:bottom w:val="nil"/>
              <w:right w:val="single" w:sz="8" w:space="0" w:color="000000"/>
            </w:tcBorders>
          </w:tcPr>
          <w:p>
            <w:pPr>
              <w:pStyle w:val="TableParagraph"/>
              <w:rPr>
                <w:sz w:val="18"/>
              </w:rPr>
            </w:pPr>
          </w:p>
        </w:tc>
        <w:tc>
          <w:tcPr>
            <w:tcW w:w="570" w:type="dxa"/>
            <w:tcBorders>
              <w:top w:val="nil"/>
              <w:left w:val="single" w:sz="8" w:space="0" w:color="000000"/>
              <w:bottom w:val="nil"/>
              <w:right w:val="single" w:sz="8" w:space="0" w:color="000000"/>
            </w:tcBorders>
          </w:tcPr>
          <w:p>
            <w:pPr>
              <w:pStyle w:val="TableParagraph"/>
              <w:rPr>
                <w:sz w:val="18"/>
              </w:rPr>
            </w:pPr>
          </w:p>
        </w:tc>
        <w:tc>
          <w:tcPr>
            <w:tcW w:w="567" w:type="dxa"/>
            <w:vMerge/>
            <w:tcBorders>
              <w:top w:val="nil"/>
              <w:left w:val="single" w:sz="8" w:space="0" w:color="000000"/>
            </w:tcBorders>
          </w:tcPr>
          <w:p>
            <w:pPr>
              <w:rPr>
                <w:sz w:val="2"/>
                <w:szCs w:val="2"/>
              </w:rPr>
            </w:pPr>
          </w:p>
        </w:tc>
      </w:tr>
      <w:tr>
        <w:trPr>
          <w:trHeight w:val="334" w:hRule="atLeast"/>
        </w:trPr>
        <w:tc>
          <w:tcPr>
            <w:tcW w:w="852" w:type="dxa"/>
            <w:tcBorders>
              <w:top w:val="nil"/>
            </w:tcBorders>
          </w:tcPr>
          <w:p>
            <w:pPr>
              <w:pStyle w:val="TableParagraph"/>
              <w:spacing w:before="26"/>
              <w:ind w:left="75"/>
              <w:rPr>
                <w:sz w:val="18"/>
              </w:rPr>
            </w:pPr>
            <w:r>
              <w:rPr>
                <w:sz w:val="18"/>
              </w:rPr>
              <w:t>VT8</w:t>
            </w:r>
          </w:p>
        </w:tc>
        <w:tc>
          <w:tcPr>
            <w:tcW w:w="566" w:type="dxa"/>
            <w:vMerge/>
            <w:tcBorders>
              <w:top w:val="nil"/>
              <w:right w:val="single" w:sz="8" w:space="0" w:color="000000"/>
            </w:tcBorders>
          </w:tcPr>
          <w:p>
            <w:pPr>
              <w:rPr>
                <w:sz w:val="2"/>
                <w:szCs w:val="2"/>
              </w:rPr>
            </w:pPr>
          </w:p>
        </w:tc>
        <w:tc>
          <w:tcPr>
            <w:tcW w:w="566" w:type="dxa"/>
            <w:tcBorders>
              <w:top w:val="nil"/>
              <w:left w:val="single" w:sz="8" w:space="0" w:color="000000"/>
              <w:right w:val="single" w:sz="8" w:space="0" w:color="000000"/>
            </w:tcBorders>
          </w:tcPr>
          <w:p>
            <w:pPr>
              <w:pStyle w:val="TableParagraph"/>
              <w:rPr>
                <w:sz w:val="18"/>
              </w:rPr>
            </w:pPr>
          </w:p>
        </w:tc>
        <w:tc>
          <w:tcPr>
            <w:tcW w:w="567" w:type="dxa"/>
            <w:tcBorders>
              <w:top w:val="nil"/>
              <w:left w:val="single" w:sz="8" w:space="0" w:color="000000"/>
              <w:right w:val="single" w:sz="8" w:space="0" w:color="000000"/>
            </w:tcBorders>
          </w:tcPr>
          <w:p>
            <w:pPr>
              <w:pStyle w:val="TableParagraph"/>
              <w:rPr>
                <w:sz w:val="18"/>
              </w:rPr>
            </w:pPr>
          </w:p>
        </w:tc>
        <w:tc>
          <w:tcPr>
            <w:tcW w:w="710" w:type="dxa"/>
            <w:tcBorders>
              <w:top w:val="nil"/>
              <w:left w:val="single" w:sz="8" w:space="0" w:color="000000"/>
              <w:right w:val="single" w:sz="8" w:space="0" w:color="000000"/>
            </w:tcBorders>
          </w:tcPr>
          <w:p>
            <w:pPr>
              <w:pStyle w:val="TableParagraph"/>
              <w:rPr>
                <w:sz w:val="18"/>
              </w:rPr>
            </w:pPr>
          </w:p>
        </w:tc>
        <w:tc>
          <w:tcPr>
            <w:tcW w:w="708" w:type="dxa"/>
            <w:tcBorders>
              <w:top w:val="nil"/>
              <w:left w:val="single" w:sz="8" w:space="0" w:color="000000"/>
              <w:right w:val="single" w:sz="8" w:space="0" w:color="000000"/>
            </w:tcBorders>
          </w:tcPr>
          <w:p>
            <w:pPr>
              <w:pStyle w:val="TableParagraph"/>
              <w:rPr>
                <w:sz w:val="18"/>
              </w:rPr>
            </w:pPr>
          </w:p>
        </w:tc>
        <w:tc>
          <w:tcPr>
            <w:tcW w:w="708" w:type="dxa"/>
            <w:tcBorders>
              <w:top w:val="nil"/>
              <w:left w:val="single" w:sz="8" w:space="0" w:color="000000"/>
              <w:right w:val="single" w:sz="8" w:space="0" w:color="000000"/>
            </w:tcBorders>
          </w:tcPr>
          <w:p>
            <w:pPr>
              <w:pStyle w:val="TableParagraph"/>
              <w:rPr>
                <w:sz w:val="18"/>
              </w:rPr>
            </w:pPr>
          </w:p>
        </w:tc>
        <w:tc>
          <w:tcPr>
            <w:tcW w:w="711" w:type="dxa"/>
            <w:tcBorders>
              <w:top w:val="nil"/>
              <w:left w:val="single" w:sz="8" w:space="0" w:color="000000"/>
              <w:right w:val="single" w:sz="8" w:space="0" w:color="000000"/>
            </w:tcBorders>
          </w:tcPr>
          <w:p>
            <w:pPr>
              <w:pStyle w:val="TableParagraph"/>
              <w:rPr>
                <w:sz w:val="18"/>
              </w:rPr>
            </w:pPr>
          </w:p>
        </w:tc>
        <w:tc>
          <w:tcPr>
            <w:tcW w:w="567" w:type="dxa"/>
            <w:tcBorders>
              <w:top w:val="nil"/>
              <w:left w:val="single" w:sz="8" w:space="0" w:color="000000"/>
              <w:right w:val="single" w:sz="8" w:space="0" w:color="000000"/>
            </w:tcBorders>
          </w:tcPr>
          <w:p>
            <w:pPr>
              <w:pStyle w:val="TableParagraph"/>
              <w:rPr>
                <w:sz w:val="18"/>
              </w:rPr>
            </w:pPr>
          </w:p>
        </w:tc>
        <w:tc>
          <w:tcPr>
            <w:tcW w:w="567" w:type="dxa"/>
            <w:tcBorders>
              <w:top w:val="nil"/>
              <w:left w:val="single" w:sz="8" w:space="0" w:color="000000"/>
              <w:right w:val="single" w:sz="8" w:space="0" w:color="000000"/>
            </w:tcBorders>
          </w:tcPr>
          <w:p>
            <w:pPr>
              <w:pStyle w:val="TableParagraph"/>
              <w:rPr>
                <w:sz w:val="18"/>
              </w:rPr>
            </w:pPr>
          </w:p>
        </w:tc>
        <w:tc>
          <w:tcPr>
            <w:tcW w:w="567" w:type="dxa"/>
            <w:tcBorders>
              <w:top w:val="nil"/>
              <w:left w:val="single" w:sz="8" w:space="0" w:color="000000"/>
              <w:right w:val="single" w:sz="8" w:space="0" w:color="000000"/>
            </w:tcBorders>
          </w:tcPr>
          <w:p>
            <w:pPr>
              <w:pStyle w:val="TableParagraph"/>
              <w:rPr>
                <w:sz w:val="18"/>
              </w:rPr>
            </w:pPr>
          </w:p>
        </w:tc>
        <w:tc>
          <w:tcPr>
            <w:tcW w:w="570" w:type="dxa"/>
            <w:tcBorders>
              <w:top w:val="nil"/>
              <w:left w:val="single" w:sz="8" w:space="0" w:color="000000"/>
              <w:right w:val="single" w:sz="8" w:space="0" w:color="000000"/>
            </w:tcBorders>
          </w:tcPr>
          <w:p>
            <w:pPr>
              <w:pStyle w:val="TableParagraph"/>
              <w:rPr>
                <w:sz w:val="18"/>
              </w:rPr>
            </w:pPr>
          </w:p>
        </w:tc>
        <w:tc>
          <w:tcPr>
            <w:tcW w:w="567" w:type="dxa"/>
            <w:vMerge/>
            <w:tcBorders>
              <w:top w:val="nil"/>
              <w:left w:val="single" w:sz="8" w:space="0" w:color="000000"/>
            </w:tcBorders>
          </w:tcPr>
          <w:p>
            <w:pPr>
              <w:rPr>
                <w:sz w:val="2"/>
                <w:szCs w:val="2"/>
              </w:rPr>
            </w:pPr>
          </w:p>
        </w:tc>
      </w:tr>
    </w:tbl>
    <w:p>
      <w:pPr>
        <w:pStyle w:val="BodyText"/>
        <w:rPr>
          <w:sz w:val="20"/>
        </w:rPr>
      </w:pPr>
    </w:p>
    <w:p>
      <w:pPr>
        <w:pStyle w:val="BodyText"/>
        <w:spacing w:before="6"/>
        <w:rPr>
          <w:sz w:val="16"/>
        </w:rPr>
      </w:pPr>
    </w:p>
    <w:tbl>
      <w:tblPr>
        <w:tblW w:w="0" w:type="auto"/>
        <w:jc w:val="left"/>
        <w:tblInd w:w="90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
      <w:tblGrid>
        <w:gridCol w:w="2299"/>
        <w:gridCol w:w="2521"/>
        <w:gridCol w:w="1085"/>
      </w:tblGrid>
      <w:tr>
        <w:trPr>
          <w:trHeight w:val="301" w:hRule="atLeast"/>
        </w:trPr>
        <w:tc>
          <w:tcPr>
            <w:tcW w:w="5905" w:type="dxa"/>
            <w:gridSpan w:val="3"/>
            <w:tcBorders>
              <w:bottom w:val="single" w:sz="18" w:space="0" w:color="000000"/>
            </w:tcBorders>
          </w:tcPr>
          <w:p>
            <w:pPr>
              <w:pStyle w:val="TableParagraph"/>
              <w:spacing w:line="199" w:lineRule="exact"/>
              <w:ind w:left="1988" w:right="1950"/>
              <w:jc w:val="center"/>
              <w:rPr>
                <w:b/>
                <w:sz w:val="18"/>
              </w:rPr>
            </w:pPr>
            <w:r>
              <w:rPr>
                <w:b/>
                <w:sz w:val="18"/>
              </w:rPr>
              <w:t>KMO and Bartlett's Test</w:t>
            </w:r>
          </w:p>
        </w:tc>
      </w:tr>
      <w:tr>
        <w:trPr>
          <w:trHeight w:val="259" w:hRule="atLeast"/>
        </w:trPr>
        <w:tc>
          <w:tcPr>
            <w:tcW w:w="4820" w:type="dxa"/>
            <w:gridSpan w:val="2"/>
            <w:tcBorders>
              <w:top w:val="single" w:sz="18" w:space="0" w:color="000000"/>
              <w:left w:val="single" w:sz="18" w:space="0" w:color="000000"/>
              <w:right w:val="single" w:sz="18" w:space="0" w:color="000000"/>
            </w:tcBorders>
          </w:tcPr>
          <w:p>
            <w:pPr>
              <w:pStyle w:val="TableParagraph"/>
              <w:spacing w:line="204" w:lineRule="exact"/>
              <w:ind w:left="75"/>
              <w:rPr>
                <w:sz w:val="18"/>
              </w:rPr>
            </w:pPr>
            <w:r>
              <w:rPr>
                <w:sz w:val="18"/>
              </w:rPr>
              <w:t>Kaiser-Meyer-Olkin Measure of Sampling Adequacy.</w:t>
            </w:r>
          </w:p>
        </w:tc>
        <w:tc>
          <w:tcPr>
            <w:tcW w:w="1085" w:type="dxa"/>
            <w:tcBorders>
              <w:top w:val="single" w:sz="18" w:space="0" w:color="000000"/>
              <w:left w:val="single" w:sz="18" w:space="0" w:color="000000"/>
              <w:right w:val="single" w:sz="18" w:space="0" w:color="000000"/>
            </w:tcBorders>
          </w:tcPr>
          <w:p>
            <w:pPr>
              <w:pStyle w:val="TableParagraph"/>
              <w:spacing w:line="204" w:lineRule="exact"/>
              <w:ind w:right="36"/>
              <w:jc w:val="right"/>
              <w:rPr>
                <w:sz w:val="18"/>
              </w:rPr>
            </w:pPr>
            <w:r>
              <w:rPr>
                <w:sz w:val="18"/>
              </w:rPr>
              <w:t>.826</w:t>
            </w:r>
          </w:p>
        </w:tc>
      </w:tr>
      <w:tr>
        <w:trPr>
          <w:trHeight w:val="357" w:hRule="atLeast"/>
        </w:trPr>
        <w:tc>
          <w:tcPr>
            <w:tcW w:w="2299" w:type="dxa"/>
            <w:tcBorders>
              <w:left w:val="single" w:sz="18" w:space="0" w:color="000000"/>
              <w:bottom w:val="single" w:sz="18" w:space="0" w:color="000000"/>
            </w:tcBorders>
          </w:tcPr>
          <w:p>
            <w:pPr>
              <w:pStyle w:val="TableParagraph"/>
              <w:spacing w:before="48"/>
              <w:ind w:left="75"/>
              <w:rPr>
                <w:sz w:val="18"/>
              </w:rPr>
            </w:pPr>
            <w:r>
              <w:rPr>
                <w:sz w:val="18"/>
              </w:rPr>
              <w:t>Bartlett's Test of Sphericity</w:t>
            </w:r>
          </w:p>
        </w:tc>
        <w:tc>
          <w:tcPr>
            <w:tcW w:w="2521" w:type="dxa"/>
            <w:tcBorders>
              <w:right w:val="single" w:sz="18" w:space="0" w:color="000000"/>
            </w:tcBorders>
          </w:tcPr>
          <w:p>
            <w:pPr>
              <w:pStyle w:val="TableParagraph"/>
              <w:spacing w:before="48"/>
              <w:ind w:left="259"/>
              <w:rPr>
                <w:sz w:val="18"/>
              </w:rPr>
            </w:pPr>
            <w:r>
              <w:rPr>
                <w:sz w:val="18"/>
              </w:rPr>
              <w:t>Approx. Chi-Square</w:t>
            </w:r>
          </w:p>
        </w:tc>
        <w:tc>
          <w:tcPr>
            <w:tcW w:w="1085" w:type="dxa"/>
            <w:tcBorders>
              <w:left w:val="single" w:sz="18" w:space="0" w:color="000000"/>
              <w:right w:val="single" w:sz="18" w:space="0" w:color="000000"/>
            </w:tcBorders>
          </w:tcPr>
          <w:p>
            <w:pPr>
              <w:pStyle w:val="TableParagraph"/>
              <w:spacing w:before="48"/>
              <w:ind w:right="36"/>
              <w:jc w:val="right"/>
              <w:rPr>
                <w:sz w:val="18"/>
              </w:rPr>
            </w:pPr>
            <w:r>
              <w:rPr>
                <w:sz w:val="18"/>
              </w:rPr>
              <w:t>9831.338</w:t>
            </w:r>
          </w:p>
        </w:tc>
      </w:tr>
    </w:tbl>
    <w:p>
      <w:pPr>
        <w:spacing w:after="0"/>
        <w:jc w:val="right"/>
        <w:rPr>
          <w:sz w:val="18"/>
        </w:rPr>
        <w:sectPr>
          <w:pgSz w:w="11910" w:h="16850"/>
          <w:pgMar w:header="751" w:footer="0" w:top="960" w:bottom="280" w:left="820" w:right="240"/>
        </w:sectPr>
      </w:pPr>
    </w:p>
    <w:p>
      <w:pPr>
        <w:pStyle w:val="BodyText"/>
        <w:spacing w:before="9"/>
        <w:rPr>
          <w:sz w:val="23"/>
        </w:rPr>
      </w:pPr>
    </w:p>
    <w:tbl>
      <w:tblPr>
        <w:tblW w:w="0" w:type="auto"/>
        <w:jc w:val="left"/>
        <w:tblInd w:w="907" w:type="dxa"/>
        <w:tblBorders>
          <w:top w:val="single" w:sz="18" w:space="0" w:color="000000"/>
          <w:left w:val="single" w:sz="18" w:space="0" w:color="000000"/>
          <w:bottom w:val="single" w:sz="18" w:space="0" w:color="000000"/>
          <w:right w:val="single" w:sz="18" w:space="0" w:color="000000"/>
          <w:insideH w:val="single" w:sz="18" w:space="0" w:color="000000"/>
          <w:insideV w:val="single" w:sz="18" w:space="0" w:color="000000"/>
        </w:tblBorders>
        <w:tblLayout w:type="fixed"/>
        <w:tblCellMar>
          <w:top w:w="0" w:type="dxa"/>
          <w:left w:w="0" w:type="dxa"/>
          <w:bottom w:w="0" w:type="dxa"/>
          <w:right w:w="0" w:type="dxa"/>
        </w:tblCellMar>
        <w:tblLook w:val="01E0"/>
      </w:tblPr>
      <w:tblGrid>
        <w:gridCol w:w="4820"/>
        <w:gridCol w:w="1085"/>
      </w:tblGrid>
      <w:tr>
        <w:trPr>
          <w:trHeight w:val="282" w:hRule="atLeast"/>
        </w:trPr>
        <w:tc>
          <w:tcPr>
            <w:tcW w:w="4820" w:type="dxa"/>
            <w:tcBorders>
              <w:top w:val="nil"/>
              <w:bottom w:val="nil"/>
            </w:tcBorders>
          </w:tcPr>
          <w:p>
            <w:pPr>
              <w:pStyle w:val="TableParagraph"/>
              <w:ind w:left="2536"/>
              <w:rPr>
                <w:sz w:val="18"/>
              </w:rPr>
            </w:pPr>
            <w:r>
              <w:rPr>
                <w:sz w:val="18"/>
              </w:rPr>
              <w:t>df</w:t>
            </w:r>
          </w:p>
        </w:tc>
        <w:tc>
          <w:tcPr>
            <w:tcW w:w="1085" w:type="dxa"/>
            <w:tcBorders>
              <w:top w:val="nil"/>
              <w:bottom w:val="nil"/>
            </w:tcBorders>
          </w:tcPr>
          <w:p>
            <w:pPr>
              <w:pStyle w:val="TableParagraph"/>
              <w:ind w:right="36"/>
              <w:jc w:val="right"/>
              <w:rPr>
                <w:sz w:val="18"/>
              </w:rPr>
            </w:pPr>
            <w:r>
              <w:rPr>
                <w:sz w:val="18"/>
              </w:rPr>
              <w:t>861</w:t>
            </w:r>
          </w:p>
        </w:tc>
      </w:tr>
      <w:tr>
        <w:trPr>
          <w:trHeight w:val="377" w:hRule="atLeast"/>
        </w:trPr>
        <w:tc>
          <w:tcPr>
            <w:tcW w:w="4820" w:type="dxa"/>
            <w:tcBorders>
              <w:top w:val="nil"/>
            </w:tcBorders>
          </w:tcPr>
          <w:p>
            <w:pPr>
              <w:pStyle w:val="TableParagraph"/>
              <w:spacing w:before="68"/>
              <w:ind w:left="2536"/>
              <w:rPr>
                <w:sz w:val="18"/>
              </w:rPr>
            </w:pPr>
            <w:r>
              <w:rPr>
                <w:sz w:val="18"/>
              </w:rPr>
              <w:t>Sig.</w:t>
            </w:r>
          </w:p>
        </w:tc>
        <w:tc>
          <w:tcPr>
            <w:tcW w:w="1085" w:type="dxa"/>
            <w:tcBorders>
              <w:top w:val="nil"/>
            </w:tcBorders>
          </w:tcPr>
          <w:p>
            <w:pPr>
              <w:pStyle w:val="TableParagraph"/>
              <w:spacing w:before="68"/>
              <w:ind w:right="36"/>
              <w:jc w:val="right"/>
              <w:rPr>
                <w:sz w:val="18"/>
              </w:rPr>
            </w:pPr>
            <w:r>
              <w:rPr>
                <w:sz w:val="18"/>
              </w:rPr>
              <w:t>.000</w:t>
            </w:r>
          </w:p>
        </w:tc>
      </w:tr>
    </w:tbl>
    <w:p>
      <w:pPr>
        <w:pStyle w:val="BodyText"/>
        <w:rPr>
          <w:sz w:val="28"/>
        </w:rPr>
      </w:pPr>
    </w:p>
    <w:p>
      <w:pPr>
        <w:spacing w:before="93"/>
        <w:ind w:left="4" w:right="952" w:firstLine="0"/>
        <w:jc w:val="center"/>
        <w:rPr>
          <w:b/>
          <w:sz w:val="18"/>
        </w:rPr>
      </w:pPr>
      <w:r>
        <w:rPr>
          <w:b/>
          <w:sz w:val="18"/>
        </w:rPr>
        <w:t>Total Variance Explained</w:t>
      </w:r>
    </w:p>
    <w:p>
      <w:pPr>
        <w:pStyle w:val="BodyText"/>
        <w:spacing w:before="10" w:after="1"/>
        <w:rPr>
          <w:b/>
          <w:sz w:val="8"/>
        </w:rPr>
      </w:pPr>
    </w:p>
    <w:tbl>
      <w:tblPr>
        <w:tblW w:w="0" w:type="auto"/>
        <w:jc w:val="left"/>
        <w:tblInd w:w="391" w:type="dxa"/>
        <w:tblBorders>
          <w:top w:val="single" w:sz="18" w:space="0" w:color="000000"/>
          <w:left w:val="single" w:sz="18" w:space="0" w:color="000000"/>
          <w:bottom w:val="single" w:sz="18" w:space="0" w:color="000000"/>
          <w:right w:val="single" w:sz="18" w:space="0" w:color="000000"/>
          <w:insideH w:val="single" w:sz="18" w:space="0" w:color="000000"/>
          <w:insideV w:val="single" w:sz="18" w:space="0" w:color="000000"/>
        </w:tblBorders>
        <w:tblLayout w:type="fixed"/>
        <w:tblCellMar>
          <w:top w:w="0" w:type="dxa"/>
          <w:left w:w="0" w:type="dxa"/>
          <w:bottom w:w="0" w:type="dxa"/>
          <w:right w:w="0" w:type="dxa"/>
        </w:tblCellMar>
        <w:tblLook w:val="01E0"/>
      </w:tblPr>
      <w:tblGrid>
        <w:gridCol w:w="668"/>
        <w:gridCol w:w="843"/>
        <w:gridCol w:w="1275"/>
        <w:gridCol w:w="1278"/>
        <w:gridCol w:w="850"/>
        <w:gridCol w:w="1278"/>
        <w:gridCol w:w="1417"/>
        <w:gridCol w:w="1562"/>
      </w:tblGrid>
      <w:tr>
        <w:trPr>
          <w:trHeight w:val="634" w:hRule="atLeast"/>
        </w:trPr>
        <w:tc>
          <w:tcPr>
            <w:tcW w:w="668" w:type="dxa"/>
            <w:vMerge w:val="restart"/>
          </w:tcPr>
          <w:p>
            <w:pPr>
              <w:pStyle w:val="TableParagraph"/>
              <w:spacing w:line="360" w:lineRule="auto"/>
              <w:ind w:left="78" w:right="84"/>
              <w:rPr>
                <w:sz w:val="18"/>
              </w:rPr>
            </w:pPr>
            <w:r>
              <w:rPr>
                <w:sz w:val="18"/>
              </w:rPr>
              <w:t>Comp onent</w:t>
            </w:r>
          </w:p>
        </w:tc>
        <w:tc>
          <w:tcPr>
            <w:tcW w:w="3396" w:type="dxa"/>
            <w:gridSpan w:val="3"/>
            <w:tcBorders>
              <w:bottom w:val="single" w:sz="8" w:space="0" w:color="000000"/>
              <w:right w:val="single" w:sz="8" w:space="0" w:color="000000"/>
            </w:tcBorders>
          </w:tcPr>
          <w:p>
            <w:pPr>
              <w:pStyle w:val="TableParagraph"/>
              <w:spacing w:line="206" w:lineRule="exact"/>
              <w:ind w:left="1013"/>
              <w:rPr>
                <w:sz w:val="18"/>
              </w:rPr>
            </w:pPr>
            <w:r>
              <w:rPr>
                <w:sz w:val="18"/>
              </w:rPr>
              <w:t>Initial Eigenvalues</w:t>
            </w:r>
          </w:p>
        </w:tc>
        <w:tc>
          <w:tcPr>
            <w:tcW w:w="3545" w:type="dxa"/>
            <w:gridSpan w:val="3"/>
            <w:tcBorders>
              <w:left w:val="single" w:sz="8" w:space="0" w:color="000000"/>
              <w:bottom w:val="single" w:sz="8" w:space="0" w:color="000000"/>
              <w:right w:val="single" w:sz="8" w:space="0" w:color="000000"/>
            </w:tcBorders>
          </w:tcPr>
          <w:p>
            <w:pPr>
              <w:pStyle w:val="TableParagraph"/>
              <w:spacing w:line="206" w:lineRule="exact"/>
              <w:ind w:left="407"/>
              <w:rPr>
                <w:sz w:val="18"/>
              </w:rPr>
            </w:pPr>
            <w:r>
              <w:rPr>
                <w:sz w:val="18"/>
              </w:rPr>
              <w:t>Extraction Sums of Squared Loadings</w:t>
            </w:r>
          </w:p>
        </w:tc>
        <w:tc>
          <w:tcPr>
            <w:tcW w:w="1562" w:type="dxa"/>
            <w:tcBorders>
              <w:left w:val="single" w:sz="8" w:space="0" w:color="000000"/>
              <w:bottom w:val="single" w:sz="8" w:space="0" w:color="000000"/>
            </w:tcBorders>
          </w:tcPr>
          <w:p>
            <w:pPr>
              <w:pStyle w:val="TableParagraph"/>
              <w:spacing w:line="206" w:lineRule="exact"/>
              <w:ind w:left="146"/>
              <w:rPr>
                <w:sz w:val="18"/>
              </w:rPr>
            </w:pPr>
            <w:r>
              <w:rPr>
                <w:sz w:val="18"/>
              </w:rPr>
              <w:t>Rotation Sums of</w:t>
            </w:r>
          </w:p>
          <w:p>
            <w:pPr>
              <w:pStyle w:val="TableParagraph"/>
              <w:spacing w:before="102"/>
              <w:ind w:left="98"/>
              <w:rPr>
                <w:sz w:val="18"/>
              </w:rPr>
            </w:pPr>
            <w:r>
              <w:rPr>
                <w:sz w:val="18"/>
              </w:rPr>
              <w:t>Squared Loadings</w:t>
            </w:r>
            <w:r>
              <w:rPr>
                <w:sz w:val="18"/>
                <w:vertAlign w:val="superscript"/>
              </w:rPr>
              <w:t>a</w:t>
            </w:r>
          </w:p>
        </w:tc>
      </w:tr>
      <w:tr>
        <w:trPr>
          <w:trHeight w:val="315" w:hRule="atLeast"/>
        </w:trPr>
        <w:tc>
          <w:tcPr>
            <w:tcW w:w="668" w:type="dxa"/>
            <w:vMerge/>
            <w:tcBorders>
              <w:top w:val="nil"/>
            </w:tcBorders>
          </w:tcPr>
          <w:p>
            <w:pPr>
              <w:rPr>
                <w:sz w:val="2"/>
                <w:szCs w:val="2"/>
              </w:rPr>
            </w:pPr>
          </w:p>
        </w:tc>
        <w:tc>
          <w:tcPr>
            <w:tcW w:w="843" w:type="dxa"/>
            <w:tcBorders>
              <w:top w:val="single" w:sz="8" w:space="0" w:color="000000"/>
              <w:right w:val="single" w:sz="8" w:space="0" w:color="000000"/>
            </w:tcBorders>
          </w:tcPr>
          <w:p>
            <w:pPr>
              <w:pStyle w:val="TableParagraph"/>
              <w:spacing w:before="8"/>
              <w:ind w:left="226"/>
              <w:rPr>
                <w:sz w:val="18"/>
              </w:rPr>
            </w:pPr>
            <w:r>
              <w:rPr>
                <w:sz w:val="18"/>
              </w:rPr>
              <w:t>Total</w:t>
            </w:r>
          </w:p>
        </w:tc>
        <w:tc>
          <w:tcPr>
            <w:tcW w:w="1275" w:type="dxa"/>
            <w:tcBorders>
              <w:top w:val="single" w:sz="8" w:space="0" w:color="000000"/>
              <w:left w:val="single" w:sz="8" w:space="0" w:color="000000"/>
              <w:right w:val="single" w:sz="8" w:space="0" w:color="000000"/>
            </w:tcBorders>
          </w:tcPr>
          <w:p>
            <w:pPr>
              <w:pStyle w:val="TableParagraph"/>
              <w:spacing w:before="8"/>
              <w:ind w:right="87"/>
              <w:jc w:val="right"/>
              <w:rPr>
                <w:sz w:val="18"/>
              </w:rPr>
            </w:pPr>
            <w:r>
              <w:rPr>
                <w:sz w:val="18"/>
              </w:rPr>
              <w:t>% of Variance</w:t>
            </w:r>
          </w:p>
        </w:tc>
        <w:tc>
          <w:tcPr>
            <w:tcW w:w="1278" w:type="dxa"/>
            <w:tcBorders>
              <w:top w:val="single" w:sz="8" w:space="0" w:color="000000"/>
              <w:left w:val="single" w:sz="8" w:space="0" w:color="000000"/>
              <w:right w:val="single" w:sz="8" w:space="0" w:color="000000"/>
            </w:tcBorders>
          </w:tcPr>
          <w:p>
            <w:pPr>
              <w:pStyle w:val="TableParagraph"/>
              <w:spacing w:before="8"/>
              <w:ind w:right="92"/>
              <w:jc w:val="right"/>
              <w:rPr>
                <w:sz w:val="18"/>
              </w:rPr>
            </w:pPr>
            <w:r>
              <w:rPr>
                <w:sz w:val="18"/>
              </w:rPr>
              <w:t>Cumulative %</w:t>
            </w:r>
          </w:p>
        </w:tc>
        <w:tc>
          <w:tcPr>
            <w:tcW w:w="850" w:type="dxa"/>
            <w:tcBorders>
              <w:top w:val="single" w:sz="8" w:space="0" w:color="000000"/>
              <w:left w:val="single" w:sz="8" w:space="0" w:color="000000"/>
              <w:right w:val="single" w:sz="8" w:space="0" w:color="000000"/>
            </w:tcBorders>
          </w:tcPr>
          <w:p>
            <w:pPr>
              <w:pStyle w:val="TableParagraph"/>
              <w:spacing w:before="8"/>
              <w:ind w:left="242"/>
              <w:rPr>
                <w:sz w:val="18"/>
              </w:rPr>
            </w:pPr>
            <w:r>
              <w:rPr>
                <w:sz w:val="18"/>
              </w:rPr>
              <w:t>Total</w:t>
            </w:r>
          </w:p>
        </w:tc>
        <w:tc>
          <w:tcPr>
            <w:tcW w:w="1278" w:type="dxa"/>
            <w:tcBorders>
              <w:top w:val="single" w:sz="8" w:space="0" w:color="000000"/>
              <w:left w:val="single" w:sz="8" w:space="0" w:color="000000"/>
              <w:right w:val="single" w:sz="8" w:space="0" w:color="000000"/>
            </w:tcBorders>
          </w:tcPr>
          <w:p>
            <w:pPr>
              <w:pStyle w:val="TableParagraph"/>
              <w:spacing w:before="8"/>
              <w:ind w:right="91"/>
              <w:jc w:val="right"/>
              <w:rPr>
                <w:sz w:val="18"/>
              </w:rPr>
            </w:pPr>
            <w:r>
              <w:rPr>
                <w:sz w:val="18"/>
              </w:rPr>
              <w:t>% of Variance</w:t>
            </w:r>
          </w:p>
        </w:tc>
        <w:tc>
          <w:tcPr>
            <w:tcW w:w="1417" w:type="dxa"/>
            <w:tcBorders>
              <w:top w:val="single" w:sz="8" w:space="0" w:color="000000"/>
              <w:left w:val="single" w:sz="8" w:space="0" w:color="000000"/>
              <w:right w:val="single" w:sz="8" w:space="0" w:color="000000"/>
            </w:tcBorders>
          </w:tcPr>
          <w:p>
            <w:pPr>
              <w:pStyle w:val="TableParagraph"/>
              <w:spacing w:before="8"/>
              <w:ind w:left="193"/>
              <w:rPr>
                <w:sz w:val="18"/>
              </w:rPr>
            </w:pPr>
            <w:r>
              <w:rPr>
                <w:sz w:val="18"/>
              </w:rPr>
              <w:t>Cumulative %</w:t>
            </w:r>
          </w:p>
        </w:tc>
        <w:tc>
          <w:tcPr>
            <w:tcW w:w="1562" w:type="dxa"/>
            <w:tcBorders>
              <w:top w:val="single" w:sz="8" w:space="0" w:color="000000"/>
              <w:left w:val="single" w:sz="8" w:space="0" w:color="000000"/>
            </w:tcBorders>
          </w:tcPr>
          <w:p>
            <w:pPr>
              <w:pStyle w:val="TableParagraph"/>
              <w:spacing w:before="8"/>
              <w:ind w:left="569" w:right="540"/>
              <w:jc w:val="center"/>
              <w:rPr>
                <w:sz w:val="18"/>
              </w:rPr>
            </w:pPr>
            <w:r>
              <w:rPr>
                <w:sz w:val="18"/>
              </w:rPr>
              <w:t>Total</w:t>
            </w:r>
          </w:p>
        </w:tc>
      </w:tr>
      <w:tr>
        <w:trPr>
          <w:trHeight w:val="267" w:hRule="atLeast"/>
        </w:trPr>
        <w:tc>
          <w:tcPr>
            <w:tcW w:w="668" w:type="dxa"/>
            <w:tcBorders>
              <w:bottom w:val="nil"/>
            </w:tcBorders>
          </w:tcPr>
          <w:p>
            <w:pPr>
              <w:pStyle w:val="TableParagraph"/>
              <w:spacing w:before="1"/>
              <w:ind w:left="78"/>
              <w:rPr>
                <w:sz w:val="18"/>
              </w:rPr>
            </w:pPr>
            <w:r>
              <w:rPr>
                <w:sz w:val="18"/>
              </w:rPr>
              <w:t>1</w:t>
            </w:r>
          </w:p>
        </w:tc>
        <w:tc>
          <w:tcPr>
            <w:tcW w:w="843" w:type="dxa"/>
            <w:tcBorders>
              <w:bottom w:val="nil"/>
              <w:right w:val="single" w:sz="8" w:space="0" w:color="000000"/>
            </w:tcBorders>
          </w:tcPr>
          <w:p>
            <w:pPr>
              <w:pStyle w:val="TableParagraph"/>
              <w:spacing w:before="1"/>
              <w:ind w:right="40"/>
              <w:jc w:val="right"/>
              <w:rPr>
                <w:sz w:val="18"/>
              </w:rPr>
            </w:pPr>
            <w:r>
              <w:rPr>
                <w:sz w:val="18"/>
              </w:rPr>
              <w:t>6.332</w:t>
            </w:r>
          </w:p>
        </w:tc>
        <w:tc>
          <w:tcPr>
            <w:tcW w:w="1275" w:type="dxa"/>
            <w:tcBorders>
              <w:left w:val="single" w:sz="8" w:space="0" w:color="000000"/>
              <w:bottom w:val="nil"/>
              <w:right w:val="single" w:sz="8" w:space="0" w:color="000000"/>
            </w:tcBorders>
          </w:tcPr>
          <w:p>
            <w:pPr>
              <w:pStyle w:val="TableParagraph"/>
              <w:spacing w:before="1"/>
              <w:ind w:right="38"/>
              <w:jc w:val="right"/>
              <w:rPr>
                <w:sz w:val="18"/>
              </w:rPr>
            </w:pPr>
            <w:r>
              <w:rPr>
                <w:sz w:val="18"/>
              </w:rPr>
              <w:t>15.077</w:t>
            </w:r>
          </w:p>
        </w:tc>
        <w:tc>
          <w:tcPr>
            <w:tcW w:w="1278" w:type="dxa"/>
            <w:tcBorders>
              <w:left w:val="single" w:sz="8" w:space="0" w:color="000000"/>
              <w:bottom w:val="nil"/>
              <w:right w:val="single" w:sz="8" w:space="0" w:color="000000"/>
            </w:tcBorders>
          </w:tcPr>
          <w:p>
            <w:pPr>
              <w:pStyle w:val="TableParagraph"/>
              <w:spacing w:before="1"/>
              <w:ind w:right="41"/>
              <w:jc w:val="right"/>
              <w:rPr>
                <w:sz w:val="18"/>
              </w:rPr>
            </w:pPr>
            <w:r>
              <w:rPr>
                <w:sz w:val="18"/>
              </w:rPr>
              <w:t>15.077</w:t>
            </w:r>
          </w:p>
        </w:tc>
        <w:tc>
          <w:tcPr>
            <w:tcW w:w="850" w:type="dxa"/>
            <w:tcBorders>
              <w:left w:val="single" w:sz="8" w:space="0" w:color="000000"/>
              <w:bottom w:val="nil"/>
              <w:right w:val="single" w:sz="8" w:space="0" w:color="000000"/>
            </w:tcBorders>
          </w:tcPr>
          <w:p>
            <w:pPr>
              <w:pStyle w:val="TableParagraph"/>
              <w:spacing w:before="1"/>
              <w:ind w:right="39"/>
              <w:jc w:val="right"/>
              <w:rPr>
                <w:sz w:val="18"/>
              </w:rPr>
            </w:pPr>
            <w:r>
              <w:rPr>
                <w:sz w:val="18"/>
              </w:rPr>
              <w:t>6.332</w:t>
            </w:r>
          </w:p>
        </w:tc>
        <w:tc>
          <w:tcPr>
            <w:tcW w:w="1278" w:type="dxa"/>
            <w:tcBorders>
              <w:left w:val="single" w:sz="8" w:space="0" w:color="000000"/>
              <w:bottom w:val="nil"/>
              <w:right w:val="single" w:sz="8" w:space="0" w:color="000000"/>
            </w:tcBorders>
          </w:tcPr>
          <w:p>
            <w:pPr>
              <w:pStyle w:val="TableParagraph"/>
              <w:spacing w:before="1"/>
              <w:ind w:right="44"/>
              <w:jc w:val="right"/>
              <w:rPr>
                <w:sz w:val="18"/>
              </w:rPr>
            </w:pPr>
            <w:r>
              <w:rPr>
                <w:sz w:val="18"/>
              </w:rPr>
              <w:t>15.077</w:t>
            </w:r>
          </w:p>
        </w:tc>
        <w:tc>
          <w:tcPr>
            <w:tcW w:w="1417" w:type="dxa"/>
            <w:tcBorders>
              <w:left w:val="single" w:sz="8" w:space="0" w:color="000000"/>
              <w:bottom w:val="nil"/>
              <w:right w:val="single" w:sz="8" w:space="0" w:color="000000"/>
            </w:tcBorders>
          </w:tcPr>
          <w:p>
            <w:pPr>
              <w:pStyle w:val="TableParagraph"/>
              <w:spacing w:before="1"/>
              <w:ind w:right="45"/>
              <w:jc w:val="right"/>
              <w:rPr>
                <w:sz w:val="18"/>
              </w:rPr>
            </w:pPr>
            <w:r>
              <w:rPr>
                <w:sz w:val="18"/>
              </w:rPr>
              <w:t>15.077</w:t>
            </w:r>
          </w:p>
        </w:tc>
        <w:tc>
          <w:tcPr>
            <w:tcW w:w="1562" w:type="dxa"/>
            <w:tcBorders>
              <w:left w:val="single" w:sz="8" w:space="0" w:color="000000"/>
              <w:bottom w:val="nil"/>
            </w:tcBorders>
          </w:tcPr>
          <w:p>
            <w:pPr>
              <w:pStyle w:val="TableParagraph"/>
              <w:spacing w:before="1"/>
              <w:ind w:right="42"/>
              <w:jc w:val="right"/>
              <w:rPr>
                <w:sz w:val="18"/>
              </w:rPr>
            </w:pPr>
            <w:r>
              <w:rPr>
                <w:sz w:val="18"/>
              </w:rPr>
              <w:t>4.690</w:t>
            </w:r>
          </w:p>
        </w:tc>
      </w:tr>
      <w:tr>
        <w:trPr>
          <w:trHeight w:val="316" w:hRule="atLeast"/>
        </w:trPr>
        <w:tc>
          <w:tcPr>
            <w:tcW w:w="668" w:type="dxa"/>
            <w:tcBorders>
              <w:top w:val="nil"/>
              <w:bottom w:val="nil"/>
            </w:tcBorders>
          </w:tcPr>
          <w:p>
            <w:pPr>
              <w:pStyle w:val="TableParagraph"/>
              <w:spacing w:before="51"/>
              <w:ind w:left="78"/>
              <w:rPr>
                <w:sz w:val="18"/>
              </w:rPr>
            </w:pPr>
            <w:r>
              <w:rPr>
                <w:sz w:val="18"/>
              </w:rPr>
              <w:t>2</w:t>
            </w:r>
          </w:p>
        </w:tc>
        <w:tc>
          <w:tcPr>
            <w:tcW w:w="843" w:type="dxa"/>
            <w:tcBorders>
              <w:top w:val="nil"/>
              <w:bottom w:val="nil"/>
              <w:right w:val="single" w:sz="8" w:space="0" w:color="000000"/>
            </w:tcBorders>
          </w:tcPr>
          <w:p>
            <w:pPr>
              <w:pStyle w:val="TableParagraph"/>
              <w:spacing w:before="51"/>
              <w:ind w:right="40"/>
              <w:jc w:val="right"/>
              <w:rPr>
                <w:sz w:val="18"/>
              </w:rPr>
            </w:pPr>
            <w:r>
              <w:rPr>
                <w:sz w:val="18"/>
              </w:rPr>
              <w:t>3.825</w:t>
            </w:r>
          </w:p>
        </w:tc>
        <w:tc>
          <w:tcPr>
            <w:tcW w:w="1275" w:type="dxa"/>
            <w:tcBorders>
              <w:top w:val="nil"/>
              <w:left w:val="single" w:sz="8" w:space="0" w:color="000000"/>
              <w:bottom w:val="nil"/>
              <w:right w:val="single" w:sz="8" w:space="0" w:color="000000"/>
            </w:tcBorders>
          </w:tcPr>
          <w:p>
            <w:pPr>
              <w:pStyle w:val="TableParagraph"/>
              <w:spacing w:before="51"/>
              <w:ind w:right="38"/>
              <w:jc w:val="right"/>
              <w:rPr>
                <w:sz w:val="18"/>
              </w:rPr>
            </w:pPr>
            <w:r>
              <w:rPr>
                <w:sz w:val="18"/>
              </w:rPr>
              <w:t>9.106</w:t>
            </w:r>
          </w:p>
        </w:tc>
        <w:tc>
          <w:tcPr>
            <w:tcW w:w="1278" w:type="dxa"/>
            <w:tcBorders>
              <w:top w:val="nil"/>
              <w:left w:val="single" w:sz="8" w:space="0" w:color="000000"/>
              <w:bottom w:val="nil"/>
              <w:right w:val="single" w:sz="8" w:space="0" w:color="000000"/>
            </w:tcBorders>
          </w:tcPr>
          <w:p>
            <w:pPr>
              <w:pStyle w:val="TableParagraph"/>
              <w:spacing w:before="51"/>
              <w:ind w:right="41"/>
              <w:jc w:val="right"/>
              <w:rPr>
                <w:sz w:val="18"/>
              </w:rPr>
            </w:pPr>
            <w:r>
              <w:rPr>
                <w:sz w:val="18"/>
              </w:rPr>
              <w:t>24.183</w:t>
            </w:r>
          </w:p>
        </w:tc>
        <w:tc>
          <w:tcPr>
            <w:tcW w:w="850" w:type="dxa"/>
            <w:tcBorders>
              <w:top w:val="nil"/>
              <w:left w:val="single" w:sz="8" w:space="0" w:color="000000"/>
              <w:bottom w:val="nil"/>
              <w:right w:val="single" w:sz="8" w:space="0" w:color="000000"/>
            </w:tcBorders>
          </w:tcPr>
          <w:p>
            <w:pPr>
              <w:pStyle w:val="TableParagraph"/>
              <w:spacing w:before="51"/>
              <w:ind w:right="39"/>
              <w:jc w:val="right"/>
              <w:rPr>
                <w:sz w:val="18"/>
              </w:rPr>
            </w:pPr>
            <w:r>
              <w:rPr>
                <w:sz w:val="18"/>
              </w:rPr>
              <w:t>3.825</w:t>
            </w:r>
          </w:p>
        </w:tc>
        <w:tc>
          <w:tcPr>
            <w:tcW w:w="1278" w:type="dxa"/>
            <w:tcBorders>
              <w:top w:val="nil"/>
              <w:left w:val="single" w:sz="8" w:space="0" w:color="000000"/>
              <w:bottom w:val="nil"/>
              <w:right w:val="single" w:sz="8" w:space="0" w:color="000000"/>
            </w:tcBorders>
          </w:tcPr>
          <w:p>
            <w:pPr>
              <w:pStyle w:val="TableParagraph"/>
              <w:spacing w:before="51"/>
              <w:ind w:right="44"/>
              <w:jc w:val="right"/>
              <w:rPr>
                <w:sz w:val="18"/>
              </w:rPr>
            </w:pPr>
            <w:r>
              <w:rPr>
                <w:sz w:val="18"/>
              </w:rPr>
              <w:t>9.106</w:t>
            </w:r>
          </w:p>
        </w:tc>
        <w:tc>
          <w:tcPr>
            <w:tcW w:w="1417" w:type="dxa"/>
            <w:tcBorders>
              <w:top w:val="nil"/>
              <w:left w:val="single" w:sz="8" w:space="0" w:color="000000"/>
              <w:bottom w:val="nil"/>
              <w:right w:val="single" w:sz="8" w:space="0" w:color="000000"/>
            </w:tcBorders>
          </w:tcPr>
          <w:p>
            <w:pPr>
              <w:pStyle w:val="TableParagraph"/>
              <w:spacing w:before="51"/>
              <w:ind w:right="44"/>
              <w:jc w:val="right"/>
              <w:rPr>
                <w:sz w:val="18"/>
              </w:rPr>
            </w:pPr>
            <w:r>
              <w:rPr>
                <w:sz w:val="18"/>
              </w:rPr>
              <w:t>24.183</w:t>
            </w:r>
          </w:p>
        </w:tc>
        <w:tc>
          <w:tcPr>
            <w:tcW w:w="1562" w:type="dxa"/>
            <w:tcBorders>
              <w:top w:val="nil"/>
              <w:left w:val="single" w:sz="8" w:space="0" w:color="000000"/>
              <w:bottom w:val="nil"/>
            </w:tcBorders>
          </w:tcPr>
          <w:p>
            <w:pPr>
              <w:pStyle w:val="TableParagraph"/>
              <w:spacing w:before="51"/>
              <w:ind w:right="41"/>
              <w:jc w:val="right"/>
              <w:rPr>
                <w:sz w:val="18"/>
              </w:rPr>
            </w:pPr>
            <w:r>
              <w:rPr>
                <w:sz w:val="18"/>
              </w:rPr>
              <w:t>4.237</w:t>
            </w:r>
          </w:p>
        </w:tc>
      </w:tr>
      <w:tr>
        <w:trPr>
          <w:trHeight w:val="321" w:hRule="atLeast"/>
        </w:trPr>
        <w:tc>
          <w:tcPr>
            <w:tcW w:w="668" w:type="dxa"/>
            <w:tcBorders>
              <w:top w:val="nil"/>
              <w:bottom w:val="nil"/>
            </w:tcBorders>
          </w:tcPr>
          <w:p>
            <w:pPr>
              <w:pStyle w:val="TableParagraph"/>
              <w:spacing w:before="51"/>
              <w:ind w:left="78"/>
              <w:rPr>
                <w:sz w:val="18"/>
              </w:rPr>
            </w:pPr>
            <w:r>
              <w:rPr>
                <w:sz w:val="18"/>
              </w:rPr>
              <w:t>3</w:t>
            </w:r>
          </w:p>
        </w:tc>
        <w:tc>
          <w:tcPr>
            <w:tcW w:w="843" w:type="dxa"/>
            <w:tcBorders>
              <w:top w:val="nil"/>
              <w:bottom w:val="nil"/>
              <w:right w:val="single" w:sz="8" w:space="0" w:color="000000"/>
            </w:tcBorders>
          </w:tcPr>
          <w:p>
            <w:pPr>
              <w:pStyle w:val="TableParagraph"/>
              <w:spacing w:before="51"/>
              <w:ind w:right="40"/>
              <w:jc w:val="right"/>
              <w:rPr>
                <w:sz w:val="18"/>
              </w:rPr>
            </w:pPr>
            <w:r>
              <w:rPr>
                <w:sz w:val="18"/>
              </w:rPr>
              <w:t>3.269</w:t>
            </w:r>
          </w:p>
        </w:tc>
        <w:tc>
          <w:tcPr>
            <w:tcW w:w="1275" w:type="dxa"/>
            <w:tcBorders>
              <w:top w:val="nil"/>
              <w:left w:val="single" w:sz="8" w:space="0" w:color="000000"/>
              <w:bottom w:val="nil"/>
              <w:right w:val="single" w:sz="8" w:space="0" w:color="000000"/>
            </w:tcBorders>
          </w:tcPr>
          <w:p>
            <w:pPr>
              <w:pStyle w:val="TableParagraph"/>
              <w:spacing w:before="51"/>
              <w:ind w:right="38"/>
              <w:jc w:val="right"/>
              <w:rPr>
                <w:sz w:val="18"/>
              </w:rPr>
            </w:pPr>
            <w:r>
              <w:rPr>
                <w:sz w:val="18"/>
              </w:rPr>
              <w:t>7.782</w:t>
            </w:r>
          </w:p>
        </w:tc>
        <w:tc>
          <w:tcPr>
            <w:tcW w:w="1278" w:type="dxa"/>
            <w:tcBorders>
              <w:top w:val="nil"/>
              <w:left w:val="single" w:sz="8" w:space="0" w:color="000000"/>
              <w:bottom w:val="nil"/>
              <w:right w:val="single" w:sz="8" w:space="0" w:color="000000"/>
            </w:tcBorders>
          </w:tcPr>
          <w:p>
            <w:pPr>
              <w:pStyle w:val="TableParagraph"/>
              <w:spacing w:before="51"/>
              <w:ind w:right="41"/>
              <w:jc w:val="right"/>
              <w:rPr>
                <w:sz w:val="18"/>
              </w:rPr>
            </w:pPr>
            <w:r>
              <w:rPr>
                <w:sz w:val="18"/>
              </w:rPr>
              <w:t>31.965</w:t>
            </w:r>
          </w:p>
        </w:tc>
        <w:tc>
          <w:tcPr>
            <w:tcW w:w="850" w:type="dxa"/>
            <w:tcBorders>
              <w:top w:val="nil"/>
              <w:left w:val="single" w:sz="8" w:space="0" w:color="000000"/>
              <w:bottom w:val="nil"/>
              <w:right w:val="single" w:sz="8" w:space="0" w:color="000000"/>
            </w:tcBorders>
          </w:tcPr>
          <w:p>
            <w:pPr>
              <w:pStyle w:val="TableParagraph"/>
              <w:spacing w:before="51"/>
              <w:ind w:right="39"/>
              <w:jc w:val="right"/>
              <w:rPr>
                <w:sz w:val="18"/>
              </w:rPr>
            </w:pPr>
            <w:r>
              <w:rPr>
                <w:sz w:val="18"/>
              </w:rPr>
              <w:t>3.269</w:t>
            </w:r>
          </w:p>
        </w:tc>
        <w:tc>
          <w:tcPr>
            <w:tcW w:w="1278" w:type="dxa"/>
            <w:tcBorders>
              <w:top w:val="nil"/>
              <w:left w:val="single" w:sz="8" w:space="0" w:color="000000"/>
              <w:bottom w:val="nil"/>
              <w:right w:val="single" w:sz="8" w:space="0" w:color="000000"/>
            </w:tcBorders>
          </w:tcPr>
          <w:p>
            <w:pPr>
              <w:pStyle w:val="TableParagraph"/>
              <w:spacing w:before="51"/>
              <w:ind w:right="41"/>
              <w:jc w:val="right"/>
              <w:rPr>
                <w:sz w:val="18"/>
              </w:rPr>
            </w:pPr>
            <w:r>
              <w:rPr>
                <w:sz w:val="18"/>
              </w:rPr>
              <w:t>7.782</w:t>
            </w:r>
          </w:p>
        </w:tc>
        <w:tc>
          <w:tcPr>
            <w:tcW w:w="1417" w:type="dxa"/>
            <w:tcBorders>
              <w:top w:val="nil"/>
              <w:left w:val="single" w:sz="8" w:space="0" w:color="000000"/>
              <w:bottom w:val="nil"/>
              <w:right w:val="single" w:sz="8" w:space="0" w:color="000000"/>
            </w:tcBorders>
          </w:tcPr>
          <w:p>
            <w:pPr>
              <w:pStyle w:val="TableParagraph"/>
              <w:spacing w:before="51"/>
              <w:ind w:right="45"/>
              <w:jc w:val="right"/>
              <w:rPr>
                <w:sz w:val="18"/>
              </w:rPr>
            </w:pPr>
            <w:r>
              <w:rPr>
                <w:sz w:val="18"/>
              </w:rPr>
              <w:t>31.965</w:t>
            </w:r>
          </w:p>
        </w:tc>
        <w:tc>
          <w:tcPr>
            <w:tcW w:w="1562" w:type="dxa"/>
            <w:tcBorders>
              <w:top w:val="nil"/>
              <w:left w:val="single" w:sz="8" w:space="0" w:color="000000"/>
              <w:bottom w:val="nil"/>
            </w:tcBorders>
          </w:tcPr>
          <w:p>
            <w:pPr>
              <w:pStyle w:val="TableParagraph"/>
              <w:spacing w:before="51"/>
              <w:ind w:right="42"/>
              <w:jc w:val="right"/>
              <w:rPr>
                <w:sz w:val="18"/>
              </w:rPr>
            </w:pPr>
            <w:r>
              <w:rPr>
                <w:sz w:val="18"/>
              </w:rPr>
              <w:t>4.031</w:t>
            </w:r>
          </w:p>
        </w:tc>
      </w:tr>
      <w:tr>
        <w:trPr>
          <w:trHeight w:val="325" w:hRule="atLeast"/>
        </w:trPr>
        <w:tc>
          <w:tcPr>
            <w:tcW w:w="668" w:type="dxa"/>
            <w:tcBorders>
              <w:top w:val="nil"/>
              <w:bottom w:val="nil"/>
            </w:tcBorders>
          </w:tcPr>
          <w:p>
            <w:pPr>
              <w:pStyle w:val="TableParagraph"/>
              <w:spacing w:before="56"/>
              <w:ind w:left="78"/>
              <w:rPr>
                <w:sz w:val="18"/>
              </w:rPr>
            </w:pPr>
            <w:r>
              <w:rPr>
                <w:sz w:val="18"/>
              </w:rPr>
              <w:t>4</w:t>
            </w:r>
          </w:p>
        </w:tc>
        <w:tc>
          <w:tcPr>
            <w:tcW w:w="843" w:type="dxa"/>
            <w:tcBorders>
              <w:top w:val="nil"/>
              <w:bottom w:val="nil"/>
              <w:right w:val="single" w:sz="8" w:space="0" w:color="000000"/>
            </w:tcBorders>
          </w:tcPr>
          <w:p>
            <w:pPr>
              <w:pStyle w:val="TableParagraph"/>
              <w:spacing w:before="56"/>
              <w:ind w:right="40"/>
              <w:jc w:val="right"/>
              <w:rPr>
                <w:sz w:val="18"/>
              </w:rPr>
            </w:pPr>
            <w:r>
              <w:rPr>
                <w:sz w:val="18"/>
              </w:rPr>
              <w:t>2.965</w:t>
            </w:r>
          </w:p>
        </w:tc>
        <w:tc>
          <w:tcPr>
            <w:tcW w:w="1275" w:type="dxa"/>
            <w:tcBorders>
              <w:top w:val="nil"/>
              <w:left w:val="single" w:sz="8" w:space="0" w:color="000000"/>
              <w:bottom w:val="nil"/>
              <w:right w:val="single" w:sz="8" w:space="0" w:color="000000"/>
            </w:tcBorders>
          </w:tcPr>
          <w:p>
            <w:pPr>
              <w:pStyle w:val="TableParagraph"/>
              <w:spacing w:before="56"/>
              <w:ind w:right="37"/>
              <w:jc w:val="right"/>
              <w:rPr>
                <w:sz w:val="18"/>
              </w:rPr>
            </w:pPr>
            <w:r>
              <w:rPr>
                <w:sz w:val="18"/>
              </w:rPr>
              <w:t>7.060</w:t>
            </w:r>
          </w:p>
        </w:tc>
        <w:tc>
          <w:tcPr>
            <w:tcW w:w="1278" w:type="dxa"/>
            <w:tcBorders>
              <w:top w:val="nil"/>
              <w:left w:val="single" w:sz="8" w:space="0" w:color="000000"/>
              <w:bottom w:val="nil"/>
              <w:right w:val="single" w:sz="8" w:space="0" w:color="000000"/>
            </w:tcBorders>
          </w:tcPr>
          <w:p>
            <w:pPr>
              <w:pStyle w:val="TableParagraph"/>
              <w:spacing w:before="56"/>
              <w:ind w:right="41"/>
              <w:jc w:val="right"/>
              <w:rPr>
                <w:sz w:val="18"/>
              </w:rPr>
            </w:pPr>
            <w:r>
              <w:rPr>
                <w:sz w:val="18"/>
              </w:rPr>
              <w:t>39.025</w:t>
            </w:r>
          </w:p>
        </w:tc>
        <w:tc>
          <w:tcPr>
            <w:tcW w:w="850" w:type="dxa"/>
            <w:tcBorders>
              <w:top w:val="nil"/>
              <w:left w:val="single" w:sz="8" w:space="0" w:color="000000"/>
              <w:bottom w:val="nil"/>
              <w:right w:val="single" w:sz="8" w:space="0" w:color="000000"/>
            </w:tcBorders>
          </w:tcPr>
          <w:p>
            <w:pPr>
              <w:pStyle w:val="TableParagraph"/>
              <w:spacing w:before="56"/>
              <w:ind w:right="38"/>
              <w:jc w:val="right"/>
              <w:rPr>
                <w:sz w:val="18"/>
              </w:rPr>
            </w:pPr>
            <w:r>
              <w:rPr>
                <w:sz w:val="18"/>
              </w:rPr>
              <w:t>2.965</w:t>
            </w:r>
          </w:p>
        </w:tc>
        <w:tc>
          <w:tcPr>
            <w:tcW w:w="1278" w:type="dxa"/>
            <w:tcBorders>
              <w:top w:val="nil"/>
              <w:left w:val="single" w:sz="8" w:space="0" w:color="000000"/>
              <w:bottom w:val="nil"/>
              <w:right w:val="single" w:sz="8" w:space="0" w:color="000000"/>
            </w:tcBorders>
          </w:tcPr>
          <w:p>
            <w:pPr>
              <w:pStyle w:val="TableParagraph"/>
              <w:spacing w:before="56"/>
              <w:ind w:right="43"/>
              <w:jc w:val="right"/>
              <w:rPr>
                <w:sz w:val="18"/>
              </w:rPr>
            </w:pPr>
            <w:r>
              <w:rPr>
                <w:sz w:val="18"/>
              </w:rPr>
              <w:t>7.060</w:t>
            </w:r>
          </w:p>
        </w:tc>
        <w:tc>
          <w:tcPr>
            <w:tcW w:w="1417" w:type="dxa"/>
            <w:tcBorders>
              <w:top w:val="nil"/>
              <w:left w:val="single" w:sz="8" w:space="0" w:color="000000"/>
              <w:bottom w:val="nil"/>
              <w:right w:val="single" w:sz="8" w:space="0" w:color="000000"/>
            </w:tcBorders>
          </w:tcPr>
          <w:p>
            <w:pPr>
              <w:pStyle w:val="TableParagraph"/>
              <w:spacing w:before="56"/>
              <w:ind w:right="44"/>
              <w:jc w:val="right"/>
              <w:rPr>
                <w:sz w:val="18"/>
              </w:rPr>
            </w:pPr>
            <w:r>
              <w:rPr>
                <w:sz w:val="18"/>
              </w:rPr>
              <w:t>39.025</w:t>
            </w:r>
          </w:p>
        </w:tc>
        <w:tc>
          <w:tcPr>
            <w:tcW w:w="1562" w:type="dxa"/>
            <w:tcBorders>
              <w:top w:val="nil"/>
              <w:left w:val="single" w:sz="8" w:space="0" w:color="000000"/>
              <w:bottom w:val="nil"/>
            </w:tcBorders>
          </w:tcPr>
          <w:p>
            <w:pPr>
              <w:pStyle w:val="TableParagraph"/>
              <w:spacing w:before="56"/>
              <w:ind w:right="42"/>
              <w:jc w:val="right"/>
              <w:rPr>
                <w:sz w:val="18"/>
              </w:rPr>
            </w:pPr>
            <w:r>
              <w:rPr>
                <w:sz w:val="18"/>
              </w:rPr>
              <w:t>3.563</w:t>
            </w:r>
          </w:p>
        </w:tc>
      </w:tr>
      <w:tr>
        <w:trPr>
          <w:trHeight w:val="320" w:hRule="atLeast"/>
        </w:trPr>
        <w:tc>
          <w:tcPr>
            <w:tcW w:w="668" w:type="dxa"/>
            <w:tcBorders>
              <w:top w:val="nil"/>
              <w:bottom w:val="nil"/>
            </w:tcBorders>
          </w:tcPr>
          <w:p>
            <w:pPr>
              <w:pStyle w:val="TableParagraph"/>
              <w:spacing w:before="54"/>
              <w:ind w:left="78"/>
              <w:rPr>
                <w:sz w:val="18"/>
              </w:rPr>
            </w:pPr>
            <w:r>
              <w:rPr>
                <w:sz w:val="18"/>
              </w:rPr>
              <w:t>5</w:t>
            </w:r>
          </w:p>
        </w:tc>
        <w:tc>
          <w:tcPr>
            <w:tcW w:w="843" w:type="dxa"/>
            <w:tcBorders>
              <w:top w:val="nil"/>
              <w:bottom w:val="nil"/>
              <w:right w:val="single" w:sz="8" w:space="0" w:color="000000"/>
            </w:tcBorders>
          </w:tcPr>
          <w:p>
            <w:pPr>
              <w:pStyle w:val="TableParagraph"/>
              <w:spacing w:before="54"/>
              <w:ind w:right="40"/>
              <w:jc w:val="right"/>
              <w:rPr>
                <w:sz w:val="18"/>
              </w:rPr>
            </w:pPr>
            <w:r>
              <w:rPr>
                <w:sz w:val="18"/>
              </w:rPr>
              <w:t>2.936</w:t>
            </w:r>
          </w:p>
        </w:tc>
        <w:tc>
          <w:tcPr>
            <w:tcW w:w="1275" w:type="dxa"/>
            <w:tcBorders>
              <w:top w:val="nil"/>
              <w:left w:val="single" w:sz="8" w:space="0" w:color="000000"/>
              <w:bottom w:val="nil"/>
              <w:right w:val="single" w:sz="8" w:space="0" w:color="000000"/>
            </w:tcBorders>
          </w:tcPr>
          <w:p>
            <w:pPr>
              <w:pStyle w:val="TableParagraph"/>
              <w:spacing w:before="54"/>
              <w:ind w:right="38"/>
              <w:jc w:val="right"/>
              <w:rPr>
                <w:sz w:val="18"/>
              </w:rPr>
            </w:pPr>
            <w:r>
              <w:rPr>
                <w:sz w:val="18"/>
              </w:rPr>
              <w:t>6.990</w:t>
            </w:r>
          </w:p>
        </w:tc>
        <w:tc>
          <w:tcPr>
            <w:tcW w:w="1278" w:type="dxa"/>
            <w:tcBorders>
              <w:top w:val="nil"/>
              <w:left w:val="single" w:sz="8" w:space="0" w:color="000000"/>
              <w:bottom w:val="nil"/>
              <w:right w:val="single" w:sz="8" w:space="0" w:color="000000"/>
            </w:tcBorders>
          </w:tcPr>
          <w:p>
            <w:pPr>
              <w:pStyle w:val="TableParagraph"/>
              <w:spacing w:before="54"/>
              <w:ind w:right="41"/>
              <w:jc w:val="right"/>
              <w:rPr>
                <w:sz w:val="18"/>
              </w:rPr>
            </w:pPr>
            <w:r>
              <w:rPr>
                <w:sz w:val="18"/>
              </w:rPr>
              <w:t>46.015</w:t>
            </w:r>
          </w:p>
        </w:tc>
        <w:tc>
          <w:tcPr>
            <w:tcW w:w="850" w:type="dxa"/>
            <w:tcBorders>
              <w:top w:val="nil"/>
              <w:left w:val="single" w:sz="8" w:space="0" w:color="000000"/>
              <w:bottom w:val="nil"/>
              <w:right w:val="single" w:sz="8" w:space="0" w:color="000000"/>
            </w:tcBorders>
          </w:tcPr>
          <w:p>
            <w:pPr>
              <w:pStyle w:val="TableParagraph"/>
              <w:spacing w:before="54"/>
              <w:ind w:right="38"/>
              <w:jc w:val="right"/>
              <w:rPr>
                <w:sz w:val="18"/>
              </w:rPr>
            </w:pPr>
            <w:r>
              <w:rPr>
                <w:sz w:val="18"/>
              </w:rPr>
              <w:t>2.936</w:t>
            </w:r>
          </w:p>
        </w:tc>
        <w:tc>
          <w:tcPr>
            <w:tcW w:w="1278" w:type="dxa"/>
            <w:tcBorders>
              <w:top w:val="nil"/>
              <w:left w:val="single" w:sz="8" w:space="0" w:color="000000"/>
              <w:bottom w:val="nil"/>
              <w:right w:val="single" w:sz="8" w:space="0" w:color="000000"/>
            </w:tcBorders>
          </w:tcPr>
          <w:p>
            <w:pPr>
              <w:pStyle w:val="TableParagraph"/>
              <w:spacing w:before="54"/>
              <w:ind w:right="44"/>
              <w:jc w:val="right"/>
              <w:rPr>
                <w:sz w:val="18"/>
              </w:rPr>
            </w:pPr>
            <w:r>
              <w:rPr>
                <w:sz w:val="18"/>
              </w:rPr>
              <w:t>6.990</w:t>
            </w:r>
          </w:p>
        </w:tc>
        <w:tc>
          <w:tcPr>
            <w:tcW w:w="1417" w:type="dxa"/>
            <w:tcBorders>
              <w:top w:val="nil"/>
              <w:left w:val="single" w:sz="8" w:space="0" w:color="000000"/>
              <w:bottom w:val="nil"/>
              <w:right w:val="single" w:sz="8" w:space="0" w:color="000000"/>
            </w:tcBorders>
          </w:tcPr>
          <w:p>
            <w:pPr>
              <w:pStyle w:val="TableParagraph"/>
              <w:spacing w:before="54"/>
              <w:ind w:right="44"/>
              <w:jc w:val="right"/>
              <w:rPr>
                <w:sz w:val="18"/>
              </w:rPr>
            </w:pPr>
            <w:r>
              <w:rPr>
                <w:sz w:val="18"/>
              </w:rPr>
              <w:t>46.015</w:t>
            </w:r>
          </w:p>
        </w:tc>
        <w:tc>
          <w:tcPr>
            <w:tcW w:w="1562" w:type="dxa"/>
            <w:tcBorders>
              <w:top w:val="nil"/>
              <w:left w:val="single" w:sz="8" w:space="0" w:color="000000"/>
              <w:bottom w:val="nil"/>
            </w:tcBorders>
          </w:tcPr>
          <w:p>
            <w:pPr>
              <w:pStyle w:val="TableParagraph"/>
              <w:spacing w:before="54"/>
              <w:ind w:right="42"/>
              <w:jc w:val="right"/>
              <w:rPr>
                <w:sz w:val="18"/>
              </w:rPr>
            </w:pPr>
            <w:r>
              <w:rPr>
                <w:sz w:val="18"/>
              </w:rPr>
              <w:t>3.529</w:t>
            </w:r>
          </w:p>
        </w:tc>
      </w:tr>
      <w:tr>
        <w:trPr>
          <w:trHeight w:val="320" w:hRule="atLeast"/>
        </w:trPr>
        <w:tc>
          <w:tcPr>
            <w:tcW w:w="668" w:type="dxa"/>
            <w:tcBorders>
              <w:top w:val="nil"/>
              <w:bottom w:val="nil"/>
            </w:tcBorders>
          </w:tcPr>
          <w:p>
            <w:pPr>
              <w:pStyle w:val="TableParagraph"/>
              <w:spacing w:before="51"/>
              <w:ind w:left="78"/>
              <w:rPr>
                <w:sz w:val="18"/>
              </w:rPr>
            </w:pPr>
            <w:r>
              <w:rPr>
                <w:sz w:val="18"/>
              </w:rPr>
              <w:t>6</w:t>
            </w:r>
          </w:p>
        </w:tc>
        <w:tc>
          <w:tcPr>
            <w:tcW w:w="843" w:type="dxa"/>
            <w:tcBorders>
              <w:top w:val="nil"/>
              <w:bottom w:val="nil"/>
              <w:right w:val="single" w:sz="8" w:space="0" w:color="000000"/>
            </w:tcBorders>
          </w:tcPr>
          <w:p>
            <w:pPr>
              <w:pStyle w:val="TableParagraph"/>
              <w:spacing w:before="51"/>
              <w:ind w:right="40"/>
              <w:jc w:val="right"/>
              <w:rPr>
                <w:sz w:val="18"/>
              </w:rPr>
            </w:pPr>
            <w:r>
              <w:rPr>
                <w:sz w:val="18"/>
              </w:rPr>
              <w:t>2.456</w:t>
            </w:r>
          </w:p>
        </w:tc>
        <w:tc>
          <w:tcPr>
            <w:tcW w:w="1275" w:type="dxa"/>
            <w:tcBorders>
              <w:top w:val="nil"/>
              <w:left w:val="single" w:sz="8" w:space="0" w:color="000000"/>
              <w:bottom w:val="nil"/>
              <w:right w:val="single" w:sz="8" w:space="0" w:color="000000"/>
            </w:tcBorders>
          </w:tcPr>
          <w:p>
            <w:pPr>
              <w:pStyle w:val="TableParagraph"/>
              <w:spacing w:before="51"/>
              <w:ind w:right="38"/>
              <w:jc w:val="right"/>
              <w:rPr>
                <w:sz w:val="18"/>
              </w:rPr>
            </w:pPr>
            <w:r>
              <w:rPr>
                <w:sz w:val="18"/>
              </w:rPr>
              <w:t>5.847</w:t>
            </w:r>
          </w:p>
        </w:tc>
        <w:tc>
          <w:tcPr>
            <w:tcW w:w="1278" w:type="dxa"/>
            <w:tcBorders>
              <w:top w:val="nil"/>
              <w:left w:val="single" w:sz="8" w:space="0" w:color="000000"/>
              <w:bottom w:val="nil"/>
              <w:right w:val="single" w:sz="8" w:space="0" w:color="000000"/>
            </w:tcBorders>
          </w:tcPr>
          <w:p>
            <w:pPr>
              <w:pStyle w:val="TableParagraph"/>
              <w:spacing w:before="51"/>
              <w:ind w:right="44"/>
              <w:jc w:val="right"/>
              <w:rPr>
                <w:sz w:val="18"/>
              </w:rPr>
            </w:pPr>
            <w:r>
              <w:rPr>
                <w:sz w:val="18"/>
              </w:rPr>
              <w:t>51.862</w:t>
            </w:r>
          </w:p>
        </w:tc>
        <w:tc>
          <w:tcPr>
            <w:tcW w:w="850" w:type="dxa"/>
            <w:tcBorders>
              <w:top w:val="nil"/>
              <w:left w:val="single" w:sz="8" w:space="0" w:color="000000"/>
              <w:bottom w:val="nil"/>
              <w:right w:val="single" w:sz="8" w:space="0" w:color="000000"/>
            </w:tcBorders>
          </w:tcPr>
          <w:p>
            <w:pPr>
              <w:pStyle w:val="TableParagraph"/>
              <w:spacing w:before="51"/>
              <w:ind w:right="39"/>
              <w:jc w:val="right"/>
              <w:rPr>
                <w:sz w:val="18"/>
              </w:rPr>
            </w:pPr>
            <w:r>
              <w:rPr>
                <w:sz w:val="18"/>
              </w:rPr>
              <w:t>2.456</w:t>
            </w:r>
          </w:p>
        </w:tc>
        <w:tc>
          <w:tcPr>
            <w:tcW w:w="1278" w:type="dxa"/>
            <w:tcBorders>
              <w:top w:val="nil"/>
              <w:left w:val="single" w:sz="8" w:space="0" w:color="000000"/>
              <w:bottom w:val="nil"/>
              <w:right w:val="single" w:sz="8" w:space="0" w:color="000000"/>
            </w:tcBorders>
          </w:tcPr>
          <w:p>
            <w:pPr>
              <w:pStyle w:val="TableParagraph"/>
              <w:spacing w:before="51"/>
              <w:ind w:right="41"/>
              <w:jc w:val="right"/>
              <w:rPr>
                <w:sz w:val="18"/>
              </w:rPr>
            </w:pPr>
            <w:r>
              <w:rPr>
                <w:sz w:val="18"/>
              </w:rPr>
              <w:t>5.847</w:t>
            </w:r>
          </w:p>
        </w:tc>
        <w:tc>
          <w:tcPr>
            <w:tcW w:w="1417" w:type="dxa"/>
            <w:tcBorders>
              <w:top w:val="nil"/>
              <w:left w:val="single" w:sz="8" w:space="0" w:color="000000"/>
              <w:bottom w:val="nil"/>
              <w:right w:val="single" w:sz="8" w:space="0" w:color="000000"/>
            </w:tcBorders>
          </w:tcPr>
          <w:p>
            <w:pPr>
              <w:pStyle w:val="TableParagraph"/>
              <w:spacing w:before="51"/>
              <w:ind w:right="44"/>
              <w:jc w:val="right"/>
              <w:rPr>
                <w:sz w:val="18"/>
              </w:rPr>
            </w:pPr>
            <w:r>
              <w:rPr>
                <w:sz w:val="18"/>
              </w:rPr>
              <w:t>51.862</w:t>
            </w:r>
          </w:p>
        </w:tc>
        <w:tc>
          <w:tcPr>
            <w:tcW w:w="1562" w:type="dxa"/>
            <w:tcBorders>
              <w:top w:val="nil"/>
              <w:left w:val="single" w:sz="8" w:space="0" w:color="000000"/>
              <w:bottom w:val="nil"/>
            </w:tcBorders>
          </w:tcPr>
          <w:p>
            <w:pPr>
              <w:pStyle w:val="TableParagraph"/>
              <w:spacing w:before="51"/>
              <w:ind w:right="42"/>
              <w:jc w:val="right"/>
              <w:rPr>
                <w:sz w:val="18"/>
              </w:rPr>
            </w:pPr>
            <w:r>
              <w:rPr>
                <w:sz w:val="18"/>
              </w:rPr>
              <w:t>3.311</w:t>
            </w:r>
          </w:p>
        </w:tc>
      </w:tr>
      <w:tr>
        <w:trPr>
          <w:trHeight w:val="324" w:hRule="atLeast"/>
        </w:trPr>
        <w:tc>
          <w:tcPr>
            <w:tcW w:w="668" w:type="dxa"/>
            <w:tcBorders>
              <w:top w:val="nil"/>
              <w:bottom w:val="nil"/>
            </w:tcBorders>
          </w:tcPr>
          <w:p>
            <w:pPr>
              <w:pStyle w:val="TableParagraph"/>
              <w:spacing w:before="54"/>
              <w:ind w:left="78"/>
              <w:rPr>
                <w:sz w:val="18"/>
              </w:rPr>
            </w:pPr>
            <w:r>
              <w:rPr>
                <w:sz w:val="18"/>
              </w:rPr>
              <w:t>7</w:t>
            </w:r>
          </w:p>
        </w:tc>
        <w:tc>
          <w:tcPr>
            <w:tcW w:w="843" w:type="dxa"/>
            <w:tcBorders>
              <w:top w:val="nil"/>
              <w:bottom w:val="nil"/>
              <w:right w:val="single" w:sz="8" w:space="0" w:color="000000"/>
            </w:tcBorders>
          </w:tcPr>
          <w:p>
            <w:pPr>
              <w:pStyle w:val="TableParagraph"/>
              <w:spacing w:before="54"/>
              <w:ind w:right="40"/>
              <w:jc w:val="right"/>
              <w:rPr>
                <w:sz w:val="18"/>
              </w:rPr>
            </w:pPr>
            <w:r>
              <w:rPr>
                <w:sz w:val="18"/>
              </w:rPr>
              <w:t>1.936</w:t>
            </w:r>
          </w:p>
        </w:tc>
        <w:tc>
          <w:tcPr>
            <w:tcW w:w="1275" w:type="dxa"/>
            <w:tcBorders>
              <w:top w:val="nil"/>
              <w:left w:val="single" w:sz="8" w:space="0" w:color="000000"/>
              <w:bottom w:val="nil"/>
              <w:right w:val="single" w:sz="8" w:space="0" w:color="000000"/>
            </w:tcBorders>
          </w:tcPr>
          <w:p>
            <w:pPr>
              <w:pStyle w:val="TableParagraph"/>
              <w:spacing w:before="54"/>
              <w:ind w:right="38"/>
              <w:jc w:val="right"/>
              <w:rPr>
                <w:sz w:val="18"/>
              </w:rPr>
            </w:pPr>
            <w:r>
              <w:rPr>
                <w:sz w:val="18"/>
              </w:rPr>
              <w:t>4.610</w:t>
            </w:r>
          </w:p>
        </w:tc>
        <w:tc>
          <w:tcPr>
            <w:tcW w:w="1278" w:type="dxa"/>
            <w:tcBorders>
              <w:top w:val="nil"/>
              <w:left w:val="single" w:sz="8" w:space="0" w:color="000000"/>
              <w:bottom w:val="nil"/>
              <w:right w:val="single" w:sz="8" w:space="0" w:color="000000"/>
            </w:tcBorders>
          </w:tcPr>
          <w:p>
            <w:pPr>
              <w:pStyle w:val="TableParagraph"/>
              <w:spacing w:before="54"/>
              <w:ind w:right="41"/>
              <w:jc w:val="right"/>
              <w:rPr>
                <w:sz w:val="18"/>
              </w:rPr>
            </w:pPr>
            <w:r>
              <w:rPr>
                <w:sz w:val="18"/>
              </w:rPr>
              <w:t>56.471</w:t>
            </w:r>
          </w:p>
        </w:tc>
        <w:tc>
          <w:tcPr>
            <w:tcW w:w="850" w:type="dxa"/>
            <w:tcBorders>
              <w:top w:val="nil"/>
              <w:left w:val="single" w:sz="8" w:space="0" w:color="000000"/>
              <w:bottom w:val="nil"/>
              <w:right w:val="single" w:sz="8" w:space="0" w:color="000000"/>
            </w:tcBorders>
          </w:tcPr>
          <w:p>
            <w:pPr>
              <w:pStyle w:val="TableParagraph"/>
              <w:spacing w:before="54"/>
              <w:ind w:right="39"/>
              <w:jc w:val="right"/>
              <w:rPr>
                <w:sz w:val="18"/>
              </w:rPr>
            </w:pPr>
            <w:r>
              <w:rPr>
                <w:sz w:val="18"/>
              </w:rPr>
              <w:t>1.936</w:t>
            </w:r>
          </w:p>
        </w:tc>
        <w:tc>
          <w:tcPr>
            <w:tcW w:w="1278" w:type="dxa"/>
            <w:tcBorders>
              <w:top w:val="nil"/>
              <w:left w:val="single" w:sz="8" w:space="0" w:color="000000"/>
              <w:bottom w:val="nil"/>
              <w:right w:val="single" w:sz="8" w:space="0" w:color="000000"/>
            </w:tcBorders>
          </w:tcPr>
          <w:p>
            <w:pPr>
              <w:pStyle w:val="TableParagraph"/>
              <w:spacing w:before="54"/>
              <w:ind w:right="43"/>
              <w:jc w:val="right"/>
              <w:rPr>
                <w:sz w:val="18"/>
              </w:rPr>
            </w:pPr>
            <w:r>
              <w:rPr>
                <w:sz w:val="18"/>
              </w:rPr>
              <w:t>4.610</w:t>
            </w:r>
          </w:p>
        </w:tc>
        <w:tc>
          <w:tcPr>
            <w:tcW w:w="1417" w:type="dxa"/>
            <w:tcBorders>
              <w:top w:val="nil"/>
              <w:left w:val="single" w:sz="8" w:space="0" w:color="000000"/>
              <w:bottom w:val="nil"/>
              <w:right w:val="single" w:sz="8" w:space="0" w:color="000000"/>
            </w:tcBorders>
          </w:tcPr>
          <w:p>
            <w:pPr>
              <w:pStyle w:val="TableParagraph"/>
              <w:spacing w:before="54"/>
              <w:ind w:right="45"/>
              <w:jc w:val="right"/>
              <w:rPr>
                <w:sz w:val="18"/>
              </w:rPr>
            </w:pPr>
            <w:r>
              <w:rPr>
                <w:sz w:val="18"/>
              </w:rPr>
              <w:t>56.471</w:t>
            </w:r>
          </w:p>
        </w:tc>
        <w:tc>
          <w:tcPr>
            <w:tcW w:w="1562" w:type="dxa"/>
            <w:tcBorders>
              <w:top w:val="nil"/>
              <w:left w:val="single" w:sz="8" w:space="0" w:color="000000"/>
              <w:bottom w:val="nil"/>
            </w:tcBorders>
          </w:tcPr>
          <w:p>
            <w:pPr>
              <w:pStyle w:val="TableParagraph"/>
              <w:spacing w:before="54"/>
              <w:ind w:right="42"/>
              <w:jc w:val="right"/>
              <w:rPr>
                <w:sz w:val="18"/>
              </w:rPr>
            </w:pPr>
            <w:r>
              <w:rPr>
                <w:sz w:val="18"/>
              </w:rPr>
              <w:t>3.081</w:t>
            </w:r>
          </w:p>
        </w:tc>
      </w:tr>
      <w:tr>
        <w:trPr>
          <w:trHeight w:val="320" w:hRule="atLeast"/>
        </w:trPr>
        <w:tc>
          <w:tcPr>
            <w:tcW w:w="668" w:type="dxa"/>
            <w:tcBorders>
              <w:top w:val="nil"/>
              <w:bottom w:val="nil"/>
            </w:tcBorders>
          </w:tcPr>
          <w:p>
            <w:pPr>
              <w:pStyle w:val="TableParagraph"/>
              <w:spacing w:before="54"/>
              <w:ind w:left="78"/>
              <w:rPr>
                <w:sz w:val="18"/>
              </w:rPr>
            </w:pPr>
            <w:r>
              <w:rPr>
                <w:sz w:val="18"/>
              </w:rPr>
              <w:t>8</w:t>
            </w:r>
          </w:p>
        </w:tc>
        <w:tc>
          <w:tcPr>
            <w:tcW w:w="843" w:type="dxa"/>
            <w:tcBorders>
              <w:top w:val="nil"/>
              <w:bottom w:val="nil"/>
              <w:right w:val="single" w:sz="8" w:space="0" w:color="000000"/>
            </w:tcBorders>
          </w:tcPr>
          <w:p>
            <w:pPr>
              <w:pStyle w:val="TableParagraph"/>
              <w:spacing w:before="54"/>
              <w:ind w:right="40"/>
              <w:jc w:val="right"/>
              <w:rPr>
                <w:sz w:val="18"/>
              </w:rPr>
            </w:pPr>
            <w:r>
              <w:rPr>
                <w:sz w:val="18"/>
              </w:rPr>
              <w:t>1.659</w:t>
            </w:r>
          </w:p>
        </w:tc>
        <w:tc>
          <w:tcPr>
            <w:tcW w:w="1275" w:type="dxa"/>
            <w:tcBorders>
              <w:top w:val="nil"/>
              <w:left w:val="single" w:sz="8" w:space="0" w:color="000000"/>
              <w:bottom w:val="nil"/>
              <w:right w:val="single" w:sz="8" w:space="0" w:color="000000"/>
            </w:tcBorders>
          </w:tcPr>
          <w:p>
            <w:pPr>
              <w:pStyle w:val="TableParagraph"/>
              <w:spacing w:before="54"/>
              <w:ind w:right="38"/>
              <w:jc w:val="right"/>
              <w:rPr>
                <w:sz w:val="18"/>
              </w:rPr>
            </w:pPr>
            <w:r>
              <w:rPr>
                <w:sz w:val="18"/>
              </w:rPr>
              <w:t>3.949</w:t>
            </w:r>
          </w:p>
        </w:tc>
        <w:tc>
          <w:tcPr>
            <w:tcW w:w="1278" w:type="dxa"/>
            <w:tcBorders>
              <w:top w:val="nil"/>
              <w:left w:val="single" w:sz="8" w:space="0" w:color="000000"/>
              <w:bottom w:val="nil"/>
              <w:right w:val="single" w:sz="8" w:space="0" w:color="000000"/>
            </w:tcBorders>
          </w:tcPr>
          <w:p>
            <w:pPr>
              <w:pStyle w:val="TableParagraph"/>
              <w:spacing w:before="54"/>
              <w:ind w:right="41"/>
              <w:jc w:val="right"/>
              <w:rPr>
                <w:sz w:val="18"/>
              </w:rPr>
            </w:pPr>
            <w:r>
              <w:rPr>
                <w:sz w:val="18"/>
              </w:rPr>
              <w:t>60.421</w:t>
            </w:r>
          </w:p>
        </w:tc>
        <w:tc>
          <w:tcPr>
            <w:tcW w:w="850" w:type="dxa"/>
            <w:tcBorders>
              <w:top w:val="nil"/>
              <w:left w:val="single" w:sz="8" w:space="0" w:color="000000"/>
              <w:bottom w:val="nil"/>
              <w:right w:val="single" w:sz="8" w:space="0" w:color="000000"/>
            </w:tcBorders>
          </w:tcPr>
          <w:p>
            <w:pPr>
              <w:pStyle w:val="TableParagraph"/>
              <w:spacing w:before="54"/>
              <w:ind w:right="38"/>
              <w:jc w:val="right"/>
              <w:rPr>
                <w:sz w:val="18"/>
              </w:rPr>
            </w:pPr>
            <w:r>
              <w:rPr>
                <w:sz w:val="18"/>
              </w:rPr>
              <w:t>1.659</w:t>
            </w:r>
          </w:p>
        </w:tc>
        <w:tc>
          <w:tcPr>
            <w:tcW w:w="1278" w:type="dxa"/>
            <w:tcBorders>
              <w:top w:val="nil"/>
              <w:left w:val="single" w:sz="8" w:space="0" w:color="000000"/>
              <w:bottom w:val="nil"/>
              <w:right w:val="single" w:sz="8" w:space="0" w:color="000000"/>
            </w:tcBorders>
          </w:tcPr>
          <w:p>
            <w:pPr>
              <w:pStyle w:val="TableParagraph"/>
              <w:spacing w:before="54"/>
              <w:ind w:right="43"/>
              <w:jc w:val="right"/>
              <w:rPr>
                <w:sz w:val="18"/>
              </w:rPr>
            </w:pPr>
            <w:r>
              <w:rPr>
                <w:sz w:val="18"/>
              </w:rPr>
              <w:t>3.949</w:t>
            </w:r>
          </w:p>
        </w:tc>
        <w:tc>
          <w:tcPr>
            <w:tcW w:w="1417" w:type="dxa"/>
            <w:tcBorders>
              <w:top w:val="nil"/>
              <w:left w:val="single" w:sz="8" w:space="0" w:color="000000"/>
              <w:bottom w:val="nil"/>
              <w:right w:val="single" w:sz="8" w:space="0" w:color="000000"/>
            </w:tcBorders>
          </w:tcPr>
          <w:p>
            <w:pPr>
              <w:pStyle w:val="TableParagraph"/>
              <w:spacing w:before="54"/>
              <w:ind w:right="44"/>
              <w:jc w:val="right"/>
              <w:rPr>
                <w:sz w:val="18"/>
              </w:rPr>
            </w:pPr>
            <w:r>
              <w:rPr>
                <w:sz w:val="18"/>
              </w:rPr>
              <w:t>60.421</w:t>
            </w:r>
          </w:p>
        </w:tc>
        <w:tc>
          <w:tcPr>
            <w:tcW w:w="1562" w:type="dxa"/>
            <w:tcBorders>
              <w:top w:val="nil"/>
              <w:left w:val="single" w:sz="8" w:space="0" w:color="000000"/>
              <w:bottom w:val="nil"/>
            </w:tcBorders>
          </w:tcPr>
          <w:p>
            <w:pPr>
              <w:pStyle w:val="TableParagraph"/>
              <w:spacing w:before="54"/>
              <w:ind w:right="42"/>
              <w:jc w:val="right"/>
              <w:rPr>
                <w:sz w:val="18"/>
              </w:rPr>
            </w:pPr>
            <w:r>
              <w:rPr>
                <w:sz w:val="18"/>
              </w:rPr>
              <w:t>2.427</w:t>
            </w:r>
          </w:p>
        </w:tc>
      </w:tr>
      <w:tr>
        <w:trPr>
          <w:trHeight w:val="341" w:hRule="atLeast"/>
        </w:trPr>
        <w:tc>
          <w:tcPr>
            <w:tcW w:w="668" w:type="dxa"/>
            <w:tcBorders>
              <w:top w:val="nil"/>
              <w:bottom w:val="nil"/>
            </w:tcBorders>
          </w:tcPr>
          <w:p>
            <w:pPr>
              <w:pStyle w:val="TableParagraph"/>
              <w:spacing w:before="51"/>
              <w:ind w:left="78"/>
              <w:rPr>
                <w:sz w:val="18"/>
              </w:rPr>
            </w:pPr>
            <w:r>
              <w:rPr>
                <w:sz w:val="18"/>
              </w:rPr>
              <w:t>9</w:t>
            </w:r>
          </w:p>
        </w:tc>
        <w:tc>
          <w:tcPr>
            <w:tcW w:w="843" w:type="dxa"/>
            <w:tcBorders>
              <w:top w:val="nil"/>
              <w:bottom w:val="nil"/>
              <w:right w:val="single" w:sz="8" w:space="0" w:color="000000"/>
            </w:tcBorders>
          </w:tcPr>
          <w:p>
            <w:pPr>
              <w:pStyle w:val="TableParagraph"/>
              <w:spacing w:before="51"/>
              <w:ind w:right="40"/>
              <w:jc w:val="right"/>
              <w:rPr>
                <w:sz w:val="18"/>
              </w:rPr>
            </w:pPr>
            <w:r>
              <w:rPr>
                <w:sz w:val="18"/>
              </w:rPr>
              <w:t>1.494</w:t>
            </w:r>
          </w:p>
        </w:tc>
        <w:tc>
          <w:tcPr>
            <w:tcW w:w="1275" w:type="dxa"/>
            <w:tcBorders>
              <w:top w:val="nil"/>
              <w:left w:val="single" w:sz="8" w:space="0" w:color="000000"/>
              <w:bottom w:val="nil"/>
              <w:right w:val="single" w:sz="8" w:space="0" w:color="000000"/>
            </w:tcBorders>
          </w:tcPr>
          <w:p>
            <w:pPr>
              <w:pStyle w:val="TableParagraph"/>
              <w:spacing w:before="51"/>
              <w:ind w:right="37"/>
              <w:jc w:val="right"/>
              <w:rPr>
                <w:sz w:val="18"/>
              </w:rPr>
            </w:pPr>
            <w:r>
              <w:rPr>
                <w:sz w:val="18"/>
              </w:rPr>
              <w:t>3.557</w:t>
            </w:r>
          </w:p>
        </w:tc>
        <w:tc>
          <w:tcPr>
            <w:tcW w:w="1278" w:type="dxa"/>
            <w:tcBorders>
              <w:top w:val="nil"/>
              <w:left w:val="single" w:sz="8" w:space="0" w:color="000000"/>
              <w:bottom w:val="nil"/>
              <w:right w:val="single" w:sz="8" w:space="0" w:color="000000"/>
            </w:tcBorders>
          </w:tcPr>
          <w:p>
            <w:pPr>
              <w:pStyle w:val="TableParagraph"/>
              <w:spacing w:before="51"/>
              <w:ind w:right="41"/>
              <w:jc w:val="right"/>
              <w:rPr>
                <w:sz w:val="18"/>
              </w:rPr>
            </w:pPr>
            <w:r>
              <w:rPr>
                <w:sz w:val="18"/>
              </w:rPr>
              <w:t>63.978</w:t>
            </w:r>
          </w:p>
        </w:tc>
        <w:tc>
          <w:tcPr>
            <w:tcW w:w="850" w:type="dxa"/>
            <w:tcBorders>
              <w:top w:val="nil"/>
              <w:left w:val="single" w:sz="8" w:space="0" w:color="000000"/>
              <w:bottom w:val="nil"/>
              <w:right w:val="single" w:sz="8" w:space="0" w:color="000000"/>
            </w:tcBorders>
          </w:tcPr>
          <w:p>
            <w:pPr>
              <w:pStyle w:val="TableParagraph"/>
              <w:spacing w:before="51"/>
              <w:ind w:right="39"/>
              <w:jc w:val="right"/>
              <w:rPr>
                <w:sz w:val="18"/>
              </w:rPr>
            </w:pPr>
            <w:r>
              <w:rPr>
                <w:sz w:val="18"/>
              </w:rPr>
              <w:t>1.494</w:t>
            </w:r>
          </w:p>
        </w:tc>
        <w:tc>
          <w:tcPr>
            <w:tcW w:w="1278" w:type="dxa"/>
            <w:tcBorders>
              <w:top w:val="nil"/>
              <w:left w:val="single" w:sz="8" w:space="0" w:color="000000"/>
              <w:bottom w:val="nil"/>
              <w:right w:val="single" w:sz="8" w:space="0" w:color="000000"/>
            </w:tcBorders>
          </w:tcPr>
          <w:p>
            <w:pPr>
              <w:pStyle w:val="TableParagraph"/>
              <w:spacing w:before="51"/>
              <w:ind w:right="41"/>
              <w:jc w:val="right"/>
              <w:rPr>
                <w:sz w:val="18"/>
              </w:rPr>
            </w:pPr>
            <w:r>
              <w:rPr>
                <w:sz w:val="18"/>
              </w:rPr>
              <w:t>3.557</w:t>
            </w:r>
          </w:p>
        </w:tc>
        <w:tc>
          <w:tcPr>
            <w:tcW w:w="1417" w:type="dxa"/>
            <w:tcBorders>
              <w:top w:val="nil"/>
              <w:left w:val="single" w:sz="8" w:space="0" w:color="000000"/>
              <w:bottom w:val="nil"/>
              <w:right w:val="single" w:sz="8" w:space="0" w:color="000000"/>
            </w:tcBorders>
          </w:tcPr>
          <w:p>
            <w:pPr>
              <w:pStyle w:val="TableParagraph"/>
              <w:spacing w:before="51"/>
              <w:ind w:right="44"/>
              <w:jc w:val="right"/>
              <w:rPr>
                <w:sz w:val="18"/>
              </w:rPr>
            </w:pPr>
            <w:r>
              <w:rPr>
                <w:sz w:val="18"/>
              </w:rPr>
              <w:t>63.978</w:t>
            </w:r>
          </w:p>
        </w:tc>
        <w:tc>
          <w:tcPr>
            <w:tcW w:w="1562" w:type="dxa"/>
            <w:tcBorders>
              <w:top w:val="nil"/>
              <w:left w:val="single" w:sz="8" w:space="0" w:color="000000"/>
              <w:bottom w:val="nil"/>
            </w:tcBorders>
          </w:tcPr>
          <w:p>
            <w:pPr>
              <w:pStyle w:val="TableParagraph"/>
              <w:spacing w:before="51"/>
              <w:ind w:right="42"/>
              <w:jc w:val="right"/>
              <w:rPr>
                <w:sz w:val="18"/>
              </w:rPr>
            </w:pPr>
            <w:r>
              <w:rPr>
                <w:sz w:val="18"/>
              </w:rPr>
              <w:t>1.951</w:t>
            </w:r>
          </w:p>
        </w:tc>
      </w:tr>
      <w:tr>
        <w:trPr>
          <w:trHeight w:val="390" w:hRule="atLeast"/>
        </w:trPr>
        <w:tc>
          <w:tcPr>
            <w:tcW w:w="668" w:type="dxa"/>
            <w:tcBorders>
              <w:top w:val="nil"/>
              <w:bottom w:val="nil"/>
            </w:tcBorders>
          </w:tcPr>
          <w:p>
            <w:pPr>
              <w:pStyle w:val="TableParagraph"/>
              <w:spacing w:before="76"/>
              <w:ind w:left="78"/>
              <w:rPr>
                <w:sz w:val="18"/>
              </w:rPr>
            </w:pPr>
            <w:r>
              <w:rPr>
                <w:sz w:val="18"/>
              </w:rPr>
              <w:t>10</w:t>
            </w:r>
          </w:p>
        </w:tc>
        <w:tc>
          <w:tcPr>
            <w:tcW w:w="843" w:type="dxa"/>
            <w:tcBorders>
              <w:top w:val="nil"/>
              <w:bottom w:val="nil"/>
              <w:right w:val="single" w:sz="8" w:space="0" w:color="000000"/>
            </w:tcBorders>
          </w:tcPr>
          <w:p>
            <w:pPr>
              <w:pStyle w:val="TableParagraph"/>
              <w:spacing w:before="76"/>
              <w:ind w:right="40"/>
              <w:jc w:val="right"/>
              <w:rPr>
                <w:sz w:val="18"/>
              </w:rPr>
            </w:pPr>
            <w:r>
              <w:rPr>
                <w:sz w:val="18"/>
              </w:rPr>
              <w:t>.879</w:t>
            </w:r>
          </w:p>
        </w:tc>
        <w:tc>
          <w:tcPr>
            <w:tcW w:w="1275" w:type="dxa"/>
            <w:tcBorders>
              <w:top w:val="nil"/>
              <w:left w:val="single" w:sz="8" w:space="0" w:color="000000"/>
              <w:bottom w:val="nil"/>
              <w:right w:val="single" w:sz="8" w:space="0" w:color="000000"/>
            </w:tcBorders>
          </w:tcPr>
          <w:p>
            <w:pPr>
              <w:pStyle w:val="TableParagraph"/>
              <w:spacing w:before="76"/>
              <w:ind w:right="38"/>
              <w:jc w:val="right"/>
              <w:rPr>
                <w:sz w:val="18"/>
              </w:rPr>
            </w:pPr>
            <w:r>
              <w:rPr>
                <w:sz w:val="18"/>
              </w:rPr>
              <w:t>2.094</w:t>
            </w:r>
          </w:p>
        </w:tc>
        <w:tc>
          <w:tcPr>
            <w:tcW w:w="1278" w:type="dxa"/>
            <w:tcBorders>
              <w:top w:val="nil"/>
              <w:left w:val="single" w:sz="8" w:space="0" w:color="000000"/>
              <w:bottom w:val="nil"/>
              <w:right w:val="single" w:sz="8" w:space="0" w:color="000000"/>
            </w:tcBorders>
          </w:tcPr>
          <w:p>
            <w:pPr>
              <w:pStyle w:val="TableParagraph"/>
              <w:spacing w:before="76"/>
              <w:ind w:right="41"/>
              <w:jc w:val="right"/>
              <w:rPr>
                <w:sz w:val="18"/>
              </w:rPr>
            </w:pPr>
            <w:r>
              <w:rPr>
                <w:sz w:val="18"/>
              </w:rPr>
              <w:t>66.072</w:t>
            </w:r>
          </w:p>
        </w:tc>
        <w:tc>
          <w:tcPr>
            <w:tcW w:w="850" w:type="dxa"/>
            <w:tcBorders>
              <w:top w:val="nil"/>
              <w:left w:val="single" w:sz="8" w:space="0" w:color="000000"/>
              <w:bottom w:val="nil"/>
              <w:right w:val="single" w:sz="8" w:space="0" w:color="000000"/>
            </w:tcBorders>
          </w:tcPr>
          <w:p>
            <w:pPr>
              <w:pStyle w:val="TableParagraph"/>
              <w:rPr>
                <w:sz w:val="18"/>
              </w:rPr>
            </w:pPr>
          </w:p>
        </w:tc>
        <w:tc>
          <w:tcPr>
            <w:tcW w:w="1278" w:type="dxa"/>
            <w:tcBorders>
              <w:top w:val="nil"/>
              <w:left w:val="single" w:sz="8" w:space="0" w:color="000000"/>
              <w:bottom w:val="nil"/>
              <w:right w:val="single" w:sz="8" w:space="0" w:color="000000"/>
            </w:tcBorders>
          </w:tcPr>
          <w:p>
            <w:pPr>
              <w:pStyle w:val="TableParagraph"/>
              <w:rPr>
                <w:sz w:val="18"/>
              </w:rPr>
            </w:pPr>
          </w:p>
        </w:tc>
        <w:tc>
          <w:tcPr>
            <w:tcW w:w="1417" w:type="dxa"/>
            <w:tcBorders>
              <w:top w:val="nil"/>
              <w:left w:val="single" w:sz="8" w:space="0" w:color="000000"/>
              <w:bottom w:val="nil"/>
              <w:right w:val="single" w:sz="8" w:space="0" w:color="000000"/>
            </w:tcBorders>
          </w:tcPr>
          <w:p>
            <w:pPr>
              <w:pStyle w:val="TableParagraph"/>
              <w:rPr>
                <w:sz w:val="18"/>
              </w:rPr>
            </w:pPr>
          </w:p>
        </w:tc>
        <w:tc>
          <w:tcPr>
            <w:tcW w:w="1562" w:type="dxa"/>
            <w:tcBorders>
              <w:top w:val="nil"/>
              <w:left w:val="single" w:sz="8" w:space="0" w:color="000000"/>
              <w:bottom w:val="nil"/>
            </w:tcBorders>
          </w:tcPr>
          <w:p>
            <w:pPr>
              <w:pStyle w:val="TableParagraph"/>
              <w:rPr>
                <w:sz w:val="18"/>
              </w:rPr>
            </w:pPr>
          </w:p>
        </w:tc>
      </w:tr>
      <w:tr>
        <w:trPr>
          <w:trHeight w:val="413" w:hRule="atLeast"/>
        </w:trPr>
        <w:tc>
          <w:tcPr>
            <w:tcW w:w="668" w:type="dxa"/>
            <w:tcBorders>
              <w:top w:val="nil"/>
              <w:bottom w:val="nil"/>
            </w:tcBorders>
          </w:tcPr>
          <w:p>
            <w:pPr>
              <w:pStyle w:val="TableParagraph"/>
              <w:spacing w:before="99"/>
              <w:ind w:left="78"/>
              <w:rPr>
                <w:sz w:val="18"/>
              </w:rPr>
            </w:pPr>
            <w:r>
              <w:rPr>
                <w:sz w:val="18"/>
              </w:rPr>
              <w:t>11</w:t>
            </w:r>
          </w:p>
        </w:tc>
        <w:tc>
          <w:tcPr>
            <w:tcW w:w="843" w:type="dxa"/>
            <w:tcBorders>
              <w:top w:val="nil"/>
              <w:bottom w:val="nil"/>
              <w:right w:val="single" w:sz="8" w:space="0" w:color="000000"/>
            </w:tcBorders>
          </w:tcPr>
          <w:p>
            <w:pPr>
              <w:pStyle w:val="TableParagraph"/>
              <w:spacing w:before="99"/>
              <w:ind w:right="40"/>
              <w:jc w:val="right"/>
              <w:rPr>
                <w:sz w:val="18"/>
              </w:rPr>
            </w:pPr>
            <w:r>
              <w:rPr>
                <w:sz w:val="18"/>
              </w:rPr>
              <w:t>.823</w:t>
            </w:r>
          </w:p>
        </w:tc>
        <w:tc>
          <w:tcPr>
            <w:tcW w:w="1275" w:type="dxa"/>
            <w:tcBorders>
              <w:top w:val="nil"/>
              <w:left w:val="single" w:sz="8" w:space="0" w:color="000000"/>
              <w:bottom w:val="nil"/>
              <w:right w:val="single" w:sz="8" w:space="0" w:color="000000"/>
            </w:tcBorders>
          </w:tcPr>
          <w:p>
            <w:pPr>
              <w:pStyle w:val="TableParagraph"/>
              <w:spacing w:before="99"/>
              <w:ind w:right="38"/>
              <w:jc w:val="right"/>
              <w:rPr>
                <w:sz w:val="18"/>
              </w:rPr>
            </w:pPr>
            <w:r>
              <w:rPr>
                <w:sz w:val="18"/>
              </w:rPr>
              <w:t>1.960</w:t>
            </w:r>
          </w:p>
        </w:tc>
        <w:tc>
          <w:tcPr>
            <w:tcW w:w="1278" w:type="dxa"/>
            <w:tcBorders>
              <w:top w:val="nil"/>
              <w:left w:val="single" w:sz="8" w:space="0" w:color="000000"/>
              <w:bottom w:val="nil"/>
              <w:right w:val="single" w:sz="8" w:space="0" w:color="000000"/>
            </w:tcBorders>
          </w:tcPr>
          <w:p>
            <w:pPr>
              <w:pStyle w:val="TableParagraph"/>
              <w:spacing w:before="99"/>
              <w:ind w:right="41"/>
              <w:jc w:val="right"/>
              <w:rPr>
                <w:sz w:val="18"/>
              </w:rPr>
            </w:pPr>
            <w:r>
              <w:rPr>
                <w:sz w:val="18"/>
              </w:rPr>
              <w:t>68.032</w:t>
            </w:r>
          </w:p>
        </w:tc>
        <w:tc>
          <w:tcPr>
            <w:tcW w:w="850" w:type="dxa"/>
            <w:tcBorders>
              <w:top w:val="nil"/>
              <w:left w:val="single" w:sz="8" w:space="0" w:color="000000"/>
              <w:bottom w:val="nil"/>
              <w:right w:val="single" w:sz="8" w:space="0" w:color="000000"/>
            </w:tcBorders>
          </w:tcPr>
          <w:p>
            <w:pPr>
              <w:pStyle w:val="TableParagraph"/>
              <w:rPr>
                <w:sz w:val="18"/>
              </w:rPr>
            </w:pPr>
          </w:p>
        </w:tc>
        <w:tc>
          <w:tcPr>
            <w:tcW w:w="1278" w:type="dxa"/>
            <w:tcBorders>
              <w:top w:val="nil"/>
              <w:left w:val="single" w:sz="8" w:space="0" w:color="000000"/>
              <w:bottom w:val="nil"/>
              <w:right w:val="single" w:sz="8" w:space="0" w:color="000000"/>
            </w:tcBorders>
          </w:tcPr>
          <w:p>
            <w:pPr>
              <w:pStyle w:val="TableParagraph"/>
              <w:rPr>
                <w:sz w:val="18"/>
              </w:rPr>
            </w:pPr>
          </w:p>
        </w:tc>
        <w:tc>
          <w:tcPr>
            <w:tcW w:w="1417" w:type="dxa"/>
            <w:tcBorders>
              <w:top w:val="nil"/>
              <w:left w:val="single" w:sz="8" w:space="0" w:color="000000"/>
              <w:bottom w:val="nil"/>
              <w:right w:val="single" w:sz="8" w:space="0" w:color="000000"/>
            </w:tcBorders>
          </w:tcPr>
          <w:p>
            <w:pPr>
              <w:pStyle w:val="TableParagraph"/>
              <w:rPr>
                <w:sz w:val="18"/>
              </w:rPr>
            </w:pPr>
          </w:p>
        </w:tc>
        <w:tc>
          <w:tcPr>
            <w:tcW w:w="1562" w:type="dxa"/>
            <w:tcBorders>
              <w:top w:val="nil"/>
              <w:left w:val="single" w:sz="8" w:space="0" w:color="000000"/>
              <w:bottom w:val="nil"/>
            </w:tcBorders>
          </w:tcPr>
          <w:p>
            <w:pPr>
              <w:pStyle w:val="TableParagraph"/>
              <w:rPr>
                <w:sz w:val="18"/>
              </w:rPr>
            </w:pPr>
          </w:p>
        </w:tc>
      </w:tr>
      <w:tr>
        <w:trPr>
          <w:trHeight w:val="413" w:hRule="atLeast"/>
        </w:trPr>
        <w:tc>
          <w:tcPr>
            <w:tcW w:w="668" w:type="dxa"/>
            <w:tcBorders>
              <w:top w:val="nil"/>
              <w:bottom w:val="nil"/>
            </w:tcBorders>
          </w:tcPr>
          <w:p>
            <w:pPr>
              <w:pStyle w:val="TableParagraph"/>
              <w:spacing w:before="100"/>
              <w:ind w:left="78"/>
              <w:rPr>
                <w:sz w:val="18"/>
              </w:rPr>
            </w:pPr>
            <w:r>
              <w:rPr>
                <w:sz w:val="18"/>
              </w:rPr>
              <w:t>12</w:t>
            </w:r>
          </w:p>
        </w:tc>
        <w:tc>
          <w:tcPr>
            <w:tcW w:w="843" w:type="dxa"/>
            <w:tcBorders>
              <w:top w:val="nil"/>
              <w:bottom w:val="nil"/>
              <w:right w:val="single" w:sz="8" w:space="0" w:color="000000"/>
            </w:tcBorders>
          </w:tcPr>
          <w:p>
            <w:pPr>
              <w:pStyle w:val="TableParagraph"/>
              <w:spacing w:before="100"/>
              <w:ind w:right="40"/>
              <w:jc w:val="right"/>
              <w:rPr>
                <w:sz w:val="18"/>
              </w:rPr>
            </w:pPr>
            <w:r>
              <w:rPr>
                <w:sz w:val="18"/>
              </w:rPr>
              <w:t>.805</w:t>
            </w:r>
          </w:p>
        </w:tc>
        <w:tc>
          <w:tcPr>
            <w:tcW w:w="1275" w:type="dxa"/>
            <w:tcBorders>
              <w:top w:val="nil"/>
              <w:left w:val="single" w:sz="8" w:space="0" w:color="000000"/>
              <w:bottom w:val="nil"/>
              <w:right w:val="single" w:sz="8" w:space="0" w:color="000000"/>
            </w:tcBorders>
          </w:tcPr>
          <w:p>
            <w:pPr>
              <w:pStyle w:val="TableParagraph"/>
              <w:spacing w:before="100"/>
              <w:ind w:right="38"/>
              <w:jc w:val="right"/>
              <w:rPr>
                <w:sz w:val="18"/>
              </w:rPr>
            </w:pPr>
            <w:r>
              <w:rPr>
                <w:sz w:val="18"/>
              </w:rPr>
              <w:t>1.916</w:t>
            </w:r>
          </w:p>
        </w:tc>
        <w:tc>
          <w:tcPr>
            <w:tcW w:w="1278" w:type="dxa"/>
            <w:tcBorders>
              <w:top w:val="nil"/>
              <w:left w:val="single" w:sz="8" w:space="0" w:color="000000"/>
              <w:bottom w:val="nil"/>
              <w:right w:val="single" w:sz="8" w:space="0" w:color="000000"/>
            </w:tcBorders>
          </w:tcPr>
          <w:p>
            <w:pPr>
              <w:pStyle w:val="TableParagraph"/>
              <w:spacing w:before="100"/>
              <w:ind w:right="41"/>
              <w:jc w:val="right"/>
              <w:rPr>
                <w:sz w:val="18"/>
              </w:rPr>
            </w:pPr>
            <w:r>
              <w:rPr>
                <w:sz w:val="18"/>
              </w:rPr>
              <w:t>69.948</w:t>
            </w:r>
          </w:p>
        </w:tc>
        <w:tc>
          <w:tcPr>
            <w:tcW w:w="850" w:type="dxa"/>
            <w:tcBorders>
              <w:top w:val="nil"/>
              <w:left w:val="single" w:sz="8" w:space="0" w:color="000000"/>
              <w:bottom w:val="nil"/>
              <w:right w:val="single" w:sz="8" w:space="0" w:color="000000"/>
            </w:tcBorders>
          </w:tcPr>
          <w:p>
            <w:pPr>
              <w:pStyle w:val="TableParagraph"/>
              <w:rPr>
                <w:sz w:val="18"/>
              </w:rPr>
            </w:pPr>
          </w:p>
        </w:tc>
        <w:tc>
          <w:tcPr>
            <w:tcW w:w="1278" w:type="dxa"/>
            <w:tcBorders>
              <w:top w:val="nil"/>
              <w:left w:val="single" w:sz="8" w:space="0" w:color="000000"/>
              <w:bottom w:val="nil"/>
              <w:right w:val="single" w:sz="8" w:space="0" w:color="000000"/>
            </w:tcBorders>
          </w:tcPr>
          <w:p>
            <w:pPr>
              <w:pStyle w:val="TableParagraph"/>
              <w:rPr>
                <w:sz w:val="18"/>
              </w:rPr>
            </w:pPr>
          </w:p>
        </w:tc>
        <w:tc>
          <w:tcPr>
            <w:tcW w:w="1417" w:type="dxa"/>
            <w:tcBorders>
              <w:top w:val="nil"/>
              <w:left w:val="single" w:sz="8" w:space="0" w:color="000000"/>
              <w:bottom w:val="nil"/>
              <w:right w:val="single" w:sz="8" w:space="0" w:color="000000"/>
            </w:tcBorders>
          </w:tcPr>
          <w:p>
            <w:pPr>
              <w:pStyle w:val="TableParagraph"/>
              <w:rPr>
                <w:sz w:val="18"/>
              </w:rPr>
            </w:pPr>
          </w:p>
        </w:tc>
        <w:tc>
          <w:tcPr>
            <w:tcW w:w="1562" w:type="dxa"/>
            <w:tcBorders>
              <w:top w:val="nil"/>
              <w:left w:val="single" w:sz="8" w:space="0" w:color="000000"/>
              <w:bottom w:val="nil"/>
            </w:tcBorders>
          </w:tcPr>
          <w:p>
            <w:pPr>
              <w:pStyle w:val="TableParagraph"/>
              <w:rPr>
                <w:sz w:val="18"/>
              </w:rPr>
            </w:pPr>
          </w:p>
        </w:tc>
      </w:tr>
      <w:tr>
        <w:trPr>
          <w:trHeight w:val="413" w:hRule="atLeast"/>
        </w:trPr>
        <w:tc>
          <w:tcPr>
            <w:tcW w:w="668" w:type="dxa"/>
            <w:tcBorders>
              <w:top w:val="nil"/>
              <w:bottom w:val="nil"/>
            </w:tcBorders>
          </w:tcPr>
          <w:p>
            <w:pPr>
              <w:pStyle w:val="TableParagraph"/>
              <w:spacing w:before="99"/>
              <w:ind w:left="78"/>
              <w:rPr>
                <w:sz w:val="18"/>
              </w:rPr>
            </w:pPr>
            <w:r>
              <w:rPr>
                <w:sz w:val="18"/>
              </w:rPr>
              <w:t>13</w:t>
            </w:r>
          </w:p>
        </w:tc>
        <w:tc>
          <w:tcPr>
            <w:tcW w:w="843" w:type="dxa"/>
            <w:tcBorders>
              <w:top w:val="nil"/>
              <w:bottom w:val="nil"/>
              <w:right w:val="single" w:sz="8" w:space="0" w:color="000000"/>
            </w:tcBorders>
          </w:tcPr>
          <w:p>
            <w:pPr>
              <w:pStyle w:val="TableParagraph"/>
              <w:spacing w:before="99"/>
              <w:ind w:right="40"/>
              <w:jc w:val="right"/>
              <w:rPr>
                <w:sz w:val="18"/>
              </w:rPr>
            </w:pPr>
            <w:r>
              <w:rPr>
                <w:sz w:val="18"/>
              </w:rPr>
              <w:t>.767</w:t>
            </w:r>
          </w:p>
        </w:tc>
        <w:tc>
          <w:tcPr>
            <w:tcW w:w="1275" w:type="dxa"/>
            <w:tcBorders>
              <w:top w:val="nil"/>
              <w:left w:val="single" w:sz="8" w:space="0" w:color="000000"/>
              <w:bottom w:val="nil"/>
              <w:right w:val="single" w:sz="8" w:space="0" w:color="000000"/>
            </w:tcBorders>
          </w:tcPr>
          <w:p>
            <w:pPr>
              <w:pStyle w:val="TableParagraph"/>
              <w:spacing w:before="99"/>
              <w:ind w:right="38"/>
              <w:jc w:val="right"/>
              <w:rPr>
                <w:sz w:val="18"/>
              </w:rPr>
            </w:pPr>
            <w:r>
              <w:rPr>
                <w:sz w:val="18"/>
              </w:rPr>
              <w:t>1.827</w:t>
            </w:r>
          </w:p>
        </w:tc>
        <w:tc>
          <w:tcPr>
            <w:tcW w:w="1278" w:type="dxa"/>
            <w:tcBorders>
              <w:top w:val="nil"/>
              <w:left w:val="single" w:sz="8" w:space="0" w:color="000000"/>
              <w:bottom w:val="nil"/>
              <w:right w:val="single" w:sz="8" w:space="0" w:color="000000"/>
            </w:tcBorders>
          </w:tcPr>
          <w:p>
            <w:pPr>
              <w:pStyle w:val="TableParagraph"/>
              <w:spacing w:before="99"/>
              <w:ind w:right="41"/>
              <w:jc w:val="right"/>
              <w:rPr>
                <w:sz w:val="18"/>
              </w:rPr>
            </w:pPr>
            <w:r>
              <w:rPr>
                <w:sz w:val="18"/>
              </w:rPr>
              <w:t>71.775</w:t>
            </w:r>
          </w:p>
        </w:tc>
        <w:tc>
          <w:tcPr>
            <w:tcW w:w="850" w:type="dxa"/>
            <w:tcBorders>
              <w:top w:val="nil"/>
              <w:left w:val="single" w:sz="8" w:space="0" w:color="000000"/>
              <w:bottom w:val="nil"/>
              <w:right w:val="single" w:sz="8" w:space="0" w:color="000000"/>
            </w:tcBorders>
          </w:tcPr>
          <w:p>
            <w:pPr>
              <w:pStyle w:val="TableParagraph"/>
              <w:rPr>
                <w:sz w:val="18"/>
              </w:rPr>
            </w:pPr>
          </w:p>
        </w:tc>
        <w:tc>
          <w:tcPr>
            <w:tcW w:w="1278" w:type="dxa"/>
            <w:tcBorders>
              <w:top w:val="nil"/>
              <w:left w:val="single" w:sz="8" w:space="0" w:color="000000"/>
              <w:bottom w:val="nil"/>
              <w:right w:val="single" w:sz="8" w:space="0" w:color="000000"/>
            </w:tcBorders>
          </w:tcPr>
          <w:p>
            <w:pPr>
              <w:pStyle w:val="TableParagraph"/>
              <w:rPr>
                <w:sz w:val="18"/>
              </w:rPr>
            </w:pPr>
          </w:p>
        </w:tc>
        <w:tc>
          <w:tcPr>
            <w:tcW w:w="1417" w:type="dxa"/>
            <w:tcBorders>
              <w:top w:val="nil"/>
              <w:left w:val="single" w:sz="8" w:space="0" w:color="000000"/>
              <w:bottom w:val="nil"/>
              <w:right w:val="single" w:sz="8" w:space="0" w:color="000000"/>
            </w:tcBorders>
          </w:tcPr>
          <w:p>
            <w:pPr>
              <w:pStyle w:val="TableParagraph"/>
              <w:rPr>
                <w:sz w:val="18"/>
              </w:rPr>
            </w:pPr>
          </w:p>
        </w:tc>
        <w:tc>
          <w:tcPr>
            <w:tcW w:w="1562" w:type="dxa"/>
            <w:tcBorders>
              <w:top w:val="nil"/>
              <w:left w:val="single" w:sz="8" w:space="0" w:color="000000"/>
              <w:bottom w:val="nil"/>
            </w:tcBorders>
          </w:tcPr>
          <w:p>
            <w:pPr>
              <w:pStyle w:val="TableParagraph"/>
              <w:rPr>
                <w:sz w:val="18"/>
              </w:rPr>
            </w:pPr>
          </w:p>
        </w:tc>
      </w:tr>
      <w:tr>
        <w:trPr>
          <w:trHeight w:val="414" w:hRule="atLeast"/>
        </w:trPr>
        <w:tc>
          <w:tcPr>
            <w:tcW w:w="668" w:type="dxa"/>
            <w:tcBorders>
              <w:top w:val="nil"/>
              <w:bottom w:val="nil"/>
            </w:tcBorders>
          </w:tcPr>
          <w:p>
            <w:pPr>
              <w:pStyle w:val="TableParagraph"/>
              <w:spacing w:before="100"/>
              <w:ind w:left="78"/>
              <w:rPr>
                <w:sz w:val="18"/>
              </w:rPr>
            </w:pPr>
            <w:r>
              <w:rPr>
                <w:sz w:val="18"/>
              </w:rPr>
              <w:t>14</w:t>
            </w:r>
          </w:p>
        </w:tc>
        <w:tc>
          <w:tcPr>
            <w:tcW w:w="843" w:type="dxa"/>
            <w:tcBorders>
              <w:top w:val="nil"/>
              <w:bottom w:val="nil"/>
              <w:right w:val="single" w:sz="8" w:space="0" w:color="000000"/>
            </w:tcBorders>
          </w:tcPr>
          <w:p>
            <w:pPr>
              <w:pStyle w:val="TableParagraph"/>
              <w:spacing w:before="100"/>
              <w:ind w:right="40"/>
              <w:jc w:val="right"/>
              <w:rPr>
                <w:sz w:val="18"/>
              </w:rPr>
            </w:pPr>
            <w:r>
              <w:rPr>
                <w:sz w:val="18"/>
              </w:rPr>
              <w:t>.745</w:t>
            </w:r>
          </w:p>
        </w:tc>
        <w:tc>
          <w:tcPr>
            <w:tcW w:w="1275" w:type="dxa"/>
            <w:tcBorders>
              <w:top w:val="nil"/>
              <w:left w:val="single" w:sz="8" w:space="0" w:color="000000"/>
              <w:bottom w:val="nil"/>
              <w:right w:val="single" w:sz="8" w:space="0" w:color="000000"/>
            </w:tcBorders>
          </w:tcPr>
          <w:p>
            <w:pPr>
              <w:pStyle w:val="TableParagraph"/>
              <w:spacing w:before="100"/>
              <w:ind w:right="38"/>
              <w:jc w:val="right"/>
              <w:rPr>
                <w:sz w:val="18"/>
              </w:rPr>
            </w:pPr>
            <w:r>
              <w:rPr>
                <w:sz w:val="18"/>
              </w:rPr>
              <w:t>1.773</w:t>
            </w:r>
          </w:p>
        </w:tc>
        <w:tc>
          <w:tcPr>
            <w:tcW w:w="1278" w:type="dxa"/>
            <w:tcBorders>
              <w:top w:val="nil"/>
              <w:left w:val="single" w:sz="8" w:space="0" w:color="000000"/>
              <w:bottom w:val="nil"/>
              <w:right w:val="single" w:sz="8" w:space="0" w:color="000000"/>
            </w:tcBorders>
          </w:tcPr>
          <w:p>
            <w:pPr>
              <w:pStyle w:val="TableParagraph"/>
              <w:spacing w:before="100"/>
              <w:ind w:right="44"/>
              <w:jc w:val="right"/>
              <w:rPr>
                <w:sz w:val="18"/>
              </w:rPr>
            </w:pPr>
            <w:r>
              <w:rPr>
                <w:sz w:val="18"/>
              </w:rPr>
              <w:t>73.548</w:t>
            </w:r>
          </w:p>
        </w:tc>
        <w:tc>
          <w:tcPr>
            <w:tcW w:w="850" w:type="dxa"/>
            <w:tcBorders>
              <w:top w:val="nil"/>
              <w:left w:val="single" w:sz="8" w:space="0" w:color="000000"/>
              <w:bottom w:val="nil"/>
              <w:right w:val="single" w:sz="8" w:space="0" w:color="000000"/>
            </w:tcBorders>
          </w:tcPr>
          <w:p>
            <w:pPr>
              <w:pStyle w:val="TableParagraph"/>
              <w:rPr>
                <w:sz w:val="18"/>
              </w:rPr>
            </w:pPr>
          </w:p>
        </w:tc>
        <w:tc>
          <w:tcPr>
            <w:tcW w:w="1278" w:type="dxa"/>
            <w:tcBorders>
              <w:top w:val="nil"/>
              <w:left w:val="single" w:sz="8" w:space="0" w:color="000000"/>
              <w:bottom w:val="nil"/>
              <w:right w:val="single" w:sz="8" w:space="0" w:color="000000"/>
            </w:tcBorders>
          </w:tcPr>
          <w:p>
            <w:pPr>
              <w:pStyle w:val="TableParagraph"/>
              <w:rPr>
                <w:sz w:val="18"/>
              </w:rPr>
            </w:pPr>
          </w:p>
        </w:tc>
        <w:tc>
          <w:tcPr>
            <w:tcW w:w="1417" w:type="dxa"/>
            <w:tcBorders>
              <w:top w:val="nil"/>
              <w:left w:val="single" w:sz="8" w:space="0" w:color="000000"/>
              <w:bottom w:val="nil"/>
              <w:right w:val="single" w:sz="8" w:space="0" w:color="000000"/>
            </w:tcBorders>
          </w:tcPr>
          <w:p>
            <w:pPr>
              <w:pStyle w:val="TableParagraph"/>
              <w:rPr>
                <w:sz w:val="18"/>
              </w:rPr>
            </w:pPr>
          </w:p>
        </w:tc>
        <w:tc>
          <w:tcPr>
            <w:tcW w:w="1562" w:type="dxa"/>
            <w:tcBorders>
              <w:top w:val="nil"/>
              <w:left w:val="single" w:sz="8" w:space="0" w:color="000000"/>
              <w:bottom w:val="nil"/>
            </w:tcBorders>
          </w:tcPr>
          <w:p>
            <w:pPr>
              <w:pStyle w:val="TableParagraph"/>
              <w:rPr>
                <w:sz w:val="18"/>
              </w:rPr>
            </w:pPr>
          </w:p>
        </w:tc>
      </w:tr>
      <w:tr>
        <w:trPr>
          <w:trHeight w:val="414" w:hRule="atLeast"/>
        </w:trPr>
        <w:tc>
          <w:tcPr>
            <w:tcW w:w="668" w:type="dxa"/>
            <w:tcBorders>
              <w:top w:val="nil"/>
              <w:bottom w:val="nil"/>
            </w:tcBorders>
          </w:tcPr>
          <w:p>
            <w:pPr>
              <w:pStyle w:val="TableParagraph"/>
              <w:spacing w:before="99"/>
              <w:ind w:left="78"/>
              <w:rPr>
                <w:sz w:val="18"/>
              </w:rPr>
            </w:pPr>
            <w:r>
              <w:rPr>
                <w:sz w:val="18"/>
              </w:rPr>
              <w:t>15</w:t>
            </w:r>
          </w:p>
        </w:tc>
        <w:tc>
          <w:tcPr>
            <w:tcW w:w="843" w:type="dxa"/>
            <w:tcBorders>
              <w:top w:val="nil"/>
              <w:bottom w:val="nil"/>
              <w:right w:val="single" w:sz="8" w:space="0" w:color="000000"/>
            </w:tcBorders>
          </w:tcPr>
          <w:p>
            <w:pPr>
              <w:pStyle w:val="TableParagraph"/>
              <w:spacing w:before="99"/>
              <w:ind w:right="41"/>
              <w:jc w:val="right"/>
              <w:rPr>
                <w:sz w:val="18"/>
              </w:rPr>
            </w:pPr>
            <w:r>
              <w:rPr>
                <w:sz w:val="18"/>
              </w:rPr>
              <w:t>.680</w:t>
            </w:r>
          </w:p>
        </w:tc>
        <w:tc>
          <w:tcPr>
            <w:tcW w:w="1275" w:type="dxa"/>
            <w:tcBorders>
              <w:top w:val="nil"/>
              <w:left w:val="single" w:sz="8" w:space="0" w:color="000000"/>
              <w:bottom w:val="nil"/>
              <w:right w:val="single" w:sz="8" w:space="0" w:color="000000"/>
            </w:tcBorders>
          </w:tcPr>
          <w:p>
            <w:pPr>
              <w:pStyle w:val="TableParagraph"/>
              <w:spacing w:before="99"/>
              <w:ind w:right="38"/>
              <w:jc w:val="right"/>
              <w:rPr>
                <w:sz w:val="18"/>
              </w:rPr>
            </w:pPr>
            <w:r>
              <w:rPr>
                <w:sz w:val="18"/>
              </w:rPr>
              <w:t>1.620</w:t>
            </w:r>
          </w:p>
        </w:tc>
        <w:tc>
          <w:tcPr>
            <w:tcW w:w="1278" w:type="dxa"/>
            <w:tcBorders>
              <w:top w:val="nil"/>
              <w:left w:val="single" w:sz="8" w:space="0" w:color="000000"/>
              <w:bottom w:val="nil"/>
              <w:right w:val="single" w:sz="8" w:space="0" w:color="000000"/>
            </w:tcBorders>
          </w:tcPr>
          <w:p>
            <w:pPr>
              <w:pStyle w:val="TableParagraph"/>
              <w:spacing w:before="99"/>
              <w:ind w:right="41"/>
              <w:jc w:val="right"/>
              <w:rPr>
                <w:sz w:val="18"/>
              </w:rPr>
            </w:pPr>
            <w:r>
              <w:rPr>
                <w:sz w:val="18"/>
              </w:rPr>
              <w:t>75.168</w:t>
            </w:r>
          </w:p>
        </w:tc>
        <w:tc>
          <w:tcPr>
            <w:tcW w:w="850" w:type="dxa"/>
            <w:tcBorders>
              <w:top w:val="nil"/>
              <w:left w:val="single" w:sz="8" w:space="0" w:color="000000"/>
              <w:bottom w:val="nil"/>
              <w:right w:val="single" w:sz="8" w:space="0" w:color="000000"/>
            </w:tcBorders>
          </w:tcPr>
          <w:p>
            <w:pPr>
              <w:pStyle w:val="TableParagraph"/>
              <w:rPr>
                <w:sz w:val="18"/>
              </w:rPr>
            </w:pPr>
          </w:p>
        </w:tc>
        <w:tc>
          <w:tcPr>
            <w:tcW w:w="1278" w:type="dxa"/>
            <w:tcBorders>
              <w:top w:val="nil"/>
              <w:left w:val="single" w:sz="8" w:space="0" w:color="000000"/>
              <w:bottom w:val="nil"/>
              <w:right w:val="single" w:sz="8" w:space="0" w:color="000000"/>
            </w:tcBorders>
          </w:tcPr>
          <w:p>
            <w:pPr>
              <w:pStyle w:val="TableParagraph"/>
              <w:rPr>
                <w:sz w:val="18"/>
              </w:rPr>
            </w:pPr>
          </w:p>
        </w:tc>
        <w:tc>
          <w:tcPr>
            <w:tcW w:w="1417" w:type="dxa"/>
            <w:tcBorders>
              <w:top w:val="nil"/>
              <w:left w:val="single" w:sz="8" w:space="0" w:color="000000"/>
              <w:bottom w:val="nil"/>
              <w:right w:val="single" w:sz="8" w:space="0" w:color="000000"/>
            </w:tcBorders>
          </w:tcPr>
          <w:p>
            <w:pPr>
              <w:pStyle w:val="TableParagraph"/>
              <w:rPr>
                <w:sz w:val="18"/>
              </w:rPr>
            </w:pPr>
          </w:p>
        </w:tc>
        <w:tc>
          <w:tcPr>
            <w:tcW w:w="1562" w:type="dxa"/>
            <w:tcBorders>
              <w:top w:val="nil"/>
              <w:left w:val="single" w:sz="8" w:space="0" w:color="000000"/>
              <w:bottom w:val="nil"/>
            </w:tcBorders>
          </w:tcPr>
          <w:p>
            <w:pPr>
              <w:pStyle w:val="TableParagraph"/>
              <w:rPr>
                <w:sz w:val="18"/>
              </w:rPr>
            </w:pPr>
          </w:p>
        </w:tc>
      </w:tr>
      <w:tr>
        <w:trPr>
          <w:trHeight w:val="413" w:hRule="atLeast"/>
        </w:trPr>
        <w:tc>
          <w:tcPr>
            <w:tcW w:w="668" w:type="dxa"/>
            <w:tcBorders>
              <w:top w:val="nil"/>
              <w:bottom w:val="nil"/>
            </w:tcBorders>
          </w:tcPr>
          <w:p>
            <w:pPr>
              <w:pStyle w:val="TableParagraph"/>
              <w:spacing w:before="100"/>
              <w:ind w:left="78"/>
              <w:rPr>
                <w:sz w:val="18"/>
              </w:rPr>
            </w:pPr>
            <w:r>
              <w:rPr>
                <w:sz w:val="18"/>
              </w:rPr>
              <w:t>16</w:t>
            </w:r>
          </w:p>
        </w:tc>
        <w:tc>
          <w:tcPr>
            <w:tcW w:w="843" w:type="dxa"/>
            <w:tcBorders>
              <w:top w:val="nil"/>
              <w:bottom w:val="nil"/>
              <w:right w:val="single" w:sz="8" w:space="0" w:color="000000"/>
            </w:tcBorders>
          </w:tcPr>
          <w:p>
            <w:pPr>
              <w:pStyle w:val="TableParagraph"/>
              <w:spacing w:before="100"/>
              <w:ind w:right="40"/>
              <w:jc w:val="right"/>
              <w:rPr>
                <w:sz w:val="18"/>
              </w:rPr>
            </w:pPr>
            <w:r>
              <w:rPr>
                <w:sz w:val="18"/>
              </w:rPr>
              <w:t>.638</w:t>
            </w:r>
          </w:p>
        </w:tc>
        <w:tc>
          <w:tcPr>
            <w:tcW w:w="1275" w:type="dxa"/>
            <w:tcBorders>
              <w:top w:val="nil"/>
              <w:left w:val="single" w:sz="8" w:space="0" w:color="000000"/>
              <w:bottom w:val="nil"/>
              <w:right w:val="single" w:sz="8" w:space="0" w:color="000000"/>
            </w:tcBorders>
          </w:tcPr>
          <w:p>
            <w:pPr>
              <w:pStyle w:val="TableParagraph"/>
              <w:spacing w:before="100"/>
              <w:ind w:right="38"/>
              <w:jc w:val="right"/>
              <w:rPr>
                <w:sz w:val="18"/>
              </w:rPr>
            </w:pPr>
            <w:r>
              <w:rPr>
                <w:sz w:val="18"/>
              </w:rPr>
              <w:t>1.520</w:t>
            </w:r>
          </w:p>
        </w:tc>
        <w:tc>
          <w:tcPr>
            <w:tcW w:w="1278" w:type="dxa"/>
            <w:tcBorders>
              <w:top w:val="nil"/>
              <w:left w:val="single" w:sz="8" w:space="0" w:color="000000"/>
              <w:bottom w:val="nil"/>
              <w:right w:val="single" w:sz="8" w:space="0" w:color="000000"/>
            </w:tcBorders>
          </w:tcPr>
          <w:p>
            <w:pPr>
              <w:pStyle w:val="TableParagraph"/>
              <w:spacing w:before="100"/>
              <w:ind w:right="41"/>
              <w:jc w:val="right"/>
              <w:rPr>
                <w:sz w:val="18"/>
              </w:rPr>
            </w:pPr>
            <w:r>
              <w:rPr>
                <w:sz w:val="18"/>
              </w:rPr>
              <w:t>76.688</w:t>
            </w:r>
          </w:p>
        </w:tc>
        <w:tc>
          <w:tcPr>
            <w:tcW w:w="850" w:type="dxa"/>
            <w:tcBorders>
              <w:top w:val="nil"/>
              <w:left w:val="single" w:sz="8" w:space="0" w:color="000000"/>
              <w:bottom w:val="nil"/>
              <w:right w:val="single" w:sz="8" w:space="0" w:color="000000"/>
            </w:tcBorders>
          </w:tcPr>
          <w:p>
            <w:pPr>
              <w:pStyle w:val="TableParagraph"/>
              <w:rPr>
                <w:sz w:val="18"/>
              </w:rPr>
            </w:pPr>
          </w:p>
        </w:tc>
        <w:tc>
          <w:tcPr>
            <w:tcW w:w="1278" w:type="dxa"/>
            <w:tcBorders>
              <w:top w:val="nil"/>
              <w:left w:val="single" w:sz="8" w:space="0" w:color="000000"/>
              <w:bottom w:val="nil"/>
              <w:right w:val="single" w:sz="8" w:space="0" w:color="000000"/>
            </w:tcBorders>
          </w:tcPr>
          <w:p>
            <w:pPr>
              <w:pStyle w:val="TableParagraph"/>
              <w:rPr>
                <w:sz w:val="18"/>
              </w:rPr>
            </w:pPr>
          </w:p>
        </w:tc>
        <w:tc>
          <w:tcPr>
            <w:tcW w:w="1417" w:type="dxa"/>
            <w:tcBorders>
              <w:top w:val="nil"/>
              <w:left w:val="single" w:sz="8" w:space="0" w:color="000000"/>
              <w:bottom w:val="nil"/>
              <w:right w:val="single" w:sz="8" w:space="0" w:color="000000"/>
            </w:tcBorders>
          </w:tcPr>
          <w:p>
            <w:pPr>
              <w:pStyle w:val="TableParagraph"/>
              <w:rPr>
                <w:sz w:val="18"/>
              </w:rPr>
            </w:pPr>
          </w:p>
        </w:tc>
        <w:tc>
          <w:tcPr>
            <w:tcW w:w="1562" w:type="dxa"/>
            <w:tcBorders>
              <w:top w:val="nil"/>
              <w:left w:val="single" w:sz="8" w:space="0" w:color="000000"/>
              <w:bottom w:val="nil"/>
            </w:tcBorders>
          </w:tcPr>
          <w:p>
            <w:pPr>
              <w:pStyle w:val="TableParagraph"/>
              <w:rPr>
                <w:sz w:val="18"/>
              </w:rPr>
            </w:pPr>
          </w:p>
        </w:tc>
      </w:tr>
      <w:tr>
        <w:trPr>
          <w:trHeight w:val="414" w:hRule="atLeast"/>
        </w:trPr>
        <w:tc>
          <w:tcPr>
            <w:tcW w:w="668" w:type="dxa"/>
            <w:tcBorders>
              <w:top w:val="nil"/>
              <w:bottom w:val="nil"/>
            </w:tcBorders>
          </w:tcPr>
          <w:p>
            <w:pPr>
              <w:pStyle w:val="TableParagraph"/>
              <w:spacing w:before="99"/>
              <w:ind w:left="78"/>
              <w:rPr>
                <w:sz w:val="18"/>
              </w:rPr>
            </w:pPr>
            <w:r>
              <w:rPr>
                <w:sz w:val="18"/>
              </w:rPr>
              <w:t>17</w:t>
            </w:r>
          </w:p>
        </w:tc>
        <w:tc>
          <w:tcPr>
            <w:tcW w:w="843" w:type="dxa"/>
            <w:tcBorders>
              <w:top w:val="nil"/>
              <w:bottom w:val="nil"/>
              <w:right w:val="single" w:sz="8" w:space="0" w:color="000000"/>
            </w:tcBorders>
          </w:tcPr>
          <w:p>
            <w:pPr>
              <w:pStyle w:val="TableParagraph"/>
              <w:spacing w:before="99"/>
              <w:ind w:right="40"/>
              <w:jc w:val="right"/>
              <w:rPr>
                <w:sz w:val="18"/>
              </w:rPr>
            </w:pPr>
            <w:r>
              <w:rPr>
                <w:sz w:val="18"/>
              </w:rPr>
              <w:t>.612</w:t>
            </w:r>
          </w:p>
        </w:tc>
        <w:tc>
          <w:tcPr>
            <w:tcW w:w="1275" w:type="dxa"/>
            <w:tcBorders>
              <w:top w:val="nil"/>
              <w:left w:val="single" w:sz="8" w:space="0" w:color="000000"/>
              <w:bottom w:val="nil"/>
              <w:right w:val="single" w:sz="8" w:space="0" w:color="000000"/>
            </w:tcBorders>
          </w:tcPr>
          <w:p>
            <w:pPr>
              <w:pStyle w:val="TableParagraph"/>
              <w:spacing w:before="99"/>
              <w:ind w:right="38"/>
              <w:jc w:val="right"/>
              <w:rPr>
                <w:sz w:val="18"/>
              </w:rPr>
            </w:pPr>
            <w:r>
              <w:rPr>
                <w:sz w:val="18"/>
              </w:rPr>
              <w:t>1.458</w:t>
            </w:r>
          </w:p>
        </w:tc>
        <w:tc>
          <w:tcPr>
            <w:tcW w:w="1278" w:type="dxa"/>
            <w:tcBorders>
              <w:top w:val="nil"/>
              <w:left w:val="single" w:sz="8" w:space="0" w:color="000000"/>
              <w:bottom w:val="nil"/>
              <w:right w:val="single" w:sz="8" w:space="0" w:color="000000"/>
            </w:tcBorders>
          </w:tcPr>
          <w:p>
            <w:pPr>
              <w:pStyle w:val="TableParagraph"/>
              <w:spacing w:before="99"/>
              <w:ind w:right="41"/>
              <w:jc w:val="right"/>
              <w:rPr>
                <w:sz w:val="18"/>
              </w:rPr>
            </w:pPr>
            <w:r>
              <w:rPr>
                <w:sz w:val="18"/>
              </w:rPr>
              <w:t>78.146</w:t>
            </w:r>
          </w:p>
        </w:tc>
        <w:tc>
          <w:tcPr>
            <w:tcW w:w="850" w:type="dxa"/>
            <w:tcBorders>
              <w:top w:val="nil"/>
              <w:left w:val="single" w:sz="8" w:space="0" w:color="000000"/>
              <w:bottom w:val="nil"/>
              <w:right w:val="single" w:sz="8" w:space="0" w:color="000000"/>
            </w:tcBorders>
          </w:tcPr>
          <w:p>
            <w:pPr>
              <w:pStyle w:val="TableParagraph"/>
              <w:rPr>
                <w:sz w:val="18"/>
              </w:rPr>
            </w:pPr>
          </w:p>
        </w:tc>
        <w:tc>
          <w:tcPr>
            <w:tcW w:w="1278" w:type="dxa"/>
            <w:tcBorders>
              <w:top w:val="nil"/>
              <w:left w:val="single" w:sz="8" w:space="0" w:color="000000"/>
              <w:bottom w:val="nil"/>
              <w:right w:val="single" w:sz="8" w:space="0" w:color="000000"/>
            </w:tcBorders>
          </w:tcPr>
          <w:p>
            <w:pPr>
              <w:pStyle w:val="TableParagraph"/>
              <w:rPr>
                <w:sz w:val="18"/>
              </w:rPr>
            </w:pPr>
          </w:p>
        </w:tc>
        <w:tc>
          <w:tcPr>
            <w:tcW w:w="1417" w:type="dxa"/>
            <w:tcBorders>
              <w:top w:val="nil"/>
              <w:left w:val="single" w:sz="8" w:space="0" w:color="000000"/>
              <w:bottom w:val="nil"/>
              <w:right w:val="single" w:sz="8" w:space="0" w:color="000000"/>
            </w:tcBorders>
          </w:tcPr>
          <w:p>
            <w:pPr>
              <w:pStyle w:val="TableParagraph"/>
              <w:rPr>
                <w:sz w:val="18"/>
              </w:rPr>
            </w:pPr>
          </w:p>
        </w:tc>
        <w:tc>
          <w:tcPr>
            <w:tcW w:w="1562" w:type="dxa"/>
            <w:tcBorders>
              <w:top w:val="nil"/>
              <w:left w:val="single" w:sz="8" w:space="0" w:color="000000"/>
              <w:bottom w:val="nil"/>
            </w:tcBorders>
          </w:tcPr>
          <w:p>
            <w:pPr>
              <w:pStyle w:val="TableParagraph"/>
              <w:rPr>
                <w:sz w:val="18"/>
              </w:rPr>
            </w:pPr>
          </w:p>
        </w:tc>
      </w:tr>
      <w:tr>
        <w:trPr>
          <w:trHeight w:val="413" w:hRule="atLeast"/>
        </w:trPr>
        <w:tc>
          <w:tcPr>
            <w:tcW w:w="668" w:type="dxa"/>
            <w:tcBorders>
              <w:top w:val="nil"/>
              <w:bottom w:val="nil"/>
            </w:tcBorders>
          </w:tcPr>
          <w:p>
            <w:pPr>
              <w:pStyle w:val="TableParagraph"/>
              <w:spacing w:before="100"/>
              <w:ind w:left="78"/>
              <w:rPr>
                <w:sz w:val="18"/>
              </w:rPr>
            </w:pPr>
            <w:r>
              <w:rPr>
                <w:sz w:val="18"/>
              </w:rPr>
              <w:t>18</w:t>
            </w:r>
          </w:p>
        </w:tc>
        <w:tc>
          <w:tcPr>
            <w:tcW w:w="843" w:type="dxa"/>
            <w:tcBorders>
              <w:top w:val="nil"/>
              <w:bottom w:val="nil"/>
              <w:right w:val="single" w:sz="8" w:space="0" w:color="000000"/>
            </w:tcBorders>
          </w:tcPr>
          <w:p>
            <w:pPr>
              <w:pStyle w:val="TableParagraph"/>
              <w:spacing w:before="100"/>
              <w:ind w:right="41"/>
              <w:jc w:val="right"/>
              <w:rPr>
                <w:sz w:val="18"/>
              </w:rPr>
            </w:pPr>
            <w:r>
              <w:rPr>
                <w:sz w:val="18"/>
              </w:rPr>
              <w:t>.591</w:t>
            </w:r>
          </w:p>
        </w:tc>
        <w:tc>
          <w:tcPr>
            <w:tcW w:w="1275" w:type="dxa"/>
            <w:tcBorders>
              <w:top w:val="nil"/>
              <w:left w:val="single" w:sz="8" w:space="0" w:color="000000"/>
              <w:bottom w:val="nil"/>
              <w:right w:val="single" w:sz="8" w:space="0" w:color="000000"/>
            </w:tcBorders>
          </w:tcPr>
          <w:p>
            <w:pPr>
              <w:pStyle w:val="TableParagraph"/>
              <w:spacing w:before="100"/>
              <w:ind w:right="38"/>
              <w:jc w:val="right"/>
              <w:rPr>
                <w:sz w:val="18"/>
              </w:rPr>
            </w:pPr>
            <w:r>
              <w:rPr>
                <w:sz w:val="18"/>
              </w:rPr>
              <w:t>1.408</w:t>
            </w:r>
          </w:p>
        </w:tc>
        <w:tc>
          <w:tcPr>
            <w:tcW w:w="1278" w:type="dxa"/>
            <w:tcBorders>
              <w:top w:val="nil"/>
              <w:left w:val="single" w:sz="8" w:space="0" w:color="000000"/>
              <w:bottom w:val="nil"/>
              <w:right w:val="single" w:sz="8" w:space="0" w:color="000000"/>
            </w:tcBorders>
          </w:tcPr>
          <w:p>
            <w:pPr>
              <w:pStyle w:val="TableParagraph"/>
              <w:spacing w:before="100"/>
              <w:ind w:right="41"/>
              <w:jc w:val="right"/>
              <w:rPr>
                <w:sz w:val="18"/>
              </w:rPr>
            </w:pPr>
            <w:r>
              <w:rPr>
                <w:sz w:val="18"/>
              </w:rPr>
              <w:t>79.554</w:t>
            </w:r>
          </w:p>
        </w:tc>
        <w:tc>
          <w:tcPr>
            <w:tcW w:w="850" w:type="dxa"/>
            <w:tcBorders>
              <w:top w:val="nil"/>
              <w:left w:val="single" w:sz="8" w:space="0" w:color="000000"/>
              <w:bottom w:val="nil"/>
              <w:right w:val="single" w:sz="8" w:space="0" w:color="000000"/>
            </w:tcBorders>
          </w:tcPr>
          <w:p>
            <w:pPr>
              <w:pStyle w:val="TableParagraph"/>
              <w:rPr>
                <w:sz w:val="18"/>
              </w:rPr>
            </w:pPr>
          </w:p>
        </w:tc>
        <w:tc>
          <w:tcPr>
            <w:tcW w:w="1278" w:type="dxa"/>
            <w:tcBorders>
              <w:top w:val="nil"/>
              <w:left w:val="single" w:sz="8" w:space="0" w:color="000000"/>
              <w:bottom w:val="nil"/>
              <w:right w:val="single" w:sz="8" w:space="0" w:color="000000"/>
            </w:tcBorders>
          </w:tcPr>
          <w:p>
            <w:pPr>
              <w:pStyle w:val="TableParagraph"/>
              <w:rPr>
                <w:sz w:val="18"/>
              </w:rPr>
            </w:pPr>
          </w:p>
        </w:tc>
        <w:tc>
          <w:tcPr>
            <w:tcW w:w="1417" w:type="dxa"/>
            <w:tcBorders>
              <w:top w:val="nil"/>
              <w:left w:val="single" w:sz="8" w:space="0" w:color="000000"/>
              <w:bottom w:val="nil"/>
              <w:right w:val="single" w:sz="8" w:space="0" w:color="000000"/>
            </w:tcBorders>
          </w:tcPr>
          <w:p>
            <w:pPr>
              <w:pStyle w:val="TableParagraph"/>
              <w:rPr>
                <w:sz w:val="18"/>
              </w:rPr>
            </w:pPr>
          </w:p>
        </w:tc>
        <w:tc>
          <w:tcPr>
            <w:tcW w:w="1562" w:type="dxa"/>
            <w:tcBorders>
              <w:top w:val="nil"/>
              <w:left w:val="single" w:sz="8" w:space="0" w:color="000000"/>
              <w:bottom w:val="nil"/>
            </w:tcBorders>
          </w:tcPr>
          <w:p>
            <w:pPr>
              <w:pStyle w:val="TableParagraph"/>
              <w:rPr>
                <w:sz w:val="18"/>
              </w:rPr>
            </w:pPr>
          </w:p>
        </w:tc>
      </w:tr>
      <w:tr>
        <w:trPr>
          <w:trHeight w:val="413" w:hRule="atLeast"/>
        </w:trPr>
        <w:tc>
          <w:tcPr>
            <w:tcW w:w="668" w:type="dxa"/>
            <w:tcBorders>
              <w:top w:val="nil"/>
              <w:bottom w:val="nil"/>
            </w:tcBorders>
          </w:tcPr>
          <w:p>
            <w:pPr>
              <w:pStyle w:val="TableParagraph"/>
              <w:spacing w:before="99"/>
              <w:ind w:left="78"/>
              <w:rPr>
                <w:sz w:val="18"/>
              </w:rPr>
            </w:pPr>
            <w:r>
              <w:rPr>
                <w:sz w:val="18"/>
              </w:rPr>
              <w:t>19</w:t>
            </w:r>
          </w:p>
        </w:tc>
        <w:tc>
          <w:tcPr>
            <w:tcW w:w="843" w:type="dxa"/>
            <w:tcBorders>
              <w:top w:val="nil"/>
              <w:bottom w:val="nil"/>
              <w:right w:val="single" w:sz="8" w:space="0" w:color="000000"/>
            </w:tcBorders>
          </w:tcPr>
          <w:p>
            <w:pPr>
              <w:pStyle w:val="TableParagraph"/>
              <w:spacing w:before="99"/>
              <w:ind w:right="41"/>
              <w:jc w:val="right"/>
              <w:rPr>
                <w:sz w:val="18"/>
              </w:rPr>
            </w:pPr>
            <w:r>
              <w:rPr>
                <w:sz w:val="18"/>
              </w:rPr>
              <w:t>.553</w:t>
            </w:r>
          </w:p>
        </w:tc>
        <w:tc>
          <w:tcPr>
            <w:tcW w:w="1275" w:type="dxa"/>
            <w:tcBorders>
              <w:top w:val="nil"/>
              <w:left w:val="single" w:sz="8" w:space="0" w:color="000000"/>
              <w:bottom w:val="nil"/>
              <w:right w:val="single" w:sz="8" w:space="0" w:color="000000"/>
            </w:tcBorders>
          </w:tcPr>
          <w:p>
            <w:pPr>
              <w:pStyle w:val="TableParagraph"/>
              <w:spacing w:before="99"/>
              <w:ind w:right="38"/>
              <w:jc w:val="right"/>
              <w:rPr>
                <w:sz w:val="18"/>
              </w:rPr>
            </w:pPr>
            <w:r>
              <w:rPr>
                <w:sz w:val="18"/>
              </w:rPr>
              <w:t>1.317</w:t>
            </w:r>
          </w:p>
        </w:tc>
        <w:tc>
          <w:tcPr>
            <w:tcW w:w="1278" w:type="dxa"/>
            <w:tcBorders>
              <w:top w:val="nil"/>
              <w:left w:val="single" w:sz="8" w:space="0" w:color="000000"/>
              <w:bottom w:val="nil"/>
              <w:right w:val="single" w:sz="8" w:space="0" w:color="000000"/>
            </w:tcBorders>
          </w:tcPr>
          <w:p>
            <w:pPr>
              <w:pStyle w:val="TableParagraph"/>
              <w:spacing w:before="99"/>
              <w:ind w:right="41"/>
              <w:jc w:val="right"/>
              <w:rPr>
                <w:sz w:val="18"/>
              </w:rPr>
            </w:pPr>
            <w:r>
              <w:rPr>
                <w:sz w:val="18"/>
              </w:rPr>
              <w:t>80.871</w:t>
            </w:r>
          </w:p>
        </w:tc>
        <w:tc>
          <w:tcPr>
            <w:tcW w:w="850" w:type="dxa"/>
            <w:tcBorders>
              <w:top w:val="nil"/>
              <w:left w:val="single" w:sz="8" w:space="0" w:color="000000"/>
              <w:bottom w:val="nil"/>
              <w:right w:val="single" w:sz="8" w:space="0" w:color="000000"/>
            </w:tcBorders>
          </w:tcPr>
          <w:p>
            <w:pPr>
              <w:pStyle w:val="TableParagraph"/>
              <w:rPr>
                <w:sz w:val="18"/>
              </w:rPr>
            </w:pPr>
          </w:p>
        </w:tc>
        <w:tc>
          <w:tcPr>
            <w:tcW w:w="1278" w:type="dxa"/>
            <w:tcBorders>
              <w:top w:val="nil"/>
              <w:left w:val="single" w:sz="8" w:space="0" w:color="000000"/>
              <w:bottom w:val="nil"/>
              <w:right w:val="single" w:sz="8" w:space="0" w:color="000000"/>
            </w:tcBorders>
          </w:tcPr>
          <w:p>
            <w:pPr>
              <w:pStyle w:val="TableParagraph"/>
              <w:rPr>
                <w:sz w:val="18"/>
              </w:rPr>
            </w:pPr>
          </w:p>
        </w:tc>
        <w:tc>
          <w:tcPr>
            <w:tcW w:w="1417" w:type="dxa"/>
            <w:tcBorders>
              <w:top w:val="nil"/>
              <w:left w:val="single" w:sz="8" w:space="0" w:color="000000"/>
              <w:bottom w:val="nil"/>
              <w:right w:val="single" w:sz="8" w:space="0" w:color="000000"/>
            </w:tcBorders>
          </w:tcPr>
          <w:p>
            <w:pPr>
              <w:pStyle w:val="TableParagraph"/>
              <w:rPr>
                <w:sz w:val="18"/>
              </w:rPr>
            </w:pPr>
          </w:p>
        </w:tc>
        <w:tc>
          <w:tcPr>
            <w:tcW w:w="1562" w:type="dxa"/>
            <w:tcBorders>
              <w:top w:val="nil"/>
              <w:left w:val="single" w:sz="8" w:space="0" w:color="000000"/>
              <w:bottom w:val="nil"/>
            </w:tcBorders>
          </w:tcPr>
          <w:p>
            <w:pPr>
              <w:pStyle w:val="TableParagraph"/>
              <w:rPr>
                <w:sz w:val="18"/>
              </w:rPr>
            </w:pPr>
          </w:p>
        </w:tc>
      </w:tr>
      <w:tr>
        <w:trPr>
          <w:trHeight w:val="413" w:hRule="atLeast"/>
        </w:trPr>
        <w:tc>
          <w:tcPr>
            <w:tcW w:w="668" w:type="dxa"/>
            <w:tcBorders>
              <w:top w:val="nil"/>
              <w:bottom w:val="nil"/>
            </w:tcBorders>
          </w:tcPr>
          <w:p>
            <w:pPr>
              <w:pStyle w:val="TableParagraph"/>
              <w:spacing w:before="100"/>
              <w:ind w:left="78"/>
              <w:rPr>
                <w:sz w:val="18"/>
              </w:rPr>
            </w:pPr>
            <w:r>
              <w:rPr>
                <w:sz w:val="18"/>
              </w:rPr>
              <w:t>20</w:t>
            </w:r>
          </w:p>
        </w:tc>
        <w:tc>
          <w:tcPr>
            <w:tcW w:w="843" w:type="dxa"/>
            <w:tcBorders>
              <w:top w:val="nil"/>
              <w:bottom w:val="nil"/>
              <w:right w:val="single" w:sz="8" w:space="0" w:color="000000"/>
            </w:tcBorders>
          </w:tcPr>
          <w:p>
            <w:pPr>
              <w:pStyle w:val="TableParagraph"/>
              <w:spacing w:before="100"/>
              <w:ind w:right="40"/>
              <w:jc w:val="right"/>
              <w:rPr>
                <w:sz w:val="18"/>
              </w:rPr>
            </w:pPr>
            <w:r>
              <w:rPr>
                <w:sz w:val="18"/>
              </w:rPr>
              <w:t>.533</w:t>
            </w:r>
          </w:p>
        </w:tc>
        <w:tc>
          <w:tcPr>
            <w:tcW w:w="1275" w:type="dxa"/>
            <w:tcBorders>
              <w:top w:val="nil"/>
              <w:left w:val="single" w:sz="8" w:space="0" w:color="000000"/>
              <w:bottom w:val="nil"/>
              <w:right w:val="single" w:sz="8" w:space="0" w:color="000000"/>
            </w:tcBorders>
          </w:tcPr>
          <w:p>
            <w:pPr>
              <w:pStyle w:val="TableParagraph"/>
              <w:spacing w:before="100"/>
              <w:ind w:right="38"/>
              <w:jc w:val="right"/>
              <w:rPr>
                <w:sz w:val="18"/>
              </w:rPr>
            </w:pPr>
            <w:r>
              <w:rPr>
                <w:sz w:val="18"/>
              </w:rPr>
              <w:t>1.270</w:t>
            </w:r>
          </w:p>
        </w:tc>
        <w:tc>
          <w:tcPr>
            <w:tcW w:w="1278" w:type="dxa"/>
            <w:tcBorders>
              <w:top w:val="nil"/>
              <w:left w:val="single" w:sz="8" w:space="0" w:color="000000"/>
              <w:bottom w:val="nil"/>
              <w:right w:val="single" w:sz="8" w:space="0" w:color="000000"/>
            </w:tcBorders>
          </w:tcPr>
          <w:p>
            <w:pPr>
              <w:pStyle w:val="TableParagraph"/>
              <w:spacing w:before="100"/>
              <w:ind w:right="44"/>
              <w:jc w:val="right"/>
              <w:rPr>
                <w:sz w:val="18"/>
              </w:rPr>
            </w:pPr>
            <w:r>
              <w:rPr>
                <w:sz w:val="18"/>
              </w:rPr>
              <w:t>82.141</w:t>
            </w:r>
          </w:p>
        </w:tc>
        <w:tc>
          <w:tcPr>
            <w:tcW w:w="850" w:type="dxa"/>
            <w:tcBorders>
              <w:top w:val="nil"/>
              <w:left w:val="single" w:sz="8" w:space="0" w:color="000000"/>
              <w:bottom w:val="nil"/>
              <w:right w:val="single" w:sz="8" w:space="0" w:color="000000"/>
            </w:tcBorders>
          </w:tcPr>
          <w:p>
            <w:pPr>
              <w:pStyle w:val="TableParagraph"/>
              <w:rPr>
                <w:sz w:val="18"/>
              </w:rPr>
            </w:pPr>
          </w:p>
        </w:tc>
        <w:tc>
          <w:tcPr>
            <w:tcW w:w="1278" w:type="dxa"/>
            <w:tcBorders>
              <w:top w:val="nil"/>
              <w:left w:val="single" w:sz="8" w:space="0" w:color="000000"/>
              <w:bottom w:val="nil"/>
              <w:right w:val="single" w:sz="8" w:space="0" w:color="000000"/>
            </w:tcBorders>
          </w:tcPr>
          <w:p>
            <w:pPr>
              <w:pStyle w:val="TableParagraph"/>
              <w:rPr>
                <w:sz w:val="18"/>
              </w:rPr>
            </w:pPr>
          </w:p>
        </w:tc>
        <w:tc>
          <w:tcPr>
            <w:tcW w:w="1417" w:type="dxa"/>
            <w:tcBorders>
              <w:top w:val="nil"/>
              <w:left w:val="single" w:sz="8" w:space="0" w:color="000000"/>
              <w:bottom w:val="nil"/>
              <w:right w:val="single" w:sz="8" w:space="0" w:color="000000"/>
            </w:tcBorders>
          </w:tcPr>
          <w:p>
            <w:pPr>
              <w:pStyle w:val="TableParagraph"/>
              <w:rPr>
                <w:sz w:val="18"/>
              </w:rPr>
            </w:pPr>
          </w:p>
        </w:tc>
        <w:tc>
          <w:tcPr>
            <w:tcW w:w="1562" w:type="dxa"/>
            <w:tcBorders>
              <w:top w:val="nil"/>
              <w:left w:val="single" w:sz="8" w:space="0" w:color="000000"/>
              <w:bottom w:val="nil"/>
            </w:tcBorders>
          </w:tcPr>
          <w:p>
            <w:pPr>
              <w:pStyle w:val="TableParagraph"/>
              <w:rPr>
                <w:sz w:val="18"/>
              </w:rPr>
            </w:pPr>
          </w:p>
        </w:tc>
      </w:tr>
      <w:tr>
        <w:trPr>
          <w:trHeight w:val="413" w:hRule="atLeast"/>
        </w:trPr>
        <w:tc>
          <w:tcPr>
            <w:tcW w:w="668" w:type="dxa"/>
            <w:tcBorders>
              <w:top w:val="nil"/>
              <w:bottom w:val="nil"/>
            </w:tcBorders>
          </w:tcPr>
          <w:p>
            <w:pPr>
              <w:pStyle w:val="TableParagraph"/>
              <w:spacing w:before="99"/>
              <w:ind w:left="78"/>
              <w:rPr>
                <w:sz w:val="18"/>
              </w:rPr>
            </w:pPr>
            <w:r>
              <w:rPr>
                <w:sz w:val="18"/>
              </w:rPr>
              <w:t>21</w:t>
            </w:r>
          </w:p>
        </w:tc>
        <w:tc>
          <w:tcPr>
            <w:tcW w:w="843" w:type="dxa"/>
            <w:tcBorders>
              <w:top w:val="nil"/>
              <w:bottom w:val="nil"/>
              <w:right w:val="single" w:sz="8" w:space="0" w:color="000000"/>
            </w:tcBorders>
          </w:tcPr>
          <w:p>
            <w:pPr>
              <w:pStyle w:val="TableParagraph"/>
              <w:spacing w:before="99"/>
              <w:ind w:right="41"/>
              <w:jc w:val="right"/>
              <w:rPr>
                <w:sz w:val="18"/>
              </w:rPr>
            </w:pPr>
            <w:r>
              <w:rPr>
                <w:sz w:val="18"/>
              </w:rPr>
              <w:t>.521</w:t>
            </w:r>
          </w:p>
        </w:tc>
        <w:tc>
          <w:tcPr>
            <w:tcW w:w="1275" w:type="dxa"/>
            <w:tcBorders>
              <w:top w:val="nil"/>
              <w:left w:val="single" w:sz="8" w:space="0" w:color="000000"/>
              <w:bottom w:val="nil"/>
              <w:right w:val="single" w:sz="8" w:space="0" w:color="000000"/>
            </w:tcBorders>
          </w:tcPr>
          <w:p>
            <w:pPr>
              <w:pStyle w:val="TableParagraph"/>
              <w:spacing w:before="99"/>
              <w:ind w:right="37"/>
              <w:jc w:val="right"/>
              <w:rPr>
                <w:sz w:val="18"/>
              </w:rPr>
            </w:pPr>
            <w:r>
              <w:rPr>
                <w:sz w:val="18"/>
              </w:rPr>
              <w:t>1.241</w:t>
            </w:r>
          </w:p>
        </w:tc>
        <w:tc>
          <w:tcPr>
            <w:tcW w:w="1278" w:type="dxa"/>
            <w:tcBorders>
              <w:top w:val="nil"/>
              <w:left w:val="single" w:sz="8" w:space="0" w:color="000000"/>
              <w:bottom w:val="nil"/>
              <w:right w:val="single" w:sz="8" w:space="0" w:color="000000"/>
            </w:tcBorders>
          </w:tcPr>
          <w:p>
            <w:pPr>
              <w:pStyle w:val="TableParagraph"/>
              <w:spacing w:before="99"/>
              <w:ind w:right="44"/>
              <w:jc w:val="right"/>
              <w:rPr>
                <w:sz w:val="18"/>
              </w:rPr>
            </w:pPr>
            <w:r>
              <w:rPr>
                <w:sz w:val="18"/>
              </w:rPr>
              <w:t>83.382</w:t>
            </w:r>
          </w:p>
        </w:tc>
        <w:tc>
          <w:tcPr>
            <w:tcW w:w="850" w:type="dxa"/>
            <w:tcBorders>
              <w:top w:val="nil"/>
              <w:left w:val="single" w:sz="8" w:space="0" w:color="000000"/>
              <w:bottom w:val="nil"/>
              <w:right w:val="single" w:sz="8" w:space="0" w:color="000000"/>
            </w:tcBorders>
          </w:tcPr>
          <w:p>
            <w:pPr>
              <w:pStyle w:val="TableParagraph"/>
              <w:rPr>
                <w:sz w:val="18"/>
              </w:rPr>
            </w:pPr>
          </w:p>
        </w:tc>
        <w:tc>
          <w:tcPr>
            <w:tcW w:w="1278" w:type="dxa"/>
            <w:tcBorders>
              <w:top w:val="nil"/>
              <w:left w:val="single" w:sz="8" w:space="0" w:color="000000"/>
              <w:bottom w:val="nil"/>
              <w:right w:val="single" w:sz="8" w:space="0" w:color="000000"/>
            </w:tcBorders>
          </w:tcPr>
          <w:p>
            <w:pPr>
              <w:pStyle w:val="TableParagraph"/>
              <w:rPr>
                <w:sz w:val="18"/>
              </w:rPr>
            </w:pPr>
          </w:p>
        </w:tc>
        <w:tc>
          <w:tcPr>
            <w:tcW w:w="1417" w:type="dxa"/>
            <w:tcBorders>
              <w:top w:val="nil"/>
              <w:left w:val="single" w:sz="8" w:space="0" w:color="000000"/>
              <w:bottom w:val="nil"/>
              <w:right w:val="single" w:sz="8" w:space="0" w:color="000000"/>
            </w:tcBorders>
          </w:tcPr>
          <w:p>
            <w:pPr>
              <w:pStyle w:val="TableParagraph"/>
              <w:rPr>
                <w:sz w:val="18"/>
              </w:rPr>
            </w:pPr>
          </w:p>
        </w:tc>
        <w:tc>
          <w:tcPr>
            <w:tcW w:w="1562" w:type="dxa"/>
            <w:tcBorders>
              <w:top w:val="nil"/>
              <w:left w:val="single" w:sz="8" w:space="0" w:color="000000"/>
              <w:bottom w:val="nil"/>
            </w:tcBorders>
          </w:tcPr>
          <w:p>
            <w:pPr>
              <w:pStyle w:val="TableParagraph"/>
              <w:rPr>
                <w:sz w:val="18"/>
              </w:rPr>
            </w:pPr>
          </w:p>
        </w:tc>
      </w:tr>
      <w:tr>
        <w:trPr>
          <w:trHeight w:val="414" w:hRule="atLeast"/>
        </w:trPr>
        <w:tc>
          <w:tcPr>
            <w:tcW w:w="668" w:type="dxa"/>
            <w:tcBorders>
              <w:top w:val="nil"/>
              <w:bottom w:val="nil"/>
            </w:tcBorders>
          </w:tcPr>
          <w:p>
            <w:pPr>
              <w:pStyle w:val="TableParagraph"/>
              <w:spacing w:before="100"/>
              <w:ind w:left="78"/>
              <w:rPr>
                <w:sz w:val="18"/>
              </w:rPr>
            </w:pPr>
            <w:r>
              <w:rPr>
                <w:sz w:val="18"/>
              </w:rPr>
              <w:t>22</w:t>
            </w:r>
          </w:p>
        </w:tc>
        <w:tc>
          <w:tcPr>
            <w:tcW w:w="843" w:type="dxa"/>
            <w:tcBorders>
              <w:top w:val="nil"/>
              <w:bottom w:val="nil"/>
              <w:right w:val="single" w:sz="8" w:space="0" w:color="000000"/>
            </w:tcBorders>
          </w:tcPr>
          <w:p>
            <w:pPr>
              <w:pStyle w:val="TableParagraph"/>
              <w:spacing w:before="100"/>
              <w:ind w:right="40"/>
              <w:jc w:val="right"/>
              <w:rPr>
                <w:sz w:val="18"/>
              </w:rPr>
            </w:pPr>
            <w:r>
              <w:rPr>
                <w:sz w:val="18"/>
              </w:rPr>
              <w:t>.479</w:t>
            </w:r>
          </w:p>
        </w:tc>
        <w:tc>
          <w:tcPr>
            <w:tcW w:w="1275" w:type="dxa"/>
            <w:tcBorders>
              <w:top w:val="nil"/>
              <w:left w:val="single" w:sz="8" w:space="0" w:color="000000"/>
              <w:bottom w:val="nil"/>
              <w:right w:val="single" w:sz="8" w:space="0" w:color="000000"/>
            </w:tcBorders>
          </w:tcPr>
          <w:p>
            <w:pPr>
              <w:pStyle w:val="TableParagraph"/>
              <w:spacing w:before="100"/>
              <w:ind w:right="38"/>
              <w:jc w:val="right"/>
              <w:rPr>
                <w:sz w:val="18"/>
              </w:rPr>
            </w:pPr>
            <w:r>
              <w:rPr>
                <w:sz w:val="18"/>
              </w:rPr>
              <w:t>1.139</w:t>
            </w:r>
          </w:p>
        </w:tc>
        <w:tc>
          <w:tcPr>
            <w:tcW w:w="1278" w:type="dxa"/>
            <w:tcBorders>
              <w:top w:val="nil"/>
              <w:left w:val="single" w:sz="8" w:space="0" w:color="000000"/>
              <w:bottom w:val="nil"/>
              <w:right w:val="single" w:sz="8" w:space="0" w:color="000000"/>
            </w:tcBorders>
          </w:tcPr>
          <w:p>
            <w:pPr>
              <w:pStyle w:val="TableParagraph"/>
              <w:spacing w:before="100"/>
              <w:ind w:right="41"/>
              <w:jc w:val="right"/>
              <w:rPr>
                <w:sz w:val="18"/>
              </w:rPr>
            </w:pPr>
            <w:r>
              <w:rPr>
                <w:sz w:val="18"/>
              </w:rPr>
              <w:t>84.521</w:t>
            </w:r>
          </w:p>
        </w:tc>
        <w:tc>
          <w:tcPr>
            <w:tcW w:w="850" w:type="dxa"/>
            <w:tcBorders>
              <w:top w:val="nil"/>
              <w:left w:val="single" w:sz="8" w:space="0" w:color="000000"/>
              <w:bottom w:val="nil"/>
              <w:right w:val="single" w:sz="8" w:space="0" w:color="000000"/>
            </w:tcBorders>
          </w:tcPr>
          <w:p>
            <w:pPr>
              <w:pStyle w:val="TableParagraph"/>
              <w:rPr>
                <w:sz w:val="18"/>
              </w:rPr>
            </w:pPr>
          </w:p>
        </w:tc>
        <w:tc>
          <w:tcPr>
            <w:tcW w:w="1278" w:type="dxa"/>
            <w:tcBorders>
              <w:top w:val="nil"/>
              <w:left w:val="single" w:sz="8" w:space="0" w:color="000000"/>
              <w:bottom w:val="nil"/>
              <w:right w:val="single" w:sz="8" w:space="0" w:color="000000"/>
            </w:tcBorders>
          </w:tcPr>
          <w:p>
            <w:pPr>
              <w:pStyle w:val="TableParagraph"/>
              <w:rPr>
                <w:sz w:val="18"/>
              </w:rPr>
            </w:pPr>
          </w:p>
        </w:tc>
        <w:tc>
          <w:tcPr>
            <w:tcW w:w="1417" w:type="dxa"/>
            <w:tcBorders>
              <w:top w:val="nil"/>
              <w:left w:val="single" w:sz="8" w:space="0" w:color="000000"/>
              <w:bottom w:val="nil"/>
              <w:right w:val="single" w:sz="8" w:space="0" w:color="000000"/>
            </w:tcBorders>
          </w:tcPr>
          <w:p>
            <w:pPr>
              <w:pStyle w:val="TableParagraph"/>
              <w:rPr>
                <w:sz w:val="18"/>
              </w:rPr>
            </w:pPr>
          </w:p>
        </w:tc>
        <w:tc>
          <w:tcPr>
            <w:tcW w:w="1562" w:type="dxa"/>
            <w:tcBorders>
              <w:top w:val="nil"/>
              <w:left w:val="single" w:sz="8" w:space="0" w:color="000000"/>
              <w:bottom w:val="nil"/>
            </w:tcBorders>
          </w:tcPr>
          <w:p>
            <w:pPr>
              <w:pStyle w:val="TableParagraph"/>
              <w:rPr>
                <w:sz w:val="18"/>
              </w:rPr>
            </w:pPr>
          </w:p>
        </w:tc>
      </w:tr>
      <w:tr>
        <w:trPr>
          <w:trHeight w:val="414" w:hRule="atLeast"/>
        </w:trPr>
        <w:tc>
          <w:tcPr>
            <w:tcW w:w="668" w:type="dxa"/>
            <w:tcBorders>
              <w:top w:val="nil"/>
              <w:bottom w:val="nil"/>
            </w:tcBorders>
          </w:tcPr>
          <w:p>
            <w:pPr>
              <w:pStyle w:val="TableParagraph"/>
              <w:spacing w:before="99"/>
              <w:ind w:left="78"/>
              <w:rPr>
                <w:sz w:val="18"/>
              </w:rPr>
            </w:pPr>
            <w:r>
              <w:rPr>
                <w:sz w:val="18"/>
              </w:rPr>
              <w:t>23</w:t>
            </w:r>
          </w:p>
        </w:tc>
        <w:tc>
          <w:tcPr>
            <w:tcW w:w="843" w:type="dxa"/>
            <w:tcBorders>
              <w:top w:val="nil"/>
              <w:bottom w:val="nil"/>
              <w:right w:val="single" w:sz="8" w:space="0" w:color="000000"/>
            </w:tcBorders>
          </w:tcPr>
          <w:p>
            <w:pPr>
              <w:pStyle w:val="TableParagraph"/>
              <w:spacing w:before="99"/>
              <w:ind w:right="40"/>
              <w:jc w:val="right"/>
              <w:rPr>
                <w:sz w:val="18"/>
              </w:rPr>
            </w:pPr>
            <w:r>
              <w:rPr>
                <w:sz w:val="18"/>
              </w:rPr>
              <w:t>.463</w:t>
            </w:r>
          </w:p>
        </w:tc>
        <w:tc>
          <w:tcPr>
            <w:tcW w:w="1275" w:type="dxa"/>
            <w:tcBorders>
              <w:top w:val="nil"/>
              <w:left w:val="single" w:sz="8" w:space="0" w:color="000000"/>
              <w:bottom w:val="nil"/>
              <w:right w:val="single" w:sz="8" w:space="0" w:color="000000"/>
            </w:tcBorders>
          </w:tcPr>
          <w:p>
            <w:pPr>
              <w:pStyle w:val="TableParagraph"/>
              <w:spacing w:before="99"/>
              <w:ind w:right="37"/>
              <w:jc w:val="right"/>
              <w:rPr>
                <w:sz w:val="18"/>
              </w:rPr>
            </w:pPr>
            <w:r>
              <w:rPr>
                <w:sz w:val="18"/>
              </w:rPr>
              <w:t>1.102</w:t>
            </w:r>
          </w:p>
        </w:tc>
        <w:tc>
          <w:tcPr>
            <w:tcW w:w="1278" w:type="dxa"/>
            <w:tcBorders>
              <w:top w:val="nil"/>
              <w:left w:val="single" w:sz="8" w:space="0" w:color="000000"/>
              <w:bottom w:val="nil"/>
              <w:right w:val="single" w:sz="8" w:space="0" w:color="000000"/>
            </w:tcBorders>
          </w:tcPr>
          <w:p>
            <w:pPr>
              <w:pStyle w:val="TableParagraph"/>
              <w:spacing w:before="99"/>
              <w:ind w:right="41"/>
              <w:jc w:val="right"/>
              <w:rPr>
                <w:sz w:val="18"/>
              </w:rPr>
            </w:pPr>
            <w:r>
              <w:rPr>
                <w:sz w:val="18"/>
              </w:rPr>
              <w:t>85.624</w:t>
            </w:r>
          </w:p>
        </w:tc>
        <w:tc>
          <w:tcPr>
            <w:tcW w:w="850" w:type="dxa"/>
            <w:tcBorders>
              <w:top w:val="nil"/>
              <w:left w:val="single" w:sz="8" w:space="0" w:color="000000"/>
              <w:bottom w:val="nil"/>
              <w:right w:val="single" w:sz="8" w:space="0" w:color="000000"/>
            </w:tcBorders>
          </w:tcPr>
          <w:p>
            <w:pPr>
              <w:pStyle w:val="TableParagraph"/>
              <w:rPr>
                <w:sz w:val="18"/>
              </w:rPr>
            </w:pPr>
          </w:p>
        </w:tc>
        <w:tc>
          <w:tcPr>
            <w:tcW w:w="1278" w:type="dxa"/>
            <w:tcBorders>
              <w:top w:val="nil"/>
              <w:left w:val="single" w:sz="8" w:space="0" w:color="000000"/>
              <w:bottom w:val="nil"/>
              <w:right w:val="single" w:sz="8" w:space="0" w:color="000000"/>
            </w:tcBorders>
          </w:tcPr>
          <w:p>
            <w:pPr>
              <w:pStyle w:val="TableParagraph"/>
              <w:rPr>
                <w:sz w:val="18"/>
              </w:rPr>
            </w:pPr>
          </w:p>
        </w:tc>
        <w:tc>
          <w:tcPr>
            <w:tcW w:w="1417" w:type="dxa"/>
            <w:tcBorders>
              <w:top w:val="nil"/>
              <w:left w:val="single" w:sz="8" w:space="0" w:color="000000"/>
              <w:bottom w:val="nil"/>
              <w:right w:val="single" w:sz="8" w:space="0" w:color="000000"/>
            </w:tcBorders>
          </w:tcPr>
          <w:p>
            <w:pPr>
              <w:pStyle w:val="TableParagraph"/>
              <w:rPr>
                <w:sz w:val="18"/>
              </w:rPr>
            </w:pPr>
          </w:p>
        </w:tc>
        <w:tc>
          <w:tcPr>
            <w:tcW w:w="1562" w:type="dxa"/>
            <w:tcBorders>
              <w:top w:val="nil"/>
              <w:left w:val="single" w:sz="8" w:space="0" w:color="000000"/>
              <w:bottom w:val="nil"/>
            </w:tcBorders>
          </w:tcPr>
          <w:p>
            <w:pPr>
              <w:pStyle w:val="TableParagraph"/>
              <w:rPr>
                <w:sz w:val="18"/>
              </w:rPr>
            </w:pPr>
          </w:p>
        </w:tc>
      </w:tr>
      <w:tr>
        <w:trPr>
          <w:trHeight w:val="414" w:hRule="atLeast"/>
        </w:trPr>
        <w:tc>
          <w:tcPr>
            <w:tcW w:w="668" w:type="dxa"/>
            <w:tcBorders>
              <w:top w:val="nil"/>
              <w:bottom w:val="nil"/>
            </w:tcBorders>
          </w:tcPr>
          <w:p>
            <w:pPr>
              <w:pStyle w:val="TableParagraph"/>
              <w:spacing w:before="100"/>
              <w:ind w:left="78"/>
              <w:rPr>
                <w:sz w:val="18"/>
              </w:rPr>
            </w:pPr>
            <w:r>
              <w:rPr>
                <w:sz w:val="18"/>
              </w:rPr>
              <w:t>24</w:t>
            </w:r>
          </w:p>
        </w:tc>
        <w:tc>
          <w:tcPr>
            <w:tcW w:w="843" w:type="dxa"/>
            <w:tcBorders>
              <w:top w:val="nil"/>
              <w:bottom w:val="nil"/>
              <w:right w:val="single" w:sz="8" w:space="0" w:color="000000"/>
            </w:tcBorders>
          </w:tcPr>
          <w:p>
            <w:pPr>
              <w:pStyle w:val="TableParagraph"/>
              <w:spacing w:before="100"/>
              <w:ind w:right="41"/>
              <w:jc w:val="right"/>
              <w:rPr>
                <w:sz w:val="18"/>
              </w:rPr>
            </w:pPr>
            <w:r>
              <w:rPr>
                <w:sz w:val="18"/>
              </w:rPr>
              <w:t>.444</w:t>
            </w:r>
          </w:p>
        </w:tc>
        <w:tc>
          <w:tcPr>
            <w:tcW w:w="1275" w:type="dxa"/>
            <w:tcBorders>
              <w:top w:val="nil"/>
              <w:left w:val="single" w:sz="8" w:space="0" w:color="000000"/>
              <w:bottom w:val="nil"/>
              <w:right w:val="single" w:sz="8" w:space="0" w:color="000000"/>
            </w:tcBorders>
          </w:tcPr>
          <w:p>
            <w:pPr>
              <w:pStyle w:val="TableParagraph"/>
              <w:spacing w:before="100"/>
              <w:ind w:right="37"/>
              <w:jc w:val="right"/>
              <w:rPr>
                <w:sz w:val="18"/>
              </w:rPr>
            </w:pPr>
            <w:r>
              <w:rPr>
                <w:sz w:val="18"/>
              </w:rPr>
              <w:t>1.057</w:t>
            </w:r>
          </w:p>
        </w:tc>
        <w:tc>
          <w:tcPr>
            <w:tcW w:w="1278" w:type="dxa"/>
            <w:tcBorders>
              <w:top w:val="nil"/>
              <w:left w:val="single" w:sz="8" w:space="0" w:color="000000"/>
              <w:bottom w:val="nil"/>
              <w:right w:val="single" w:sz="8" w:space="0" w:color="000000"/>
            </w:tcBorders>
          </w:tcPr>
          <w:p>
            <w:pPr>
              <w:pStyle w:val="TableParagraph"/>
              <w:spacing w:before="100"/>
              <w:ind w:right="41"/>
              <w:jc w:val="right"/>
              <w:rPr>
                <w:sz w:val="18"/>
              </w:rPr>
            </w:pPr>
            <w:r>
              <w:rPr>
                <w:sz w:val="18"/>
              </w:rPr>
              <w:t>86.681</w:t>
            </w:r>
          </w:p>
        </w:tc>
        <w:tc>
          <w:tcPr>
            <w:tcW w:w="850" w:type="dxa"/>
            <w:tcBorders>
              <w:top w:val="nil"/>
              <w:left w:val="single" w:sz="8" w:space="0" w:color="000000"/>
              <w:bottom w:val="nil"/>
              <w:right w:val="single" w:sz="8" w:space="0" w:color="000000"/>
            </w:tcBorders>
          </w:tcPr>
          <w:p>
            <w:pPr>
              <w:pStyle w:val="TableParagraph"/>
              <w:rPr>
                <w:sz w:val="18"/>
              </w:rPr>
            </w:pPr>
          </w:p>
        </w:tc>
        <w:tc>
          <w:tcPr>
            <w:tcW w:w="1278" w:type="dxa"/>
            <w:tcBorders>
              <w:top w:val="nil"/>
              <w:left w:val="single" w:sz="8" w:space="0" w:color="000000"/>
              <w:bottom w:val="nil"/>
              <w:right w:val="single" w:sz="8" w:space="0" w:color="000000"/>
            </w:tcBorders>
          </w:tcPr>
          <w:p>
            <w:pPr>
              <w:pStyle w:val="TableParagraph"/>
              <w:rPr>
                <w:sz w:val="18"/>
              </w:rPr>
            </w:pPr>
          </w:p>
        </w:tc>
        <w:tc>
          <w:tcPr>
            <w:tcW w:w="1417" w:type="dxa"/>
            <w:tcBorders>
              <w:top w:val="nil"/>
              <w:left w:val="single" w:sz="8" w:space="0" w:color="000000"/>
              <w:bottom w:val="nil"/>
              <w:right w:val="single" w:sz="8" w:space="0" w:color="000000"/>
            </w:tcBorders>
          </w:tcPr>
          <w:p>
            <w:pPr>
              <w:pStyle w:val="TableParagraph"/>
              <w:rPr>
                <w:sz w:val="18"/>
              </w:rPr>
            </w:pPr>
          </w:p>
        </w:tc>
        <w:tc>
          <w:tcPr>
            <w:tcW w:w="1562" w:type="dxa"/>
            <w:tcBorders>
              <w:top w:val="nil"/>
              <w:left w:val="single" w:sz="8" w:space="0" w:color="000000"/>
              <w:bottom w:val="nil"/>
            </w:tcBorders>
          </w:tcPr>
          <w:p>
            <w:pPr>
              <w:pStyle w:val="TableParagraph"/>
              <w:rPr>
                <w:sz w:val="18"/>
              </w:rPr>
            </w:pPr>
          </w:p>
        </w:tc>
      </w:tr>
      <w:tr>
        <w:trPr>
          <w:trHeight w:val="412" w:hRule="atLeast"/>
        </w:trPr>
        <w:tc>
          <w:tcPr>
            <w:tcW w:w="668" w:type="dxa"/>
            <w:tcBorders>
              <w:top w:val="nil"/>
              <w:bottom w:val="nil"/>
            </w:tcBorders>
          </w:tcPr>
          <w:p>
            <w:pPr>
              <w:pStyle w:val="TableParagraph"/>
              <w:spacing w:before="99"/>
              <w:ind w:left="78"/>
              <w:rPr>
                <w:sz w:val="18"/>
              </w:rPr>
            </w:pPr>
            <w:r>
              <w:rPr>
                <w:sz w:val="18"/>
              </w:rPr>
              <w:t>25</w:t>
            </w:r>
          </w:p>
        </w:tc>
        <w:tc>
          <w:tcPr>
            <w:tcW w:w="843" w:type="dxa"/>
            <w:tcBorders>
              <w:top w:val="nil"/>
              <w:bottom w:val="nil"/>
              <w:right w:val="single" w:sz="8" w:space="0" w:color="000000"/>
            </w:tcBorders>
          </w:tcPr>
          <w:p>
            <w:pPr>
              <w:pStyle w:val="TableParagraph"/>
              <w:spacing w:before="99"/>
              <w:ind w:right="40"/>
              <w:jc w:val="right"/>
              <w:rPr>
                <w:sz w:val="18"/>
              </w:rPr>
            </w:pPr>
            <w:r>
              <w:rPr>
                <w:sz w:val="18"/>
              </w:rPr>
              <w:t>.429</w:t>
            </w:r>
          </w:p>
        </w:tc>
        <w:tc>
          <w:tcPr>
            <w:tcW w:w="1275" w:type="dxa"/>
            <w:tcBorders>
              <w:top w:val="nil"/>
              <w:left w:val="single" w:sz="8" w:space="0" w:color="000000"/>
              <w:bottom w:val="nil"/>
              <w:right w:val="single" w:sz="8" w:space="0" w:color="000000"/>
            </w:tcBorders>
          </w:tcPr>
          <w:p>
            <w:pPr>
              <w:pStyle w:val="TableParagraph"/>
              <w:spacing w:before="99"/>
              <w:ind w:right="38"/>
              <w:jc w:val="right"/>
              <w:rPr>
                <w:sz w:val="18"/>
              </w:rPr>
            </w:pPr>
            <w:r>
              <w:rPr>
                <w:sz w:val="18"/>
              </w:rPr>
              <w:t>1.020</w:t>
            </w:r>
          </w:p>
        </w:tc>
        <w:tc>
          <w:tcPr>
            <w:tcW w:w="1278" w:type="dxa"/>
            <w:tcBorders>
              <w:top w:val="nil"/>
              <w:left w:val="single" w:sz="8" w:space="0" w:color="000000"/>
              <w:bottom w:val="nil"/>
              <w:right w:val="single" w:sz="8" w:space="0" w:color="000000"/>
            </w:tcBorders>
          </w:tcPr>
          <w:p>
            <w:pPr>
              <w:pStyle w:val="TableParagraph"/>
              <w:spacing w:before="99"/>
              <w:ind w:right="41"/>
              <w:jc w:val="right"/>
              <w:rPr>
                <w:sz w:val="18"/>
              </w:rPr>
            </w:pPr>
            <w:r>
              <w:rPr>
                <w:sz w:val="18"/>
              </w:rPr>
              <w:t>87.701</w:t>
            </w:r>
          </w:p>
        </w:tc>
        <w:tc>
          <w:tcPr>
            <w:tcW w:w="850" w:type="dxa"/>
            <w:tcBorders>
              <w:top w:val="nil"/>
              <w:left w:val="single" w:sz="8" w:space="0" w:color="000000"/>
              <w:bottom w:val="nil"/>
              <w:right w:val="single" w:sz="8" w:space="0" w:color="000000"/>
            </w:tcBorders>
          </w:tcPr>
          <w:p>
            <w:pPr>
              <w:pStyle w:val="TableParagraph"/>
              <w:rPr>
                <w:sz w:val="18"/>
              </w:rPr>
            </w:pPr>
          </w:p>
        </w:tc>
        <w:tc>
          <w:tcPr>
            <w:tcW w:w="1278" w:type="dxa"/>
            <w:tcBorders>
              <w:top w:val="nil"/>
              <w:left w:val="single" w:sz="8" w:space="0" w:color="000000"/>
              <w:bottom w:val="nil"/>
              <w:right w:val="single" w:sz="8" w:space="0" w:color="000000"/>
            </w:tcBorders>
          </w:tcPr>
          <w:p>
            <w:pPr>
              <w:pStyle w:val="TableParagraph"/>
              <w:rPr>
                <w:sz w:val="18"/>
              </w:rPr>
            </w:pPr>
          </w:p>
        </w:tc>
        <w:tc>
          <w:tcPr>
            <w:tcW w:w="1417" w:type="dxa"/>
            <w:tcBorders>
              <w:top w:val="nil"/>
              <w:left w:val="single" w:sz="8" w:space="0" w:color="000000"/>
              <w:bottom w:val="nil"/>
              <w:right w:val="single" w:sz="8" w:space="0" w:color="000000"/>
            </w:tcBorders>
          </w:tcPr>
          <w:p>
            <w:pPr>
              <w:pStyle w:val="TableParagraph"/>
              <w:rPr>
                <w:sz w:val="18"/>
              </w:rPr>
            </w:pPr>
          </w:p>
        </w:tc>
        <w:tc>
          <w:tcPr>
            <w:tcW w:w="1562" w:type="dxa"/>
            <w:tcBorders>
              <w:top w:val="nil"/>
              <w:left w:val="single" w:sz="8" w:space="0" w:color="000000"/>
              <w:bottom w:val="nil"/>
            </w:tcBorders>
          </w:tcPr>
          <w:p>
            <w:pPr>
              <w:pStyle w:val="TableParagraph"/>
              <w:rPr>
                <w:sz w:val="18"/>
              </w:rPr>
            </w:pPr>
          </w:p>
        </w:tc>
      </w:tr>
      <w:tr>
        <w:trPr>
          <w:trHeight w:val="413" w:hRule="atLeast"/>
        </w:trPr>
        <w:tc>
          <w:tcPr>
            <w:tcW w:w="668" w:type="dxa"/>
            <w:tcBorders>
              <w:top w:val="nil"/>
              <w:bottom w:val="nil"/>
            </w:tcBorders>
          </w:tcPr>
          <w:p>
            <w:pPr>
              <w:pStyle w:val="TableParagraph"/>
              <w:spacing w:before="99"/>
              <w:ind w:left="78"/>
              <w:rPr>
                <w:sz w:val="18"/>
              </w:rPr>
            </w:pPr>
            <w:r>
              <w:rPr>
                <w:sz w:val="18"/>
              </w:rPr>
              <w:t>26</w:t>
            </w:r>
          </w:p>
        </w:tc>
        <w:tc>
          <w:tcPr>
            <w:tcW w:w="843" w:type="dxa"/>
            <w:tcBorders>
              <w:top w:val="nil"/>
              <w:bottom w:val="nil"/>
              <w:right w:val="single" w:sz="8" w:space="0" w:color="000000"/>
            </w:tcBorders>
          </w:tcPr>
          <w:p>
            <w:pPr>
              <w:pStyle w:val="TableParagraph"/>
              <w:spacing w:before="99"/>
              <w:ind w:right="40"/>
              <w:jc w:val="right"/>
              <w:rPr>
                <w:sz w:val="18"/>
              </w:rPr>
            </w:pPr>
            <w:r>
              <w:rPr>
                <w:sz w:val="18"/>
              </w:rPr>
              <w:t>.420</w:t>
            </w:r>
          </w:p>
        </w:tc>
        <w:tc>
          <w:tcPr>
            <w:tcW w:w="1275" w:type="dxa"/>
            <w:tcBorders>
              <w:top w:val="nil"/>
              <w:left w:val="single" w:sz="8" w:space="0" w:color="000000"/>
              <w:bottom w:val="nil"/>
              <w:right w:val="single" w:sz="8" w:space="0" w:color="000000"/>
            </w:tcBorders>
          </w:tcPr>
          <w:p>
            <w:pPr>
              <w:pStyle w:val="TableParagraph"/>
              <w:spacing w:before="99"/>
              <w:ind w:right="38"/>
              <w:jc w:val="right"/>
              <w:rPr>
                <w:sz w:val="18"/>
              </w:rPr>
            </w:pPr>
            <w:r>
              <w:rPr>
                <w:sz w:val="18"/>
              </w:rPr>
              <w:t>1.001</w:t>
            </w:r>
          </w:p>
        </w:tc>
        <w:tc>
          <w:tcPr>
            <w:tcW w:w="1278" w:type="dxa"/>
            <w:tcBorders>
              <w:top w:val="nil"/>
              <w:left w:val="single" w:sz="8" w:space="0" w:color="000000"/>
              <w:bottom w:val="nil"/>
              <w:right w:val="single" w:sz="8" w:space="0" w:color="000000"/>
            </w:tcBorders>
          </w:tcPr>
          <w:p>
            <w:pPr>
              <w:pStyle w:val="TableParagraph"/>
              <w:spacing w:before="99"/>
              <w:ind w:right="41"/>
              <w:jc w:val="right"/>
              <w:rPr>
                <w:sz w:val="18"/>
              </w:rPr>
            </w:pPr>
            <w:r>
              <w:rPr>
                <w:sz w:val="18"/>
              </w:rPr>
              <w:t>88.702</w:t>
            </w:r>
          </w:p>
        </w:tc>
        <w:tc>
          <w:tcPr>
            <w:tcW w:w="850" w:type="dxa"/>
            <w:tcBorders>
              <w:top w:val="nil"/>
              <w:left w:val="single" w:sz="8" w:space="0" w:color="000000"/>
              <w:bottom w:val="nil"/>
              <w:right w:val="single" w:sz="8" w:space="0" w:color="000000"/>
            </w:tcBorders>
          </w:tcPr>
          <w:p>
            <w:pPr>
              <w:pStyle w:val="TableParagraph"/>
              <w:rPr>
                <w:sz w:val="18"/>
              </w:rPr>
            </w:pPr>
          </w:p>
        </w:tc>
        <w:tc>
          <w:tcPr>
            <w:tcW w:w="1278" w:type="dxa"/>
            <w:tcBorders>
              <w:top w:val="nil"/>
              <w:left w:val="single" w:sz="8" w:space="0" w:color="000000"/>
              <w:bottom w:val="nil"/>
              <w:right w:val="single" w:sz="8" w:space="0" w:color="000000"/>
            </w:tcBorders>
          </w:tcPr>
          <w:p>
            <w:pPr>
              <w:pStyle w:val="TableParagraph"/>
              <w:rPr>
                <w:sz w:val="18"/>
              </w:rPr>
            </w:pPr>
          </w:p>
        </w:tc>
        <w:tc>
          <w:tcPr>
            <w:tcW w:w="1417" w:type="dxa"/>
            <w:tcBorders>
              <w:top w:val="nil"/>
              <w:left w:val="single" w:sz="8" w:space="0" w:color="000000"/>
              <w:bottom w:val="nil"/>
              <w:right w:val="single" w:sz="8" w:space="0" w:color="000000"/>
            </w:tcBorders>
          </w:tcPr>
          <w:p>
            <w:pPr>
              <w:pStyle w:val="TableParagraph"/>
              <w:rPr>
                <w:sz w:val="18"/>
              </w:rPr>
            </w:pPr>
          </w:p>
        </w:tc>
        <w:tc>
          <w:tcPr>
            <w:tcW w:w="1562" w:type="dxa"/>
            <w:tcBorders>
              <w:top w:val="nil"/>
              <w:left w:val="single" w:sz="8" w:space="0" w:color="000000"/>
              <w:bottom w:val="nil"/>
            </w:tcBorders>
          </w:tcPr>
          <w:p>
            <w:pPr>
              <w:pStyle w:val="TableParagraph"/>
              <w:rPr>
                <w:sz w:val="18"/>
              </w:rPr>
            </w:pPr>
          </w:p>
        </w:tc>
      </w:tr>
      <w:tr>
        <w:trPr>
          <w:trHeight w:val="413" w:hRule="atLeast"/>
        </w:trPr>
        <w:tc>
          <w:tcPr>
            <w:tcW w:w="668" w:type="dxa"/>
            <w:tcBorders>
              <w:top w:val="nil"/>
              <w:bottom w:val="nil"/>
            </w:tcBorders>
          </w:tcPr>
          <w:p>
            <w:pPr>
              <w:pStyle w:val="TableParagraph"/>
              <w:spacing w:before="100"/>
              <w:ind w:left="78"/>
              <w:rPr>
                <w:sz w:val="18"/>
              </w:rPr>
            </w:pPr>
            <w:r>
              <w:rPr>
                <w:sz w:val="18"/>
              </w:rPr>
              <w:t>27</w:t>
            </w:r>
          </w:p>
        </w:tc>
        <w:tc>
          <w:tcPr>
            <w:tcW w:w="843" w:type="dxa"/>
            <w:tcBorders>
              <w:top w:val="nil"/>
              <w:bottom w:val="nil"/>
              <w:right w:val="single" w:sz="8" w:space="0" w:color="000000"/>
            </w:tcBorders>
          </w:tcPr>
          <w:p>
            <w:pPr>
              <w:pStyle w:val="TableParagraph"/>
              <w:spacing w:before="100"/>
              <w:ind w:right="40"/>
              <w:jc w:val="right"/>
              <w:rPr>
                <w:sz w:val="18"/>
              </w:rPr>
            </w:pPr>
            <w:r>
              <w:rPr>
                <w:sz w:val="18"/>
              </w:rPr>
              <w:t>.406</w:t>
            </w:r>
          </w:p>
        </w:tc>
        <w:tc>
          <w:tcPr>
            <w:tcW w:w="1275" w:type="dxa"/>
            <w:tcBorders>
              <w:top w:val="nil"/>
              <w:left w:val="single" w:sz="8" w:space="0" w:color="000000"/>
              <w:bottom w:val="nil"/>
              <w:right w:val="single" w:sz="8" w:space="0" w:color="000000"/>
            </w:tcBorders>
          </w:tcPr>
          <w:p>
            <w:pPr>
              <w:pStyle w:val="TableParagraph"/>
              <w:spacing w:before="100"/>
              <w:ind w:right="38"/>
              <w:jc w:val="right"/>
              <w:rPr>
                <w:sz w:val="18"/>
              </w:rPr>
            </w:pPr>
            <w:r>
              <w:rPr>
                <w:sz w:val="18"/>
              </w:rPr>
              <w:t>.966</w:t>
            </w:r>
          </w:p>
        </w:tc>
        <w:tc>
          <w:tcPr>
            <w:tcW w:w="1278" w:type="dxa"/>
            <w:tcBorders>
              <w:top w:val="nil"/>
              <w:left w:val="single" w:sz="8" w:space="0" w:color="000000"/>
              <w:bottom w:val="nil"/>
              <w:right w:val="single" w:sz="8" w:space="0" w:color="000000"/>
            </w:tcBorders>
          </w:tcPr>
          <w:p>
            <w:pPr>
              <w:pStyle w:val="TableParagraph"/>
              <w:spacing w:before="100"/>
              <w:ind w:right="41"/>
              <w:jc w:val="right"/>
              <w:rPr>
                <w:sz w:val="18"/>
              </w:rPr>
            </w:pPr>
            <w:r>
              <w:rPr>
                <w:sz w:val="18"/>
              </w:rPr>
              <w:t>89.668</w:t>
            </w:r>
          </w:p>
        </w:tc>
        <w:tc>
          <w:tcPr>
            <w:tcW w:w="850" w:type="dxa"/>
            <w:tcBorders>
              <w:top w:val="nil"/>
              <w:left w:val="single" w:sz="8" w:space="0" w:color="000000"/>
              <w:bottom w:val="nil"/>
              <w:right w:val="single" w:sz="8" w:space="0" w:color="000000"/>
            </w:tcBorders>
          </w:tcPr>
          <w:p>
            <w:pPr>
              <w:pStyle w:val="TableParagraph"/>
              <w:rPr>
                <w:sz w:val="18"/>
              </w:rPr>
            </w:pPr>
          </w:p>
        </w:tc>
        <w:tc>
          <w:tcPr>
            <w:tcW w:w="1278" w:type="dxa"/>
            <w:tcBorders>
              <w:top w:val="nil"/>
              <w:left w:val="single" w:sz="8" w:space="0" w:color="000000"/>
              <w:bottom w:val="nil"/>
              <w:right w:val="single" w:sz="8" w:space="0" w:color="000000"/>
            </w:tcBorders>
          </w:tcPr>
          <w:p>
            <w:pPr>
              <w:pStyle w:val="TableParagraph"/>
              <w:rPr>
                <w:sz w:val="18"/>
              </w:rPr>
            </w:pPr>
          </w:p>
        </w:tc>
        <w:tc>
          <w:tcPr>
            <w:tcW w:w="1417" w:type="dxa"/>
            <w:tcBorders>
              <w:top w:val="nil"/>
              <w:left w:val="single" w:sz="8" w:space="0" w:color="000000"/>
              <w:bottom w:val="nil"/>
              <w:right w:val="single" w:sz="8" w:space="0" w:color="000000"/>
            </w:tcBorders>
          </w:tcPr>
          <w:p>
            <w:pPr>
              <w:pStyle w:val="TableParagraph"/>
              <w:rPr>
                <w:sz w:val="18"/>
              </w:rPr>
            </w:pPr>
          </w:p>
        </w:tc>
        <w:tc>
          <w:tcPr>
            <w:tcW w:w="1562" w:type="dxa"/>
            <w:tcBorders>
              <w:top w:val="nil"/>
              <w:left w:val="single" w:sz="8" w:space="0" w:color="000000"/>
              <w:bottom w:val="nil"/>
            </w:tcBorders>
          </w:tcPr>
          <w:p>
            <w:pPr>
              <w:pStyle w:val="TableParagraph"/>
              <w:rPr>
                <w:sz w:val="18"/>
              </w:rPr>
            </w:pPr>
          </w:p>
        </w:tc>
      </w:tr>
      <w:tr>
        <w:trPr>
          <w:trHeight w:val="414" w:hRule="atLeast"/>
        </w:trPr>
        <w:tc>
          <w:tcPr>
            <w:tcW w:w="668" w:type="dxa"/>
            <w:tcBorders>
              <w:top w:val="nil"/>
              <w:bottom w:val="nil"/>
            </w:tcBorders>
          </w:tcPr>
          <w:p>
            <w:pPr>
              <w:pStyle w:val="TableParagraph"/>
              <w:spacing w:before="99"/>
              <w:ind w:left="78"/>
              <w:rPr>
                <w:sz w:val="18"/>
              </w:rPr>
            </w:pPr>
            <w:r>
              <w:rPr>
                <w:sz w:val="18"/>
              </w:rPr>
              <w:t>28</w:t>
            </w:r>
          </w:p>
        </w:tc>
        <w:tc>
          <w:tcPr>
            <w:tcW w:w="843" w:type="dxa"/>
            <w:tcBorders>
              <w:top w:val="nil"/>
              <w:bottom w:val="nil"/>
              <w:right w:val="single" w:sz="8" w:space="0" w:color="000000"/>
            </w:tcBorders>
          </w:tcPr>
          <w:p>
            <w:pPr>
              <w:pStyle w:val="TableParagraph"/>
              <w:spacing w:before="99"/>
              <w:ind w:right="40"/>
              <w:jc w:val="right"/>
              <w:rPr>
                <w:sz w:val="18"/>
              </w:rPr>
            </w:pPr>
            <w:r>
              <w:rPr>
                <w:sz w:val="18"/>
              </w:rPr>
              <w:t>.380</w:t>
            </w:r>
          </w:p>
        </w:tc>
        <w:tc>
          <w:tcPr>
            <w:tcW w:w="1275" w:type="dxa"/>
            <w:tcBorders>
              <w:top w:val="nil"/>
              <w:left w:val="single" w:sz="8" w:space="0" w:color="000000"/>
              <w:bottom w:val="nil"/>
              <w:right w:val="single" w:sz="8" w:space="0" w:color="000000"/>
            </w:tcBorders>
          </w:tcPr>
          <w:p>
            <w:pPr>
              <w:pStyle w:val="TableParagraph"/>
              <w:spacing w:before="99"/>
              <w:ind w:right="38"/>
              <w:jc w:val="right"/>
              <w:rPr>
                <w:sz w:val="18"/>
              </w:rPr>
            </w:pPr>
            <w:r>
              <w:rPr>
                <w:sz w:val="18"/>
              </w:rPr>
              <w:t>.904</w:t>
            </w:r>
          </w:p>
        </w:tc>
        <w:tc>
          <w:tcPr>
            <w:tcW w:w="1278" w:type="dxa"/>
            <w:tcBorders>
              <w:top w:val="nil"/>
              <w:left w:val="single" w:sz="8" w:space="0" w:color="000000"/>
              <w:bottom w:val="nil"/>
              <w:right w:val="single" w:sz="8" w:space="0" w:color="000000"/>
            </w:tcBorders>
          </w:tcPr>
          <w:p>
            <w:pPr>
              <w:pStyle w:val="TableParagraph"/>
              <w:spacing w:before="99"/>
              <w:ind w:right="41"/>
              <w:jc w:val="right"/>
              <w:rPr>
                <w:sz w:val="18"/>
              </w:rPr>
            </w:pPr>
            <w:r>
              <w:rPr>
                <w:sz w:val="18"/>
              </w:rPr>
              <w:t>90.572</w:t>
            </w:r>
          </w:p>
        </w:tc>
        <w:tc>
          <w:tcPr>
            <w:tcW w:w="850" w:type="dxa"/>
            <w:tcBorders>
              <w:top w:val="nil"/>
              <w:left w:val="single" w:sz="8" w:space="0" w:color="000000"/>
              <w:bottom w:val="nil"/>
              <w:right w:val="single" w:sz="8" w:space="0" w:color="000000"/>
            </w:tcBorders>
          </w:tcPr>
          <w:p>
            <w:pPr>
              <w:pStyle w:val="TableParagraph"/>
              <w:rPr>
                <w:sz w:val="18"/>
              </w:rPr>
            </w:pPr>
          </w:p>
        </w:tc>
        <w:tc>
          <w:tcPr>
            <w:tcW w:w="1278" w:type="dxa"/>
            <w:tcBorders>
              <w:top w:val="nil"/>
              <w:left w:val="single" w:sz="8" w:space="0" w:color="000000"/>
              <w:bottom w:val="nil"/>
              <w:right w:val="single" w:sz="8" w:space="0" w:color="000000"/>
            </w:tcBorders>
          </w:tcPr>
          <w:p>
            <w:pPr>
              <w:pStyle w:val="TableParagraph"/>
              <w:rPr>
                <w:sz w:val="18"/>
              </w:rPr>
            </w:pPr>
          </w:p>
        </w:tc>
        <w:tc>
          <w:tcPr>
            <w:tcW w:w="1417" w:type="dxa"/>
            <w:tcBorders>
              <w:top w:val="nil"/>
              <w:left w:val="single" w:sz="8" w:space="0" w:color="000000"/>
              <w:bottom w:val="nil"/>
              <w:right w:val="single" w:sz="8" w:space="0" w:color="000000"/>
            </w:tcBorders>
          </w:tcPr>
          <w:p>
            <w:pPr>
              <w:pStyle w:val="TableParagraph"/>
              <w:rPr>
                <w:sz w:val="18"/>
              </w:rPr>
            </w:pPr>
          </w:p>
        </w:tc>
        <w:tc>
          <w:tcPr>
            <w:tcW w:w="1562" w:type="dxa"/>
            <w:tcBorders>
              <w:top w:val="nil"/>
              <w:left w:val="single" w:sz="8" w:space="0" w:color="000000"/>
              <w:bottom w:val="nil"/>
            </w:tcBorders>
          </w:tcPr>
          <w:p>
            <w:pPr>
              <w:pStyle w:val="TableParagraph"/>
              <w:rPr>
                <w:sz w:val="18"/>
              </w:rPr>
            </w:pPr>
          </w:p>
        </w:tc>
      </w:tr>
      <w:tr>
        <w:trPr>
          <w:trHeight w:val="413" w:hRule="atLeast"/>
        </w:trPr>
        <w:tc>
          <w:tcPr>
            <w:tcW w:w="668" w:type="dxa"/>
            <w:tcBorders>
              <w:top w:val="nil"/>
              <w:bottom w:val="nil"/>
            </w:tcBorders>
          </w:tcPr>
          <w:p>
            <w:pPr>
              <w:pStyle w:val="TableParagraph"/>
              <w:spacing w:before="100"/>
              <w:ind w:left="78"/>
              <w:rPr>
                <w:sz w:val="18"/>
              </w:rPr>
            </w:pPr>
            <w:r>
              <w:rPr>
                <w:sz w:val="18"/>
              </w:rPr>
              <w:t>29</w:t>
            </w:r>
          </w:p>
        </w:tc>
        <w:tc>
          <w:tcPr>
            <w:tcW w:w="843" w:type="dxa"/>
            <w:tcBorders>
              <w:top w:val="nil"/>
              <w:bottom w:val="nil"/>
              <w:right w:val="single" w:sz="8" w:space="0" w:color="000000"/>
            </w:tcBorders>
          </w:tcPr>
          <w:p>
            <w:pPr>
              <w:pStyle w:val="TableParagraph"/>
              <w:spacing w:before="100"/>
              <w:ind w:right="41"/>
              <w:jc w:val="right"/>
              <w:rPr>
                <w:sz w:val="18"/>
              </w:rPr>
            </w:pPr>
            <w:r>
              <w:rPr>
                <w:sz w:val="18"/>
              </w:rPr>
              <w:t>.362</w:t>
            </w:r>
          </w:p>
        </w:tc>
        <w:tc>
          <w:tcPr>
            <w:tcW w:w="1275" w:type="dxa"/>
            <w:tcBorders>
              <w:top w:val="nil"/>
              <w:left w:val="single" w:sz="8" w:space="0" w:color="000000"/>
              <w:bottom w:val="nil"/>
              <w:right w:val="single" w:sz="8" w:space="0" w:color="000000"/>
            </w:tcBorders>
          </w:tcPr>
          <w:p>
            <w:pPr>
              <w:pStyle w:val="TableParagraph"/>
              <w:spacing w:before="100"/>
              <w:ind w:right="38"/>
              <w:jc w:val="right"/>
              <w:rPr>
                <w:sz w:val="18"/>
              </w:rPr>
            </w:pPr>
            <w:r>
              <w:rPr>
                <w:sz w:val="18"/>
              </w:rPr>
              <w:t>.861</w:t>
            </w:r>
          </w:p>
        </w:tc>
        <w:tc>
          <w:tcPr>
            <w:tcW w:w="1278" w:type="dxa"/>
            <w:tcBorders>
              <w:top w:val="nil"/>
              <w:left w:val="single" w:sz="8" w:space="0" w:color="000000"/>
              <w:bottom w:val="nil"/>
              <w:right w:val="single" w:sz="8" w:space="0" w:color="000000"/>
            </w:tcBorders>
          </w:tcPr>
          <w:p>
            <w:pPr>
              <w:pStyle w:val="TableParagraph"/>
              <w:spacing w:before="100"/>
              <w:ind w:right="41"/>
              <w:jc w:val="right"/>
              <w:rPr>
                <w:sz w:val="18"/>
              </w:rPr>
            </w:pPr>
            <w:r>
              <w:rPr>
                <w:sz w:val="18"/>
              </w:rPr>
              <w:t>91.433</w:t>
            </w:r>
          </w:p>
        </w:tc>
        <w:tc>
          <w:tcPr>
            <w:tcW w:w="850" w:type="dxa"/>
            <w:tcBorders>
              <w:top w:val="nil"/>
              <w:left w:val="single" w:sz="8" w:space="0" w:color="000000"/>
              <w:bottom w:val="nil"/>
              <w:right w:val="single" w:sz="8" w:space="0" w:color="000000"/>
            </w:tcBorders>
          </w:tcPr>
          <w:p>
            <w:pPr>
              <w:pStyle w:val="TableParagraph"/>
              <w:rPr>
                <w:sz w:val="18"/>
              </w:rPr>
            </w:pPr>
          </w:p>
        </w:tc>
        <w:tc>
          <w:tcPr>
            <w:tcW w:w="1278" w:type="dxa"/>
            <w:tcBorders>
              <w:top w:val="nil"/>
              <w:left w:val="single" w:sz="8" w:space="0" w:color="000000"/>
              <w:bottom w:val="nil"/>
              <w:right w:val="single" w:sz="8" w:space="0" w:color="000000"/>
            </w:tcBorders>
          </w:tcPr>
          <w:p>
            <w:pPr>
              <w:pStyle w:val="TableParagraph"/>
              <w:rPr>
                <w:sz w:val="18"/>
              </w:rPr>
            </w:pPr>
          </w:p>
        </w:tc>
        <w:tc>
          <w:tcPr>
            <w:tcW w:w="1417" w:type="dxa"/>
            <w:tcBorders>
              <w:top w:val="nil"/>
              <w:left w:val="single" w:sz="8" w:space="0" w:color="000000"/>
              <w:bottom w:val="nil"/>
              <w:right w:val="single" w:sz="8" w:space="0" w:color="000000"/>
            </w:tcBorders>
          </w:tcPr>
          <w:p>
            <w:pPr>
              <w:pStyle w:val="TableParagraph"/>
              <w:rPr>
                <w:sz w:val="18"/>
              </w:rPr>
            </w:pPr>
          </w:p>
        </w:tc>
        <w:tc>
          <w:tcPr>
            <w:tcW w:w="1562" w:type="dxa"/>
            <w:tcBorders>
              <w:top w:val="nil"/>
              <w:left w:val="single" w:sz="8" w:space="0" w:color="000000"/>
              <w:bottom w:val="nil"/>
            </w:tcBorders>
          </w:tcPr>
          <w:p>
            <w:pPr>
              <w:pStyle w:val="TableParagraph"/>
              <w:rPr>
                <w:sz w:val="18"/>
              </w:rPr>
            </w:pPr>
          </w:p>
        </w:tc>
      </w:tr>
      <w:tr>
        <w:trPr>
          <w:trHeight w:val="461" w:hRule="atLeast"/>
        </w:trPr>
        <w:tc>
          <w:tcPr>
            <w:tcW w:w="668" w:type="dxa"/>
            <w:tcBorders>
              <w:top w:val="nil"/>
              <w:bottom w:val="nil"/>
            </w:tcBorders>
          </w:tcPr>
          <w:p>
            <w:pPr>
              <w:pStyle w:val="TableParagraph"/>
              <w:spacing w:before="99"/>
              <w:ind w:left="78"/>
              <w:rPr>
                <w:sz w:val="18"/>
              </w:rPr>
            </w:pPr>
            <w:r>
              <w:rPr>
                <w:sz w:val="18"/>
              </w:rPr>
              <w:t>30</w:t>
            </w:r>
          </w:p>
        </w:tc>
        <w:tc>
          <w:tcPr>
            <w:tcW w:w="843" w:type="dxa"/>
            <w:tcBorders>
              <w:top w:val="nil"/>
              <w:bottom w:val="nil"/>
              <w:right w:val="single" w:sz="8" w:space="0" w:color="000000"/>
            </w:tcBorders>
          </w:tcPr>
          <w:p>
            <w:pPr>
              <w:pStyle w:val="TableParagraph"/>
              <w:spacing w:before="99"/>
              <w:ind w:right="41"/>
              <w:jc w:val="right"/>
              <w:rPr>
                <w:sz w:val="18"/>
              </w:rPr>
            </w:pPr>
            <w:r>
              <w:rPr>
                <w:sz w:val="18"/>
              </w:rPr>
              <w:t>.349</w:t>
            </w:r>
          </w:p>
        </w:tc>
        <w:tc>
          <w:tcPr>
            <w:tcW w:w="1275" w:type="dxa"/>
            <w:tcBorders>
              <w:top w:val="nil"/>
              <w:left w:val="single" w:sz="8" w:space="0" w:color="000000"/>
              <w:bottom w:val="nil"/>
              <w:right w:val="single" w:sz="8" w:space="0" w:color="000000"/>
            </w:tcBorders>
          </w:tcPr>
          <w:p>
            <w:pPr>
              <w:pStyle w:val="TableParagraph"/>
              <w:spacing w:before="99"/>
              <w:ind w:right="38"/>
              <w:jc w:val="right"/>
              <w:rPr>
                <w:sz w:val="18"/>
              </w:rPr>
            </w:pPr>
            <w:r>
              <w:rPr>
                <w:sz w:val="18"/>
              </w:rPr>
              <w:t>.831</w:t>
            </w:r>
          </w:p>
        </w:tc>
        <w:tc>
          <w:tcPr>
            <w:tcW w:w="1278" w:type="dxa"/>
            <w:tcBorders>
              <w:top w:val="nil"/>
              <w:left w:val="single" w:sz="8" w:space="0" w:color="000000"/>
              <w:bottom w:val="nil"/>
              <w:right w:val="single" w:sz="8" w:space="0" w:color="000000"/>
            </w:tcBorders>
          </w:tcPr>
          <w:p>
            <w:pPr>
              <w:pStyle w:val="TableParagraph"/>
              <w:spacing w:before="99"/>
              <w:ind w:right="44"/>
              <w:jc w:val="right"/>
              <w:rPr>
                <w:sz w:val="18"/>
              </w:rPr>
            </w:pPr>
            <w:r>
              <w:rPr>
                <w:sz w:val="18"/>
              </w:rPr>
              <w:t>92.264</w:t>
            </w:r>
          </w:p>
        </w:tc>
        <w:tc>
          <w:tcPr>
            <w:tcW w:w="850" w:type="dxa"/>
            <w:tcBorders>
              <w:top w:val="nil"/>
              <w:left w:val="single" w:sz="8" w:space="0" w:color="000000"/>
              <w:bottom w:val="nil"/>
              <w:right w:val="single" w:sz="8" w:space="0" w:color="000000"/>
            </w:tcBorders>
          </w:tcPr>
          <w:p>
            <w:pPr>
              <w:pStyle w:val="TableParagraph"/>
              <w:rPr>
                <w:sz w:val="18"/>
              </w:rPr>
            </w:pPr>
          </w:p>
        </w:tc>
        <w:tc>
          <w:tcPr>
            <w:tcW w:w="1278" w:type="dxa"/>
            <w:tcBorders>
              <w:top w:val="nil"/>
              <w:left w:val="single" w:sz="8" w:space="0" w:color="000000"/>
              <w:bottom w:val="nil"/>
              <w:right w:val="single" w:sz="8" w:space="0" w:color="000000"/>
            </w:tcBorders>
          </w:tcPr>
          <w:p>
            <w:pPr>
              <w:pStyle w:val="TableParagraph"/>
              <w:rPr>
                <w:sz w:val="18"/>
              </w:rPr>
            </w:pPr>
          </w:p>
        </w:tc>
        <w:tc>
          <w:tcPr>
            <w:tcW w:w="1417" w:type="dxa"/>
            <w:tcBorders>
              <w:top w:val="nil"/>
              <w:left w:val="single" w:sz="8" w:space="0" w:color="000000"/>
              <w:bottom w:val="nil"/>
              <w:right w:val="single" w:sz="8" w:space="0" w:color="000000"/>
            </w:tcBorders>
          </w:tcPr>
          <w:p>
            <w:pPr>
              <w:pStyle w:val="TableParagraph"/>
              <w:rPr>
                <w:sz w:val="18"/>
              </w:rPr>
            </w:pPr>
          </w:p>
        </w:tc>
        <w:tc>
          <w:tcPr>
            <w:tcW w:w="1562" w:type="dxa"/>
            <w:tcBorders>
              <w:top w:val="nil"/>
              <w:left w:val="single" w:sz="8" w:space="0" w:color="000000"/>
              <w:bottom w:val="nil"/>
            </w:tcBorders>
          </w:tcPr>
          <w:p>
            <w:pPr>
              <w:pStyle w:val="TableParagraph"/>
              <w:rPr>
                <w:sz w:val="18"/>
              </w:rPr>
            </w:pPr>
          </w:p>
        </w:tc>
      </w:tr>
    </w:tbl>
    <w:p>
      <w:pPr>
        <w:spacing w:after="0"/>
        <w:rPr>
          <w:sz w:val="18"/>
        </w:rPr>
        <w:sectPr>
          <w:pgSz w:w="11910" w:h="16850"/>
          <w:pgMar w:header="751" w:footer="0" w:top="960" w:bottom="280" w:left="820" w:right="240"/>
        </w:sectPr>
      </w:pPr>
    </w:p>
    <w:p>
      <w:pPr>
        <w:pStyle w:val="BodyText"/>
        <w:spacing w:before="9"/>
        <w:rPr>
          <w:b/>
          <w:sz w:val="23"/>
        </w:rPr>
      </w:pPr>
    </w:p>
    <w:tbl>
      <w:tblPr>
        <w:tblW w:w="0" w:type="auto"/>
        <w:jc w:val="left"/>
        <w:tblInd w:w="391" w:type="dxa"/>
        <w:tblBorders>
          <w:top w:val="single" w:sz="18" w:space="0" w:color="000000"/>
          <w:left w:val="single" w:sz="18" w:space="0" w:color="000000"/>
          <w:bottom w:val="single" w:sz="18" w:space="0" w:color="000000"/>
          <w:right w:val="single" w:sz="18" w:space="0" w:color="000000"/>
          <w:insideH w:val="single" w:sz="18" w:space="0" w:color="000000"/>
          <w:insideV w:val="single" w:sz="18" w:space="0" w:color="000000"/>
        </w:tblBorders>
        <w:tblLayout w:type="fixed"/>
        <w:tblCellMar>
          <w:top w:w="0" w:type="dxa"/>
          <w:left w:w="0" w:type="dxa"/>
          <w:bottom w:w="0" w:type="dxa"/>
          <w:right w:w="0" w:type="dxa"/>
        </w:tblCellMar>
        <w:tblLook w:val="01E0"/>
      </w:tblPr>
      <w:tblGrid>
        <w:gridCol w:w="658"/>
        <w:gridCol w:w="852"/>
        <w:gridCol w:w="1275"/>
        <w:gridCol w:w="1278"/>
        <w:gridCol w:w="850"/>
        <w:gridCol w:w="1278"/>
        <w:gridCol w:w="1417"/>
        <w:gridCol w:w="1562"/>
      </w:tblGrid>
      <w:tr>
        <w:trPr>
          <w:trHeight w:val="344" w:hRule="atLeast"/>
        </w:trPr>
        <w:tc>
          <w:tcPr>
            <w:tcW w:w="658" w:type="dxa"/>
            <w:tcBorders>
              <w:top w:val="nil"/>
              <w:bottom w:val="nil"/>
            </w:tcBorders>
          </w:tcPr>
          <w:p>
            <w:pPr>
              <w:pStyle w:val="TableParagraph"/>
              <w:spacing w:before="52"/>
              <w:ind w:left="78"/>
              <w:rPr>
                <w:sz w:val="18"/>
              </w:rPr>
            </w:pPr>
            <w:r>
              <w:rPr>
                <w:sz w:val="18"/>
              </w:rPr>
              <w:t>31</w:t>
            </w:r>
          </w:p>
        </w:tc>
        <w:tc>
          <w:tcPr>
            <w:tcW w:w="852" w:type="dxa"/>
            <w:tcBorders>
              <w:top w:val="nil"/>
              <w:bottom w:val="nil"/>
              <w:right w:val="single" w:sz="8" w:space="0" w:color="000000"/>
            </w:tcBorders>
          </w:tcPr>
          <w:p>
            <w:pPr>
              <w:pStyle w:val="TableParagraph"/>
              <w:spacing w:before="52"/>
              <w:ind w:right="40"/>
              <w:jc w:val="right"/>
              <w:rPr>
                <w:sz w:val="18"/>
              </w:rPr>
            </w:pPr>
            <w:r>
              <w:rPr>
                <w:sz w:val="18"/>
              </w:rPr>
              <w:t>.343</w:t>
            </w:r>
          </w:p>
        </w:tc>
        <w:tc>
          <w:tcPr>
            <w:tcW w:w="1275" w:type="dxa"/>
            <w:tcBorders>
              <w:top w:val="nil"/>
              <w:left w:val="single" w:sz="8" w:space="0" w:color="000000"/>
              <w:bottom w:val="nil"/>
              <w:right w:val="single" w:sz="8" w:space="0" w:color="000000"/>
            </w:tcBorders>
          </w:tcPr>
          <w:p>
            <w:pPr>
              <w:pStyle w:val="TableParagraph"/>
              <w:spacing w:before="52"/>
              <w:ind w:right="37"/>
              <w:jc w:val="right"/>
              <w:rPr>
                <w:sz w:val="18"/>
              </w:rPr>
            </w:pPr>
            <w:r>
              <w:rPr>
                <w:sz w:val="18"/>
              </w:rPr>
              <w:t>.817</w:t>
            </w:r>
          </w:p>
        </w:tc>
        <w:tc>
          <w:tcPr>
            <w:tcW w:w="1278" w:type="dxa"/>
            <w:tcBorders>
              <w:top w:val="nil"/>
              <w:left w:val="single" w:sz="8" w:space="0" w:color="000000"/>
              <w:bottom w:val="nil"/>
              <w:right w:val="single" w:sz="8" w:space="0" w:color="000000"/>
            </w:tcBorders>
          </w:tcPr>
          <w:p>
            <w:pPr>
              <w:pStyle w:val="TableParagraph"/>
              <w:spacing w:before="52"/>
              <w:ind w:right="40"/>
              <w:jc w:val="right"/>
              <w:rPr>
                <w:sz w:val="18"/>
              </w:rPr>
            </w:pPr>
            <w:r>
              <w:rPr>
                <w:sz w:val="18"/>
              </w:rPr>
              <w:t>93.081</w:t>
            </w:r>
          </w:p>
        </w:tc>
        <w:tc>
          <w:tcPr>
            <w:tcW w:w="850" w:type="dxa"/>
            <w:vMerge w:val="restart"/>
            <w:tcBorders>
              <w:top w:val="nil"/>
              <w:left w:val="single" w:sz="8" w:space="0" w:color="000000"/>
              <w:right w:val="single" w:sz="8" w:space="0" w:color="000000"/>
            </w:tcBorders>
          </w:tcPr>
          <w:p>
            <w:pPr>
              <w:pStyle w:val="TableParagraph"/>
              <w:rPr>
                <w:sz w:val="18"/>
              </w:rPr>
            </w:pPr>
          </w:p>
        </w:tc>
        <w:tc>
          <w:tcPr>
            <w:tcW w:w="1278" w:type="dxa"/>
            <w:vMerge w:val="restart"/>
            <w:tcBorders>
              <w:top w:val="nil"/>
              <w:left w:val="single" w:sz="8" w:space="0" w:color="000000"/>
              <w:right w:val="single" w:sz="8" w:space="0" w:color="000000"/>
            </w:tcBorders>
          </w:tcPr>
          <w:p>
            <w:pPr>
              <w:pStyle w:val="TableParagraph"/>
              <w:rPr>
                <w:sz w:val="18"/>
              </w:rPr>
            </w:pPr>
          </w:p>
        </w:tc>
        <w:tc>
          <w:tcPr>
            <w:tcW w:w="1417" w:type="dxa"/>
            <w:vMerge w:val="restart"/>
            <w:tcBorders>
              <w:top w:val="nil"/>
              <w:left w:val="single" w:sz="8" w:space="0" w:color="000000"/>
              <w:right w:val="single" w:sz="8" w:space="0" w:color="000000"/>
            </w:tcBorders>
          </w:tcPr>
          <w:p>
            <w:pPr>
              <w:pStyle w:val="TableParagraph"/>
              <w:rPr>
                <w:sz w:val="18"/>
              </w:rPr>
            </w:pPr>
          </w:p>
        </w:tc>
        <w:tc>
          <w:tcPr>
            <w:tcW w:w="1562" w:type="dxa"/>
            <w:vMerge w:val="restart"/>
            <w:tcBorders>
              <w:top w:val="nil"/>
              <w:left w:val="single" w:sz="8" w:space="0" w:color="000000"/>
            </w:tcBorders>
          </w:tcPr>
          <w:p>
            <w:pPr>
              <w:pStyle w:val="TableParagraph"/>
              <w:rPr>
                <w:sz w:val="18"/>
              </w:rPr>
            </w:pPr>
          </w:p>
        </w:tc>
      </w:tr>
      <w:tr>
        <w:trPr>
          <w:trHeight w:val="369" w:hRule="atLeast"/>
        </w:trPr>
        <w:tc>
          <w:tcPr>
            <w:tcW w:w="658" w:type="dxa"/>
            <w:tcBorders>
              <w:top w:val="nil"/>
              <w:bottom w:val="nil"/>
            </w:tcBorders>
          </w:tcPr>
          <w:p>
            <w:pPr>
              <w:pStyle w:val="TableParagraph"/>
              <w:spacing w:before="76"/>
              <w:ind w:left="78"/>
              <w:rPr>
                <w:sz w:val="18"/>
              </w:rPr>
            </w:pPr>
            <w:r>
              <w:rPr>
                <w:sz w:val="18"/>
              </w:rPr>
              <w:t>32</w:t>
            </w:r>
          </w:p>
        </w:tc>
        <w:tc>
          <w:tcPr>
            <w:tcW w:w="852" w:type="dxa"/>
            <w:tcBorders>
              <w:top w:val="nil"/>
              <w:bottom w:val="nil"/>
              <w:right w:val="single" w:sz="8" w:space="0" w:color="000000"/>
            </w:tcBorders>
          </w:tcPr>
          <w:p>
            <w:pPr>
              <w:pStyle w:val="TableParagraph"/>
              <w:spacing w:before="76"/>
              <w:ind w:right="40"/>
              <w:jc w:val="right"/>
              <w:rPr>
                <w:sz w:val="18"/>
              </w:rPr>
            </w:pPr>
            <w:r>
              <w:rPr>
                <w:sz w:val="18"/>
              </w:rPr>
              <w:t>.323</w:t>
            </w:r>
          </w:p>
        </w:tc>
        <w:tc>
          <w:tcPr>
            <w:tcW w:w="1275" w:type="dxa"/>
            <w:tcBorders>
              <w:top w:val="nil"/>
              <w:left w:val="single" w:sz="8" w:space="0" w:color="000000"/>
              <w:bottom w:val="nil"/>
              <w:right w:val="single" w:sz="8" w:space="0" w:color="000000"/>
            </w:tcBorders>
          </w:tcPr>
          <w:p>
            <w:pPr>
              <w:pStyle w:val="TableParagraph"/>
              <w:spacing w:before="76"/>
              <w:ind w:right="37"/>
              <w:jc w:val="right"/>
              <w:rPr>
                <w:sz w:val="18"/>
              </w:rPr>
            </w:pPr>
            <w:r>
              <w:rPr>
                <w:sz w:val="18"/>
              </w:rPr>
              <w:t>.769</w:t>
            </w:r>
          </w:p>
        </w:tc>
        <w:tc>
          <w:tcPr>
            <w:tcW w:w="1278" w:type="dxa"/>
            <w:tcBorders>
              <w:top w:val="nil"/>
              <w:left w:val="single" w:sz="8" w:space="0" w:color="000000"/>
              <w:bottom w:val="nil"/>
              <w:right w:val="single" w:sz="8" w:space="0" w:color="000000"/>
            </w:tcBorders>
          </w:tcPr>
          <w:p>
            <w:pPr>
              <w:pStyle w:val="TableParagraph"/>
              <w:spacing w:before="76"/>
              <w:ind w:right="40"/>
              <w:jc w:val="right"/>
              <w:rPr>
                <w:sz w:val="18"/>
              </w:rPr>
            </w:pPr>
            <w:r>
              <w:rPr>
                <w:sz w:val="18"/>
              </w:rPr>
              <w:t>93.849</w:t>
            </w:r>
          </w:p>
        </w:tc>
        <w:tc>
          <w:tcPr>
            <w:tcW w:w="850" w:type="dxa"/>
            <w:vMerge/>
            <w:tcBorders>
              <w:top w:val="nil"/>
              <w:left w:val="single" w:sz="8" w:space="0" w:color="000000"/>
              <w:right w:val="single" w:sz="8" w:space="0" w:color="000000"/>
            </w:tcBorders>
          </w:tcPr>
          <w:p>
            <w:pPr>
              <w:rPr>
                <w:sz w:val="2"/>
                <w:szCs w:val="2"/>
              </w:rPr>
            </w:pPr>
          </w:p>
        </w:tc>
        <w:tc>
          <w:tcPr>
            <w:tcW w:w="1278" w:type="dxa"/>
            <w:vMerge/>
            <w:tcBorders>
              <w:top w:val="nil"/>
              <w:left w:val="single" w:sz="8" w:space="0" w:color="000000"/>
              <w:right w:val="single" w:sz="8" w:space="0" w:color="000000"/>
            </w:tcBorders>
          </w:tcPr>
          <w:p>
            <w:pPr>
              <w:rPr>
                <w:sz w:val="2"/>
                <w:szCs w:val="2"/>
              </w:rPr>
            </w:pPr>
          </w:p>
        </w:tc>
        <w:tc>
          <w:tcPr>
            <w:tcW w:w="1417" w:type="dxa"/>
            <w:vMerge/>
            <w:tcBorders>
              <w:top w:val="nil"/>
              <w:left w:val="single" w:sz="8" w:space="0" w:color="000000"/>
              <w:right w:val="single" w:sz="8" w:space="0" w:color="000000"/>
            </w:tcBorders>
          </w:tcPr>
          <w:p>
            <w:pPr>
              <w:rPr>
                <w:sz w:val="2"/>
                <w:szCs w:val="2"/>
              </w:rPr>
            </w:pPr>
          </w:p>
        </w:tc>
        <w:tc>
          <w:tcPr>
            <w:tcW w:w="1562" w:type="dxa"/>
            <w:vMerge/>
            <w:tcBorders>
              <w:top w:val="nil"/>
              <w:left w:val="single" w:sz="8" w:space="0" w:color="000000"/>
            </w:tcBorders>
          </w:tcPr>
          <w:p>
            <w:pPr>
              <w:rPr>
                <w:sz w:val="2"/>
                <w:szCs w:val="2"/>
              </w:rPr>
            </w:pPr>
          </w:p>
        </w:tc>
      </w:tr>
      <w:tr>
        <w:trPr>
          <w:trHeight w:val="368" w:hRule="atLeast"/>
        </w:trPr>
        <w:tc>
          <w:tcPr>
            <w:tcW w:w="658" w:type="dxa"/>
            <w:tcBorders>
              <w:top w:val="nil"/>
              <w:bottom w:val="nil"/>
            </w:tcBorders>
          </w:tcPr>
          <w:p>
            <w:pPr>
              <w:pStyle w:val="TableParagraph"/>
              <w:spacing w:before="77"/>
              <w:ind w:left="78"/>
              <w:rPr>
                <w:sz w:val="18"/>
              </w:rPr>
            </w:pPr>
            <w:r>
              <w:rPr>
                <w:sz w:val="18"/>
              </w:rPr>
              <w:t>33</w:t>
            </w:r>
          </w:p>
        </w:tc>
        <w:tc>
          <w:tcPr>
            <w:tcW w:w="852" w:type="dxa"/>
            <w:tcBorders>
              <w:top w:val="nil"/>
              <w:bottom w:val="nil"/>
              <w:right w:val="single" w:sz="8" w:space="0" w:color="000000"/>
            </w:tcBorders>
          </w:tcPr>
          <w:p>
            <w:pPr>
              <w:pStyle w:val="TableParagraph"/>
              <w:spacing w:before="77"/>
              <w:ind w:right="39"/>
              <w:jc w:val="right"/>
              <w:rPr>
                <w:sz w:val="18"/>
              </w:rPr>
            </w:pPr>
            <w:r>
              <w:rPr>
                <w:sz w:val="18"/>
              </w:rPr>
              <w:t>.318</w:t>
            </w:r>
          </w:p>
        </w:tc>
        <w:tc>
          <w:tcPr>
            <w:tcW w:w="1275" w:type="dxa"/>
            <w:tcBorders>
              <w:top w:val="nil"/>
              <w:left w:val="single" w:sz="8" w:space="0" w:color="000000"/>
              <w:bottom w:val="nil"/>
              <w:right w:val="single" w:sz="8" w:space="0" w:color="000000"/>
            </w:tcBorders>
          </w:tcPr>
          <w:p>
            <w:pPr>
              <w:pStyle w:val="TableParagraph"/>
              <w:spacing w:before="77"/>
              <w:ind w:right="40"/>
              <w:jc w:val="right"/>
              <w:rPr>
                <w:sz w:val="18"/>
              </w:rPr>
            </w:pPr>
            <w:r>
              <w:rPr>
                <w:sz w:val="18"/>
              </w:rPr>
              <w:t>.758</w:t>
            </w:r>
          </w:p>
        </w:tc>
        <w:tc>
          <w:tcPr>
            <w:tcW w:w="1278" w:type="dxa"/>
            <w:tcBorders>
              <w:top w:val="nil"/>
              <w:left w:val="single" w:sz="8" w:space="0" w:color="000000"/>
              <w:bottom w:val="nil"/>
              <w:right w:val="single" w:sz="8" w:space="0" w:color="000000"/>
            </w:tcBorders>
          </w:tcPr>
          <w:p>
            <w:pPr>
              <w:pStyle w:val="TableParagraph"/>
              <w:spacing w:before="77"/>
              <w:ind w:right="40"/>
              <w:jc w:val="right"/>
              <w:rPr>
                <w:sz w:val="18"/>
              </w:rPr>
            </w:pPr>
            <w:r>
              <w:rPr>
                <w:sz w:val="18"/>
              </w:rPr>
              <w:t>94.607</w:t>
            </w:r>
          </w:p>
        </w:tc>
        <w:tc>
          <w:tcPr>
            <w:tcW w:w="850" w:type="dxa"/>
            <w:vMerge/>
            <w:tcBorders>
              <w:top w:val="nil"/>
              <w:left w:val="single" w:sz="8" w:space="0" w:color="000000"/>
              <w:right w:val="single" w:sz="8" w:space="0" w:color="000000"/>
            </w:tcBorders>
          </w:tcPr>
          <w:p>
            <w:pPr>
              <w:rPr>
                <w:sz w:val="2"/>
                <w:szCs w:val="2"/>
              </w:rPr>
            </w:pPr>
          </w:p>
        </w:tc>
        <w:tc>
          <w:tcPr>
            <w:tcW w:w="1278" w:type="dxa"/>
            <w:vMerge/>
            <w:tcBorders>
              <w:top w:val="nil"/>
              <w:left w:val="single" w:sz="8" w:space="0" w:color="000000"/>
              <w:right w:val="single" w:sz="8" w:space="0" w:color="000000"/>
            </w:tcBorders>
          </w:tcPr>
          <w:p>
            <w:pPr>
              <w:rPr>
                <w:sz w:val="2"/>
                <w:szCs w:val="2"/>
              </w:rPr>
            </w:pPr>
          </w:p>
        </w:tc>
        <w:tc>
          <w:tcPr>
            <w:tcW w:w="1417" w:type="dxa"/>
            <w:vMerge/>
            <w:tcBorders>
              <w:top w:val="nil"/>
              <w:left w:val="single" w:sz="8" w:space="0" w:color="000000"/>
              <w:right w:val="single" w:sz="8" w:space="0" w:color="000000"/>
            </w:tcBorders>
          </w:tcPr>
          <w:p>
            <w:pPr>
              <w:rPr>
                <w:sz w:val="2"/>
                <w:szCs w:val="2"/>
              </w:rPr>
            </w:pPr>
          </w:p>
        </w:tc>
        <w:tc>
          <w:tcPr>
            <w:tcW w:w="1562" w:type="dxa"/>
            <w:vMerge/>
            <w:tcBorders>
              <w:top w:val="nil"/>
              <w:left w:val="single" w:sz="8" w:space="0" w:color="000000"/>
            </w:tcBorders>
          </w:tcPr>
          <w:p>
            <w:pPr>
              <w:rPr>
                <w:sz w:val="2"/>
                <w:szCs w:val="2"/>
              </w:rPr>
            </w:pPr>
          </w:p>
        </w:tc>
      </w:tr>
      <w:tr>
        <w:trPr>
          <w:trHeight w:val="369" w:hRule="atLeast"/>
        </w:trPr>
        <w:tc>
          <w:tcPr>
            <w:tcW w:w="658" w:type="dxa"/>
            <w:tcBorders>
              <w:top w:val="nil"/>
              <w:bottom w:val="nil"/>
            </w:tcBorders>
          </w:tcPr>
          <w:p>
            <w:pPr>
              <w:pStyle w:val="TableParagraph"/>
              <w:spacing w:before="76"/>
              <w:ind w:left="78"/>
              <w:rPr>
                <w:sz w:val="18"/>
              </w:rPr>
            </w:pPr>
            <w:r>
              <w:rPr>
                <w:sz w:val="18"/>
              </w:rPr>
              <w:t>34</w:t>
            </w:r>
          </w:p>
        </w:tc>
        <w:tc>
          <w:tcPr>
            <w:tcW w:w="852" w:type="dxa"/>
            <w:tcBorders>
              <w:top w:val="nil"/>
              <w:bottom w:val="nil"/>
              <w:right w:val="single" w:sz="8" w:space="0" w:color="000000"/>
            </w:tcBorders>
          </w:tcPr>
          <w:p>
            <w:pPr>
              <w:pStyle w:val="TableParagraph"/>
              <w:spacing w:before="76"/>
              <w:ind w:right="39"/>
              <w:jc w:val="right"/>
              <w:rPr>
                <w:sz w:val="18"/>
              </w:rPr>
            </w:pPr>
            <w:r>
              <w:rPr>
                <w:sz w:val="18"/>
              </w:rPr>
              <w:t>.299</w:t>
            </w:r>
          </w:p>
        </w:tc>
        <w:tc>
          <w:tcPr>
            <w:tcW w:w="1275" w:type="dxa"/>
            <w:tcBorders>
              <w:top w:val="nil"/>
              <w:left w:val="single" w:sz="8" w:space="0" w:color="000000"/>
              <w:bottom w:val="nil"/>
              <w:right w:val="single" w:sz="8" w:space="0" w:color="000000"/>
            </w:tcBorders>
          </w:tcPr>
          <w:p>
            <w:pPr>
              <w:pStyle w:val="TableParagraph"/>
              <w:spacing w:before="76"/>
              <w:ind w:right="37"/>
              <w:jc w:val="right"/>
              <w:rPr>
                <w:sz w:val="18"/>
              </w:rPr>
            </w:pPr>
            <w:r>
              <w:rPr>
                <w:sz w:val="18"/>
              </w:rPr>
              <w:t>.713</w:t>
            </w:r>
          </w:p>
        </w:tc>
        <w:tc>
          <w:tcPr>
            <w:tcW w:w="1278" w:type="dxa"/>
            <w:tcBorders>
              <w:top w:val="nil"/>
              <w:left w:val="single" w:sz="8" w:space="0" w:color="000000"/>
              <w:bottom w:val="nil"/>
              <w:right w:val="single" w:sz="8" w:space="0" w:color="000000"/>
            </w:tcBorders>
          </w:tcPr>
          <w:p>
            <w:pPr>
              <w:pStyle w:val="TableParagraph"/>
              <w:spacing w:before="76"/>
              <w:ind w:right="43"/>
              <w:jc w:val="right"/>
              <w:rPr>
                <w:sz w:val="18"/>
              </w:rPr>
            </w:pPr>
            <w:r>
              <w:rPr>
                <w:sz w:val="18"/>
              </w:rPr>
              <w:t>95.320</w:t>
            </w:r>
          </w:p>
        </w:tc>
        <w:tc>
          <w:tcPr>
            <w:tcW w:w="850" w:type="dxa"/>
            <w:vMerge/>
            <w:tcBorders>
              <w:top w:val="nil"/>
              <w:left w:val="single" w:sz="8" w:space="0" w:color="000000"/>
              <w:right w:val="single" w:sz="8" w:space="0" w:color="000000"/>
            </w:tcBorders>
          </w:tcPr>
          <w:p>
            <w:pPr>
              <w:rPr>
                <w:sz w:val="2"/>
                <w:szCs w:val="2"/>
              </w:rPr>
            </w:pPr>
          </w:p>
        </w:tc>
        <w:tc>
          <w:tcPr>
            <w:tcW w:w="1278" w:type="dxa"/>
            <w:vMerge/>
            <w:tcBorders>
              <w:top w:val="nil"/>
              <w:left w:val="single" w:sz="8" w:space="0" w:color="000000"/>
              <w:right w:val="single" w:sz="8" w:space="0" w:color="000000"/>
            </w:tcBorders>
          </w:tcPr>
          <w:p>
            <w:pPr>
              <w:rPr>
                <w:sz w:val="2"/>
                <w:szCs w:val="2"/>
              </w:rPr>
            </w:pPr>
          </w:p>
        </w:tc>
        <w:tc>
          <w:tcPr>
            <w:tcW w:w="1417" w:type="dxa"/>
            <w:vMerge/>
            <w:tcBorders>
              <w:top w:val="nil"/>
              <w:left w:val="single" w:sz="8" w:space="0" w:color="000000"/>
              <w:right w:val="single" w:sz="8" w:space="0" w:color="000000"/>
            </w:tcBorders>
          </w:tcPr>
          <w:p>
            <w:pPr>
              <w:rPr>
                <w:sz w:val="2"/>
                <w:szCs w:val="2"/>
              </w:rPr>
            </w:pPr>
          </w:p>
        </w:tc>
        <w:tc>
          <w:tcPr>
            <w:tcW w:w="1562" w:type="dxa"/>
            <w:vMerge/>
            <w:tcBorders>
              <w:top w:val="nil"/>
              <w:left w:val="single" w:sz="8" w:space="0" w:color="000000"/>
            </w:tcBorders>
          </w:tcPr>
          <w:p>
            <w:pPr>
              <w:rPr>
                <w:sz w:val="2"/>
                <w:szCs w:val="2"/>
              </w:rPr>
            </w:pPr>
          </w:p>
        </w:tc>
      </w:tr>
      <w:tr>
        <w:trPr>
          <w:trHeight w:val="369" w:hRule="atLeast"/>
        </w:trPr>
        <w:tc>
          <w:tcPr>
            <w:tcW w:w="658" w:type="dxa"/>
            <w:tcBorders>
              <w:top w:val="nil"/>
              <w:bottom w:val="nil"/>
            </w:tcBorders>
          </w:tcPr>
          <w:p>
            <w:pPr>
              <w:pStyle w:val="TableParagraph"/>
              <w:spacing w:before="77"/>
              <w:ind w:left="78"/>
              <w:rPr>
                <w:sz w:val="18"/>
              </w:rPr>
            </w:pPr>
            <w:r>
              <w:rPr>
                <w:sz w:val="18"/>
              </w:rPr>
              <w:t>35</w:t>
            </w:r>
          </w:p>
        </w:tc>
        <w:tc>
          <w:tcPr>
            <w:tcW w:w="852" w:type="dxa"/>
            <w:tcBorders>
              <w:top w:val="nil"/>
              <w:bottom w:val="nil"/>
              <w:right w:val="single" w:sz="8" w:space="0" w:color="000000"/>
            </w:tcBorders>
          </w:tcPr>
          <w:p>
            <w:pPr>
              <w:pStyle w:val="TableParagraph"/>
              <w:spacing w:before="77"/>
              <w:ind w:right="40"/>
              <w:jc w:val="right"/>
              <w:rPr>
                <w:sz w:val="18"/>
              </w:rPr>
            </w:pPr>
            <w:r>
              <w:rPr>
                <w:sz w:val="18"/>
              </w:rPr>
              <w:t>.294</w:t>
            </w:r>
          </w:p>
        </w:tc>
        <w:tc>
          <w:tcPr>
            <w:tcW w:w="1275" w:type="dxa"/>
            <w:tcBorders>
              <w:top w:val="nil"/>
              <w:left w:val="single" w:sz="8" w:space="0" w:color="000000"/>
              <w:bottom w:val="nil"/>
              <w:right w:val="single" w:sz="8" w:space="0" w:color="000000"/>
            </w:tcBorders>
          </w:tcPr>
          <w:p>
            <w:pPr>
              <w:pStyle w:val="TableParagraph"/>
              <w:spacing w:before="77"/>
              <w:ind w:right="40"/>
              <w:jc w:val="right"/>
              <w:rPr>
                <w:sz w:val="18"/>
              </w:rPr>
            </w:pPr>
            <w:r>
              <w:rPr>
                <w:sz w:val="18"/>
              </w:rPr>
              <w:t>.700</w:t>
            </w:r>
          </w:p>
        </w:tc>
        <w:tc>
          <w:tcPr>
            <w:tcW w:w="1278" w:type="dxa"/>
            <w:tcBorders>
              <w:top w:val="nil"/>
              <w:left w:val="single" w:sz="8" w:space="0" w:color="000000"/>
              <w:bottom w:val="nil"/>
              <w:right w:val="single" w:sz="8" w:space="0" w:color="000000"/>
            </w:tcBorders>
          </w:tcPr>
          <w:p>
            <w:pPr>
              <w:pStyle w:val="TableParagraph"/>
              <w:spacing w:before="77"/>
              <w:ind w:right="40"/>
              <w:jc w:val="right"/>
              <w:rPr>
                <w:sz w:val="18"/>
              </w:rPr>
            </w:pPr>
            <w:r>
              <w:rPr>
                <w:sz w:val="18"/>
              </w:rPr>
              <w:t>96.020</w:t>
            </w:r>
          </w:p>
        </w:tc>
        <w:tc>
          <w:tcPr>
            <w:tcW w:w="850" w:type="dxa"/>
            <w:vMerge/>
            <w:tcBorders>
              <w:top w:val="nil"/>
              <w:left w:val="single" w:sz="8" w:space="0" w:color="000000"/>
              <w:right w:val="single" w:sz="8" w:space="0" w:color="000000"/>
            </w:tcBorders>
          </w:tcPr>
          <w:p>
            <w:pPr>
              <w:rPr>
                <w:sz w:val="2"/>
                <w:szCs w:val="2"/>
              </w:rPr>
            </w:pPr>
          </w:p>
        </w:tc>
        <w:tc>
          <w:tcPr>
            <w:tcW w:w="1278" w:type="dxa"/>
            <w:vMerge/>
            <w:tcBorders>
              <w:top w:val="nil"/>
              <w:left w:val="single" w:sz="8" w:space="0" w:color="000000"/>
              <w:right w:val="single" w:sz="8" w:space="0" w:color="000000"/>
            </w:tcBorders>
          </w:tcPr>
          <w:p>
            <w:pPr>
              <w:rPr>
                <w:sz w:val="2"/>
                <w:szCs w:val="2"/>
              </w:rPr>
            </w:pPr>
          </w:p>
        </w:tc>
        <w:tc>
          <w:tcPr>
            <w:tcW w:w="1417" w:type="dxa"/>
            <w:vMerge/>
            <w:tcBorders>
              <w:top w:val="nil"/>
              <w:left w:val="single" w:sz="8" w:space="0" w:color="000000"/>
              <w:right w:val="single" w:sz="8" w:space="0" w:color="000000"/>
            </w:tcBorders>
          </w:tcPr>
          <w:p>
            <w:pPr>
              <w:rPr>
                <w:sz w:val="2"/>
                <w:szCs w:val="2"/>
              </w:rPr>
            </w:pPr>
          </w:p>
        </w:tc>
        <w:tc>
          <w:tcPr>
            <w:tcW w:w="1562" w:type="dxa"/>
            <w:vMerge/>
            <w:tcBorders>
              <w:top w:val="nil"/>
              <w:left w:val="single" w:sz="8" w:space="0" w:color="000000"/>
            </w:tcBorders>
          </w:tcPr>
          <w:p>
            <w:pPr>
              <w:rPr>
                <w:sz w:val="2"/>
                <w:szCs w:val="2"/>
              </w:rPr>
            </w:pPr>
          </w:p>
        </w:tc>
      </w:tr>
      <w:tr>
        <w:trPr>
          <w:trHeight w:val="368" w:hRule="atLeast"/>
        </w:trPr>
        <w:tc>
          <w:tcPr>
            <w:tcW w:w="658" w:type="dxa"/>
            <w:tcBorders>
              <w:top w:val="nil"/>
              <w:bottom w:val="nil"/>
            </w:tcBorders>
          </w:tcPr>
          <w:p>
            <w:pPr>
              <w:pStyle w:val="TableParagraph"/>
              <w:spacing w:before="76"/>
              <w:ind w:left="78"/>
              <w:rPr>
                <w:sz w:val="18"/>
              </w:rPr>
            </w:pPr>
            <w:r>
              <w:rPr>
                <w:sz w:val="18"/>
              </w:rPr>
              <w:t>36</w:t>
            </w:r>
          </w:p>
        </w:tc>
        <w:tc>
          <w:tcPr>
            <w:tcW w:w="852" w:type="dxa"/>
            <w:tcBorders>
              <w:top w:val="nil"/>
              <w:bottom w:val="nil"/>
              <w:right w:val="single" w:sz="8" w:space="0" w:color="000000"/>
            </w:tcBorders>
          </w:tcPr>
          <w:p>
            <w:pPr>
              <w:pStyle w:val="TableParagraph"/>
              <w:spacing w:before="76"/>
              <w:ind w:right="39"/>
              <w:jc w:val="right"/>
              <w:rPr>
                <w:sz w:val="18"/>
              </w:rPr>
            </w:pPr>
            <w:r>
              <w:rPr>
                <w:sz w:val="18"/>
              </w:rPr>
              <w:t>.286</w:t>
            </w:r>
          </w:p>
        </w:tc>
        <w:tc>
          <w:tcPr>
            <w:tcW w:w="1275" w:type="dxa"/>
            <w:tcBorders>
              <w:top w:val="nil"/>
              <w:left w:val="single" w:sz="8" w:space="0" w:color="000000"/>
              <w:bottom w:val="nil"/>
              <w:right w:val="single" w:sz="8" w:space="0" w:color="000000"/>
            </w:tcBorders>
          </w:tcPr>
          <w:p>
            <w:pPr>
              <w:pStyle w:val="TableParagraph"/>
              <w:spacing w:before="76"/>
              <w:ind w:right="37"/>
              <w:jc w:val="right"/>
              <w:rPr>
                <w:sz w:val="18"/>
              </w:rPr>
            </w:pPr>
            <w:r>
              <w:rPr>
                <w:sz w:val="18"/>
              </w:rPr>
              <w:t>.682</w:t>
            </w:r>
          </w:p>
        </w:tc>
        <w:tc>
          <w:tcPr>
            <w:tcW w:w="1278" w:type="dxa"/>
            <w:tcBorders>
              <w:top w:val="nil"/>
              <w:left w:val="single" w:sz="8" w:space="0" w:color="000000"/>
              <w:bottom w:val="nil"/>
              <w:right w:val="single" w:sz="8" w:space="0" w:color="000000"/>
            </w:tcBorders>
          </w:tcPr>
          <w:p>
            <w:pPr>
              <w:pStyle w:val="TableParagraph"/>
              <w:spacing w:before="76"/>
              <w:ind w:right="40"/>
              <w:jc w:val="right"/>
              <w:rPr>
                <w:sz w:val="18"/>
              </w:rPr>
            </w:pPr>
            <w:r>
              <w:rPr>
                <w:sz w:val="18"/>
              </w:rPr>
              <w:t>96.702</w:t>
            </w:r>
          </w:p>
        </w:tc>
        <w:tc>
          <w:tcPr>
            <w:tcW w:w="850" w:type="dxa"/>
            <w:vMerge/>
            <w:tcBorders>
              <w:top w:val="nil"/>
              <w:left w:val="single" w:sz="8" w:space="0" w:color="000000"/>
              <w:right w:val="single" w:sz="8" w:space="0" w:color="000000"/>
            </w:tcBorders>
          </w:tcPr>
          <w:p>
            <w:pPr>
              <w:rPr>
                <w:sz w:val="2"/>
                <w:szCs w:val="2"/>
              </w:rPr>
            </w:pPr>
          </w:p>
        </w:tc>
        <w:tc>
          <w:tcPr>
            <w:tcW w:w="1278" w:type="dxa"/>
            <w:vMerge/>
            <w:tcBorders>
              <w:top w:val="nil"/>
              <w:left w:val="single" w:sz="8" w:space="0" w:color="000000"/>
              <w:right w:val="single" w:sz="8" w:space="0" w:color="000000"/>
            </w:tcBorders>
          </w:tcPr>
          <w:p>
            <w:pPr>
              <w:rPr>
                <w:sz w:val="2"/>
                <w:szCs w:val="2"/>
              </w:rPr>
            </w:pPr>
          </w:p>
        </w:tc>
        <w:tc>
          <w:tcPr>
            <w:tcW w:w="1417" w:type="dxa"/>
            <w:vMerge/>
            <w:tcBorders>
              <w:top w:val="nil"/>
              <w:left w:val="single" w:sz="8" w:space="0" w:color="000000"/>
              <w:right w:val="single" w:sz="8" w:space="0" w:color="000000"/>
            </w:tcBorders>
          </w:tcPr>
          <w:p>
            <w:pPr>
              <w:rPr>
                <w:sz w:val="2"/>
                <w:szCs w:val="2"/>
              </w:rPr>
            </w:pPr>
          </w:p>
        </w:tc>
        <w:tc>
          <w:tcPr>
            <w:tcW w:w="1562" w:type="dxa"/>
            <w:vMerge/>
            <w:tcBorders>
              <w:top w:val="nil"/>
              <w:left w:val="single" w:sz="8" w:space="0" w:color="000000"/>
            </w:tcBorders>
          </w:tcPr>
          <w:p>
            <w:pPr>
              <w:rPr>
                <w:sz w:val="2"/>
                <w:szCs w:val="2"/>
              </w:rPr>
            </w:pPr>
          </w:p>
        </w:tc>
      </w:tr>
      <w:tr>
        <w:trPr>
          <w:trHeight w:val="368" w:hRule="atLeast"/>
        </w:trPr>
        <w:tc>
          <w:tcPr>
            <w:tcW w:w="658" w:type="dxa"/>
            <w:tcBorders>
              <w:top w:val="nil"/>
              <w:bottom w:val="nil"/>
            </w:tcBorders>
          </w:tcPr>
          <w:p>
            <w:pPr>
              <w:pStyle w:val="TableParagraph"/>
              <w:spacing w:before="77"/>
              <w:ind w:left="78"/>
              <w:rPr>
                <w:sz w:val="18"/>
              </w:rPr>
            </w:pPr>
            <w:r>
              <w:rPr>
                <w:sz w:val="18"/>
              </w:rPr>
              <w:t>37</w:t>
            </w:r>
          </w:p>
        </w:tc>
        <w:tc>
          <w:tcPr>
            <w:tcW w:w="852" w:type="dxa"/>
            <w:tcBorders>
              <w:top w:val="nil"/>
              <w:bottom w:val="nil"/>
              <w:right w:val="single" w:sz="8" w:space="0" w:color="000000"/>
            </w:tcBorders>
          </w:tcPr>
          <w:p>
            <w:pPr>
              <w:pStyle w:val="TableParagraph"/>
              <w:spacing w:before="77"/>
              <w:ind w:right="39"/>
              <w:jc w:val="right"/>
              <w:rPr>
                <w:sz w:val="18"/>
              </w:rPr>
            </w:pPr>
            <w:r>
              <w:rPr>
                <w:sz w:val="18"/>
              </w:rPr>
              <w:t>.269</w:t>
            </w:r>
          </w:p>
        </w:tc>
        <w:tc>
          <w:tcPr>
            <w:tcW w:w="1275" w:type="dxa"/>
            <w:tcBorders>
              <w:top w:val="nil"/>
              <w:left w:val="single" w:sz="8" w:space="0" w:color="000000"/>
              <w:bottom w:val="nil"/>
              <w:right w:val="single" w:sz="8" w:space="0" w:color="000000"/>
            </w:tcBorders>
          </w:tcPr>
          <w:p>
            <w:pPr>
              <w:pStyle w:val="TableParagraph"/>
              <w:spacing w:before="77"/>
              <w:ind w:right="37"/>
              <w:jc w:val="right"/>
              <w:rPr>
                <w:sz w:val="18"/>
              </w:rPr>
            </w:pPr>
            <w:r>
              <w:rPr>
                <w:sz w:val="18"/>
              </w:rPr>
              <w:t>.641</w:t>
            </w:r>
          </w:p>
        </w:tc>
        <w:tc>
          <w:tcPr>
            <w:tcW w:w="1278" w:type="dxa"/>
            <w:tcBorders>
              <w:top w:val="nil"/>
              <w:left w:val="single" w:sz="8" w:space="0" w:color="000000"/>
              <w:bottom w:val="nil"/>
              <w:right w:val="single" w:sz="8" w:space="0" w:color="000000"/>
            </w:tcBorders>
          </w:tcPr>
          <w:p>
            <w:pPr>
              <w:pStyle w:val="TableParagraph"/>
              <w:spacing w:before="77"/>
              <w:ind w:right="40"/>
              <w:jc w:val="right"/>
              <w:rPr>
                <w:sz w:val="18"/>
              </w:rPr>
            </w:pPr>
            <w:r>
              <w:rPr>
                <w:sz w:val="18"/>
              </w:rPr>
              <w:t>97.343</w:t>
            </w:r>
          </w:p>
        </w:tc>
        <w:tc>
          <w:tcPr>
            <w:tcW w:w="850" w:type="dxa"/>
            <w:vMerge/>
            <w:tcBorders>
              <w:top w:val="nil"/>
              <w:left w:val="single" w:sz="8" w:space="0" w:color="000000"/>
              <w:right w:val="single" w:sz="8" w:space="0" w:color="000000"/>
            </w:tcBorders>
          </w:tcPr>
          <w:p>
            <w:pPr>
              <w:rPr>
                <w:sz w:val="2"/>
                <w:szCs w:val="2"/>
              </w:rPr>
            </w:pPr>
          </w:p>
        </w:tc>
        <w:tc>
          <w:tcPr>
            <w:tcW w:w="1278" w:type="dxa"/>
            <w:vMerge/>
            <w:tcBorders>
              <w:top w:val="nil"/>
              <w:left w:val="single" w:sz="8" w:space="0" w:color="000000"/>
              <w:right w:val="single" w:sz="8" w:space="0" w:color="000000"/>
            </w:tcBorders>
          </w:tcPr>
          <w:p>
            <w:pPr>
              <w:rPr>
                <w:sz w:val="2"/>
                <w:szCs w:val="2"/>
              </w:rPr>
            </w:pPr>
          </w:p>
        </w:tc>
        <w:tc>
          <w:tcPr>
            <w:tcW w:w="1417" w:type="dxa"/>
            <w:vMerge/>
            <w:tcBorders>
              <w:top w:val="nil"/>
              <w:left w:val="single" w:sz="8" w:space="0" w:color="000000"/>
              <w:right w:val="single" w:sz="8" w:space="0" w:color="000000"/>
            </w:tcBorders>
          </w:tcPr>
          <w:p>
            <w:pPr>
              <w:rPr>
                <w:sz w:val="2"/>
                <w:szCs w:val="2"/>
              </w:rPr>
            </w:pPr>
          </w:p>
        </w:tc>
        <w:tc>
          <w:tcPr>
            <w:tcW w:w="1562" w:type="dxa"/>
            <w:vMerge/>
            <w:tcBorders>
              <w:top w:val="nil"/>
              <w:left w:val="single" w:sz="8" w:space="0" w:color="000000"/>
            </w:tcBorders>
          </w:tcPr>
          <w:p>
            <w:pPr>
              <w:rPr>
                <w:sz w:val="2"/>
                <w:szCs w:val="2"/>
              </w:rPr>
            </w:pPr>
          </w:p>
        </w:tc>
      </w:tr>
      <w:tr>
        <w:trPr>
          <w:trHeight w:val="369" w:hRule="atLeast"/>
        </w:trPr>
        <w:tc>
          <w:tcPr>
            <w:tcW w:w="658" w:type="dxa"/>
            <w:tcBorders>
              <w:top w:val="nil"/>
              <w:bottom w:val="nil"/>
            </w:tcBorders>
          </w:tcPr>
          <w:p>
            <w:pPr>
              <w:pStyle w:val="TableParagraph"/>
              <w:spacing w:before="76"/>
              <w:ind w:left="78"/>
              <w:rPr>
                <w:sz w:val="18"/>
              </w:rPr>
            </w:pPr>
            <w:r>
              <w:rPr>
                <w:sz w:val="18"/>
              </w:rPr>
              <w:t>38</w:t>
            </w:r>
          </w:p>
        </w:tc>
        <w:tc>
          <w:tcPr>
            <w:tcW w:w="852" w:type="dxa"/>
            <w:tcBorders>
              <w:top w:val="nil"/>
              <w:bottom w:val="nil"/>
              <w:right w:val="single" w:sz="8" w:space="0" w:color="000000"/>
            </w:tcBorders>
          </w:tcPr>
          <w:p>
            <w:pPr>
              <w:pStyle w:val="TableParagraph"/>
              <w:spacing w:before="76"/>
              <w:ind w:right="39"/>
              <w:jc w:val="right"/>
              <w:rPr>
                <w:sz w:val="18"/>
              </w:rPr>
            </w:pPr>
            <w:r>
              <w:rPr>
                <w:sz w:val="18"/>
              </w:rPr>
              <w:t>.256</w:t>
            </w:r>
          </w:p>
        </w:tc>
        <w:tc>
          <w:tcPr>
            <w:tcW w:w="1275" w:type="dxa"/>
            <w:tcBorders>
              <w:top w:val="nil"/>
              <w:left w:val="single" w:sz="8" w:space="0" w:color="000000"/>
              <w:bottom w:val="nil"/>
              <w:right w:val="single" w:sz="8" w:space="0" w:color="000000"/>
            </w:tcBorders>
          </w:tcPr>
          <w:p>
            <w:pPr>
              <w:pStyle w:val="TableParagraph"/>
              <w:spacing w:before="76"/>
              <w:ind w:right="37"/>
              <w:jc w:val="right"/>
              <w:rPr>
                <w:sz w:val="18"/>
              </w:rPr>
            </w:pPr>
            <w:r>
              <w:rPr>
                <w:sz w:val="18"/>
              </w:rPr>
              <w:t>.610</w:t>
            </w:r>
          </w:p>
        </w:tc>
        <w:tc>
          <w:tcPr>
            <w:tcW w:w="1278" w:type="dxa"/>
            <w:tcBorders>
              <w:top w:val="nil"/>
              <w:left w:val="single" w:sz="8" w:space="0" w:color="000000"/>
              <w:bottom w:val="nil"/>
              <w:right w:val="single" w:sz="8" w:space="0" w:color="000000"/>
            </w:tcBorders>
          </w:tcPr>
          <w:p>
            <w:pPr>
              <w:pStyle w:val="TableParagraph"/>
              <w:spacing w:before="76"/>
              <w:ind w:right="40"/>
              <w:jc w:val="right"/>
              <w:rPr>
                <w:sz w:val="18"/>
              </w:rPr>
            </w:pPr>
            <w:r>
              <w:rPr>
                <w:sz w:val="18"/>
              </w:rPr>
              <w:t>97.954</w:t>
            </w:r>
          </w:p>
        </w:tc>
        <w:tc>
          <w:tcPr>
            <w:tcW w:w="850" w:type="dxa"/>
            <w:vMerge/>
            <w:tcBorders>
              <w:top w:val="nil"/>
              <w:left w:val="single" w:sz="8" w:space="0" w:color="000000"/>
              <w:right w:val="single" w:sz="8" w:space="0" w:color="000000"/>
            </w:tcBorders>
          </w:tcPr>
          <w:p>
            <w:pPr>
              <w:rPr>
                <w:sz w:val="2"/>
                <w:szCs w:val="2"/>
              </w:rPr>
            </w:pPr>
          </w:p>
        </w:tc>
        <w:tc>
          <w:tcPr>
            <w:tcW w:w="1278" w:type="dxa"/>
            <w:vMerge/>
            <w:tcBorders>
              <w:top w:val="nil"/>
              <w:left w:val="single" w:sz="8" w:space="0" w:color="000000"/>
              <w:right w:val="single" w:sz="8" w:space="0" w:color="000000"/>
            </w:tcBorders>
          </w:tcPr>
          <w:p>
            <w:pPr>
              <w:rPr>
                <w:sz w:val="2"/>
                <w:szCs w:val="2"/>
              </w:rPr>
            </w:pPr>
          </w:p>
        </w:tc>
        <w:tc>
          <w:tcPr>
            <w:tcW w:w="1417" w:type="dxa"/>
            <w:vMerge/>
            <w:tcBorders>
              <w:top w:val="nil"/>
              <w:left w:val="single" w:sz="8" w:space="0" w:color="000000"/>
              <w:right w:val="single" w:sz="8" w:space="0" w:color="000000"/>
            </w:tcBorders>
          </w:tcPr>
          <w:p>
            <w:pPr>
              <w:rPr>
                <w:sz w:val="2"/>
                <w:szCs w:val="2"/>
              </w:rPr>
            </w:pPr>
          </w:p>
        </w:tc>
        <w:tc>
          <w:tcPr>
            <w:tcW w:w="1562" w:type="dxa"/>
            <w:vMerge/>
            <w:tcBorders>
              <w:top w:val="nil"/>
              <w:left w:val="single" w:sz="8" w:space="0" w:color="000000"/>
            </w:tcBorders>
          </w:tcPr>
          <w:p>
            <w:pPr>
              <w:rPr>
                <w:sz w:val="2"/>
                <w:szCs w:val="2"/>
              </w:rPr>
            </w:pPr>
          </w:p>
        </w:tc>
      </w:tr>
      <w:tr>
        <w:trPr>
          <w:trHeight w:val="369" w:hRule="atLeast"/>
        </w:trPr>
        <w:tc>
          <w:tcPr>
            <w:tcW w:w="658" w:type="dxa"/>
            <w:tcBorders>
              <w:top w:val="nil"/>
              <w:bottom w:val="nil"/>
            </w:tcBorders>
          </w:tcPr>
          <w:p>
            <w:pPr>
              <w:pStyle w:val="TableParagraph"/>
              <w:spacing w:before="77"/>
              <w:ind w:left="78"/>
              <w:rPr>
                <w:sz w:val="18"/>
              </w:rPr>
            </w:pPr>
            <w:r>
              <w:rPr>
                <w:sz w:val="18"/>
              </w:rPr>
              <w:t>39</w:t>
            </w:r>
          </w:p>
        </w:tc>
        <w:tc>
          <w:tcPr>
            <w:tcW w:w="852" w:type="dxa"/>
            <w:tcBorders>
              <w:top w:val="nil"/>
              <w:bottom w:val="nil"/>
              <w:right w:val="single" w:sz="8" w:space="0" w:color="000000"/>
            </w:tcBorders>
          </w:tcPr>
          <w:p>
            <w:pPr>
              <w:pStyle w:val="TableParagraph"/>
              <w:spacing w:before="77"/>
              <w:ind w:right="39"/>
              <w:jc w:val="right"/>
              <w:rPr>
                <w:sz w:val="18"/>
              </w:rPr>
            </w:pPr>
            <w:r>
              <w:rPr>
                <w:sz w:val="18"/>
              </w:rPr>
              <w:t>.240</w:t>
            </w:r>
          </w:p>
        </w:tc>
        <w:tc>
          <w:tcPr>
            <w:tcW w:w="1275" w:type="dxa"/>
            <w:tcBorders>
              <w:top w:val="nil"/>
              <w:left w:val="single" w:sz="8" w:space="0" w:color="000000"/>
              <w:bottom w:val="nil"/>
              <w:right w:val="single" w:sz="8" w:space="0" w:color="000000"/>
            </w:tcBorders>
          </w:tcPr>
          <w:p>
            <w:pPr>
              <w:pStyle w:val="TableParagraph"/>
              <w:spacing w:before="77"/>
              <w:ind w:right="37"/>
              <w:jc w:val="right"/>
              <w:rPr>
                <w:sz w:val="18"/>
              </w:rPr>
            </w:pPr>
            <w:r>
              <w:rPr>
                <w:sz w:val="18"/>
              </w:rPr>
              <w:t>.572</w:t>
            </w:r>
          </w:p>
        </w:tc>
        <w:tc>
          <w:tcPr>
            <w:tcW w:w="1278" w:type="dxa"/>
            <w:tcBorders>
              <w:top w:val="nil"/>
              <w:left w:val="single" w:sz="8" w:space="0" w:color="000000"/>
              <w:bottom w:val="nil"/>
              <w:right w:val="single" w:sz="8" w:space="0" w:color="000000"/>
            </w:tcBorders>
          </w:tcPr>
          <w:p>
            <w:pPr>
              <w:pStyle w:val="TableParagraph"/>
              <w:spacing w:before="77"/>
              <w:ind w:right="40"/>
              <w:jc w:val="right"/>
              <w:rPr>
                <w:sz w:val="18"/>
              </w:rPr>
            </w:pPr>
            <w:r>
              <w:rPr>
                <w:sz w:val="18"/>
              </w:rPr>
              <w:t>98.526</w:t>
            </w:r>
          </w:p>
        </w:tc>
        <w:tc>
          <w:tcPr>
            <w:tcW w:w="850" w:type="dxa"/>
            <w:vMerge/>
            <w:tcBorders>
              <w:top w:val="nil"/>
              <w:left w:val="single" w:sz="8" w:space="0" w:color="000000"/>
              <w:right w:val="single" w:sz="8" w:space="0" w:color="000000"/>
            </w:tcBorders>
          </w:tcPr>
          <w:p>
            <w:pPr>
              <w:rPr>
                <w:sz w:val="2"/>
                <w:szCs w:val="2"/>
              </w:rPr>
            </w:pPr>
          </w:p>
        </w:tc>
        <w:tc>
          <w:tcPr>
            <w:tcW w:w="1278" w:type="dxa"/>
            <w:vMerge/>
            <w:tcBorders>
              <w:top w:val="nil"/>
              <w:left w:val="single" w:sz="8" w:space="0" w:color="000000"/>
              <w:right w:val="single" w:sz="8" w:space="0" w:color="000000"/>
            </w:tcBorders>
          </w:tcPr>
          <w:p>
            <w:pPr>
              <w:rPr>
                <w:sz w:val="2"/>
                <w:szCs w:val="2"/>
              </w:rPr>
            </w:pPr>
          </w:p>
        </w:tc>
        <w:tc>
          <w:tcPr>
            <w:tcW w:w="1417" w:type="dxa"/>
            <w:vMerge/>
            <w:tcBorders>
              <w:top w:val="nil"/>
              <w:left w:val="single" w:sz="8" w:space="0" w:color="000000"/>
              <w:right w:val="single" w:sz="8" w:space="0" w:color="000000"/>
            </w:tcBorders>
          </w:tcPr>
          <w:p>
            <w:pPr>
              <w:rPr>
                <w:sz w:val="2"/>
                <w:szCs w:val="2"/>
              </w:rPr>
            </w:pPr>
          </w:p>
        </w:tc>
        <w:tc>
          <w:tcPr>
            <w:tcW w:w="1562" w:type="dxa"/>
            <w:vMerge/>
            <w:tcBorders>
              <w:top w:val="nil"/>
              <w:left w:val="single" w:sz="8" w:space="0" w:color="000000"/>
            </w:tcBorders>
          </w:tcPr>
          <w:p>
            <w:pPr>
              <w:rPr>
                <w:sz w:val="2"/>
                <w:szCs w:val="2"/>
              </w:rPr>
            </w:pPr>
          </w:p>
        </w:tc>
      </w:tr>
      <w:tr>
        <w:trPr>
          <w:trHeight w:val="369" w:hRule="atLeast"/>
        </w:trPr>
        <w:tc>
          <w:tcPr>
            <w:tcW w:w="658" w:type="dxa"/>
            <w:tcBorders>
              <w:top w:val="nil"/>
              <w:bottom w:val="nil"/>
            </w:tcBorders>
          </w:tcPr>
          <w:p>
            <w:pPr>
              <w:pStyle w:val="TableParagraph"/>
              <w:spacing w:before="76"/>
              <w:ind w:left="78"/>
              <w:rPr>
                <w:sz w:val="18"/>
              </w:rPr>
            </w:pPr>
            <w:r>
              <w:rPr>
                <w:sz w:val="18"/>
              </w:rPr>
              <w:t>40</w:t>
            </w:r>
          </w:p>
        </w:tc>
        <w:tc>
          <w:tcPr>
            <w:tcW w:w="852" w:type="dxa"/>
            <w:tcBorders>
              <w:top w:val="nil"/>
              <w:bottom w:val="nil"/>
              <w:right w:val="single" w:sz="8" w:space="0" w:color="000000"/>
            </w:tcBorders>
          </w:tcPr>
          <w:p>
            <w:pPr>
              <w:pStyle w:val="TableParagraph"/>
              <w:spacing w:before="76"/>
              <w:ind w:right="39"/>
              <w:jc w:val="right"/>
              <w:rPr>
                <w:sz w:val="18"/>
              </w:rPr>
            </w:pPr>
            <w:r>
              <w:rPr>
                <w:sz w:val="18"/>
              </w:rPr>
              <w:t>.219</w:t>
            </w:r>
          </w:p>
        </w:tc>
        <w:tc>
          <w:tcPr>
            <w:tcW w:w="1275" w:type="dxa"/>
            <w:tcBorders>
              <w:top w:val="nil"/>
              <w:left w:val="single" w:sz="8" w:space="0" w:color="000000"/>
              <w:bottom w:val="nil"/>
              <w:right w:val="single" w:sz="8" w:space="0" w:color="000000"/>
            </w:tcBorders>
          </w:tcPr>
          <w:p>
            <w:pPr>
              <w:pStyle w:val="TableParagraph"/>
              <w:spacing w:before="76"/>
              <w:ind w:right="37"/>
              <w:jc w:val="right"/>
              <w:rPr>
                <w:sz w:val="18"/>
              </w:rPr>
            </w:pPr>
            <w:r>
              <w:rPr>
                <w:sz w:val="18"/>
              </w:rPr>
              <w:t>.521</w:t>
            </w:r>
          </w:p>
        </w:tc>
        <w:tc>
          <w:tcPr>
            <w:tcW w:w="1278" w:type="dxa"/>
            <w:tcBorders>
              <w:top w:val="nil"/>
              <w:left w:val="single" w:sz="8" w:space="0" w:color="000000"/>
              <w:bottom w:val="nil"/>
              <w:right w:val="single" w:sz="8" w:space="0" w:color="000000"/>
            </w:tcBorders>
          </w:tcPr>
          <w:p>
            <w:pPr>
              <w:pStyle w:val="TableParagraph"/>
              <w:spacing w:before="76"/>
              <w:ind w:right="40"/>
              <w:jc w:val="right"/>
              <w:rPr>
                <w:sz w:val="18"/>
              </w:rPr>
            </w:pPr>
            <w:r>
              <w:rPr>
                <w:sz w:val="18"/>
              </w:rPr>
              <w:t>99.046</w:t>
            </w:r>
          </w:p>
        </w:tc>
        <w:tc>
          <w:tcPr>
            <w:tcW w:w="850" w:type="dxa"/>
            <w:vMerge/>
            <w:tcBorders>
              <w:top w:val="nil"/>
              <w:left w:val="single" w:sz="8" w:space="0" w:color="000000"/>
              <w:right w:val="single" w:sz="8" w:space="0" w:color="000000"/>
            </w:tcBorders>
          </w:tcPr>
          <w:p>
            <w:pPr>
              <w:rPr>
                <w:sz w:val="2"/>
                <w:szCs w:val="2"/>
              </w:rPr>
            </w:pPr>
          </w:p>
        </w:tc>
        <w:tc>
          <w:tcPr>
            <w:tcW w:w="1278" w:type="dxa"/>
            <w:vMerge/>
            <w:tcBorders>
              <w:top w:val="nil"/>
              <w:left w:val="single" w:sz="8" w:space="0" w:color="000000"/>
              <w:right w:val="single" w:sz="8" w:space="0" w:color="000000"/>
            </w:tcBorders>
          </w:tcPr>
          <w:p>
            <w:pPr>
              <w:rPr>
                <w:sz w:val="2"/>
                <w:szCs w:val="2"/>
              </w:rPr>
            </w:pPr>
          </w:p>
        </w:tc>
        <w:tc>
          <w:tcPr>
            <w:tcW w:w="1417" w:type="dxa"/>
            <w:vMerge/>
            <w:tcBorders>
              <w:top w:val="nil"/>
              <w:left w:val="single" w:sz="8" w:space="0" w:color="000000"/>
              <w:right w:val="single" w:sz="8" w:space="0" w:color="000000"/>
            </w:tcBorders>
          </w:tcPr>
          <w:p>
            <w:pPr>
              <w:rPr>
                <w:sz w:val="2"/>
                <w:szCs w:val="2"/>
              </w:rPr>
            </w:pPr>
          </w:p>
        </w:tc>
        <w:tc>
          <w:tcPr>
            <w:tcW w:w="1562" w:type="dxa"/>
            <w:vMerge/>
            <w:tcBorders>
              <w:top w:val="nil"/>
              <w:left w:val="single" w:sz="8" w:space="0" w:color="000000"/>
            </w:tcBorders>
          </w:tcPr>
          <w:p>
            <w:pPr>
              <w:rPr>
                <w:sz w:val="2"/>
                <w:szCs w:val="2"/>
              </w:rPr>
            </w:pPr>
          </w:p>
        </w:tc>
      </w:tr>
      <w:tr>
        <w:trPr>
          <w:trHeight w:val="369" w:hRule="atLeast"/>
        </w:trPr>
        <w:tc>
          <w:tcPr>
            <w:tcW w:w="658" w:type="dxa"/>
            <w:tcBorders>
              <w:top w:val="nil"/>
              <w:bottom w:val="nil"/>
            </w:tcBorders>
          </w:tcPr>
          <w:p>
            <w:pPr>
              <w:pStyle w:val="TableParagraph"/>
              <w:spacing w:before="78"/>
              <w:ind w:left="78"/>
              <w:rPr>
                <w:sz w:val="18"/>
              </w:rPr>
            </w:pPr>
            <w:r>
              <w:rPr>
                <w:sz w:val="18"/>
              </w:rPr>
              <w:t>41</w:t>
            </w:r>
          </w:p>
        </w:tc>
        <w:tc>
          <w:tcPr>
            <w:tcW w:w="852" w:type="dxa"/>
            <w:tcBorders>
              <w:top w:val="nil"/>
              <w:bottom w:val="nil"/>
              <w:right w:val="single" w:sz="8" w:space="0" w:color="000000"/>
            </w:tcBorders>
          </w:tcPr>
          <w:p>
            <w:pPr>
              <w:pStyle w:val="TableParagraph"/>
              <w:spacing w:before="78"/>
              <w:ind w:right="39"/>
              <w:jc w:val="right"/>
              <w:rPr>
                <w:sz w:val="18"/>
              </w:rPr>
            </w:pPr>
            <w:r>
              <w:rPr>
                <w:sz w:val="18"/>
              </w:rPr>
              <w:t>.208</w:t>
            </w:r>
          </w:p>
        </w:tc>
        <w:tc>
          <w:tcPr>
            <w:tcW w:w="1275" w:type="dxa"/>
            <w:tcBorders>
              <w:top w:val="nil"/>
              <w:left w:val="single" w:sz="8" w:space="0" w:color="000000"/>
              <w:bottom w:val="nil"/>
              <w:right w:val="single" w:sz="8" w:space="0" w:color="000000"/>
            </w:tcBorders>
          </w:tcPr>
          <w:p>
            <w:pPr>
              <w:pStyle w:val="TableParagraph"/>
              <w:spacing w:before="78"/>
              <w:ind w:right="37"/>
              <w:jc w:val="right"/>
              <w:rPr>
                <w:sz w:val="18"/>
              </w:rPr>
            </w:pPr>
            <w:r>
              <w:rPr>
                <w:sz w:val="18"/>
              </w:rPr>
              <w:t>.496</w:t>
            </w:r>
          </w:p>
        </w:tc>
        <w:tc>
          <w:tcPr>
            <w:tcW w:w="1278" w:type="dxa"/>
            <w:tcBorders>
              <w:top w:val="nil"/>
              <w:left w:val="single" w:sz="8" w:space="0" w:color="000000"/>
              <w:bottom w:val="nil"/>
              <w:right w:val="single" w:sz="8" w:space="0" w:color="000000"/>
            </w:tcBorders>
          </w:tcPr>
          <w:p>
            <w:pPr>
              <w:pStyle w:val="TableParagraph"/>
              <w:spacing w:before="78"/>
              <w:ind w:right="43"/>
              <w:jc w:val="right"/>
              <w:rPr>
                <w:sz w:val="18"/>
              </w:rPr>
            </w:pPr>
            <w:r>
              <w:rPr>
                <w:sz w:val="18"/>
              </w:rPr>
              <w:t>99.543</w:t>
            </w:r>
          </w:p>
        </w:tc>
        <w:tc>
          <w:tcPr>
            <w:tcW w:w="850" w:type="dxa"/>
            <w:vMerge/>
            <w:tcBorders>
              <w:top w:val="nil"/>
              <w:left w:val="single" w:sz="8" w:space="0" w:color="000000"/>
              <w:right w:val="single" w:sz="8" w:space="0" w:color="000000"/>
            </w:tcBorders>
          </w:tcPr>
          <w:p>
            <w:pPr>
              <w:rPr>
                <w:sz w:val="2"/>
                <w:szCs w:val="2"/>
              </w:rPr>
            </w:pPr>
          </w:p>
        </w:tc>
        <w:tc>
          <w:tcPr>
            <w:tcW w:w="1278" w:type="dxa"/>
            <w:vMerge/>
            <w:tcBorders>
              <w:top w:val="nil"/>
              <w:left w:val="single" w:sz="8" w:space="0" w:color="000000"/>
              <w:right w:val="single" w:sz="8" w:space="0" w:color="000000"/>
            </w:tcBorders>
          </w:tcPr>
          <w:p>
            <w:pPr>
              <w:rPr>
                <w:sz w:val="2"/>
                <w:szCs w:val="2"/>
              </w:rPr>
            </w:pPr>
          </w:p>
        </w:tc>
        <w:tc>
          <w:tcPr>
            <w:tcW w:w="1417" w:type="dxa"/>
            <w:vMerge/>
            <w:tcBorders>
              <w:top w:val="nil"/>
              <w:left w:val="single" w:sz="8" w:space="0" w:color="000000"/>
              <w:right w:val="single" w:sz="8" w:space="0" w:color="000000"/>
            </w:tcBorders>
          </w:tcPr>
          <w:p>
            <w:pPr>
              <w:rPr>
                <w:sz w:val="2"/>
                <w:szCs w:val="2"/>
              </w:rPr>
            </w:pPr>
          </w:p>
        </w:tc>
        <w:tc>
          <w:tcPr>
            <w:tcW w:w="1562" w:type="dxa"/>
            <w:vMerge/>
            <w:tcBorders>
              <w:top w:val="nil"/>
              <w:left w:val="single" w:sz="8" w:space="0" w:color="000000"/>
            </w:tcBorders>
          </w:tcPr>
          <w:p>
            <w:pPr>
              <w:rPr>
                <w:sz w:val="2"/>
                <w:szCs w:val="2"/>
              </w:rPr>
            </w:pPr>
          </w:p>
        </w:tc>
      </w:tr>
      <w:tr>
        <w:trPr>
          <w:trHeight w:val="435" w:hRule="atLeast"/>
        </w:trPr>
        <w:tc>
          <w:tcPr>
            <w:tcW w:w="658" w:type="dxa"/>
            <w:tcBorders>
              <w:top w:val="nil"/>
            </w:tcBorders>
          </w:tcPr>
          <w:p>
            <w:pPr>
              <w:pStyle w:val="TableParagraph"/>
              <w:spacing w:before="76"/>
              <w:ind w:left="78"/>
              <w:rPr>
                <w:sz w:val="18"/>
              </w:rPr>
            </w:pPr>
            <w:r>
              <w:rPr>
                <w:sz w:val="18"/>
              </w:rPr>
              <w:t>42</w:t>
            </w:r>
          </w:p>
        </w:tc>
        <w:tc>
          <w:tcPr>
            <w:tcW w:w="852" w:type="dxa"/>
            <w:tcBorders>
              <w:top w:val="nil"/>
              <w:right w:val="single" w:sz="8" w:space="0" w:color="000000"/>
            </w:tcBorders>
          </w:tcPr>
          <w:p>
            <w:pPr>
              <w:pStyle w:val="TableParagraph"/>
              <w:spacing w:before="76"/>
              <w:ind w:right="39"/>
              <w:jc w:val="right"/>
              <w:rPr>
                <w:sz w:val="18"/>
              </w:rPr>
            </w:pPr>
            <w:r>
              <w:rPr>
                <w:sz w:val="18"/>
              </w:rPr>
              <w:t>.192</w:t>
            </w:r>
          </w:p>
        </w:tc>
        <w:tc>
          <w:tcPr>
            <w:tcW w:w="1275" w:type="dxa"/>
            <w:tcBorders>
              <w:top w:val="nil"/>
              <w:left w:val="single" w:sz="8" w:space="0" w:color="000000"/>
              <w:right w:val="single" w:sz="8" w:space="0" w:color="000000"/>
            </w:tcBorders>
          </w:tcPr>
          <w:p>
            <w:pPr>
              <w:pStyle w:val="TableParagraph"/>
              <w:spacing w:before="76"/>
              <w:ind w:right="37"/>
              <w:jc w:val="right"/>
              <w:rPr>
                <w:sz w:val="18"/>
              </w:rPr>
            </w:pPr>
            <w:r>
              <w:rPr>
                <w:sz w:val="18"/>
              </w:rPr>
              <w:t>.457</w:t>
            </w:r>
          </w:p>
        </w:tc>
        <w:tc>
          <w:tcPr>
            <w:tcW w:w="1278" w:type="dxa"/>
            <w:tcBorders>
              <w:top w:val="nil"/>
              <w:left w:val="single" w:sz="8" w:space="0" w:color="000000"/>
              <w:right w:val="single" w:sz="8" w:space="0" w:color="000000"/>
            </w:tcBorders>
          </w:tcPr>
          <w:p>
            <w:pPr>
              <w:pStyle w:val="TableParagraph"/>
              <w:spacing w:before="76"/>
              <w:ind w:right="40"/>
              <w:jc w:val="right"/>
              <w:rPr>
                <w:sz w:val="18"/>
              </w:rPr>
            </w:pPr>
            <w:r>
              <w:rPr>
                <w:sz w:val="18"/>
              </w:rPr>
              <w:t>100.000</w:t>
            </w:r>
          </w:p>
        </w:tc>
        <w:tc>
          <w:tcPr>
            <w:tcW w:w="850" w:type="dxa"/>
            <w:vMerge/>
            <w:tcBorders>
              <w:top w:val="nil"/>
              <w:left w:val="single" w:sz="8" w:space="0" w:color="000000"/>
              <w:right w:val="single" w:sz="8" w:space="0" w:color="000000"/>
            </w:tcBorders>
          </w:tcPr>
          <w:p>
            <w:pPr>
              <w:rPr>
                <w:sz w:val="2"/>
                <w:szCs w:val="2"/>
              </w:rPr>
            </w:pPr>
          </w:p>
        </w:tc>
        <w:tc>
          <w:tcPr>
            <w:tcW w:w="1278" w:type="dxa"/>
            <w:vMerge/>
            <w:tcBorders>
              <w:top w:val="nil"/>
              <w:left w:val="single" w:sz="8" w:space="0" w:color="000000"/>
              <w:right w:val="single" w:sz="8" w:space="0" w:color="000000"/>
            </w:tcBorders>
          </w:tcPr>
          <w:p>
            <w:pPr>
              <w:rPr>
                <w:sz w:val="2"/>
                <w:szCs w:val="2"/>
              </w:rPr>
            </w:pPr>
          </w:p>
        </w:tc>
        <w:tc>
          <w:tcPr>
            <w:tcW w:w="1417" w:type="dxa"/>
            <w:vMerge/>
            <w:tcBorders>
              <w:top w:val="nil"/>
              <w:left w:val="single" w:sz="8" w:space="0" w:color="000000"/>
              <w:right w:val="single" w:sz="8" w:space="0" w:color="000000"/>
            </w:tcBorders>
          </w:tcPr>
          <w:p>
            <w:pPr>
              <w:rPr>
                <w:sz w:val="2"/>
                <w:szCs w:val="2"/>
              </w:rPr>
            </w:pPr>
          </w:p>
        </w:tc>
        <w:tc>
          <w:tcPr>
            <w:tcW w:w="1562" w:type="dxa"/>
            <w:vMerge/>
            <w:tcBorders>
              <w:top w:val="nil"/>
              <w:left w:val="single" w:sz="8" w:space="0" w:color="000000"/>
            </w:tcBorders>
          </w:tcPr>
          <w:p>
            <w:pPr>
              <w:rPr>
                <w:sz w:val="2"/>
                <w:szCs w:val="2"/>
              </w:rPr>
            </w:pPr>
          </w:p>
        </w:tc>
      </w:tr>
    </w:tbl>
    <w:p>
      <w:pPr>
        <w:spacing w:before="4"/>
        <w:ind w:left="425" w:right="0" w:firstLine="0"/>
        <w:jc w:val="left"/>
        <w:rPr>
          <w:sz w:val="18"/>
        </w:rPr>
      </w:pPr>
      <w:r>
        <w:rPr>
          <w:sz w:val="18"/>
        </w:rPr>
        <w:t>Extraction Method: Principal Component Analysis.</w:t>
      </w:r>
    </w:p>
    <w:p>
      <w:pPr>
        <w:spacing w:before="108"/>
        <w:ind w:left="425" w:right="0" w:firstLine="0"/>
        <w:jc w:val="left"/>
        <w:rPr>
          <w:sz w:val="18"/>
        </w:rPr>
      </w:pPr>
      <w:r>
        <w:rPr>
          <w:sz w:val="18"/>
        </w:rPr>
        <w:t>a. When components are correlated. sums of squared loadings cannot be added to obtain a total variance.</w:t>
      </w:r>
    </w:p>
    <w:p>
      <w:pPr>
        <w:pStyle w:val="BodyText"/>
        <w:rPr>
          <w:sz w:val="20"/>
        </w:rPr>
      </w:pPr>
    </w:p>
    <w:p>
      <w:pPr>
        <w:pStyle w:val="BodyText"/>
        <w:rPr>
          <w:sz w:val="20"/>
        </w:rPr>
      </w:pPr>
    </w:p>
    <w:p>
      <w:pPr>
        <w:pStyle w:val="BodyText"/>
        <w:rPr>
          <w:sz w:val="20"/>
        </w:rPr>
      </w:pPr>
    </w:p>
    <w:p>
      <w:pPr>
        <w:spacing w:before="145"/>
        <w:ind w:left="1095" w:right="2463" w:firstLine="0"/>
        <w:jc w:val="center"/>
        <w:rPr>
          <w:b/>
          <w:sz w:val="18"/>
        </w:rPr>
      </w:pPr>
      <w:r>
        <w:rPr>
          <w:b/>
          <w:sz w:val="18"/>
        </w:rPr>
        <w:t>Pattern Matrix</w:t>
      </w:r>
      <w:r>
        <w:rPr>
          <w:b/>
          <w:sz w:val="18"/>
          <w:vertAlign w:val="superscript"/>
        </w:rPr>
        <w:t>a</w:t>
      </w:r>
    </w:p>
    <w:p>
      <w:pPr>
        <w:pStyle w:val="BodyText"/>
        <w:spacing w:before="10"/>
        <w:rPr>
          <w:b/>
          <w:sz w:val="8"/>
        </w:rPr>
      </w:pPr>
    </w:p>
    <w:tbl>
      <w:tblPr>
        <w:tblW w:w="0" w:type="auto"/>
        <w:jc w:val="left"/>
        <w:tblInd w:w="907" w:type="dxa"/>
        <w:tblBorders>
          <w:top w:val="single" w:sz="18" w:space="0" w:color="000000"/>
          <w:left w:val="single" w:sz="18" w:space="0" w:color="000000"/>
          <w:bottom w:val="single" w:sz="18" w:space="0" w:color="000000"/>
          <w:right w:val="single" w:sz="18" w:space="0" w:color="000000"/>
          <w:insideH w:val="single" w:sz="18" w:space="0" w:color="000000"/>
          <w:insideV w:val="single" w:sz="18" w:space="0" w:color="000000"/>
        </w:tblBorders>
        <w:tblLayout w:type="fixed"/>
        <w:tblCellMar>
          <w:top w:w="0" w:type="dxa"/>
          <w:left w:w="0" w:type="dxa"/>
          <w:bottom w:w="0" w:type="dxa"/>
          <w:right w:w="0" w:type="dxa"/>
        </w:tblCellMar>
        <w:tblLook w:val="01E0"/>
      </w:tblPr>
      <w:tblGrid>
        <w:gridCol w:w="1145"/>
        <w:gridCol w:w="699"/>
        <w:gridCol w:w="709"/>
        <w:gridCol w:w="711"/>
        <w:gridCol w:w="709"/>
        <w:gridCol w:w="709"/>
        <w:gridCol w:w="712"/>
        <w:gridCol w:w="709"/>
        <w:gridCol w:w="851"/>
        <w:gridCol w:w="768"/>
      </w:tblGrid>
      <w:tr>
        <w:trPr>
          <w:trHeight w:val="295" w:hRule="atLeast"/>
        </w:trPr>
        <w:tc>
          <w:tcPr>
            <w:tcW w:w="1145" w:type="dxa"/>
            <w:vMerge w:val="restart"/>
          </w:tcPr>
          <w:p>
            <w:pPr>
              <w:pStyle w:val="TableParagraph"/>
              <w:rPr>
                <w:sz w:val="18"/>
              </w:rPr>
            </w:pPr>
          </w:p>
        </w:tc>
        <w:tc>
          <w:tcPr>
            <w:tcW w:w="6577" w:type="dxa"/>
            <w:gridSpan w:val="9"/>
            <w:tcBorders>
              <w:bottom w:val="single" w:sz="8" w:space="0" w:color="000000"/>
              <w:right w:val="single" w:sz="8" w:space="0" w:color="000000"/>
            </w:tcBorders>
          </w:tcPr>
          <w:p>
            <w:pPr>
              <w:pStyle w:val="TableParagraph"/>
              <w:spacing w:line="206" w:lineRule="exact"/>
              <w:ind w:left="2840" w:right="2823"/>
              <w:jc w:val="center"/>
              <w:rPr>
                <w:sz w:val="18"/>
              </w:rPr>
            </w:pPr>
            <w:r>
              <w:rPr>
                <w:sz w:val="18"/>
              </w:rPr>
              <w:t>Component</w:t>
            </w:r>
          </w:p>
        </w:tc>
      </w:tr>
      <w:tr>
        <w:trPr>
          <w:trHeight w:val="314" w:hRule="atLeast"/>
        </w:trPr>
        <w:tc>
          <w:tcPr>
            <w:tcW w:w="1145" w:type="dxa"/>
            <w:vMerge/>
            <w:tcBorders>
              <w:top w:val="nil"/>
            </w:tcBorders>
          </w:tcPr>
          <w:p>
            <w:pPr>
              <w:rPr>
                <w:sz w:val="2"/>
                <w:szCs w:val="2"/>
              </w:rPr>
            </w:pPr>
          </w:p>
        </w:tc>
        <w:tc>
          <w:tcPr>
            <w:tcW w:w="699" w:type="dxa"/>
            <w:tcBorders>
              <w:top w:val="single" w:sz="8" w:space="0" w:color="000000"/>
              <w:right w:val="single" w:sz="8" w:space="0" w:color="000000"/>
            </w:tcBorders>
          </w:tcPr>
          <w:p>
            <w:pPr>
              <w:pStyle w:val="TableParagraph"/>
              <w:spacing w:before="8"/>
              <w:ind w:left="298"/>
              <w:rPr>
                <w:sz w:val="18"/>
              </w:rPr>
            </w:pPr>
            <w:r>
              <w:rPr>
                <w:sz w:val="18"/>
              </w:rPr>
              <w:t>1</w:t>
            </w:r>
          </w:p>
        </w:tc>
        <w:tc>
          <w:tcPr>
            <w:tcW w:w="709" w:type="dxa"/>
            <w:tcBorders>
              <w:top w:val="single" w:sz="8" w:space="0" w:color="000000"/>
              <w:left w:val="single" w:sz="8" w:space="0" w:color="000000"/>
              <w:right w:val="single" w:sz="8" w:space="0" w:color="000000"/>
            </w:tcBorders>
          </w:tcPr>
          <w:p>
            <w:pPr>
              <w:pStyle w:val="TableParagraph"/>
              <w:spacing w:before="8"/>
              <w:ind w:left="315"/>
              <w:rPr>
                <w:sz w:val="18"/>
              </w:rPr>
            </w:pPr>
            <w:r>
              <w:rPr>
                <w:sz w:val="18"/>
              </w:rPr>
              <w:t>2</w:t>
            </w:r>
          </w:p>
        </w:tc>
        <w:tc>
          <w:tcPr>
            <w:tcW w:w="711" w:type="dxa"/>
            <w:tcBorders>
              <w:top w:val="single" w:sz="8" w:space="0" w:color="000000"/>
              <w:left w:val="single" w:sz="8" w:space="0" w:color="000000"/>
              <w:right w:val="single" w:sz="8" w:space="0" w:color="000000"/>
            </w:tcBorders>
          </w:tcPr>
          <w:p>
            <w:pPr>
              <w:pStyle w:val="TableParagraph"/>
              <w:spacing w:before="8"/>
              <w:ind w:left="315"/>
              <w:rPr>
                <w:sz w:val="18"/>
              </w:rPr>
            </w:pPr>
            <w:r>
              <w:rPr>
                <w:sz w:val="18"/>
              </w:rPr>
              <w:t>3</w:t>
            </w:r>
          </w:p>
        </w:tc>
        <w:tc>
          <w:tcPr>
            <w:tcW w:w="709" w:type="dxa"/>
            <w:tcBorders>
              <w:top w:val="single" w:sz="8" w:space="0" w:color="000000"/>
              <w:left w:val="single" w:sz="8" w:space="0" w:color="000000"/>
              <w:right w:val="single" w:sz="8" w:space="0" w:color="000000"/>
            </w:tcBorders>
          </w:tcPr>
          <w:p>
            <w:pPr>
              <w:pStyle w:val="TableParagraph"/>
              <w:spacing w:before="8"/>
              <w:ind w:left="314"/>
              <w:rPr>
                <w:sz w:val="18"/>
              </w:rPr>
            </w:pPr>
            <w:r>
              <w:rPr>
                <w:sz w:val="18"/>
              </w:rPr>
              <w:t>4</w:t>
            </w:r>
          </w:p>
        </w:tc>
        <w:tc>
          <w:tcPr>
            <w:tcW w:w="709" w:type="dxa"/>
            <w:tcBorders>
              <w:top w:val="single" w:sz="8" w:space="0" w:color="000000"/>
              <w:left w:val="single" w:sz="8" w:space="0" w:color="000000"/>
              <w:right w:val="single" w:sz="8" w:space="0" w:color="000000"/>
            </w:tcBorders>
          </w:tcPr>
          <w:p>
            <w:pPr>
              <w:pStyle w:val="TableParagraph"/>
              <w:spacing w:before="8"/>
              <w:ind w:left="28"/>
              <w:jc w:val="center"/>
              <w:rPr>
                <w:sz w:val="18"/>
              </w:rPr>
            </w:pPr>
            <w:r>
              <w:rPr>
                <w:sz w:val="18"/>
              </w:rPr>
              <w:t>5</w:t>
            </w:r>
          </w:p>
        </w:tc>
        <w:tc>
          <w:tcPr>
            <w:tcW w:w="712" w:type="dxa"/>
            <w:tcBorders>
              <w:top w:val="single" w:sz="8" w:space="0" w:color="000000"/>
              <w:left w:val="single" w:sz="8" w:space="0" w:color="000000"/>
              <w:right w:val="single" w:sz="8" w:space="0" w:color="000000"/>
            </w:tcBorders>
          </w:tcPr>
          <w:p>
            <w:pPr>
              <w:pStyle w:val="TableParagraph"/>
              <w:spacing w:before="8"/>
              <w:ind w:left="23"/>
              <w:jc w:val="center"/>
              <w:rPr>
                <w:sz w:val="18"/>
              </w:rPr>
            </w:pPr>
            <w:r>
              <w:rPr>
                <w:sz w:val="18"/>
              </w:rPr>
              <w:t>6</w:t>
            </w:r>
          </w:p>
        </w:tc>
        <w:tc>
          <w:tcPr>
            <w:tcW w:w="709" w:type="dxa"/>
            <w:tcBorders>
              <w:top w:val="single" w:sz="8" w:space="0" w:color="000000"/>
              <w:left w:val="single" w:sz="8" w:space="0" w:color="000000"/>
              <w:right w:val="single" w:sz="8" w:space="0" w:color="000000"/>
            </w:tcBorders>
          </w:tcPr>
          <w:p>
            <w:pPr>
              <w:pStyle w:val="TableParagraph"/>
              <w:spacing w:before="8"/>
              <w:ind w:left="23"/>
              <w:jc w:val="center"/>
              <w:rPr>
                <w:sz w:val="18"/>
              </w:rPr>
            </w:pPr>
            <w:r>
              <w:rPr>
                <w:sz w:val="18"/>
              </w:rPr>
              <w:t>7</w:t>
            </w:r>
          </w:p>
        </w:tc>
        <w:tc>
          <w:tcPr>
            <w:tcW w:w="851" w:type="dxa"/>
            <w:tcBorders>
              <w:top w:val="single" w:sz="8" w:space="0" w:color="000000"/>
              <w:left w:val="single" w:sz="8" w:space="0" w:color="000000"/>
              <w:right w:val="single" w:sz="8" w:space="0" w:color="000000"/>
            </w:tcBorders>
          </w:tcPr>
          <w:p>
            <w:pPr>
              <w:pStyle w:val="TableParagraph"/>
              <w:spacing w:before="8"/>
              <w:ind w:left="23"/>
              <w:jc w:val="center"/>
              <w:rPr>
                <w:sz w:val="18"/>
              </w:rPr>
            </w:pPr>
            <w:r>
              <w:rPr>
                <w:sz w:val="18"/>
              </w:rPr>
              <w:t>8</w:t>
            </w:r>
          </w:p>
        </w:tc>
        <w:tc>
          <w:tcPr>
            <w:tcW w:w="768" w:type="dxa"/>
            <w:tcBorders>
              <w:top w:val="single" w:sz="8" w:space="0" w:color="000000"/>
              <w:left w:val="single" w:sz="8" w:space="0" w:color="000000"/>
            </w:tcBorders>
          </w:tcPr>
          <w:p>
            <w:pPr>
              <w:pStyle w:val="TableParagraph"/>
              <w:spacing w:before="8"/>
              <w:ind w:left="20"/>
              <w:jc w:val="center"/>
              <w:rPr>
                <w:sz w:val="18"/>
              </w:rPr>
            </w:pPr>
            <w:r>
              <w:rPr>
                <w:sz w:val="18"/>
              </w:rPr>
              <w:t>9</w:t>
            </w:r>
          </w:p>
        </w:tc>
      </w:tr>
      <w:tr>
        <w:trPr>
          <w:trHeight w:val="261" w:hRule="atLeast"/>
        </w:trPr>
        <w:tc>
          <w:tcPr>
            <w:tcW w:w="1145" w:type="dxa"/>
            <w:tcBorders>
              <w:bottom w:val="nil"/>
            </w:tcBorders>
          </w:tcPr>
          <w:p>
            <w:pPr>
              <w:pStyle w:val="TableParagraph"/>
              <w:spacing w:line="206" w:lineRule="exact"/>
              <w:ind w:left="75"/>
              <w:rPr>
                <w:sz w:val="18"/>
              </w:rPr>
            </w:pPr>
            <w:r>
              <w:rPr>
                <w:sz w:val="18"/>
              </w:rPr>
              <w:t>CLDV7</w:t>
            </w:r>
          </w:p>
        </w:tc>
        <w:tc>
          <w:tcPr>
            <w:tcW w:w="699" w:type="dxa"/>
            <w:tcBorders>
              <w:bottom w:val="nil"/>
              <w:right w:val="single" w:sz="8" w:space="0" w:color="000000"/>
            </w:tcBorders>
          </w:tcPr>
          <w:p>
            <w:pPr>
              <w:pStyle w:val="TableParagraph"/>
              <w:spacing w:line="206" w:lineRule="exact"/>
              <w:ind w:left="310"/>
              <w:rPr>
                <w:sz w:val="18"/>
              </w:rPr>
            </w:pPr>
            <w:r>
              <w:rPr>
                <w:sz w:val="18"/>
              </w:rPr>
              <w:t>.814</w:t>
            </w:r>
          </w:p>
        </w:tc>
        <w:tc>
          <w:tcPr>
            <w:tcW w:w="709" w:type="dxa"/>
            <w:tcBorders>
              <w:left w:val="single" w:sz="8" w:space="0" w:color="000000"/>
              <w:bottom w:val="nil"/>
              <w:right w:val="single" w:sz="8" w:space="0" w:color="000000"/>
            </w:tcBorders>
          </w:tcPr>
          <w:p>
            <w:pPr>
              <w:pStyle w:val="TableParagraph"/>
              <w:rPr>
                <w:sz w:val="18"/>
              </w:rPr>
            </w:pPr>
          </w:p>
        </w:tc>
        <w:tc>
          <w:tcPr>
            <w:tcW w:w="711" w:type="dxa"/>
            <w:tcBorders>
              <w:left w:val="single" w:sz="8" w:space="0" w:color="000000"/>
              <w:bottom w:val="nil"/>
              <w:right w:val="single" w:sz="8" w:space="0" w:color="000000"/>
            </w:tcBorders>
          </w:tcPr>
          <w:p>
            <w:pPr>
              <w:pStyle w:val="TableParagraph"/>
              <w:rPr>
                <w:sz w:val="18"/>
              </w:rPr>
            </w:pPr>
          </w:p>
        </w:tc>
        <w:tc>
          <w:tcPr>
            <w:tcW w:w="709" w:type="dxa"/>
            <w:tcBorders>
              <w:left w:val="single" w:sz="8" w:space="0" w:color="000000"/>
              <w:bottom w:val="nil"/>
              <w:right w:val="single" w:sz="8" w:space="0" w:color="000000"/>
            </w:tcBorders>
          </w:tcPr>
          <w:p>
            <w:pPr>
              <w:pStyle w:val="TableParagraph"/>
              <w:rPr>
                <w:sz w:val="18"/>
              </w:rPr>
            </w:pPr>
          </w:p>
        </w:tc>
        <w:tc>
          <w:tcPr>
            <w:tcW w:w="709" w:type="dxa"/>
            <w:vMerge w:val="restart"/>
            <w:tcBorders>
              <w:left w:val="single" w:sz="8" w:space="0" w:color="000000"/>
              <w:bottom w:val="nil"/>
              <w:right w:val="single" w:sz="8" w:space="0" w:color="000000"/>
            </w:tcBorders>
          </w:tcPr>
          <w:p>
            <w:pPr>
              <w:pStyle w:val="TableParagraph"/>
              <w:rPr>
                <w:sz w:val="18"/>
              </w:rPr>
            </w:pPr>
          </w:p>
        </w:tc>
        <w:tc>
          <w:tcPr>
            <w:tcW w:w="712" w:type="dxa"/>
            <w:vMerge w:val="restart"/>
            <w:tcBorders>
              <w:left w:val="single" w:sz="8" w:space="0" w:color="000000"/>
              <w:bottom w:val="nil"/>
              <w:right w:val="single" w:sz="8" w:space="0" w:color="000000"/>
            </w:tcBorders>
          </w:tcPr>
          <w:p>
            <w:pPr>
              <w:pStyle w:val="TableParagraph"/>
              <w:rPr>
                <w:sz w:val="18"/>
              </w:rPr>
            </w:pPr>
          </w:p>
        </w:tc>
        <w:tc>
          <w:tcPr>
            <w:tcW w:w="709" w:type="dxa"/>
            <w:vMerge w:val="restart"/>
            <w:tcBorders>
              <w:left w:val="single" w:sz="8" w:space="0" w:color="000000"/>
              <w:bottom w:val="nil"/>
              <w:right w:val="single" w:sz="8" w:space="0" w:color="000000"/>
            </w:tcBorders>
          </w:tcPr>
          <w:p>
            <w:pPr>
              <w:pStyle w:val="TableParagraph"/>
              <w:rPr>
                <w:sz w:val="18"/>
              </w:rPr>
            </w:pPr>
          </w:p>
        </w:tc>
        <w:tc>
          <w:tcPr>
            <w:tcW w:w="851" w:type="dxa"/>
            <w:vMerge w:val="restart"/>
            <w:tcBorders>
              <w:left w:val="single" w:sz="8" w:space="0" w:color="000000"/>
              <w:bottom w:val="nil"/>
              <w:right w:val="single" w:sz="8" w:space="0" w:color="000000"/>
            </w:tcBorders>
          </w:tcPr>
          <w:p>
            <w:pPr>
              <w:pStyle w:val="TableParagraph"/>
              <w:rPr>
                <w:sz w:val="18"/>
              </w:rPr>
            </w:pPr>
          </w:p>
        </w:tc>
        <w:tc>
          <w:tcPr>
            <w:tcW w:w="768" w:type="dxa"/>
            <w:vMerge w:val="restart"/>
            <w:tcBorders>
              <w:left w:val="single" w:sz="8" w:space="0" w:color="000000"/>
              <w:bottom w:val="nil"/>
            </w:tcBorders>
          </w:tcPr>
          <w:p>
            <w:pPr>
              <w:pStyle w:val="TableParagraph"/>
              <w:rPr>
                <w:sz w:val="18"/>
              </w:rPr>
            </w:pPr>
          </w:p>
        </w:tc>
      </w:tr>
      <w:tr>
        <w:trPr>
          <w:trHeight w:val="310" w:hRule="atLeast"/>
        </w:trPr>
        <w:tc>
          <w:tcPr>
            <w:tcW w:w="1145" w:type="dxa"/>
            <w:tcBorders>
              <w:top w:val="nil"/>
              <w:bottom w:val="nil"/>
            </w:tcBorders>
          </w:tcPr>
          <w:p>
            <w:pPr>
              <w:pStyle w:val="TableParagraph"/>
              <w:spacing w:before="47"/>
              <w:ind w:left="75"/>
              <w:rPr>
                <w:sz w:val="18"/>
              </w:rPr>
            </w:pPr>
            <w:r>
              <w:rPr>
                <w:sz w:val="18"/>
              </w:rPr>
              <w:t>CLDV1</w:t>
            </w:r>
          </w:p>
        </w:tc>
        <w:tc>
          <w:tcPr>
            <w:tcW w:w="699" w:type="dxa"/>
            <w:tcBorders>
              <w:top w:val="nil"/>
              <w:bottom w:val="nil"/>
              <w:right w:val="single" w:sz="8" w:space="0" w:color="000000"/>
            </w:tcBorders>
          </w:tcPr>
          <w:p>
            <w:pPr>
              <w:pStyle w:val="TableParagraph"/>
              <w:spacing w:before="47"/>
              <w:ind w:left="310"/>
              <w:rPr>
                <w:sz w:val="18"/>
              </w:rPr>
            </w:pPr>
            <w:r>
              <w:rPr>
                <w:sz w:val="18"/>
              </w:rPr>
              <w:t>.810</w:t>
            </w:r>
          </w:p>
        </w:tc>
        <w:tc>
          <w:tcPr>
            <w:tcW w:w="709" w:type="dxa"/>
            <w:tcBorders>
              <w:top w:val="nil"/>
              <w:left w:val="single" w:sz="8" w:space="0" w:color="000000"/>
              <w:bottom w:val="nil"/>
              <w:right w:val="single" w:sz="8" w:space="0" w:color="000000"/>
            </w:tcBorders>
          </w:tcPr>
          <w:p>
            <w:pPr>
              <w:pStyle w:val="TableParagraph"/>
              <w:rPr>
                <w:sz w:val="18"/>
              </w:rPr>
            </w:pPr>
          </w:p>
        </w:tc>
        <w:tc>
          <w:tcPr>
            <w:tcW w:w="711" w:type="dxa"/>
            <w:tcBorders>
              <w:top w:val="nil"/>
              <w:left w:val="single" w:sz="8" w:space="0" w:color="000000"/>
              <w:bottom w:val="nil"/>
              <w:right w:val="single" w:sz="8" w:space="0" w:color="000000"/>
            </w:tcBorders>
          </w:tcPr>
          <w:p>
            <w:pPr>
              <w:pStyle w:val="TableParagraph"/>
              <w:rPr>
                <w:sz w:val="18"/>
              </w:rPr>
            </w:pPr>
          </w:p>
        </w:tc>
        <w:tc>
          <w:tcPr>
            <w:tcW w:w="709" w:type="dxa"/>
            <w:tcBorders>
              <w:top w:val="nil"/>
              <w:left w:val="single" w:sz="8" w:space="0" w:color="000000"/>
              <w:bottom w:val="nil"/>
              <w:right w:val="single" w:sz="8" w:space="0" w:color="000000"/>
            </w:tcBorders>
          </w:tcPr>
          <w:p>
            <w:pPr>
              <w:pStyle w:val="TableParagraph"/>
              <w:rPr>
                <w:sz w:val="18"/>
              </w:rPr>
            </w:pPr>
          </w:p>
        </w:tc>
        <w:tc>
          <w:tcPr>
            <w:tcW w:w="709" w:type="dxa"/>
            <w:vMerge/>
            <w:tcBorders>
              <w:top w:val="nil"/>
              <w:left w:val="single" w:sz="8" w:space="0" w:color="000000"/>
              <w:bottom w:val="nil"/>
              <w:right w:val="single" w:sz="8" w:space="0" w:color="000000"/>
            </w:tcBorders>
          </w:tcPr>
          <w:p>
            <w:pPr>
              <w:rPr>
                <w:sz w:val="2"/>
                <w:szCs w:val="2"/>
              </w:rPr>
            </w:pPr>
          </w:p>
        </w:tc>
        <w:tc>
          <w:tcPr>
            <w:tcW w:w="712" w:type="dxa"/>
            <w:vMerge/>
            <w:tcBorders>
              <w:top w:val="nil"/>
              <w:left w:val="single" w:sz="8" w:space="0" w:color="000000"/>
              <w:bottom w:val="nil"/>
              <w:right w:val="single" w:sz="8" w:space="0" w:color="000000"/>
            </w:tcBorders>
          </w:tcPr>
          <w:p>
            <w:pPr>
              <w:rPr>
                <w:sz w:val="2"/>
                <w:szCs w:val="2"/>
              </w:rPr>
            </w:pPr>
          </w:p>
        </w:tc>
        <w:tc>
          <w:tcPr>
            <w:tcW w:w="709" w:type="dxa"/>
            <w:vMerge/>
            <w:tcBorders>
              <w:top w:val="nil"/>
              <w:left w:val="single" w:sz="8" w:space="0" w:color="000000"/>
              <w:bottom w:val="nil"/>
              <w:right w:val="single" w:sz="8" w:space="0" w:color="000000"/>
            </w:tcBorders>
          </w:tcPr>
          <w:p>
            <w:pPr>
              <w:rPr>
                <w:sz w:val="2"/>
                <w:szCs w:val="2"/>
              </w:rPr>
            </w:pPr>
          </w:p>
        </w:tc>
        <w:tc>
          <w:tcPr>
            <w:tcW w:w="851" w:type="dxa"/>
            <w:vMerge/>
            <w:tcBorders>
              <w:top w:val="nil"/>
              <w:left w:val="single" w:sz="8" w:space="0" w:color="000000"/>
              <w:bottom w:val="nil"/>
              <w:right w:val="single" w:sz="8" w:space="0" w:color="000000"/>
            </w:tcBorders>
          </w:tcPr>
          <w:p>
            <w:pPr>
              <w:rPr>
                <w:sz w:val="2"/>
                <w:szCs w:val="2"/>
              </w:rPr>
            </w:pPr>
          </w:p>
        </w:tc>
        <w:tc>
          <w:tcPr>
            <w:tcW w:w="768" w:type="dxa"/>
            <w:vMerge/>
            <w:tcBorders>
              <w:top w:val="nil"/>
              <w:left w:val="single" w:sz="8" w:space="0" w:color="000000"/>
              <w:bottom w:val="nil"/>
            </w:tcBorders>
          </w:tcPr>
          <w:p>
            <w:pPr>
              <w:rPr>
                <w:sz w:val="2"/>
                <w:szCs w:val="2"/>
              </w:rPr>
            </w:pPr>
          </w:p>
        </w:tc>
      </w:tr>
      <w:tr>
        <w:trPr>
          <w:trHeight w:val="310" w:hRule="atLeast"/>
        </w:trPr>
        <w:tc>
          <w:tcPr>
            <w:tcW w:w="1145" w:type="dxa"/>
            <w:tcBorders>
              <w:top w:val="nil"/>
              <w:bottom w:val="nil"/>
            </w:tcBorders>
          </w:tcPr>
          <w:p>
            <w:pPr>
              <w:pStyle w:val="TableParagraph"/>
              <w:spacing w:before="48"/>
              <w:ind w:left="75"/>
              <w:rPr>
                <w:sz w:val="18"/>
              </w:rPr>
            </w:pPr>
            <w:r>
              <w:rPr>
                <w:sz w:val="18"/>
              </w:rPr>
              <w:t>CLDV4</w:t>
            </w:r>
          </w:p>
        </w:tc>
        <w:tc>
          <w:tcPr>
            <w:tcW w:w="699" w:type="dxa"/>
            <w:tcBorders>
              <w:top w:val="nil"/>
              <w:bottom w:val="nil"/>
              <w:right w:val="single" w:sz="8" w:space="0" w:color="000000"/>
            </w:tcBorders>
          </w:tcPr>
          <w:p>
            <w:pPr>
              <w:pStyle w:val="TableParagraph"/>
              <w:spacing w:before="48"/>
              <w:ind w:left="310"/>
              <w:rPr>
                <w:sz w:val="18"/>
              </w:rPr>
            </w:pPr>
            <w:r>
              <w:rPr>
                <w:sz w:val="18"/>
              </w:rPr>
              <w:t>.792</w:t>
            </w:r>
          </w:p>
        </w:tc>
        <w:tc>
          <w:tcPr>
            <w:tcW w:w="709" w:type="dxa"/>
            <w:tcBorders>
              <w:top w:val="nil"/>
              <w:left w:val="single" w:sz="8" w:space="0" w:color="000000"/>
              <w:bottom w:val="nil"/>
              <w:right w:val="single" w:sz="8" w:space="0" w:color="000000"/>
            </w:tcBorders>
          </w:tcPr>
          <w:p>
            <w:pPr>
              <w:pStyle w:val="TableParagraph"/>
              <w:rPr>
                <w:sz w:val="18"/>
              </w:rPr>
            </w:pPr>
          </w:p>
        </w:tc>
        <w:tc>
          <w:tcPr>
            <w:tcW w:w="711" w:type="dxa"/>
            <w:tcBorders>
              <w:top w:val="nil"/>
              <w:left w:val="single" w:sz="8" w:space="0" w:color="000000"/>
              <w:bottom w:val="nil"/>
              <w:right w:val="single" w:sz="8" w:space="0" w:color="000000"/>
            </w:tcBorders>
          </w:tcPr>
          <w:p>
            <w:pPr>
              <w:pStyle w:val="TableParagraph"/>
              <w:rPr>
                <w:sz w:val="18"/>
              </w:rPr>
            </w:pPr>
          </w:p>
        </w:tc>
        <w:tc>
          <w:tcPr>
            <w:tcW w:w="709" w:type="dxa"/>
            <w:tcBorders>
              <w:top w:val="nil"/>
              <w:left w:val="single" w:sz="8" w:space="0" w:color="000000"/>
              <w:bottom w:val="nil"/>
              <w:right w:val="single" w:sz="8" w:space="0" w:color="000000"/>
            </w:tcBorders>
          </w:tcPr>
          <w:p>
            <w:pPr>
              <w:pStyle w:val="TableParagraph"/>
              <w:rPr>
                <w:sz w:val="18"/>
              </w:rPr>
            </w:pPr>
          </w:p>
        </w:tc>
        <w:tc>
          <w:tcPr>
            <w:tcW w:w="709" w:type="dxa"/>
            <w:vMerge/>
            <w:tcBorders>
              <w:top w:val="nil"/>
              <w:left w:val="single" w:sz="8" w:space="0" w:color="000000"/>
              <w:bottom w:val="nil"/>
              <w:right w:val="single" w:sz="8" w:space="0" w:color="000000"/>
            </w:tcBorders>
          </w:tcPr>
          <w:p>
            <w:pPr>
              <w:rPr>
                <w:sz w:val="2"/>
                <w:szCs w:val="2"/>
              </w:rPr>
            </w:pPr>
          </w:p>
        </w:tc>
        <w:tc>
          <w:tcPr>
            <w:tcW w:w="712" w:type="dxa"/>
            <w:vMerge/>
            <w:tcBorders>
              <w:top w:val="nil"/>
              <w:left w:val="single" w:sz="8" w:space="0" w:color="000000"/>
              <w:bottom w:val="nil"/>
              <w:right w:val="single" w:sz="8" w:space="0" w:color="000000"/>
            </w:tcBorders>
          </w:tcPr>
          <w:p>
            <w:pPr>
              <w:rPr>
                <w:sz w:val="2"/>
                <w:szCs w:val="2"/>
              </w:rPr>
            </w:pPr>
          </w:p>
        </w:tc>
        <w:tc>
          <w:tcPr>
            <w:tcW w:w="709" w:type="dxa"/>
            <w:vMerge/>
            <w:tcBorders>
              <w:top w:val="nil"/>
              <w:left w:val="single" w:sz="8" w:space="0" w:color="000000"/>
              <w:bottom w:val="nil"/>
              <w:right w:val="single" w:sz="8" w:space="0" w:color="000000"/>
            </w:tcBorders>
          </w:tcPr>
          <w:p>
            <w:pPr>
              <w:rPr>
                <w:sz w:val="2"/>
                <w:szCs w:val="2"/>
              </w:rPr>
            </w:pPr>
          </w:p>
        </w:tc>
        <w:tc>
          <w:tcPr>
            <w:tcW w:w="851" w:type="dxa"/>
            <w:vMerge/>
            <w:tcBorders>
              <w:top w:val="nil"/>
              <w:left w:val="single" w:sz="8" w:space="0" w:color="000000"/>
              <w:bottom w:val="nil"/>
              <w:right w:val="single" w:sz="8" w:space="0" w:color="000000"/>
            </w:tcBorders>
          </w:tcPr>
          <w:p>
            <w:pPr>
              <w:rPr>
                <w:sz w:val="2"/>
                <w:szCs w:val="2"/>
              </w:rPr>
            </w:pPr>
          </w:p>
        </w:tc>
        <w:tc>
          <w:tcPr>
            <w:tcW w:w="768" w:type="dxa"/>
            <w:vMerge/>
            <w:tcBorders>
              <w:top w:val="nil"/>
              <w:left w:val="single" w:sz="8" w:space="0" w:color="000000"/>
              <w:bottom w:val="nil"/>
            </w:tcBorders>
          </w:tcPr>
          <w:p>
            <w:pPr>
              <w:rPr>
                <w:sz w:val="2"/>
                <w:szCs w:val="2"/>
              </w:rPr>
            </w:pPr>
          </w:p>
        </w:tc>
      </w:tr>
      <w:tr>
        <w:trPr>
          <w:trHeight w:val="309" w:hRule="atLeast"/>
        </w:trPr>
        <w:tc>
          <w:tcPr>
            <w:tcW w:w="1145" w:type="dxa"/>
            <w:tcBorders>
              <w:top w:val="nil"/>
              <w:bottom w:val="nil"/>
            </w:tcBorders>
          </w:tcPr>
          <w:p>
            <w:pPr>
              <w:pStyle w:val="TableParagraph"/>
              <w:spacing w:before="47"/>
              <w:ind w:left="75"/>
              <w:rPr>
                <w:sz w:val="18"/>
              </w:rPr>
            </w:pPr>
            <w:r>
              <w:rPr>
                <w:sz w:val="18"/>
              </w:rPr>
              <w:t>CLDV8</w:t>
            </w:r>
          </w:p>
        </w:tc>
        <w:tc>
          <w:tcPr>
            <w:tcW w:w="699" w:type="dxa"/>
            <w:tcBorders>
              <w:top w:val="nil"/>
              <w:bottom w:val="nil"/>
              <w:right w:val="single" w:sz="8" w:space="0" w:color="000000"/>
            </w:tcBorders>
          </w:tcPr>
          <w:p>
            <w:pPr>
              <w:pStyle w:val="TableParagraph"/>
              <w:spacing w:before="47"/>
              <w:ind w:left="310"/>
              <w:rPr>
                <w:sz w:val="18"/>
              </w:rPr>
            </w:pPr>
            <w:r>
              <w:rPr>
                <w:sz w:val="18"/>
              </w:rPr>
              <w:t>.786</w:t>
            </w:r>
          </w:p>
        </w:tc>
        <w:tc>
          <w:tcPr>
            <w:tcW w:w="709" w:type="dxa"/>
            <w:tcBorders>
              <w:top w:val="nil"/>
              <w:left w:val="single" w:sz="8" w:space="0" w:color="000000"/>
              <w:bottom w:val="nil"/>
              <w:right w:val="single" w:sz="8" w:space="0" w:color="000000"/>
            </w:tcBorders>
          </w:tcPr>
          <w:p>
            <w:pPr>
              <w:pStyle w:val="TableParagraph"/>
              <w:rPr>
                <w:sz w:val="18"/>
              </w:rPr>
            </w:pPr>
          </w:p>
        </w:tc>
        <w:tc>
          <w:tcPr>
            <w:tcW w:w="711" w:type="dxa"/>
            <w:tcBorders>
              <w:top w:val="nil"/>
              <w:left w:val="single" w:sz="8" w:space="0" w:color="000000"/>
              <w:bottom w:val="nil"/>
              <w:right w:val="single" w:sz="8" w:space="0" w:color="000000"/>
            </w:tcBorders>
          </w:tcPr>
          <w:p>
            <w:pPr>
              <w:pStyle w:val="TableParagraph"/>
              <w:rPr>
                <w:sz w:val="18"/>
              </w:rPr>
            </w:pPr>
          </w:p>
        </w:tc>
        <w:tc>
          <w:tcPr>
            <w:tcW w:w="709" w:type="dxa"/>
            <w:tcBorders>
              <w:top w:val="nil"/>
              <w:left w:val="single" w:sz="8" w:space="0" w:color="000000"/>
              <w:bottom w:val="nil"/>
              <w:right w:val="single" w:sz="8" w:space="0" w:color="000000"/>
            </w:tcBorders>
          </w:tcPr>
          <w:p>
            <w:pPr>
              <w:pStyle w:val="TableParagraph"/>
              <w:rPr>
                <w:sz w:val="18"/>
              </w:rPr>
            </w:pPr>
          </w:p>
        </w:tc>
        <w:tc>
          <w:tcPr>
            <w:tcW w:w="709" w:type="dxa"/>
            <w:vMerge/>
            <w:tcBorders>
              <w:top w:val="nil"/>
              <w:left w:val="single" w:sz="8" w:space="0" w:color="000000"/>
              <w:bottom w:val="nil"/>
              <w:right w:val="single" w:sz="8" w:space="0" w:color="000000"/>
            </w:tcBorders>
          </w:tcPr>
          <w:p>
            <w:pPr>
              <w:rPr>
                <w:sz w:val="2"/>
                <w:szCs w:val="2"/>
              </w:rPr>
            </w:pPr>
          </w:p>
        </w:tc>
        <w:tc>
          <w:tcPr>
            <w:tcW w:w="712" w:type="dxa"/>
            <w:vMerge/>
            <w:tcBorders>
              <w:top w:val="nil"/>
              <w:left w:val="single" w:sz="8" w:space="0" w:color="000000"/>
              <w:bottom w:val="nil"/>
              <w:right w:val="single" w:sz="8" w:space="0" w:color="000000"/>
            </w:tcBorders>
          </w:tcPr>
          <w:p>
            <w:pPr>
              <w:rPr>
                <w:sz w:val="2"/>
                <w:szCs w:val="2"/>
              </w:rPr>
            </w:pPr>
          </w:p>
        </w:tc>
        <w:tc>
          <w:tcPr>
            <w:tcW w:w="709" w:type="dxa"/>
            <w:vMerge/>
            <w:tcBorders>
              <w:top w:val="nil"/>
              <w:left w:val="single" w:sz="8" w:space="0" w:color="000000"/>
              <w:bottom w:val="nil"/>
              <w:right w:val="single" w:sz="8" w:space="0" w:color="000000"/>
            </w:tcBorders>
          </w:tcPr>
          <w:p>
            <w:pPr>
              <w:rPr>
                <w:sz w:val="2"/>
                <w:szCs w:val="2"/>
              </w:rPr>
            </w:pPr>
          </w:p>
        </w:tc>
        <w:tc>
          <w:tcPr>
            <w:tcW w:w="851" w:type="dxa"/>
            <w:vMerge/>
            <w:tcBorders>
              <w:top w:val="nil"/>
              <w:left w:val="single" w:sz="8" w:space="0" w:color="000000"/>
              <w:bottom w:val="nil"/>
              <w:right w:val="single" w:sz="8" w:space="0" w:color="000000"/>
            </w:tcBorders>
          </w:tcPr>
          <w:p>
            <w:pPr>
              <w:rPr>
                <w:sz w:val="2"/>
                <w:szCs w:val="2"/>
              </w:rPr>
            </w:pPr>
          </w:p>
        </w:tc>
        <w:tc>
          <w:tcPr>
            <w:tcW w:w="768" w:type="dxa"/>
            <w:vMerge/>
            <w:tcBorders>
              <w:top w:val="nil"/>
              <w:left w:val="single" w:sz="8" w:space="0" w:color="000000"/>
              <w:bottom w:val="nil"/>
            </w:tcBorders>
          </w:tcPr>
          <w:p>
            <w:pPr>
              <w:rPr>
                <w:sz w:val="2"/>
                <w:szCs w:val="2"/>
              </w:rPr>
            </w:pPr>
          </w:p>
        </w:tc>
      </w:tr>
      <w:tr>
        <w:trPr>
          <w:trHeight w:val="310" w:hRule="atLeast"/>
        </w:trPr>
        <w:tc>
          <w:tcPr>
            <w:tcW w:w="1145" w:type="dxa"/>
            <w:tcBorders>
              <w:top w:val="nil"/>
              <w:bottom w:val="nil"/>
            </w:tcBorders>
          </w:tcPr>
          <w:p>
            <w:pPr>
              <w:pStyle w:val="TableParagraph"/>
              <w:spacing w:before="47"/>
              <w:ind w:left="75"/>
              <w:rPr>
                <w:sz w:val="18"/>
              </w:rPr>
            </w:pPr>
            <w:r>
              <w:rPr>
                <w:sz w:val="18"/>
              </w:rPr>
              <w:t>CLDV3</w:t>
            </w:r>
          </w:p>
        </w:tc>
        <w:tc>
          <w:tcPr>
            <w:tcW w:w="699" w:type="dxa"/>
            <w:tcBorders>
              <w:top w:val="nil"/>
              <w:bottom w:val="nil"/>
              <w:right w:val="single" w:sz="8" w:space="0" w:color="000000"/>
            </w:tcBorders>
          </w:tcPr>
          <w:p>
            <w:pPr>
              <w:pStyle w:val="TableParagraph"/>
              <w:spacing w:before="47"/>
              <w:ind w:left="310"/>
              <w:rPr>
                <w:sz w:val="18"/>
              </w:rPr>
            </w:pPr>
            <w:r>
              <w:rPr>
                <w:sz w:val="18"/>
              </w:rPr>
              <w:t>.737</w:t>
            </w:r>
          </w:p>
        </w:tc>
        <w:tc>
          <w:tcPr>
            <w:tcW w:w="709" w:type="dxa"/>
            <w:tcBorders>
              <w:top w:val="nil"/>
              <w:left w:val="single" w:sz="8" w:space="0" w:color="000000"/>
              <w:bottom w:val="nil"/>
              <w:right w:val="single" w:sz="8" w:space="0" w:color="000000"/>
            </w:tcBorders>
          </w:tcPr>
          <w:p>
            <w:pPr>
              <w:pStyle w:val="TableParagraph"/>
              <w:rPr>
                <w:sz w:val="18"/>
              </w:rPr>
            </w:pPr>
          </w:p>
        </w:tc>
        <w:tc>
          <w:tcPr>
            <w:tcW w:w="711" w:type="dxa"/>
            <w:tcBorders>
              <w:top w:val="nil"/>
              <w:left w:val="single" w:sz="8" w:space="0" w:color="000000"/>
              <w:bottom w:val="nil"/>
              <w:right w:val="single" w:sz="8" w:space="0" w:color="000000"/>
            </w:tcBorders>
          </w:tcPr>
          <w:p>
            <w:pPr>
              <w:pStyle w:val="TableParagraph"/>
              <w:rPr>
                <w:sz w:val="18"/>
              </w:rPr>
            </w:pPr>
          </w:p>
        </w:tc>
        <w:tc>
          <w:tcPr>
            <w:tcW w:w="709" w:type="dxa"/>
            <w:tcBorders>
              <w:top w:val="nil"/>
              <w:left w:val="single" w:sz="8" w:space="0" w:color="000000"/>
              <w:bottom w:val="nil"/>
              <w:right w:val="single" w:sz="8" w:space="0" w:color="000000"/>
            </w:tcBorders>
          </w:tcPr>
          <w:p>
            <w:pPr>
              <w:pStyle w:val="TableParagraph"/>
              <w:rPr>
                <w:sz w:val="18"/>
              </w:rPr>
            </w:pPr>
          </w:p>
        </w:tc>
        <w:tc>
          <w:tcPr>
            <w:tcW w:w="709" w:type="dxa"/>
            <w:vMerge/>
            <w:tcBorders>
              <w:top w:val="nil"/>
              <w:left w:val="single" w:sz="8" w:space="0" w:color="000000"/>
              <w:bottom w:val="nil"/>
              <w:right w:val="single" w:sz="8" w:space="0" w:color="000000"/>
            </w:tcBorders>
          </w:tcPr>
          <w:p>
            <w:pPr>
              <w:rPr>
                <w:sz w:val="2"/>
                <w:szCs w:val="2"/>
              </w:rPr>
            </w:pPr>
          </w:p>
        </w:tc>
        <w:tc>
          <w:tcPr>
            <w:tcW w:w="712" w:type="dxa"/>
            <w:vMerge/>
            <w:tcBorders>
              <w:top w:val="nil"/>
              <w:left w:val="single" w:sz="8" w:space="0" w:color="000000"/>
              <w:bottom w:val="nil"/>
              <w:right w:val="single" w:sz="8" w:space="0" w:color="000000"/>
            </w:tcBorders>
          </w:tcPr>
          <w:p>
            <w:pPr>
              <w:rPr>
                <w:sz w:val="2"/>
                <w:szCs w:val="2"/>
              </w:rPr>
            </w:pPr>
          </w:p>
        </w:tc>
        <w:tc>
          <w:tcPr>
            <w:tcW w:w="709" w:type="dxa"/>
            <w:vMerge/>
            <w:tcBorders>
              <w:top w:val="nil"/>
              <w:left w:val="single" w:sz="8" w:space="0" w:color="000000"/>
              <w:bottom w:val="nil"/>
              <w:right w:val="single" w:sz="8" w:space="0" w:color="000000"/>
            </w:tcBorders>
          </w:tcPr>
          <w:p>
            <w:pPr>
              <w:rPr>
                <w:sz w:val="2"/>
                <w:szCs w:val="2"/>
              </w:rPr>
            </w:pPr>
          </w:p>
        </w:tc>
        <w:tc>
          <w:tcPr>
            <w:tcW w:w="851" w:type="dxa"/>
            <w:vMerge/>
            <w:tcBorders>
              <w:top w:val="nil"/>
              <w:left w:val="single" w:sz="8" w:space="0" w:color="000000"/>
              <w:bottom w:val="nil"/>
              <w:right w:val="single" w:sz="8" w:space="0" w:color="000000"/>
            </w:tcBorders>
          </w:tcPr>
          <w:p>
            <w:pPr>
              <w:rPr>
                <w:sz w:val="2"/>
                <w:szCs w:val="2"/>
              </w:rPr>
            </w:pPr>
          </w:p>
        </w:tc>
        <w:tc>
          <w:tcPr>
            <w:tcW w:w="768" w:type="dxa"/>
            <w:vMerge/>
            <w:tcBorders>
              <w:top w:val="nil"/>
              <w:left w:val="single" w:sz="8" w:space="0" w:color="000000"/>
              <w:bottom w:val="nil"/>
            </w:tcBorders>
          </w:tcPr>
          <w:p>
            <w:pPr>
              <w:rPr>
                <w:sz w:val="2"/>
                <w:szCs w:val="2"/>
              </w:rPr>
            </w:pPr>
          </w:p>
        </w:tc>
      </w:tr>
      <w:tr>
        <w:trPr>
          <w:trHeight w:val="310" w:hRule="atLeast"/>
        </w:trPr>
        <w:tc>
          <w:tcPr>
            <w:tcW w:w="1145" w:type="dxa"/>
            <w:tcBorders>
              <w:top w:val="nil"/>
              <w:bottom w:val="nil"/>
            </w:tcBorders>
          </w:tcPr>
          <w:p>
            <w:pPr>
              <w:pStyle w:val="TableParagraph"/>
              <w:spacing w:before="48"/>
              <w:ind w:left="75"/>
              <w:rPr>
                <w:sz w:val="18"/>
              </w:rPr>
            </w:pPr>
            <w:r>
              <w:rPr>
                <w:sz w:val="18"/>
              </w:rPr>
              <w:t>CLDV6</w:t>
            </w:r>
          </w:p>
        </w:tc>
        <w:tc>
          <w:tcPr>
            <w:tcW w:w="699" w:type="dxa"/>
            <w:tcBorders>
              <w:top w:val="nil"/>
              <w:bottom w:val="nil"/>
              <w:right w:val="single" w:sz="8" w:space="0" w:color="000000"/>
            </w:tcBorders>
          </w:tcPr>
          <w:p>
            <w:pPr>
              <w:pStyle w:val="TableParagraph"/>
              <w:spacing w:before="48"/>
              <w:ind w:left="310"/>
              <w:rPr>
                <w:sz w:val="18"/>
              </w:rPr>
            </w:pPr>
            <w:r>
              <w:rPr>
                <w:sz w:val="18"/>
              </w:rPr>
              <w:t>.707</w:t>
            </w:r>
          </w:p>
        </w:tc>
        <w:tc>
          <w:tcPr>
            <w:tcW w:w="709" w:type="dxa"/>
            <w:tcBorders>
              <w:top w:val="nil"/>
              <w:left w:val="single" w:sz="8" w:space="0" w:color="000000"/>
              <w:bottom w:val="nil"/>
              <w:right w:val="single" w:sz="8" w:space="0" w:color="000000"/>
            </w:tcBorders>
          </w:tcPr>
          <w:p>
            <w:pPr>
              <w:pStyle w:val="TableParagraph"/>
              <w:rPr>
                <w:sz w:val="18"/>
              </w:rPr>
            </w:pPr>
          </w:p>
        </w:tc>
        <w:tc>
          <w:tcPr>
            <w:tcW w:w="711" w:type="dxa"/>
            <w:tcBorders>
              <w:top w:val="nil"/>
              <w:left w:val="single" w:sz="8" w:space="0" w:color="000000"/>
              <w:bottom w:val="nil"/>
              <w:right w:val="single" w:sz="8" w:space="0" w:color="000000"/>
            </w:tcBorders>
          </w:tcPr>
          <w:p>
            <w:pPr>
              <w:pStyle w:val="TableParagraph"/>
              <w:rPr>
                <w:sz w:val="18"/>
              </w:rPr>
            </w:pPr>
          </w:p>
        </w:tc>
        <w:tc>
          <w:tcPr>
            <w:tcW w:w="709" w:type="dxa"/>
            <w:tcBorders>
              <w:top w:val="nil"/>
              <w:left w:val="single" w:sz="8" w:space="0" w:color="000000"/>
              <w:bottom w:val="nil"/>
              <w:right w:val="single" w:sz="8" w:space="0" w:color="000000"/>
            </w:tcBorders>
          </w:tcPr>
          <w:p>
            <w:pPr>
              <w:pStyle w:val="TableParagraph"/>
              <w:rPr>
                <w:sz w:val="18"/>
              </w:rPr>
            </w:pPr>
          </w:p>
        </w:tc>
        <w:tc>
          <w:tcPr>
            <w:tcW w:w="709" w:type="dxa"/>
            <w:vMerge/>
            <w:tcBorders>
              <w:top w:val="nil"/>
              <w:left w:val="single" w:sz="8" w:space="0" w:color="000000"/>
              <w:bottom w:val="nil"/>
              <w:right w:val="single" w:sz="8" w:space="0" w:color="000000"/>
            </w:tcBorders>
          </w:tcPr>
          <w:p>
            <w:pPr>
              <w:rPr>
                <w:sz w:val="2"/>
                <w:szCs w:val="2"/>
              </w:rPr>
            </w:pPr>
          </w:p>
        </w:tc>
        <w:tc>
          <w:tcPr>
            <w:tcW w:w="712" w:type="dxa"/>
            <w:vMerge/>
            <w:tcBorders>
              <w:top w:val="nil"/>
              <w:left w:val="single" w:sz="8" w:space="0" w:color="000000"/>
              <w:bottom w:val="nil"/>
              <w:right w:val="single" w:sz="8" w:space="0" w:color="000000"/>
            </w:tcBorders>
          </w:tcPr>
          <w:p>
            <w:pPr>
              <w:rPr>
                <w:sz w:val="2"/>
                <w:szCs w:val="2"/>
              </w:rPr>
            </w:pPr>
          </w:p>
        </w:tc>
        <w:tc>
          <w:tcPr>
            <w:tcW w:w="709" w:type="dxa"/>
            <w:vMerge/>
            <w:tcBorders>
              <w:top w:val="nil"/>
              <w:left w:val="single" w:sz="8" w:space="0" w:color="000000"/>
              <w:bottom w:val="nil"/>
              <w:right w:val="single" w:sz="8" w:space="0" w:color="000000"/>
            </w:tcBorders>
          </w:tcPr>
          <w:p>
            <w:pPr>
              <w:rPr>
                <w:sz w:val="2"/>
                <w:szCs w:val="2"/>
              </w:rPr>
            </w:pPr>
          </w:p>
        </w:tc>
        <w:tc>
          <w:tcPr>
            <w:tcW w:w="851" w:type="dxa"/>
            <w:vMerge/>
            <w:tcBorders>
              <w:top w:val="nil"/>
              <w:left w:val="single" w:sz="8" w:space="0" w:color="000000"/>
              <w:bottom w:val="nil"/>
              <w:right w:val="single" w:sz="8" w:space="0" w:color="000000"/>
            </w:tcBorders>
          </w:tcPr>
          <w:p>
            <w:pPr>
              <w:rPr>
                <w:sz w:val="2"/>
                <w:szCs w:val="2"/>
              </w:rPr>
            </w:pPr>
          </w:p>
        </w:tc>
        <w:tc>
          <w:tcPr>
            <w:tcW w:w="768" w:type="dxa"/>
            <w:vMerge/>
            <w:tcBorders>
              <w:top w:val="nil"/>
              <w:left w:val="single" w:sz="8" w:space="0" w:color="000000"/>
              <w:bottom w:val="nil"/>
            </w:tcBorders>
          </w:tcPr>
          <w:p>
            <w:pPr>
              <w:rPr>
                <w:sz w:val="2"/>
                <w:szCs w:val="2"/>
              </w:rPr>
            </w:pPr>
          </w:p>
        </w:tc>
      </w:tr>
      <w:tr>
        <w:trPr>
          <w:trHeight w:val="309" w:hRule="atLeast"/>
        </w:trPr>
        <w:tc>
          <w:tcPr>
            <w:tcW w:w="1145" w:type="dxa"/>
            <w:tcBorders>
              <w:top w:val="nil"/>
              <w:bottom w:val="nil"/>
            </w:tcBorders>
          </w:tcPr>
          <w:p>
            <w:pPr>
              <w:pStyle w:val="TableParagraph"/>
              <w:spacing w:before="47"/>
              <w:ind w:left="75"/>
              <w:rPr>
                <w:sz w:val="18"/>
              </w:rPr>
            </w:pPr>
            <w:r>
              <w:rPr>
                <w:sz w:val="18"/>
              </w:rPr>
              <w:t>CLDV10</w:t>
            </w:r>
          </w:p>
        </w:tc>
        <w:tc>
          <w:tcPr>
            <w:tcW w:w="699" w:type="dxa"/>
            <w:tcBorders>
              <w:top w:val="nil"/>
              <w:bottom w:val="nil"/>
              <w:right w:val="single" w:sz="8" w:space="0" w:color="000000"/>
            </w:tcBorders>
          </w:tcPr>
          <w:p>
            <w:pPr>
              <w:pStyle w:val="TableParagraph"/>
              <w:spacing w:before="47"/>
              <w:ind w:left="310"/>
              <w:rPr>
                <w:sz w:val="18"/>
              </w:rPr>
            </w:pPr>
            <w:r>
              <w:rPr>
                <w:sz w:val="18"/>
              </w:rPr>
              <w:t>.595</w:t>
            </w:r>
          </w:p>
        </w:tc>
        <w:tc>
          <w:tcPr>
            <w:tcW w:w="709" w:type="dxa"/>
            <w:tcBorders>
              <w:top w:val="nil"/>
              <w:left w:val="single" w:sz="8" w:space="0" w:color="000000"/>
              <w:bottom w:val="nil"/>
              <w:right w:val="single" w:sz="8" w:space="0" w:color="000000"/>
            </w:tcBorders>
          </w:tcPr>
          <w:p>
            <w:pPr>
              <w:pStyle w:val="TableParagraph"/>
              <w:rPr>
                <w:sz w:val="18"/>
              </w:rPr>
            </w:pPr>
          </w:p>
        </w:tc>
        <w:tc>
          <w:tcPr>
            <w:tcW w:w="711" w:type="dxa"/>
            <w:tcBorders>
              <w:top w:val="nil"/>
              <w:left w:val="single" w:sz="8" w:space="0" w:color="000000"/>
              <w:bottom w:val="nil"/>
              <w:right w:val="single" w:sz="8" w:space="0" w:color="000000"/>
            </w:tcBorders>
          </w:tcPr>
          <w:p>
            <w:pPr>
              <w:pStyle w:val="TableParagraph"/>
              <w:rPr>
                <w:sz w:val="18"/>
              </w:rPr>
            </w:pPr>
          </w:p>
        </w:tc>
        <w:tc>
          <w:tcPr>
            <w:tcW w:w="709" w:type="dxa"/>
            <w:tcBorders>
              <w:top w:val="nil"/>
              <w:left w:val="single" w:sz="8" w:space="0" w:color="000000"/>
              <w:bottom w:val="nil"/>
              <w:right w:val="single" w:sz="8" w:space="0" w:color="000000"/>
            </w:tcBorders>
          </w:tcPr>
          <w:p>
            <w:pPr>
              <w:pStyle w:val="TableParagraph"/>
              <w:rPr>
                <w:sz w:val="18"/>
              </w:rPr>
            </w:pPr>
          </w:p>
        </w:tc>
        <w:tc>
          <w:tcPr>
            <w:tcW w:w="709" w:type="dxa"/>
            <w:vMerge/>
            <w:tcBorders>
              <w:top w:val="nil"/>
              <w:left w:val="single" w:sz="8" w:space="0" w:color="000000"/>
              <w:bottom w:val="nil"/>
              <w:right w:val="single" w:sz="8" w:space="0" w:color="000000"/>
            </w:tcBorders>
          </w:tcPr>
          <w:p>
            <w:pPr>
              <w:rPr>
                <w:sz w:val="2"/>
                <w:szCs w:val="2"/>
              </w:rPr>
            </w:pPr>
          </w:p>
        </w:tc>
        <w:tc>
          <w:tcPr>
            <w:tcW w:w="712" w:type="dxa"/>
            <w:vMerge/>
            <w:tcBorders>
              <w:top w:val="nil"/>
              <w:left w:val="single" w:sz="8" w:space="0" w:color="000000"/>
              <w:bottom w:val="nil"/>
              <w:right w:val="single" w:sz="8" w:space="0" w:color="000000"/>
            </w:tcBorders>
          </w:tcPr>
          <w:p>
            <w:pPr>
              <w:rPr>
                <w:sz w:val="2"/>
                <w:szCs w:val="2"/>
              </w:rPr>
            </w:pPr>
          </w:p>
        </w:tc>
        <w:tc>
          <w:tcPr>
            <w:tcW w:w="709" w:type="dxa"/>
            <w:vMerge/>
            <w:tcBorders>
              <w:top w:val="nil"/>
              <w:left w:val="single" w:sz="8" w:space="0" w:color="000000"/>
              <w:bottom w:val="nil"/>
              <w:right w:val="single" w:sz="8" w:space="0" w:color="000000"/>
            </w:tcBorders>
          </w:tcPr>
          <w:p>
            <w:pPr>
              <w:rPr>
                <w:sz w:val="2"/>
                <w:szCs w:val="2"/>
              </w:rPr>
            </w:pPr>
          </w:p>
        </w:tc>
        <w:tc>
          <w:tcPr>
            <w:tcW w:w="851" w:type="dxa"/>
            <w:vMerge/>
            <w:tcBorders>
              <w:top w:val="nil"/>
              <w:left w:val="single" w:sz="8" w:space="0" w:color="000000"/>
              <w:bottom w:val="nil"/>
              <w:right w:val="single" w:sz="8" w:space="0" w:color="000000"/>
            </w:tcBorders>
          </w:tcPr>
          <w:p>
            <w:pPr>
              <w:rPr>
                <w:sz w:val="2"/>
                <w:szCs w:val="2"/>
              </w:rPr>
            </w:pPr>
          </w:p>
        </w:tc>
        <w:tc>
          <w:tcPr>
            <w:tcW w:w="768" w:type="dxa"/>
            <w:vMerge/>
            <w:tcBorders>
              <w:top w:val="nil"/>
              <w:left w:val="single" w:sz="8" w:space="0" w:color="000000"/>
              <w:bottom w:val="nil"/>
            </w:tcBorders>
          </w:tcPr>
          <w:p>
            <w:pPr>
              <w:rPr>
                <w:sz w:val="2"/>
                <w:szCs w:val="2"/>
              </w:rPr>
            </w:pPr>
          </w:p>
        </w:tc>
      </w:tr>
      <w:tr>
        <w:trPr>
          <w:trHeight w:val="310" w:hRule="atLeast"/>
        </w:trPr>
        <w:tc>
          <w:tcPr>
            <w:tcW w:w="1145" w:type="dxa"/>
            <w:tcBorders>
              <w:top w:val="nil"/>
              <w:bottom w:val="nil"/>
            </w:tcBorders>
          </w:tcPr>
          <w:p>
            <w:pPr>
              <w:pStyle w:val="TableParagraph"/>
              <w:spacing w:before="47"/>
              <w:ind w:left="75"/>
              <w:rPr>
                <w:sz w:val="18"/>
              </w:rPr>
            </w:pPr>
            <w:r>
              <w:rPr>
                <w:sz w:val="18"/>
              </w:rPr>
              <w:t>CP3</w:t>
            </w:r>
          </w:p>
        </w:tc>
        <w:tc>
          <w:tcPr>
            <w:tcW w:w="699" w:type="dxa"/>
            <w:tcBorders>
              <w:top w:val="nil"/>
              <w:bottom w:val="nil"/>
              <w:right w:val="single" w:sz="8" w:space="0" w:color="000000"/>
            </w:tcBorders>
          </w:tcPr>
          <w:p>
            <w:pPr>
              <w:pStyle w:val="TableParagraph"/>
              <w:rPr>
                <w:sz w:val="18"/>
              </w:rPr>
            </w:pPr>
          </w:p>
        </w:tc>
        <w:tc>
          <w:tcPr>
            <w:tcW w:w="709" w:type="dxa"/>
            <w:tcBorders>
              <w:top w:val="nil"/>
              <w:left w:val="single" w:sz="8" w:space="0" w:color="000000"/>
              <w:bottom w:val="nil"/>
              <w:right w:val="single" w:sz="8" w:space="0" w:color="000000"/>
            </w:tcBorders>
          </w:tcPr>
          <w:p>
            <w:pPr>
              <w:pStyle w:val="TableParagraph"/>
              <w:spacing w:before="47"/>
              <w:ind w:left="332"/>
              <w:rPr>
                <w:sz w:val="18"/>
              </w:rPr>
            </w:pPr>
            <w:r>
              <w:rPr>
                <w:sz w:val="18"/>
              </w:rPr>
              <w:t>.838</w:t>
            </w:r>
          </w:p>
        </w:tc>
        <w:tc>
          <w:tcPr>
            <w:tcW w:w="711" w:type="dxa"/>
            <w:tcBorders>
              <w:top w:val="nil"/>
              <w:left w:val="single" w:sz="8" w:space="0" w:color="000000"/>
              <w:bottom w:val="nil"/>
              <w:right w:val="single" w:sz="8" w:space="0" w:color="000000"/>
            </w:tcBorders>
          </w:tcPr>
          <w:p>
            <w:pPr>
              <w:pStyle w:val="TableParagraph"/>
              <w:rPr>
                <w:sz w:val="18"/>
              </w:rPr>
            </w:pPr>
          </w:p>
        </w:tc>
        <w:tc>
          <w:tcPr>
            <w:tcW w:w="709" w:type="dxa"/>
            <w:tcBorders>
              <w:top w:val="nil"/>
              <w:left w:val="single" w:sz="8" w:space="0" w:color="000000"/>
              <w:bottom w:val="nil"/>
              <w:right w:val="single" w:sz="8" w:space="0" w:color="000000"/>
            </w:tcBorders>
          </w:tcPr>
          <w:p>
            <w:pPr>
              <w:pStyle w:val="TableParagraph"/>
              <w:rPr>
                <w:sz w:val="18"/>
              </w:rPr>
            </w:pPr>
          </w:p>
        </w:tc>
        <w:tc>
          <w:tcPr>
            <w:tcW w:w="709" w:type="dxa"/>
            <w:vMerge/>
            <w:tcBorders>
              <w:top w:val="nil"/>
              <w:left w:val="single" w:sz="8" w:space="0" w:color="000000"/>
              <w:bottom w:val="nil"/>
              <w:right w:val="single" w:sz="8" w:space="0" w:color="000000"/>
            </w:tcBorders>
          </w:tcPr>
          <w:p>
            <w:pPr>
              <w:rPr>
                <w:sz w:val="2"/>
                <w:szCs w:val="2"/>
              </w:rPr>
            </w:pPr>
          </w:p>
        </w:tc>
        <w:tc>
          <w:tcPr>
            <w:tcW w:w="712" w:type="dxa"/>
            <w:vMerge/>
            <w:tcBorders>
              <w:top w:val="nil"/>
              <w:left w:val="single" w:sz="8" w:space="0" w:color="000000"/>
              <w:bottom w:val="nil"/>
              <w:right w:val="single" w:sz="8" w:space="0" w:color="000000"/>
            </w:tcBorders>
          </w:tcPr>
          <w:p>
            <w:pPr>
              <w:rPr>
                <w:sz w:val="2"/>
                <w:szCs w:val="2"/>
              </w:rPr>
            </w:pPr>
          </w:p>
        </w:tc>
        <w:tc>
          <w:tcPr>
            <w:tcW w:w="709" w:type="dxa"/>
            <w:vMerge/>
            <w:tcBorders>
              <w:top w:val="nil"/>
              <w:left w:val="single" w:sz="8" w:space="0" w:color="000000"/>
              <w:bottom w:val="nil"/>
              <w:right w:val="single" w:sz="8" w:space="0" w:color="000000"/>
            </w:tcBorders>
          </w:tcPr>
          <w:p>
            <w:pPr>
              <w:rPr>
                <w:sz w:val="2"/>
                <w:szCs w:val="2"/>
              </w:rPr>
            </w:pPr>
          </w:p>
        </w:tc>
        <w:tc>
          <w:tcPr>
            <w:tcW w:w="851" w:type="dxa"/>
            <w:vMerge/>
            <w:tcBorders>
              <w:top w:val="nil"/>
              <w:left w:val="single" w:sz="8" w:space="0" w:color="000000"/>
              <w:bottom w:val="nil"/>
              <w:right w:val="single" w:sz="8" w:space="0" w:color="000000"/>
            </w:tcBorders>
          </w:tcPr>
          <w:p>
            <w:pPr>
              <w:rPr>
                <w:sz w:val="2"/>
                <w:szCs w:val="2"/>
              </w:rPr>
            </w:pPr>
          </w:p>
        </w:tc>
        <w:tc>
          <w:tcPr>
            <w:tcW w:w="768" w:type="dxa"/>
            <w:vMerge/>
            <w:tcBorders>
              <w:top w:val="nil"/>
              <w:left w:val="single" w:sz="8" w:space="0" w:color="000000"/>
              <w:bottom w:val="nil"/>
            </w:tcBorders>
          </w:tcPr>
          <w:p>
            <w:pPr>
              <w:rPr>
                <w:sz w:val="2"/>
                <w:szCs w:val="2"/>
              </w:rPr>
            </w:pPr>
          </w:p>
        </w:tc>
      </w:tr>
      <w:tr>
        <w:trPr>
          <w:trHeight w:val="310" w:hRule="atLeast"/>
        </w:trPr>
        <w:tc>
          <w:tcPr>
            <w:tcW w:w="1145" w:type="dxa"/>
            <w:tcBorders>
              <w:top w:val="nil"/>
              <w:bottom w:val="nil"/>
            </w:tcBorders>
          </w:tcPr>
          <w:p>
            <w:pPr>
              <w:pStyle w:val="TableParagraph"/>
              <w:spacing w:before="48"/>
              <w:ind w:left="75"/>
              <w:rPr>
                <w:sz w:val="18"/>
              </w:rPr>
            </w:pPr>
            <w:r>
              <w:rPr>
                <w:sz w:val="18"/>
              </w:rPr>
              <w:t>CP2</w:t>
            </w:r>
          </w:p>
        </w:tc>
        <w:tc>
          <w:tcPr>
            <w:tcW w:w="699" w:type="dxa"/>
            <w:tcBorders>
              <w:top w:val="nil"/>
              <w:bottom w:val="nil"/>
              <w:right w:val="single" w:sz="8" w:space="0" w:color="000000"/>
            </w:tcBorders>
          </w:tcPr>
          <w:p>
            <w:pPr>
              <w:pStyle w:val="TableParagraph"/>
              <w:rPr>
                <w:sz w:val="18"/>
              </w:rPr>
            </w:pPr>
          </w:p>
        </w:tc>
        <w:tc>
          <w:tcPr>
            <w:tcW w:w="709" w:type="dxa"/>
            <w:tcBorders>
              <w:top w:val="nil"/>
              <w:left w:val="single" w:sz="8" w:space="0" w:color="000000"/>
              <w:bottom w:val="nil"/>
              <w:right w:val="single" w:sz="8" w:space="0" w:color="000000"/>
            </w:tcBorders>
          </w:tcPr>
          <w:p>
            <w:pPr>
              <w:pStyle w:val="TableParagraph"/>
              <w:spacing w:before="48"/>
              <w:ind w:left="332"/>
              <w:rPr>
                <w:sz w:val="18"/>
              </w:rPr>
            </w:pPr>
            <w:r>
              <w:rPr>
                <w:sz w:val="18"/>
              </w:rPr>
              <w:t>.814</w:t>
            </w:r>
          </w:p>
        </w:tc>
        <w:tc>
          <w:tcPr>
            <w:tcW w:w="711" w:type="dxa"/>
            <w:tcBorders>
              <w:top w:val="nil"/>
              <w:left w:val="single" w:sz="8" w:space="0" w:color="000000"/>
              <w:bottom w:val="nil"/>
              <w:right w:val="single" w:sz="8" w:space="0" w:color="000000"/>
            </w:tcBorders>
          </w:tcPr>
          <w:p>
            <w:pPr>
              <w:pStyle w:val="TableParagraph"/>
              <w:rPr>
                <w:sz w:val="18"/>
              </w:rPr>
            </w:pPr>
          </w:p>
        </w:tc>
        <w:tc>
          <w:tcPr>
            <w:tcW w:w="709" w:type="dxa"/>
            <w:tcBorders>
              <w:top w:val="nil"/>
              <w:left w:val="single" w:sz="8" w:space="0" w:color="000000"/>
              <w:bottom w:val="nil"/>
              <w:right w:val="single" w:sz="8" w:space="0" w:color="000000"/>
            </w:tcBorders>
          </w:tcPr>
          <w:p>
            <w:pPr>
              <w:pStyle w:val="TableParagraph"/>
              <w:rPr>
                <w:sz w:val="18"/>
              </w:rPr>
            </w:pPr>
          </w:p>
        </w:tc>
        <w:tc>
          <w:tcPr>
            <w:tcW w:w="709" w:type="dxa"/>
            <w:vMerge/>
            <w:tcBorders>
              <w:top w:val="nil"/>
              <w:left w:val="single" w:sz="8" w:space="0" w:color="000000"/>
              <w:bottom w:val="nil"/>
              <w:right w:val="single" w:sz="8" w:space="0" w:color="000000"/>
            </w:tcBorders>
          </w:tcPr>
          <w:p>
            <w:pPr>
              <w:rPr>
                <w:sz w:val="2"/>
                <w:szCs w:val="2"/>
              </w:rPr>
            </w:pPr>
          </w:p>
        </w:tc>
        <w:tc>
          <w:tcPr>
            <w:tcW w:w="712" w:type="dxa"/>
            <w:vMerge/>
            <w:tcBorders>
              <w:top w:val="nil"/>
              <w:left w:val="single" w:sz="8" w:space="0" w:color="000000"/>
              <w:bottom w:val="nil"/>
              <w:right w:val="single" w:sz="8" w:space="0" w:color="000000"/>
            </w:tcBorders>
          </w:tcPr>
          <w:p>
            <w:pPr>
              <w:rPr>
                <w:sz w:val="2"/>
                <w:szCs w:val="2"/>
              </w:rPr>
            </w:pPr>
          </w:p>
        </w:tc>
        <w:tc>
          <w:tcPr>
            <w:tcW w:w="709" w:type="dxa"/>
            <w:vMerge/>
            <w:tcBorders>
              <w:top w:val="nil"/>
              <w:left w:val="single" w:sz="8" w:space="0" w:color="000000"/>
              <w:bottom w:val="nil"/>
              <w:right w:val="single" w:sz="8" w:space="0" w:color="000000"/>
            </w:tcBorders>
          </w:tcPr>
          <w:p>
            <w:pPr>
              <w:rPr>
                <w:sz w:val="2"/>
                <w:szCs w:val="2"/>
              </w:rPr>
            </w:pPr>
          </w:p>
        </w:tc>
        <w:tc>
          <w:tcPr>
            <w:tcW w:w="851" w:type="dxa"/>
            <w:vMerge/>
            <w:tcBorders>
              <w:top w:val="nil"/>
              <w:left w:val="single" w:sz="8" w:space="0" w:color="000000"/>
              <w:bottom w:val="nil"/>
              <w:right w:val="single" w:sz="8" w:space="0" w:color="000000"/>
            </w:tcBorders>
          </w:tcPr>
          <w:p>
            <w:pPr>
              <w:rPr>
                <w:sz w:val="2"/>
                <w:szCs w:val="2"/>
              </w:rPr>
            </w:pPr>
          </w:p>
        </w:tc>
        <w:tc>
          <w:tcPr>
            <w:tcW w:w="768" w:type="dxa"/>
            <w:vMerge/>
            <w:tcBorders>
              <w:top w:val="nil"/>
              <w:left w:val="single" w:sz="8" w:space="0" w:color="000000"/>
              <w:bottom w:val="nil"/>
            </w:tcBorders>
          </w:tcPr>
          <w:p>
            <w:pPr>
              <w:rPr>
                <w:sz w:val="2"/>
                <w:szCs w:val="2"/>
              </w:rPr>
            </w:pPr>
          </w:p>
        </w:tc>
      </w:tr>
      <w:tr>
        <w:trPr>
          <w:trHeight w:val="309" w:hRule="atLeast"/>
        </w:trPr>
        <w:tc>
          <w:tcPr>
            <w:tcW w:w="1145" w:type="dxa"/>
            <w:tcBorders>
              <w:top w:val="nil"/>
              <w:bottom w:val="nil"/>
            </w:tcBorders>
          </w:tcPr>
          <w:p>
            <w:pPr>
              <w:pStyle w:val="TableParagraph"/>
              <w:spacing w:before="47"/>
              <w:ind w:left="75"/>
              <w:rPr>
                <w:sz w:val="18"/>
              </w:rPr>
            </w:pPr>
            <w:r>
              <w:rPr>
                <w:sz w:val="18"/>
              </w:rPr>
              <w:t>CP5</w:t>
            </w:r>
          </w:p>
        </w:tc>
        <w:tc>
          <w:tcPr>
            <w:tcW w:w="699" w:type="dxa"/>
            <w:tcBorders>
              <w:top w:val="nil"/>
              <w:bottom w:val="nil"/>
              <w:right w:val="single" w:sz="8" w:space="0" w:color="000000"/>
            </w:tcBorders>
          </w:tcPr>
          <w:p>
            <w:pPr>
              <w:pStyle w:val="TableParagraph"/>
              <w:rPr>
                <w:sz w:val="18"/>
              </w:rPr>
            </w:pPr>
          </w:p>
        </w:tc>
        <w:tc>
          <w:tcPr>
            <w:tcW w:w="709" w:type="dxa"/>
            <w:tcBorders>
              <w:top w:val="nil"/>
              <w:left w:val="single" w:sz="8" w:space="0" w:color="000000"/>
              <w:bottom w:val="nil"/>
              <w:right w:val="single" w:sz="8" w:space="0" w:color="000000"/>
            </w:tcBorders>
          </w:tcPr>
          <w:p>
            <w:pPr>
              <w:pStyle w:val="TableParagraph"/>
              <w:spacing w:before="47"/>
              <w:ind w:left="332"/>
              <w:rPr>
                <w:sz w:val="18"/>
              </w:rPr>
            </w:pPr>
            <w:r>
              <w:rPr>
                <w:sz w:val="18"/>
              </w:rPr>
              <w:t>.773</w:t>
            </w:r>
          </w:p>
        </w:tc>
        <w:tc>
          <w:tcPr>
            <w:tcW w:w="711" w:type="dxa"/>
            <w:tcBorders>
              <w:top w:val="nil"/>
              <w:left w:val="single" w:sz="8" w:space="0" w:color="000000"/>
              <w:bottom w:val="nil"/>
              <w:right w:val="single" w:sz="8" w:space="0" w:color="000000"/>
            </w:tcBorders>
          </w:tcPr>
          <w:p>
            <w:pPr>
              <w:pStyle w:val="TableParagraph"/>
              <w:rPr>
                <w:sz w:val="18"/>
              </w:rPr>
            </w:pPr>
          </w:p>
        </w:tc>
        <w:tc>
          <w:tcPr>
            <w:tcW w:w="709" w:type="dxa"/>
            <w:tcBorders>
              <w:top w:val="nil"/>
              <w:left w:val="single" w:sz="8" w:space="0" w:color="000000"/>
              <w:bottom w:val="nil"/>
              <w:right w:val="single" w:sz="8" w:space="0" w:color="000000"/>
            </w:tcBorders>
          </w:tcPr>
          <w:p>
            <w:pPr>
              <w:pStyle w:val="TableParagraph"/>
              <w:rPr>
                <w:sz w:val="18"/>
              </w:rPr>
            </w:pPr>
          </w:p>
        </w:tc>
        <w:tc>
          <w:tcPr>
            <w:tcW w:w="709" w:type="dxa"/>
            <w:vMerge/>
            <w:tcBorders>
              <w:top w:val="nil"/>
              <w:left w:val="single" w:sz="8" w:space="0" w:color="000000"/>
              <w:bottom w:val="nil"/>
              <w:right w:val="single" w:sz="8" w:space="0" w:color="000000"/>
            </w:tcBorders>
          </w:tcPr>
          <w:p>
            <w:pPr>
              <w:rPr>
                <w:sz w:val="2"/>
                <w:szCs w:val="2"/>
              </w:rPr>
            </w:pPr>
          </w:p>
        </w:tc>
        <w:tc>
          <w:tcPr>
            <w:tcW w:w="712" w:type="dxa"/>
            <w:vMerge/>
            <w:tcBorders>
              <w:top w:val="nil"/>
              <w:left w:val="single" w:sz="8" w:space="0" w:color="000000"/>
              <w:bottom w:val="nil"/>
              <w:right w:val="single" w:sz="8" w:space="0" w:color="000000"/>
            </w:tcBorders>
          </w:tcPr>
          <w:p>
            <w:pPr>
              <w:rPr>
                <w:sz w:val="2"/>
                <w:szCs w:val="2"/>
              </w:rPr>
            </w:pPr>
          </w:p>
        </w:tc>
        <w:tc>
          <w:tcPr>
            <w:tcW w:w="709" w:type="dxa"/>
            <w:vMerge/>
            <w:tcBorders>
              <w:top w:val="nil"/>
              <w:left w:val="single" w:sz="8" w:space="0" w:color="000000"/>
              <w:bottom w:val="nil"/>
              <w:right w:val="single" w:sz="8" w:space="0" w:color="000000"/>
            </w:tcBorders>
          </w:tcPr>
          <w:p>
            <w:pPr>
              <w:rPr>
                <w:sz w:val="2"/>
                <w:szCs w:val="2"/>
              </w:rPr>
            </w:pPr>
          </w:p>
        </w:tc>
        <w:tc>
          <w:tcPr>
            <w:tcW w:w="851" w:type="dxa"/>
            <w:vMerge/>
            <w:tcBorders>
              <w:top w:val="nil"/>
              <w:left w:val="single" w:sz="8" w:space="0" w:color="000000"/>
              <w:bottom w:val="nil"/>
              <w:right w:val="single" w:sz="8" w:space="0" w:color="000000"/>
            </w:tcBorders>
          </w:tcPr>
          <w:p>
            <w:pPr>
              <w:rPr>
                <w:sz w:val="2"/>
                <w:szCs w:val="2"/>
              </w:rPr>
            </w:pPr>
          </w:p>
        </w:tc>
        <w:tc>
          <w:tcPr>
            <w:tcW w:w="768" w:type="dxa"/>
            <w:vMerge/>
            <w:tcBorders>
              <w:top w:val="nil"/>
              <w:left w:val="single" w:sz="8" w:space="0" w:color="000000"/>
              <w:bottom w:val="nil"/>
            </w:tcBorders>
          </w:tcPr>
          <w:p>
            <w:pPr>
              <w:rPr>
                <w:sz w:val="2"/>
                <w:szCs w:val="2"/>
              </w:rPr>
            </w:pPr>
          </w:p>
        </w:tc>
      </w:tr>
      <w:tr>
        <w:trPr>
          <w:trHeight w:val="310" w:hRule="atLeast"/>
        </w:trPr>
        <w:tc>
          <w:tcPr>
            <w:tcW w:w="1145" w:type="dxa"/>
            <w:tcBorders>
              <w:top w:val="nil"/>
              <w:bottom w:val="nil"/>
            </w:tcBorders>
          </w:tcPr>
          <w:p>
            <w:pPr>
              <w:pStyle w:val="TableParagraph"/>
              <w:spacing w:before="47"/>
              <w:ind w:left="75"/>
              <w:rPr>
                <w:sz w:val="18"/>
              </w:rPr>
            </w:pPr>
            <w:r>
              <w:rPr>
                <w:sz w:val="18"/>
              </w:rPr>
              <w:t>CP4</w:t>
            </w:r>
          </w:p>
        </w:tc>
        <w:tc>
          <w:tcPr>
            <w:tcW w:w="699" w:type="dxa"/>
            <w:tcBorders>
              <w:top w:val="nil"/>
              <w:bottom w:val="nil"/>
              <w:right w:val="single" w:sz="8" w:space="0" w:color="000000"/>
            </w:tcBorders>
          </w:tcPr>
          <w:p>
            <w:pPr>
              <w:pStyle w:val="TableParagraph"/>
              <w:rPr>
                <w:sz w:val="18"/>
              </w:rPr>
            </w:pPr>
          </w:p>
        </w:tc>
        <w:tc>
          <w:tcPr>
            <w:tcW w:w="709" w:type="dxa"/>
            <w:tcBorders>
              <w:top w:val="nil"/>
              <w:left w:val="single" w:sz="8" w:space="0" w:color="000000"/>
              <w:bottom w:val="nil"/>
              <w:right w:val="single" w:sz="8" w:space="0" w:color="000000"/>
            </w:tcBorders>
          </w:tcPr>
          <w:p>
            <w:pPr>
              <w:pStyle w:val="TableParagraph"/>
              <w:spacing w:before="47"/>
              <w:ind w:left="332"/>
              <w:rPr>
                <w:sz w:val="18"/>
              </w:rPr>
            </w:pPr>
            <w:r>
              <w:rPr>
                <w:sz w:val="18"/>
              </w:rPr>
              <w:t>.772</w:t>
            </w:r>
          </w:p>
        </w:tc>
        <w:tc>
          <w:tcPr>
            <w:tcW w:w="711" w:type="dxa"/>
            <w:tcBorders>
              <w:top w:val="nil"/>
              <w:left w:val="single" w:sz="8" w:space="0" w:color="000000"/>
              <w:bottom w:val="nil"/>
              <w:right w:val="single" w:sz="8" w:space="0" w:color="000000"/>
            </w:tcBorders>
          </w:tcPr>
          <w:p>
            <w:pPr>
              <w:pStyle w:val="TableParagraph"/>
              <w:rPr>
                <w:sz w:val="18"/>
              </w:rPr>
            </w:pPr>
          </w:p>
        </w:tc>
        <w:tc>
          <w:tcPr>
            <w:tcW w:w="709" w:type="dxa"/>
            <w:tcBorders>
              <w:top w:val="nil"/>
              <w:left w:val="single" w:sz="8" w:space="0" w:color="000000"/>
              <w:bottom w:val="nil"/>
              <w:right w:val="single" w:sz="8" w:space="0" w:color="000000"/>
            </w:tcBorders>
          </w:tcPr>
          <w:p>
            <w:pPr>
              <w:pStyle w:val="TableParagraph"/>
              <w:rPr>
                <w:sz w:val="18"/>
              </w:rPr>
            </w:pPr>
          </w:p>
        </w:tc>
        <w:tc>
          <w:tcPr>
            <w:tcW w:w="709" w:type="dxa"/>
            <w:vMerge/>
            <w:tcBorders>
              <w:top w:val="nil"/>
              <w:left w:val="single" w:sz="8" w:space="0" w:color="000000"/>
              <w:bottom w:val="nil"/>
              <w:right w:val="single" w:sz="8" w:space="0" w:color="000000"/>
            </w:tcBorders>
          </w:tcPr>
          <w:p>
            <w:pPr>
              <w:rPr>
                <w:sz w:val="2"/>
                <w:szCs w:val="2"/>
              </w:rPr>
            </w:pPr>
          </w:p>
        </w:tc>
        <w:tc>
          <w:tcPr>
            <w:tcW w:w="712" w:type="dxa"/>
            <w:vMerge/>
            <w:tcBorders>
              <w:top w:val="nil"/>
              <w:left w:val="single" w:sz="8" w:space="0" w:color="000000"/>
              <w:bottom w:val="nil"/>
              <w:right w:val="single" w:sz="8" w:space="0" w:color="000000"/>
            </w:tcBorders>
          </w:tcPr>
          <w:p>
            <w:pPr>
              <w:rPr>
                <w:sz w:val="2"/>
                <w:szCs w:val="2"/>
              </w:rPr>
            </w:pPr>
          </w:p>
        </w:tc>
        <w:tc>
          <w:tcPr>
            <w:tcW w:w="709" w:type="dxa"/>
            <w:vMerge/>
            <w:tcBorders>
              <w:top w:val="nil"/>
              <w:left w:val="single" w:sz="8" w:space="0" w:color="000000"/>
              <w:bottom w:val="nil"/>
              <w:right w:val="single" w:sz="8" w:space="0" w:color="000000"/>
            </w:tcBorders>
          </w:tcPr>
          <w:p>
            <w:pPr>
              <w:rPr>
                <w:sz w:val="2"/>
                <w:szCs w:val="2"/>
              </w:rPr>
            </w:pPr>
          </w:p>
        </w:tc>
        <w:tc>
          <w:tcPr>
            <w:tcW w:w="851" w:type="dxa"/>
            <w:vMerge/>
            <w:tcBorders>
              <w:top w:val="nil"/>
              <w:left w:val="single" w:sz="8" w:space="0" w:color="000000"/>
              <w:bottom w:val="nil"/>
              <w:right w:val="single" w:sz="8" w:space="0" w:color="000000"/>
            </w:tcBorders>
          </w:tcPr>
          <w:p>
            <w:pPr>
              <w:rPr>
                <w:sz w:val="2"/>
                <w:szCs w:val="2"/>
              </w:rPr>
            </w:pPr>
          </w:p>
        </w:tc>
        <w:tc>
          <w:tcPr>
            <w:tcW w:w="768" w:type="dxa"/>
            <w:vMerge/>
            <w:tcBorders>
              <w:top w:val="nil"/>
              <w:left w:val="single" w:sz="8" w:space="0" w:color="000000"/>
              <w:bottom w:val="nil"/>
            </w:tcBorders>
          </w:tcPr>
          <w:p>
            <w:pPr>
              <w:rPr>
                <w:sz w:val="2"/>
                <w:szCs w:val="2"/>
              </w:rPr>
            </w:pPr>
          </w:p>
        </w:tc>
      </w:tr>
      <w:tr>
        <w:trPr>
          <w:trHeight w:val="311" w:hRule="atLeast"/>
        </w:trPr>
        <w:tc>
          <w:tcPr>
            <w:tcW w:w="1145" w:type="dxa"/>
            <w:tcBorders>
              <w:top w:val="nil"/>
              <w:bottom w:val="nil"/>
            </w:tcBorders>
          </w:tcPr>
          <w:p>
            <w:pPr>
              <w:pStyle w:val="TableParagraph"/>
              <w:spacing w:before="48"/>
              <w:ind w:left="75"/>
              <w:rPr>
                <w:sz w:val="18"/>
              </w:rPr>
            </w:pPr>
            <w:r>
              <w:rPr>
                <w:sz w:val="18"/>
              </w:rPr>
              <w:t>CP6</w:t>
            </w:r>
          </w:p>
        </w:tc>
        <w:tc>
          <w:tcPr>
            <w:tcW w:w="699" w:type="dxa"/>
            <w:tcBorders>
              <w:top w:val="nil"/>
              <w:bottom w:val="nil"/>
              <w:right w:val="single" w:sz="8" w:space="0" w:color="000000"/>
            </w:tcBorders>
          </w:tcPr>
          <w:p>
            <w:pPr>
              <w:pStyle w:val="TableParagraph"/>
              <w:rPr>
                <w:sz w:val="18"/>
              </w:rPr>
            </w:pPr>
          </w:p>
        </w:tc>
        <w:tc>
          <w:tcPr>
            <w:tcW w:w="709" w:type="dxa"/>
            <w:tcBorders>
              <w:top w:val="nil"/>
              <w:left w:val="single" w:sz="8" w:space="0" w:color="000000"/>
              <w:bottom w:val="nil"/>
              <w:right w:val="single" w:sz="8" w:space="0" w:color="000000"/>
            </w:tcBorders>
          </w:tcPr>
          <w:p>
            <w:pPr>
              <w:pStyle w:val="TableParagraph"/>
              <w:spacing w:before="48"/>
              <w:ind w:left="332"/>
              <w:rPr>
                <w:sz w:val="18"/>
              </w:rPr>
            </w:pPr>
            <w:r>
              <w:rPr>
                <w:sz w:val="18"/>
              </w:rPr>
              <w:t>.758</w:t>
            </w:r>
          </w:p>
        </w:tc>
        <w:tc>
          <w:tcPr>
            <w:tcW w:w="711" w:type="dxa"/>
            <w:tcBorders>
              <w:top w:val="nil"/>
              <w:left w:val="single" w:sz="8" w:space="0" w:color="000000"/>
              <w:bottom w:val="nil"/>
              <w:right w:val="single" w:sz="8" w:space="0" w:color="000000"/>
            </w:tcBorders>
          </w:tcPr>
          <w:p>
            <w:pPr>
              <w:pStyle w:val="TableParagraph"/>
              <w:rPr>
                <w:sz w:val="18"/>
              </w:rPr>
            </w:pPr>
          </w:p>
        </w:tc>
        <w:tc>
          <w:tcPr>
            <w:tcW w:w="709" w:type="dxa"/>
            <w:tcBorders>
              <w:top w:val="nil"/>
              <w:left w:val="single" w:sz="8" w:space="0" w:color="000000"/>
              <w:bottom w:val="nil"/>
              <w:right w:val="single" w:sz="8" w:space="0" w:color="000000"/>
            </w:tcBorders>
          </w:tcPr>
          <w:p>
            <w:pPr>
              <w:pStyle w:val="TableParagraph"/>
              <w:rPr>
                <w:sz w:val="18"/>
              </w:rPr>
            </w:pPr>
          </w:p>
        </w:tc>
        <w:tc>
          <w:tcPr>
            <w:tcW w:w="709" w:type="dxa"/>
            <w:vMerge/>
            <w:tcBorders>
              <w:top w:val="nil"/>
              <w:left w:val="single" w:sz="8" w:space="0" w:color="000000"/>
              <w:bottom w:val="nil"/>
              <w:right w:val="single" w:sz="8" w:space="0" w:color="000000"/>
            </w:tcBorders>
          </w:tcPr>
          <w:p>
            <w:pPr>
              <w:rPr>
                <w:sz w:val="2"/>
                <w:szCs w:val="2"/>
              </w:rPr>
            </w:pPr>
          </w:p>
        </w:tc>
        <w:tc>
          <w:tcPr>
            <w:tcW w:w="712" w:type="dxa"/>
            <w:vMerge/>
            <w:tcBorders>
              <w:top w:val="nil"/>
              <w:left w:val="single" w:sz="8" w:space="0" w:color="000000"/>
              <w:bottom w:val="nil"/>
              <w:right w:val="single" w:sz="8" w:space="0" w:color="000000"/>
            </w:tcBorders>
          </w:tcPr>
          <w:p>
            <w:pPr>
              <w:rPr>
                <w:sz w:val="2"/>
                <w:szCs w:val="2"/>
              </w:rPr>
            </w:pPr>
          </w:p>
        </w:tc>
        <w:tc>
          <w:tcPr>
            <w:tcW w:w="709" w:type="dxa"/>
            <w:vMerge/>
            <w:tcBorders>
              <w:top w:val="nil"/>
              <w:left w:val="single" w:sz="8" w:space="0" w:color="000000"/>
              <w:bottom w:val="nil"/>
              <w:right w:val="single" w:sz="8" w:space="0" w:color="000000"/>
            </w:tcBorders>
          </w:tcPr>
          <w:p>
            <w:pPr>
              <w:rPr>
                <w:sz w:val="2"/>
                <w:szCs w:val="2"/>
              </w:rPr>
            </w:pPr>
          </w:p>
        </w:tc>
        <w:tc>
          <w:tcPr>
            <w:tcW w:w="851" w:type="dxa"/>
            <w:vMerge/>
            <w:tcBorders>
              <w:top w:val="nil"/>
              <w:left w:val="single" w:sz="8" w:space="0" w:color="000000"/>
              <w:bottom w:val="nil"/>
              <w:right w:val="single" w:sz="8" w:space="0" w:color="000000"/>
            </w:tcBorders>
          </w:tcPr>
          <w:p>
            <w:pPr>
              <w:rPr>
                <w:sz w:val="2"/>
                <w:szCs w:val="2"/>
              </w:rPr>
            </w:pPr>
          </w:p>
        </w:tc>
        <w:tc>
          <w:tcPr>
            <w:tcW w:w="768" w:type="dxa"/>
            <w:vMerge/>
            <w:tcBorders>
              <w:top w:val="nil"/>
              <w:left w:val="single" w:sz="8" w:space="0" w:color="000000"/>
              <w:bottom w:val="nil"/>
            </w:tcBorders>
          </w:tcPr>
          <w:p>
            <w:pPr>
              <w:rPr>
                <w:sz w:val="2"/>
                <w:szCs w:val="2"/>
              </w:rPr>
            </w:pPr>
          </w:p>
        </w:tc>
      </w:tr>
      <w:tr>
        <w:trPr>
          <w:trHeight w:val="311" w:hRule="atLeast"/>
        </w:trPr>
        <w:tc>
          <w:tcPr>
            <w:tcW w:w="1145" w:type="dxa"/>
            <w:tcBorders>
              <w:top w:val="nil"/>
              <w:bottom w:val="nil"/>
            </w:tcBorders>
          </w:tcPr>
          <w:p>
            <w:pPr>
              <w:pStyle w:val="TableParagraph"/>
              <w:spacing w:before="47"/>
              <w:ind w:left="75"/>
              <w:rPr>
                <w:sz w:val="18"/>
              </w:rPr>
            </w:pPr>
            <w:r>
              <w:rPr>
                <w:sz w:val="18"/>
              </w:rPr>
              <w:t>CP1</w:t>
            </w:r>
          </w:p>
        </w:tc>
        <w:tc>
          <w:tcPr>
            <w:tcW w:w="699" w:type="dxa"/>
            <w:tcBorders>
              <w:top w:val="nil"/>
              <w:bottom w:val="nil"/>
              <w:right w:val="single" w:sz="8" w:space="0" w:color="000000"/>
            </w:tcBorders>
          </w:tcPr>
          <w:p>
            <w:pPr>
              <w:pStyle w:val="TableParagraph"/>
              <w:rPr>
                <w:sz w:val="18"/>
              </w:rPr>
            </w:pPr>
          </w:p>
        </w:tc>
        <w:tc>
          <w:tcPr>
            <w:tcW w:w="709" w:type="dxa"/>
            <w:tcBorders>
              <w:top w:val="nil"/>
              <w:left w:val="single" w:sz="8" w:space="0" w:color="000000"/>
              <w:bottom w:val="nil"/>
              <w:right w:val="single" w:sz="8" w:space="0" w:color="000000"/>
            </w:tcBorders>
          </w:tcPr>
          <w:p>
            <w:pPr>
              <w:pStyle w:val="TableParagraph"/>
              <w:spacing w:before="47"/>
              <w:ind w:left="332"/>
              <w:rPr>
                <w:sz w:val="18"/>
              </w:rPr>
            </w:pPr>
            <w:r>
              <w:rPr>
                <w:sz w:val="18"/>
              </w:rPr>
              <w:t>.756</w:t>
            </w:r>
          </w:p>
        </w:tc>
        <w:tc>
          <w:tcPr>
            <w:tcW w:w="711" w:type="dxa"/>
            <w:tcBorders>
              <w:top w:val="nil"/>
              <w:left w:val="single" w:sz="8" w:space="0" w:color="000000"/>
              <w:bottom w:val="nil"/>
              <w:right w:val="single" w:sz="8" w:space="0" w:color="000000"/>
            </w:tcBorders>
          </w:tcPr>
          <w:p>
            <w:pPr>
              <w:pStyle w:val="TableParagraph"/>
              <w:rPr>
                <w:sz w:val="18"/>
              </w:rPr>
            </w:pPr>
          </w:p>
        </w:tc>
        <w:tc>
          <w:tcPr>
            <w:tcW w:w="709" w:type="dxa"/>
            <w:tcBorders>
              <w:top w:val="nil"/>
              <w:left w:val="single" w:sz="8" w:space="0" w:color="000000"/>
              <w:bottom w:val="nil"/>
              <w:right w:val="single" w:sz="8" w:space="0" w:color="000000"/>
            </w:tcBorders>
          </w:tcPr>
          <w:p>
            <w:pPr>
              <w:pStyle w:val="TableParagraph"/>
              <w:rPr>
                <w:sz w:val="18"/>
              </w:rPr>
            </w:pPr>
          </w:p>
        </w:tc>
        <w:tc>
          <w:tcPr>
            <w:tcW w:w="709" w:type="dxa"/>
            <w:vMerge/>
            <w:tcBorders>
              <w:top w:val="nil"/>
              <w:left w:val="single" w:sz="8" w:space="0" w:color="000000"/>
              <w:bottom w:val="nil"/>
              <w:right w:val="single" w:sz="8" w:space="0" w:color="000000"/>
            </w:tcBorders>
          </w:tcPr>
          <w:p>
            <w:pPr>
              <w:rPr>
                <w:sz w:val="2"/>
                <w:szCs w:val="2"/>
              </w:rPr>
            </w:pPr>
          </w:p>
        </w:tc>
        <w:tc>
          <w:tcPr>
            <w:tcW w:w="712" w:type="dxa"/>
            <w:vMerge/>
            <w:tcBorders>
              <w:top w:val="nil"/>
              <w:left w:val="single" w:sz="8" w:space="0" w:color="000000"/>
              <w:bottom w:val="nil"/>
              <w:right w:val="single" w:sz="8" w:space="0" w:color="000000"/>
            </w:tcBorders>
          </w:tcPr>
          <w:p>
            <w:pPr>
              <w:rPr>
                <w:sz w:val="2"/>
                <w:szCs w:val="2"/>
              </w:rPr>
            </w:pPr>
          </w:p>
        </w:tc>
        <w:tc>
          <w:tcPr>
            <w:tcW w:w="709" w:type="dxa"/>
            <w:vMerge/>
            <w:tcBorders>
              <w:top w:val="nil"/>
              <w:left w:val="single" w:sz="8" w:space="0" w:color="000000"/>
              <w:bottom w:val="nil"/>
              <w:right w:val="single" w:sz="8" w:space="0" w:color="000000"/>
            </w:tcBorders>
          </w:tcPr>
          <w:p>
            <w:pPr>
              <w:rPr>
                <w:sz w:val="2"/>
                <w:szCs w:val="2"/>
              </w:rPr>
            </w:pPr>
          </w:p>
        </w:tc>
        <w:tc>
          <w:tcPr>
            <w:tcW w:w="851" w:type="dxa"/>
            <w:vMerge/>
            <w:tcBorders>
              <w:top w:val="nil"/>
              <w:left w:val="single" w:sz="8" w:space="0" w:color="000000"/>
              <w:bottom w:val="nil"/>
              <w:right w:val="single" w:sz="8" w:space="0" w:color="000000"/>
            </w:tcBorders>
          </w:tcPr>
          <w:p>
            <w:pPr>
              <w:rPr>
                <w:sz w:val="2"/>
                <w:szCs w:val="2"/>
              </w:rPr>
            </w:pPr>
          </w:p>
        </w:tc>
        <w:tc>
          <w:tcPr>
            <w:tcW w:w="768" w:type="dxa"/>
            <w:vMerge/>
            <w:tcBorders>
              <w:top w:val="nil"/>
              <w:left w:val="single" w:sz="8" w:space="0" w:color="000000"/>
              <w:bottom w:val="nil"/>
            </w:tcBorders>
          </w:tcPr>
          <w:p>
            <w:pPr>
              <w:rPr>
                <w:sz w:val="2"/>
                <w:szCs w:val="2"/>
              </w:rPr>
            </w:pPr>
          </w:p>
        </w:tc>
      </w:tr>
      <w:tr>
        <w:trPr>
          <w:trHeight w:val="310" w:hRule="atLeast"/>
        </w:trPr>
        <w:tc>
          <w:tcPr>
            <w:tcW w:w="1145" w:type="dxa"/>
            <w:tcBorders>
              <w:top w:val="nil"/>
              <w:bottom w:val="nil"/>
            </w:tcBorders>
          </w:tcPr>
          <w:p>
            <w:pPr>
              <w:pStyle w:val="TableParagraph"/>
              <w:spacing w:before="48"/>
              <w:ind w:left="75"/>
              <w:rPr>
                <w:sz w:val="18"/>
              </w:rPr>
            </w:pPr>
            <w:r>
              <w:rPr>
                <w:sz w:val="18"/>
              </w:rPr>
              <w:t>VT7</w:t>
            </w:r>
          </w:p>
        </w:tc>
        <w:tc>
          <w:tcPr>
            <w:tcW w:w="699" w:type="dxa"/>
            <w:tcBorders>
              <w:top w:val="nil"/>
              <w:bottom w:val="nil"/>
              <w:right w:val="single" w:sz="8" w:space="0" w:color="000000"/>
            </w:tcBorders>
          </w:tcPr>
          <w:p>
            <w:pPr>
              <w:pStyle w:val="TableParagraph"/>
              <w:rPr>
                <w:sz w:val="18"/>
              </w:rPr>
            </w:pPr>
          </w:p>
        </w:tc>
        <w:tc>
          <w:tcPr>
            <w:tcW w:w="709" w:type="dxa"/>
            <w:tcBorders>
              <w:top w:val="nil"/>
              <w:left w:val="single" w:sz="8" w:space="0" w:color="000000"/>
              <w:bottom w:val="nil"/>
              <w:right w:val="single" w:sz="8" w:space="0" w:color="000000"/>
            </w:tcBorders>
          </w:tcPr>
          <w:p>
            <w:pPr>
              <w:pStyle w:val="TableParagraph"/>
              <w:rPr>
                <w:sz w:val="18"/>
              </w:rPr>
            </w:pPr>
          </w:p>
        </w:tc>
        <w:tc>
          <w:tcPr>
            <w:tcW w:w="711" w:type="dxa"/>
            <w:tcBorders>
              <w:top w:val="nil"/>
              <w:left w:val="single" w:sz="8" w:space="0" w:color="000000"/>
              <w:bottom w:val="nil"/>
              <w:right w:val="single" w:sz="8" w:space="0" w:color="000000"/>
            </w:tcBorders>
          </w:tcPr>
          <w:p>
            <w:pPr>
              <w:pStyle w:val="TableParagraph"/>
              <w:spacing w:before="48"/>
              <w:ind w:left="331"/>
              <w:rPr>
                <w:sz w:val="18"/>
              </w:rPr>
            </w:pPr>
            <w:r>
              <w:rPr>
                <w:sz w:val="18"/>
              </w:rPr>
              <w:t>.847</w:t>
            </w:r>
          </w:p>
        </w:tc>
        <w:tc>
          <w:tcPr>
            <w:tcW w:w="709" w:type="dxa"/>
            <w:tcBorders>
              <w:top w:val="nil"/>
              <w:left w:val="single" w:sz="8" w:space="0" w:color="000000"/>
              <w:bottom w:val="nil"/>
              <w:right w:val="single" w:sz="8" w:space="0" w:color="000000"/>
            </w:tcBorders>
          </w:tcPr>
          <w:p>
            <w:pPr>
              <w:pStyle w:val="TableParagraph"/>
              <w:rPr>
                <w:sz w:val="18"/>
              </w:rPr>
            </w:pPr>
          </w:p>
        </w:tc>
        <w:tc>
          <w:tcPr>
            <w:tcW w:w="709" w:type="dxa"/>
            <w:vMerge/>
            <w:tcBorders>
              <w:top w:val="nil"/>
              <w:left w:val="single" w:sz="8" w:space="0" w:color="000000"/>
              <w:bottom w:val="nil"/>
              <w:right w:val="single" w:sz="8" w:space="0" w:color="000000"/>
            </w:tcBorders>
          </w:tcPr>
          <w:p>
            <w:pPr>
              <w:rPr>
                <w:sz w:val="2"/>
                <w:szCs w:val="2"/>
              </w:rPr>
            </w:pPr>
          </w:p>
        </w:tc>
        <w:tc>
          <w:tcPr>
            <w:tcW w:w="712" w:type="dxa"/>
            <w:vMerge/>
            <w:tcBorders>
              <w:top w:val="nil"/>
              <w:left w:val="single" w:sz="8" w:space="0" w:color="000000"/>
              <w:bottom w:val="nil"/>
              <w:right w:val="single" w:sz="8" w:space="0" w:color="000000"/>
            </w:tcBorders>
          </w:tcPr>
          <w:p>
            <w:pPr>
              <w:rPr>
                <w:sz w:val="2"/>
                <w:szCs w:val="2"/>
              </w:rPr>
            </w:pPr>
          </w:p>
        </w:tc>
        <w:tc>
          <w:tcPr>
            <w:tcW w:w="709" w:type="dxa"/>
            <w:vMerge/>
            <w:tcBorders>
              <w:top w:val="nil"/>
              <w:left w:val="single" w:sz="8" w:space="0" w:color="000000"/>
              <w:bottom w:val="nil"/>
              <w:right w:val="single" w:sz="8" w:space="0" w:color="000000"/>
            </w:tcBorders>
          </w:tcPr>
          <w:p>
            <w:pPr>
              <w:rPr>
                <w:sz w:val="2"/>
                <w:szCs w:val="2"/>
              </w:rPr>
            </w:pPr>
          </w:p>
        </w:tc>
        <w:tc>
          <w:tcPr>
            <w:tcW w:w="851" w:type="dxa"/>
            <w:vMerge/>
            <w:tcBorders>
              <w:top w:val="nil"/>
              <w:left w:val="single" w:sz="8" w:space="0" w:color="000000"/>
              <w:bottom w:val="nil"/>
              <w:right w:val="single" w:sz="8" w:space="0" w:color="000000"/>
            </w:tcBorders>
          </w:tcPr>
          <w:p>
            <w:pPr>
              <w:rPr>
                <w:sz w:val="2"/>
                <w:szCs w:val="2"/>
              </w:rPr>
            </w:pPr>
          </w:p>
        </w:tc>
        <w:tc>
          <w:tcPr>
            <w:tcW w:w="768" w:type="dxa"/>
            <w:vMerge/>
            <w:tcBorders>
              <w:top w:val="nil"/>
              <w:left w:val="single" w:sz="8" w:space="0" w:color="000000"/>
              <w:bottom w:val="nil"/>
            </w:tcBorders>
          </w:tcPr>
          <w:p>
            <w:pPr>
              <w:rPr>
                <w:sz w:val="2"/>
                <w:szCs w:val="2"/>
              </w:rPr>
            </w:pPr>
          </w:p>
        </w:tc>
      </w:tr>
      <w:tr>
        <w:trPr>
          <w:trHeight w:val="309" w:hRule="atLeast"/>
        </w:trPr>
        <w:tc>
          <w:tcPr>
            <w:tcW w:w="1145" w:type="dxa"/>
            <w:tcBorders>
              <w:top w:val="nil"/>
              <w:bottom w:val="nil"/>
            </w:tcBorders>
          </w:tcPr>
          <w:p>
            <w:pPr>
              <w:pStyle w:val="TableParagraph"/>
              <w:spacing w:before="47"/>
              <w:ind w:left="75"/>
              <w:rPr>
                <w:sz w:val="18"/>
              </w:rPr>
            </w:pPr>
            <w:r>
              <w:rPr>
                <w:sz w:val="18"/>
              </w:rPr>
              <w:t>VT2</w:t>
            </w:r>
          </w:p>
        </w:tc>
        <w:tc>
          <w:tcPr>
            <w:tcW w:w="699" w:type="dxa"/>
            <w:tcBorders>
              <w:top w:val="nil"/>
              <w:bottom w:val="nil"/>
              <w:right w:val="single" w:sz="8" w:space="0" w:color="000000"/>
            </w:tcBorders>
          </w:tcPr>
          <w:p>
            <w:pPr>
              <w:pStyle w:val="TableParagraph"/>
              <w:rPr>
                <w:sz w:val="18"/>
              </w:rPr>
            </w:pPr>
          </w:p>
        </w:tc>
        <w:tc>
          <w:tcPr>
            <w:tcW w:w="709" w:type="dxa"/>
            <w:tcBorders>
              <w:top w:val="nil"/>
              <w:left w:val="single" w:sz="8" w:space="0" w:color="000000"/>
              <w:bottom w:val="nil"/>
              <w:right w:val="single" w:sz="8" w:space="0" w:color="000000"/>
            </w:tcBorders>
          </w:tcPr>
          <w:p>
            <w:pPr>
              <w:pStyle w:val="TableParagraph"/>
              <w:rPr>
                <w:sz w:val="18"/>
              </w:rPr>
            </w:pPr>
          </w:p>
        </w:tc>
        <w:tc>
          <w:tcPr>
            <w:tcW w:w="711" w:type="dxa"/>
            <w:tcBorders>
              <w:top w:val="nil"/>
              <w:left w:val="single" w:sz="8" w:space="0" w:color="000000"/>
              <w:bottom w:val="nil"/>
              <w:right w:val="single" w:sz="8" w:space="0" w:color="000000"/>
            </w:tcBorders>
          </w:tcPr>
          <w:p>
            <w:pPr>
              <w:pStyle w:val="TableParagraph"/>
              <w:spacing w:before="47"/>
              <w:ind w:left="331"/>
              <w:rPr>
                <w:sz w:val="18"/>
              </w:rPr>
            </w:pPr>
            <w:r>
              <w:rPr>
                <w:sz w:val="18"/>
              </w:rPr>
              <w:t>.792</w:t>
            </w:r>
          </w:p>
        </w:tc>
        <w:tc>
          <w:tcPr>
            <w:tcW w:w="709" w:type="dxa"/>
            <w:tcBorders>
              <w:top w:val="nil"/>
              <w:left w:val="single" w:sz="8" w:space="0" w:color="000000"/>
              <w:bottom w:val="nil"/>
              <w:right w:val="single" w:sz="8" w:space="0" w:color="000000"/>
            </w:tcBorders>
          </w:tcPr>
          <w:p>
            <w:pPr>
              <w:pStyle w:val="TableParagraph"/>
              <w:rPr>
                <w:sz w:val="18"/>
              </w:rPr>
            </w:pPr>
          </w:p>
        </w:tc>
        <w:tc>
          <w:tcPr>
            <w:tcW w:w="709" w:type="dxa"/>
            <w:vMerge/>
            <w:tcBorders>
              <w:top w:val="nil"/>
              <w:left w:val="single" w:sz="8" w:space="0" w:color="000000"/>
              <w:bottom w:val="nil"/>
              <w:right w:val="single" w:sz="8" w:space="0" w:color="000000"/>
            </w:tcBorders>
          </w:tcPr>
          <w:p>
            <w:pPr>
              <w:rPr>
                <w:sz w:val="2"/>
                <w:szCs w:val="2"/>
              </w:rPr>
            </w:pPr>
          </w:p>
        </w:tc>
        <w:tc>
          <w:tcPr>
            <w:tcW w:w="712" w:type="dxa"/>
            <w:vMerge/>
            <w:tcBorders>
              <w:top w:val="nil"/>
              <w:left w:val="single" w:sz="8" w:space="0" w:color="000000"/>
              <w:bottom w:val="nil"/>
              <w:right w:val="single" w:sz="8" w:space="0" w:color="000000"/>
            </w:tcBorders>
          </w:tcPr>
          <w:p>
            <w:pPr>
              <w:rPr>
                <w:sz w:val="2"/>
                <w:szCs w:val="2"/>
              </w:rPr>
            </w:pPr>
          </w:p>
        </w:tc>
        <w:tc>
          <w:tcPr>
            <w:tcW w:w="709" w:type="dxa"/>
            <w:vMerge/>
            <w:tcBorders>
              <w:top w:val="nil"/>
              <w:left w:val="single" w:sz="8" w:space="0" w:color="000000"/>
              <w:bottom w:val="nil"/>
              <w:right w:val="single" w:sz="8" w:space="0" w:color="000000"/>
            </w:tcBorders>
          </w:tcPr>
          <w:p>
            <w:pPr>
              <w:rPr>
                <w:sz w:val="2"/>
                <w:szCs w:val="2"/>
              </w:rPr>
            </w:pPr>
          </w:p>
        </w:tc>
        <w:tc>
          <w:tcPr>
            <w:tcW w:w="851" w:type="dxa"/>
            <w:vMerge/>
            <w:tcBorders>
              <w:top w:val="nil"/>
              <w:left w:val="single" w:sz="8" w:space="0" w:color="000000"/>
              <w:bottom w:val="nil"/>
              <w:right w:val="single" w:sz="8" w:space="0" w:color="000000"/>
            </w:tcBorders>
          </w:tcPr>
          <w:p>
            <w:pPr>
              <w:rPr>
                <w:sz w:val="2"/>
                <w:szCs w:val="2"/>
              </w:rPr>
            </w:pPr>
          </w:p>
        </w:tc>
        <w:tc>
          <w:tcPr>
            <w:tcW w:w="768" w:type="dxa"/>
            <w:vMerge/>
            <w:tcBorders>
              <w:top w:val="nil"/>
              <w:left w:val="single" w:sz="8" w:space="0" w:color="000000"/>
              <w:bottom w:val="nil"/>
            </w:tcBorders>
          </w:tcPr>
          <w:p>
            <w:pPr>
              <w:rPr>
                <w:sz w:val="2"/>
                <w:szCs w:val="2"/>
              </w:rPr>
            </w:pPr>
          </w:p>
        </w:tc>
      </w:tr>
      <w:tr>
        <w:trPr>
          <w:trHeight w:val="310" w:hRule="atLeast"/>
        </w:trPr>
        <w:tc>
          <w:tcPr>
            <w:tcW w:w="1145" w:type="dxa"/>
            <w:tcBorders>
              <w:top w:val="nil"/>
              <w:bottom w:val="nil"/>
            </w:tcBorders>
          </w:tcPr>
          <w:p>
            <w:pPr>
              <w:pStyle w:val="TableParagraph"/>
              <w:spacing w:before="47"/>
              <w:ind w:left="75"/>
              <w:rPr>
                <w:sz w:val="18"/>
              </w:rPr>
            </w:pPr>
            <w:r>
              <w:rPr>
                <w:sz w:val="18"/>
              </w:rPr>
              <w:t>VT5</w:t>
            </w:r>
          </w:p>
        </w:tc>
        <w:tc>
          <w:tcPr>
            <w:tcW w:w="699" w:type="dxa"/>
            <w:tcBorders>
              <w:top w:val="nil"/>
              <w:bottom w:val="nil"/>
              <w:right w:val="single" w:sz="8" w:space="0" w:color="000000"/>
            </w:tcBorders>
          </w:tcPr>
          <w:p>
            <w:pPr>
              <w:pStyle w:val="TableParagraph"/>
              <w:rPr>
                <w:sz w:val="18"/>
              </w:rPr>
            </w:pPr>
          </w:p>
        </w:tc>
        <w:tc>
          <w:tcPr>
            <w:tcW w:w="709" w:type="dxa"/>
            <w:tcBorders>
              <w:top w:val="nil"/>
              <w:left w:val="single" w:sz="8" w:space="0" w:color="000000"/>
              <w:bottom w:val="nil"/>
              <w:right w:val="single" w:sz="8" w:space="0" w:color="000000"/>
            </w:tcBorders>
          </w:tcPr>
          <w:p>
            <w:pPr>
              <w:pStyle w:val="TableParagraph"/>
              <w:rPr>
                <w:sz w:val="18"/>
              </w:rPr>
            </w:pPr>
          </w:p>
        </w:tc>
        <w:tc>
          <w:tcPr>
            <w:tcW w:w="711" w:type="dxa"/>
            <w:tcBorders>
              <w:top w:val="nil"/>
              <w:left w:val="single" w:sz="8" w:space="0" w:color="000000"/>
              <w:bottom w:val="nil"/>
              <w:right w:val="single" w:sz="8" w:space="0" w:color="000000"/>
            </w:tcBorders>
          </w:tcPr>
          <w:p>
            <w:pPr>
              <w:pStyle w:val="TableParagraph"/>
              <w:spacing w:before="47"/>
              <w:ind w:left="331"/>
              <w:rPr>
                <w:sz w:val="18"/>
              </w:rPr>
            </w:pPr>
            <w:r>
              <w:rPr>
                <w:sz w:val="18"/>
              </w:rPr>
              <w:t>.777</w:t>
            </w:r>
          </w:p>
        </w:tc>
        <w:tc>
          <w:tcPr>
            <w:tcW w:w="709" w:type="dxa"/>
            <w:tcBorders>
              <w:top w:val="nil"/>
              <w:left w:val="single" w:sz="8" w:space="0" w:color="000000"/>
              <w:bottom w:val="nil"/>
              <w:right w:val="single" w:sz="8" w:space="0" w:color="000000"/>
            </w:tcBorders>
          </w:tcPr>
          <w:p>
            <w:pPr>
              <w:pStyle w:val="TableParagraph"/>
              <w:rPr>
                <w:sz w:val="18"/>
              </w:rPr>
            </w:pPr>
          </w:p>
        </w:tc>
        <w:tc>
          <w:tcPr>
            <w:tcW w:w="709" w:type="dxa"/>
            <w:vMerge/>
            <w:tcBorders>
              <w:top w:val="nil"/>
              <w:left w:val="single" w:sz="8" w:space="0" w:color="000000"/>
              <w:bottom w:val="nil"/>
              <w:right w:val="single" w:sz="8" w:space="0" w:color="000000"/>
            </w:tcBorders>
          </w:tcPr>
          <w:p>
            <w:pPr>
              <w:rPr>
                <w:sz w:val="2"/>
                <w:szCs w:val="2"/>
              </w:rPr>
            </w:pPr>
          </w:p>
        </w:tc>
        <w:tc>
          <w:tcPr>
            <w:tcW w:w="712" w:type="dxa"/>
            <w:vMerge/>
            <w:tcBorders>
              <w:top w:val="nil"/>
              <w:left w:val="single" w:sz="8" w:space="0" w:color="000000"/>
              <w:bottom w:val="nil"/>
              <w:right w:val="single" w:sz="8" w:space="0" w:color="000000"/>
            </w:tcBorders>
          </w:tcPr>
          <w:p>
            <w:pPr>
              <w:rPr>
                <w:sz w:val="2"/>
                <w:szCs w:val="2"/>
              </w:rPr>
            </w:pPr>
          </w:p>
        </w:tc>
        <w:tc>
          <w:tcPr>
            <w:tcW w:w="709" w:type="dxa"/>
            <w:vMerge/>
            <w:tcBorders>
              <w:top w:val="nil"/>
              <w:left w:val="single" w:sz="8" w:space="0" w:color="000000"/>
              <w:bottom w:val="nil"/>
              <w:right w:val="single" w:sz="8" w:space="0" w:color="000000"/>
            </w:tcBorders>
          </w:tcPr>
          <w:p>
            <w:pPr>
              <w:rPr>
                <w:sz w:val="2"/>
                <w:szCs w:val="2"/>
              </w:rPr>
            </w:pPr>
          </w:p>
        </w:tc>
        <w:tc>
          <w:tcPr>
            <w:tcW w:w="851" w:type="dxa"/>
            <w:vMerge/>
            <w:tcBorders>
              <w:top w:val="nil"/>
              <w:left w:val="single" w:sz="8" w:space="0" w:color="000000"/>
              <w:bottom w:val="nil"/>
              <w:right w:val="single" w:sz="8" w:space="0" w:color="000000"/>
            </w:tcBorders>
          </w:tcPr>
          <w:p>
            <w:pPr>
              <w:rPr>
                <w:sz w:val="2"/>
                <w:szCs w:val="2"/>
              </w:rPr>
            </w:pPr>
          </w:p>
        </w:tc>
        <w:tc>
          <w:tcPr>
            <w:tcW w:w="768" w:type="dxa"/>
            <w:vMerge/>
            <w:tcBorders>
              <w:top w:val="nil"/>
              <w:left w:val="single" w:sz="8" w:space="0" w:color="000000"/>
              <w:bottom w:val="nil"/>
            </w:tcBorders>
          </w:tcPr>
          <w:p>
            <w:pPr>
              <w:rPr>
                <w:sz w:val="2"/>
                <w:szCs w:val="2"/>
              </w:rPr>
            </w:pPr>
          </w:p>
        </w:tc>
      </w:tr>
      <w:tr>
        <w:trPr>
          <w:trHeight w:val="310" w:hRule="atLeast"/>
        </w:trPr>
        <w:tc>
          <w:tcPr>
            <w:tcW w:w="1145" w:type="dxa"/>
            <w:tcBorders>
              <w:top w:val="nil"/>
              <w:bottom w:val="nil"/>
            </w:tcBorders>
          </w:tcPr>
          <w:p>
            <w:pPr>
              <w:pStyle w:val="TableParagraph"/>
              <w:spacing w:before="48"/>
              <w:ind w:left="75"/>
              <w:rPr>
                <w:sz w:val="18"/>
              </w:rPr>
            </w:pPr>
            <w:r>
              <w:rPr>
                <w:sz w:val="18"/>
              </w:rPr>
              <w:t>VT6</w:t>
            </w:r>
          </w:p>
        </w:tc>
        <w:tc>
          <w:tcPr>
            <w:tcW w:w="699" w:type="dxa"/>
            <w:tcBorders>
              <w:top w:val="nil"/>
              <w:bottom w:val="nil"/>
              <w:right w:val="single" w:sz="8" w:space="0" w:color="000000"/>
            </w:tcBorders>
          </w:tcPr>
          <w:p>
            <w:pPr>
              <w:pStyle w:val="TableParagraph"/>
              <w:rPr>
                <w:sz w:val="18"/>
              </w:rPr>
            </w:pPr>
          </w:p>
        </w:tc>
        <w:tc>
          <w:tcPr>
            <w:tcW w:w="709" w:type="dxa"/>
            <w:tcBorders>
              <w:top w:val="nil"/>
              <w:left w:val="single" w:sz="8" w:space="0" w:color="000000"/>
              <w:bottom w:val="nil"/>
              <w:right w:val="single" w:sz="8" w:space="0" w:color="000000"/>
            </w:tcBorders>
          </w:tcPr>
          <w:p>
            <w:pPr>
              <w:pStyle w:val="TableParagraph"/>
              <w:rPr>
                <w:sz w:val="18"/>
              </w:rPr>
            </w:pPr>
          </w:p>
        </w:tc>
        <w:tc>
          <w:tcPr>
            <w:tcW w:w="711" w:type="dxa"/>
            <w:tcBorders>
              <w:top w:val="nil"/>
              <w:left w:val="single" w:sz="8" w:space="0" w:color="000000"/>
              <w:bottom w:val="nil"/>
              <w:right w:val="single" w:sz="8" w:space="0" w:color="000000"/>
            </w:tcBorders>
          </w:tcPr>
          <w:p>
            <w:pPr>
              <w:pStyle w:val="TableParagraph"/>
              <w:spacing w:before="48"/>
              <w:ind w:left="331"/>
              <w:rPr>
                <w:sz w:val="18"/>
              </w:rPr>
            </w:pPr>
            <w:r>
              <w:rPr>
                <w:sz w:val="18"/>
              </w:rPr>
              <w:t>.774</w:t>
            </w:r>
          </w:p>
        </w:tc>
        <w:tc>
          <w:tcPr>
            <w:tcW w:w="709" w:type="dxa"/>
            <w:tcBorders>
              <w:top w:val="nil"/>
              <w:left w:val="single" w:sz="8" w:space="0" w:color="000000"/>
              <w:bottom w:val="nil"/>
              <w:right w:val="single" w:sz="8" w:space="0" w:color="000000"/>
            </w:tcBorders>
          </w:tcPr>
          <w:p>
            <w:pPr>
              <w:pStyle w:val="TableParagraph"/>
              <w:rPr>
                <w:sz w:val="18"/>
              </w:rPr>
            </w:pPr>
          </w:p>
        </w:tc>
        <w:tc>
          <w:tcPr>
            <w:tcW w:w="709" w:type="dxa"/>
            <w:vMerge/>
            <w:tcBorders>
              <w:top w:val="nil"/>
              <w:left w:val="single" w:sz="8" w:space="0" w:color="000000"/>
              <w:bottom w:val="nil"/>
              <w:right w:val="single" w:sz="8" w:space="0" w:color="000000"/>
            </w:tcBorders>
          </w:tcPr>
          <w:p>
            <w:pPr>
              <w:rPr>
                <w:sz w:val="2"/>
                <w:szCs w:val="2"/>
              </w:rPr>
            </w:pPr>
          </w:p>
        </w:tc>
        <w:tc>
          <w:tcPr>
            <w:tcW w:w="712" w:type="dxa"/>
            <w:vMerge/>
            <w:tcBorders>
              <w:top w:val="nil"/>
              <w:left w:val="single" w:sz="8" w:space="0" w:color="000000"/>
              <w:bottom w:val="nil"/>
              <w:right w:val="single" w:sz="8" w:space="0" w:color="000000"/>
            </w:tcBorders>
          </w:tcPr>
          <w:p>
            <w:pPr>
              <w:rPr>
                <w:sz w:val="2"/>
                <w:szCs w:val="2"/>
              </w:rPr>
            </w:pPr>
          </w:p>
        </w:tc>
        <w:tc>
          <w:tcPr>
            <w:tcW w:w="709" w:type="dxa"/>
            <w:vMerge/>
            <w:tcBorders>
              <w:top w:val="nil"/>
              <w:left w:val="single" w:sz="8" w:space="0" w:color="000000"/>
              <w:bottom w:val="nil"/>
              <w:right w:val="single" w:sz="8" w:space="0" w:color="000000"/>
            </w:tcBorders>
          </w:tcPr>
          <w:p>
            <w:pPr>
              <w:rPr>
                <w:sz w:val="2"/>
                <w:szCs w:val="2"/>
              </w:rPr>
            </w:pPr>
          </w:p>
        </w:tc>
        <w:tc>
          <w:tcPr>
            <w:tcW w:w="851" w:type="dxa"/>
            <w:vMerge/>
            <w:tcBorders>
              <w:top w:val="nil"/>
              <w:left w:val="single" w:sz="8" w:space="0" w:color="000000"/>
              <w:bottom w:val="nil"/>
              <w:right w:val="single" w:sz="8" w:space="0" w:color="000000"/>
            </w:tcBorders>
          </w:tcPr>
          <w:p>
            <w:pPr>
              <w:rPr>
                <w:sz w:val="2"/>
                <w:szCs w:val="2"/>
              </w:rPr>
            </w:pPr>
          </w:p>
        </w:tc>
        <w:tc>
          <w:tcPr>
            <w:tcW w:w="768" w:type="dxa"/>
            <w:vMerge/>
            <w:tcBorders>
              <w:top w:val="nil"/>
              <w:left w:val="single" w:sz="8" w:space="0" w:color="000000"/>
              <w:bottom w:val="nil"/>
            </w:tcBorders>
          </w:tcPr>
          <w:p>
            <w:pPr>
              <w:rPr>
                <w:sz w:val="2"/>
                <w:szCs w:val="2"/>
              </w:rPr>
            </w:pPr>
          </w:p>
        </w:tc>
      </w:tr>
      <w:tr>
        <w:trPr>
          <w:trHeight w:val="309" w:hRule="atLeast"/>
        </w:trPr>
        <w:tc>
          <w:tcPr>
            <w:tcW w:w="1145" w:type="dxa"/>
            <w:tcBorders>
              <w:top w:val="nil"/>
              <w:bottom w:val="nil"/>
            </w:tcBorders>
          </w:tcPr>
          <w:p>
            <w:pPr>
              <w:pStyle w:val="TableParagraph"/>
              <w:spacing w:before="47"/>
              <w:ind w:left="75"/>
              <w:rPr>
                <w:sz w:val="18"/>
              </w:rPr>
            </w:pPr>
            <w:r>
              <w:rPr>
                <w:sz w:val="18"/>
              </w:rPr>
              <w:t>VT9</w:t>
            </w:r>
          </w:p>
        </w:tc>
        <w:tc>
          <w:tcPr>
            <w:tcW w:w="699" w:type="dxa"/>
            <w:tcBorders>
              <w:top w:val="nil"/>
              <w:bottom w:val="nil"/>
              <w:right w:val="single" w:sz="8" w:space="0" w:color="000000"/>
            </w:tcBorders>
          </w:tcPr>
          <w:p>
            <w:pPr>
              <w:pStyle w:val="TableParagraph"/>
              <w:rPr>
                <w:sz w:val="18"/>
              </w:rPr>
            </w:pPr>
          </w:p>
        </w:tc>
        <w:tc>
          <w:tcPr>
            <w:tcW w:w="709" w:type="dxa"/>
            <w:tcBorders>
              <w:top w:val="nil"/>
              <w:left w:val="single" w:sz="8" w:space="0" w:color="000000"/>
              <w:bottom w:val="nil"/>
              <w:right w:val="single" w:sz="8" w:space="0" w:color="000000"/>
            </w:tcBorders>
          </w:tcPr>
          <w:p>
            <w:pPr>
              <w:pStyle w:val="TableParagraph"/>
              <w:rPr>
                <w:sz w:val="18"/>
              </w:rPr>
            </w:pPr>
          </w:p>
        </w:tc>
        <w:tc>
          <w:tcPr>
            <w:tcW w:w="711" w:type="dxa"/>
            <w:tcBorders>
              <w:top w:val="nil"/>
              <w:left w:val="single" w:sz="8" w:space="0" w:color="000000"/>
              <w:bottom w:val="nil"/>
              <w:right w:val="single" w:sz="8" w:space="0" w:color="000000"/>
            </w:tcBorders>
          </w:tcPr>
          <w:p>
            <w:pPr>
              <w:pStyle w:val="TableParagraph"/>
              <w:spacing w:before="47"/>
              <w:ind w:left="331"/>
              <w:rPr>
                <w:sz w:val="18"/>
              </w:rPr>
            </w:pPr>
            <w:r>
              <w:rPr>
                <w:sz w:val="18"/>
              </w:rPr>
              <w:t>.765</w:t>
            </w:r>
          </w:p>
        </w:tc>
        <w:tc>
          <w:tcPr>
            <w:tcW w:w="709" w:type="dxa"/>
            <w:tcBorders>
              <w:top w:val="nil"/>
              <w:left w:val="single" w:sz="8" w:space="0" w:color="000000"/>
              <w:bottom w:val="nil"/>
              <w:right w:val="single" w:sz="8" w:space="0" w:color="000000"/>
            </w:tcBorders>
          </w:tcPr>
          <w:p>
            <w:pPr>
              <w:pStyle w:val="TableParagraph"/>
              <w:rPr>
                <w:sz w:val="18"/>
              </w:rPr>
            </w:pPr>
          </w:p>
        </w:tc>
        <w:tc>
          <w:tcPr>
            <w:tcW w:w="709" w:type="dxa"/>
            <w:vMerge/>
            <w:tcBorders>
              <w:top w:val="nil"/>
              <w:left w:val="single" w:sz="8" w:space="0" w:color="000000"/>
              <w:bottom w:val="nil"/>
              <w:right w:val="single" w:sz="8" w:space="0" w:color="000000"/>
            </w:tcBorders>
          </w:tcPr>
          <w:p>
            <w:pPr>
              <w:rPr>
                <w:sz w:val="2"/>
                <w:szCs w:val="2"/>
              </w:rPr>
            </w:pPr>
          </w:p>
        </w:tc>
        <w:tc>
          <w:tcPr>
            <w:tcW w:w="712" w:type="dxa"/>
            <w:vMerge/>
            <w:tcBorders>
              <w:top w:val="nil"/>
              <w:left w:val="single" w:sz="8" w:space="0" w:color="000000"/>
              <w:bottom w:val="nil"/>
              <w:right w:val="single" w:sz="8" w:space="0" w:color="000000"/>
            </w:tcBorders>
          </w:tcPr>
          <w:p>
            <w:pPr>
              <w:rPr>
                <w:sz w:val="2"/>
                <w:szCs w:val="2"/>
              </w:rPr>
            </w:pPr>
          </w:p>
        </w:tc>
        <w:tc>
          <w:tcPr>
            <w:tcW w:w="709" w:type="dxa"/>
            <w:vMerge/>
            <w:tcBorders>
              <w:top w:val="nil"/>
              <w:left w:val="single" w:sz="8" w:space="0" w:color="000000"/>
              <w:bottom w:val="nil"/>
              <w:right w:val="single" w:sz="8" w:space="0" w:color="000000"/>
            </w:tcBorders>
          </w:tcPr>
          <w:p>
            <w:pPr>
              <w:rPr>
                <w:sz w:val="2"/>
                <w:szCs w:val="2"/>
              </w:rPr>
            </w:pPr>
          </w:p>
        </w:tc>
        <w:tc>
          <w:tcPr>
            <w:tcW w:w="851" w:type="dxa"/>
            <w:vMerge/>
            <w:tcBorders>
              <w:top w:val="nil"/>
              <w:left w:val="single" w:sz="8" w:space="0" w:color="000000"/>
              <w:bottom w:val="nil"/>
              <w:right w:val="single" w:sz="8" w:space="0" w:color="000000"/>
            </w:tcBorders>
          </w:tcPr>
          <w:p>
            <w:pPr>
              <w:rPr>
                <w:sz w:val="2"/>
                <w:szCs w:val="2"/>
              </w:rPr>
            </w:pPr>
          </w:p>
        </w:tc>
        <w:tc>
          <w:tcPr>
            <w:tcW w:w="768" w:type="dxa"/>
            <w:vMerge/>
            <w:tcBorders>
              <w:top w:val="nil"/>
              <w:left w:val="single" w:sz="8" w:space="0" w:color="000000"/>
              <w:bottom w:val="nil"/>
            </w:tcBorders>
          </w:tcPr>
          <w:p>
            <w:pPr>
              <w:rPr>
                <w:sz w:val="2"/>
                <w:szCs w:val="2"/>
              </w:rPr>
            </w:pPr>
          </w:p>
        </w:tc>
      </w:tr>
      <w:tr>
        <w:trPr>
          <w:trHeight w:val="310" w:hRule="atLeast"/>
        </w:trPr>
        <w:tc>
          <w:tcPr>
            <w:tcW w:w="1145" w:type="dxa"/>
            <w:tcBorders>
              <w:top w:val="nil"/>
              <w:bottom w:val="nil"/>
            </w:tcBorders>
          </w:tcPr>
          <w:p>
            <w:pPr>
              <w:pStyle w:val="TableParagraph"/>
              <w:spacing w:before="47"/>
              <w:ind w:left="75"/>
              <w:rPr>
                <w:sz w:val="18"/>
              </w:rPr>
            </w:pPr>
            <w:r>
              <w:rPr>
                <w:sz w:val="18"/>
              </w:rPr>
              <w:t>VT3</w:t>
            </w:r>
          </w:p>
        </w:tc>
        <w:tc>
          <w:tcPr>
            <w:tcW w:w="699" w:type="dxa"/>
            <w:tcBorders>
              <w:top w:val="nil"/>
              <w:bottom w:val="nil"/>
              <w:right w:val="single" w:sz="8" w:space="0" w:color="000000"/>
            </w:tcBorders>
          </w:tcPr>
          <w:p>
            <w:pPr>
              <w:pStyle w:val="TableParagraph"/>
              <w:rPr>
                <w:sz w:val="18"/>
              </w:rPr>
            </w:pPr>
          </w:p>
        </w:tc>
        <w:tc>
          <w:tcPr>
            <w:tcW w:w="709" w:type="dxa"/>
            <w:tcBorders>
              <w:top w:val="nil"/>
              <w:left w:val="single" w:sz="8" w:space="0" w:color="000000"/>
              <w:bottom w:val="nil"/>
              <w:right w:val="single" w:sz="8" w:space="0" w:color="000000"/>
            </w:tcBorders>
          </w:tcPr>
          <w:p>
            <w:pPr>
              <w:pStyle w:val="TableParagraph"/>
              <w:rPr>
                <w:sz w:val="18"/>
              </w:rPr>
            </w:pPr>
          </w:p>
        </w:tc>
        <w:tc>
          <w:tcPr>
            <w:tcW w:w="711" w:type="dxa"/>
            <w:tcBorders>
              <w:top w:val="nil"/>
              <w:left w:val="single" w:sz="8" w:space="0" w:color="000000"/>
              <w:bottom w:val="nil"/>
              <w:right w:val="single" w:sz="8" w:space="0" w:color="000000"/>
            </w:tcBorders>
          </w:tcPr>
          <w:p>
            <w:pPr>
              <w:pStyle w:val="TableParagraph"/>
              <w:spacing w:before="47"/>
              <w:ind w:left="331"/>
              <w:rPr>
                <w:sz w:val="18"/>
              </w:rPr>
            </w:pPr>
            <w:r>
              <w:rPr>
                <w:sz w:val="18"/>
              </w:rPr>
              <w:t>.745</w:t>
            </w:r>
          </w:p>
        </w:tc>
        <w:tc>
          <w:tcPr>
            <w:tcW w:w="709" w:type="dxa"/>
            <w:tcBorders>
              <w:top w:val="nil"/>
              <w:left w:val="single" w:sz="8" w:space="0" w:color="000000"/>
              <w:bottom w:val="nil"/>
              <w:right w:val="single" w:sz="8" w:space="0" w:color="000000"/>
            </w:tcBorders>
          </w:tcPr>
          <w:p>
            <w:pPr>
              <w:pStyle w:val="TableParagraph"/>
              <w:rPr>
                <w:sz w:val="18"/>
              </w:rPr>
            </w:pPr>
          </w:p>
        </w:tc>
        <w:tc>
          <w:tcPr>
            <w:tcW w:w="709" w:type="dxa"/>
            <w:vMerge/>
            <w:tcBorders>
              <w:top w:val="nil"/>
              <w:left w:val="single" w:sz="8" w:space="0" w:color="000000"/>
              <w:bottom w:val="nil"/>
              <w:right w:val="single" w:sz="8" w:space="0" w:color="000000"/>
            </w:tcBorders>
          </w:tcPr>
          <w:p>
            <w:pPr>
              <w:rPr>
                <w:sz w:val="2"/>
                <w:szCs w:val="2"/>
              </w:rPr>
            </w:pPr>
          </w:p>
        </w:tc>
        <w:tc>
          <w:tcPr>
            <w:tcW w:w="712" w:type="dxa"/>
            <w:vMerge/>
            <w:tcBorders>
              <w:top w:val="nil"/>
              <w:left w:val="single" w:sz="8" w:space="0" w:color="000000"/>
              <w:bottom w:val="nil"/>
              <w:right w:val="single" w:sz="8" w:space="0" w:color="000000"/>
            </w:tcBorders>
          </w:tcPr>
          <w:p>
            <w:pPr>
              <w:rPr>
                <w:sz w:val="2"/>
                <w:szCs w:val="2"/>
              </w:rPr>
            </w:pPr>
          </w:p>
        </w:tc>
        <w:tc>
          <w:tcPr>
            <w:tcW w:w="709" w:type="dxa"/>
            <w:vMerge/>
            <w:tcBorders>
              <w:top w:val="nil"/>
              <w:left w:val="single" w:sz="8" w:space="0" w:color="000000"/>
              <w:bottom w:val="nil"/>
              <w:right w:val="single" w:sz="8" w:space="0" w:color="000000"/>
            </w:tcBorders>
          </w:tcPr>
          <w:p>
            <w:pPr>
              <w:rPr>
                <w:sz w:val="2"/>
                <w:szCs w:val="2"/>
              </w:rPr>
            </w:pPr>
          </w:p>
        </w:tc>
        <w:tc>
          <w:tcPr>
            <w:tcW w:w="851" w:type="dxa"/>
            <w:vMerge/>
            <w:tcBorders>
              <w:top w:val="nil"/>
              <w:left w:val="single" w:sz="8" w:space="0" w:color="000000"/>
              <w:bottom w:val="nil"/>
              <w:right w:val="single" w:sz="8" w:space="0" w:color="000000"/>
            </w:tcBorders>
          </w:tcPr>
          <w:p>
            <w:pPr>
              <w:rPr>
                <w:sz w:val="2"/>
                <w:szCs w:val="2"/>
              </w:rPr>
            </w:pPr>
          </w:p>
        </w:tc>
        <w:tc>
          <w:tcPr>
            <w:tcW w:w="768" w:type="dxa"/>
            <w:vMerge/>
            <w:tcBorders>
              <w:top w:val="nil"/>
              <w:left w:val="single" w:sz="8" w:space="0" w:color="000000"/>
              <w:bottom w:val="nil"/>
            </w:tcBorders>
          </w:tcPr>
          <w:p>
            <w:pPr>
              <w:rPr>
                <w:sz w:val="2"/>
                <w:szCs w:val="2"/>
              </w:rPr>
            </w:pPr>
          </w:p>
        </w:tc>
      </w:tr>
      <w:tr>
        <w:trPr>
          <w:trHeight w:val="310" w:hRule="atLeast"/>
        </w:trPr>
        <w:tc>
          <w:tcPr>
            <w:tcW w:w="1145" w:type="dxa"/>
            <w:tcBorders>
              <w:top w:val="nil"/>
              <w:bottom w:val="nil"/>
            </w:tcBorders>
          </w:tcPr>
          <w:p>
            <w:pPr>
              <w:pStyle w:val="TableParagraph"/>
              <w:spacing w:before="48"/>
              <w:ind w:left="75"/>
              <w:rPr>
                <w:sz w:val="18"/>
              </w:rPr>
            </w:pPr>
            <w:r>
              <w:rPr>
                <w:sz w:val="18"/>
              </w:rPr>
              <w:t>HT4</w:t>
            </w:r>
          </w:p>
        </w:tc>
        <w:tc>
          <w:tcPr>
            <w:tcW w:w="699" w:type="dxa"/>
            <w:tcBorders>
              <w:top w:val="nil"/>
              <w:bottom w:val="nil"/>
              <w:right w:val="single" w:sz="8" w:space="0" w:color="000000"/>
            </w:tcBorders>
          </w:tcPr>
          <w:p>
            <w:pPr>
              <w:pStyle w:val="TableParagraph"/>
              <w:rPr>
                <w:sz w:val="18"/>
              </w:rPr>
            </w:pPr>
          </w:p>
        </w:tc>
        <w:tc>
          <w:tcPr>
            <w:tcW w:w="709" w:type="dxa"/>
            <w:tcBorders>
              <w:top w:val="nil"/>
              <w:left w:val="single" w:sz="8" w:space="0" w:color="000000"/>
              <w:bottom w:val="nil"/>
              <w:right w:val="single" w:sz="8" w:space="0" w:color="000000"/>
            </w:tcBorders>
          </w:tcPr>
          <w:p>
            <w:pPr>
              <w:pStyle w:val="TableParagraph"/>
              <w:rPr>
                <w:sz w:val="18"/>
              </w:rPr>
            </w:pPr>
          </w:p>
        </w:tc>
        <w:tc>
          <w:tcPr>
            <w:tcW w:w="711" w:type="dxa"/>
            <w:tcBorders>
              <w:top w:val="nil"/>
              <w:left w:val="single" w:sz="8" w:space="0" w:color="000000"/>
              <w:bottom w:val="nil"/>
              <w:right w:val="single" w:sz="8" w:space="0" w:color="000000"/>
            </w:tcBorders>
          </w:tcPr>
          <w:p>
            <w:pPr>
              <w:pStyle w:val="TableParagraph"/>
              <w:rPr>
                <w:sz w:val="18"/>
              </w:rPr>
            </w:pPr>
          </w:p>
        </w:tc>
        <w:tc>
          <w:tcPr>
            <w:tcW w:w="709" w:type="dxa"/>
            <w:tcBorders>
              <w:top w:val="nil"/>
              <w:left w:val="single" w:sz="8" w:space="0" w:color="000000"/>
              <w:bottom w:val="nil"/>
              <w:right w:val="single" w:sz="8" w:space="0" w:color="000000"/>
            </w:tcBorders>
          </w:tcPr>
          <w:p>
            <w:pPr>
              <w:pStyle w:val="TableParagraph"/>
              <w:spacing w:before="48"/>
              <w:ind w:left="331"/>
              <w:rPr>
                <w:sz w:val="18"/>
              </w:rPr>
            </w:pPr>
            <w:r>
              <w:rPr>
                <w:sz w:val="18"/>
              </w:rPr>
              <w:t>.835</w:t>
            </w:r>
          </w:p>
        </w:tc>
        <w:tc>
          <w:tcPr>
            <w:tcW w:w="709" w:type="dxa"/>
            <w:vMerge/>
            <w:tcBorders>
              <w:top w:val="nil"/>
              <w:left w:val="single" w:sz="8" w:space="0" w:color="000000"/>
              <w:bottom w:val="nil"/>
              <w:right w:val="single" w:sz="8" w:space="0" w:color="000000"/>
            </w:tcBorders>
          </w:tcPr>
          <w:p>
            <w:pPr>
              <w:rPr>
                <w:sz w:val="2"/>
                <w:szCs w:val="2"/>
              </w:rPr>
            </w:pPr>
          </w:p>
        </w:tc>
        <w:tc>
          <w:tcPr>
            <w:tcW w:w="712" w:type="dxa"/>
            <w:vMerge/>
            <w:tcBorders>
              <w:top w:val="nil"/>
              <w:left w:val="single" w:sz="8" w:space="0" w:color="000000"/>
              <w:bottom w:val="nil"/>
              <w:right w:val="single" w:sz="8" w:space="0" w:color="000000"/>
            </w:tcBorders>
          </w:tcPr>
          <w:p>
            <w:pPr>
              <w:rPr>
                <w:sz w:val="2"/>
                <w:szCs w:val="2"/>
              </w:rPr>
            </w:pPr>
          </w:p>
        </w:tc>
        <w:tc>
          <w:tcPr>
            <w:tcW w:w="709" w:type="dxa"/>
            <w:vMerge/>
            <w:tcBorders>
              <w:top w:val="nil"/>
              <w:left w:val="single" w:sz="8" w:space="0" w:color="000000"/>
              <w:bottom w:val="nil"/>
              <w:right w:val="single" w:sz="8" w:space="0" w:color="000000"/>
            </w:tcBorders>
          </w:tcPr>
          <w:p>
            <w:pPr>
              <w:rPr>
                <w:sz w:val="2"/>
                <w:szCs w:val="2"/>
              </w:rPr>
            </w:pPr>
          </w:p>
        </w:tc>
        <w:tc>
          <w:tcPr>
            <w:tcW w:w="851" w:type="dxa"/>
            <w:vMerge/>
            <w:tcBorders>
              <w:top w:val="nil"/>
              <w:left w:val="single" w:sz="8" w:space="0" w:color="000000"/>
              <w:bottom w:val="nil"/>
              <w:right w:val="single" w:sz="8" w:space="0" w:color="000000"/>
            </w:tcBorders>
          </w:tcPr>
          <w:p>
            <w:pPr>
              <w:rPr>
                <w:sz w:val="2"/>
                <w:szCs w:val="2"/>
              </w:rPr>
            </w:pPr>
          </w:p>
        </w:tc>
        <w:tc>
          <w:tcPr>
            <w:tcW w:w="768" w:type="dxa"/>
            <w:vMerge/>
            <w:tcBorders>
              <w:top w:val="nil"/>
              <w:left w:val="single" w:sz="8" w:space="0" w:color="000000"/>
              <w:bottom w:val="nil"/>
            </w:tcBorders>
          </w:tcPr>
          <w:p>
            <w:pPr>
              <w:rPr>
                <w:sz w:val="2"/>
                <w:szCs w:val="2"/>
              </w:rPr>
            </w:pPr>
          </w:p>
        </w:tc>
      </w:tr>
      <w:tr>
        <w:trPr>
          <w:trHeight w:val="309" w:hRule="atLeast"/>
        </w:trPr>
        <w:tc>
          <w:tcPr>
            <w:tcW w:w="1145" w:type="dxa"/>
            <w:tcBorders>
              <w:top w:val="nil"/>
              <w:bottom w:val="nil"/>
            </w:tcBorders>
          </w:tcPr>
          <w:p>
            <w:pPr>
              <w:pStyle w:val="TableParagraph"/>
              <w:spacing w:before="47"/>
              <w:ind w:left="75"/>
              <w:rPr>
                <w:sz w:val="18"/>
              </w:rPr>
            </w:pPr>
            <w:r>
              <w:rPr>
                <w:sz w:val="18"/>
              </w:rPr>
              <w:t>HT5</w:t>
            </w:r>
          </w:p>
        </w:tc>
        <w:tc>
          <w:tcPr>
            <w:tcW w:w="699" w:type="dxa"/>
            <w:tcBorders>
              <w:top w:val="nil"/>
              <w:bottom w:val="nil"/>
              <w:right w:val="single" w:sz="8" w:space="0" w:color="000000"/>
            </w:tcBorders>
          </w:tcPr>
          <w:p>
            <w:pPr>
              <w:pStyle w:val="TableParagraph"/>
              <w:rPr>
                <w:sz w:val="18"/>
              </w:rPr>
            </w:pPr>
          </w:p>
        </w:tc>
        <w:tc>
          <w:tcPr>
            <w:tcW w:w="709" w:type="dxa"/>
            <w:tcBorders>
              <w:top w:val="nil"/>
              <w:left w:val="single" w:sz="8" w:space="0" w:color="000000"/>
              <w:bottom w:val="nil"/>
              <w:right w:val="single" w:sz="8" w:space="0" w:color="000000"/>
            </w:tcBorders>
          </w:tcPr>
          <w:p>
            <w:pPr>
              <w:pStyle w:val="TableParagraph"/>
              <w:rPr>
                <w:sz w:val="18"/>
              </w:rPr>
            </w:pPr>
          </w:p>
        </w:tc>
        <w:tc>
          <w:tcPr>
            <w:tcW w:w="711" w:type="dxa"/>
            <w:tcBorders>
              <w:top w:val="nil"/>
              <w:left w:val="single" w:sz="8" w:space="0" w:color="000000"/>
              <w:bottom w:val="nil"/>
              <w:right w:val="single" w:sz="8" w:space="0" w:color="000000"/>
            </w:tcBorders>
          </w:tcPr>
          <w:p>
            <w:pPr>
              <w:pStyle w:val="TableParagraph"/>
              <w:rPr>
                <w:sz w:val="18"/>
              </w:rPr>
            </w:pPr>
          </w:p>
        </w:tc>
        <w:tc>
          <w:tcPr>
            <w:tcW w:w="709" w:type="dxa"/>
            <w:tcBorders>
              <w:top w:val="nil"/>
              <w:left w:val="single" w:sz="8" w:space="0" w:color="000000"/>
              <w:bottom w:val="nil"/>
              <w:right w:val="single" w:sz="8" w:space="0" w:color="000000"/>
            </w:tcBorders>
          </w:tcPr>
          <w:p>
            <w:pPr>
              <w:pStyle w:val="TableParagraph"/>
              <w:spacing w:before="47"/>
              <w:ind w:left="331"/>
              <w:rPr>
                <w:sz w:val="18"/>
              </w:rPr>
            </w:pPr>
            <w:r>
              <w:rPr>
                <w:sz w:val="18"/>
              </w:rPr>
              <w:t>.832</w:t>
            </w:r>
          </w:p>
        </w:tc>
        <w:tc>
          <w:tcPr>
            <w:tcW w:w="709" w:type="dxa"/>
            <w:vMerge/>
            <w:tcBorders>
              <w:top w:val="nil"/>
              <w:left w:val="single" w:sz="8" w:space="0" w:color="000000"/>
              <w:bottom w:val="nil"/>
              <w:right w:val="single" w:sz="8" w:space="0" w:color="000000"/>
            </w:tcBorders>
          </w:tcPr>
          <w:p>
            <w:pPr>
              <w:rPr>
                <w:sz w:val="2"/>
                <w:szCs w:val="2"/>
              </w:rPr>
            </w:pPr>
          </w:p>
        </w:tc>
        <w:tc>
          <w:tcPr>
            <w:tcW w:w="712" w:type="dxa"/>
            <w:vMerge/>
            <w:tcBorders>
              <w:top w:val="nil"/>
              <w:left w:val="single" w:sz="8" w:space="0" w:color="000000"/>
              <w:bottom w:val="nil"/>
              <w:right w:val="single" w:sz="8" w:space="0" w:color="000000"/>
            </w:tcBorders>
          </w:tcPr>
          <w:p>
            <w:pPr>
              <w:rPr>
                <w:sz w:val="2"/>
                <w:szCs w:val="2"/>
              </w:rPr>
            </w:pPr>
          </w:p>
        </w:tc>
        <w:tc>
          <w:tcPr>
            <w:tcW w:w="709" w:type="dxa"/>
            <w:vMerge/>
            <w:tcBorders>
              <w:top w:val="nil"/>
              <w:left w:val="single" w:sz="8" w:space="0" w:color="000000"/>
              <w:bottom w:val="nil"/>
              <w:right w:val="single" w:sz="8" w:space="0" w:color="000000"/>
            </w:tcBorders>
          </w:tcPr>
          <w:p>
            <w:pPr>
              <w:rPr>
                <w:sz w:val="2"/>
                <w:szCs w:val="2"/>
              </w:rPr>
            </w:pPr>
          </w:p>
        </w:tc>
        <w:tc>
          <w:tcPr>
            <w:tcW w:w="851" w:type="dxa"/>
            <w:vMerge/>
            <w:tcBorders>
              <w:top w:val="nil"/>
              <w:left w:val="single" w:sz="8" w:space="0" w:color="000000"/>
              <w:bottom w:val="nil"/>
              <w:right w:val="single" w:sz="8" w:space="0" w:color="000000"/>
            </w:tcBorders>
          </w:tcPr>
          <w:p>
            <w:pPr>
              <w:rPr>
                <w:sz w:val="2"/>
                <w:szCs w:val="2"/>
              </w:rPr>
            </w:pPr>
          </w:p>
        </w:tc>
        <w:tc>
          <w:tcPr>
            <w:tcW w:w="768" w:type="dxa"/>
            <w:vMerge/>
            <w:tcBorders>
              <w:top w:val="nil"/>
              <w:left w:val="single" w:sz="8" w:space="0" w:color="000000"/>
              <w:bottom w:val="nil"/>
            </w:tcBorders>
          </w:tcPr>
          <w:p>
            <w:pPr>
              <w:rPr>
                <w:sz w:val="2"/>
                <w:szCs w:val="2"/>
              </w:rPr>
            </w:pPr>
          </w:p>
        </w:tc>
      </w:tr>
      <w:tr>
        <w:trPr>
          <w:trHeight w:val="359" w:hRule="atLeast"/>
        </w:trPr>
        <w:tc>
          <w:tcPr>
            <w:tcW w:w="1145" w:type="dxa"/>
            <w:tcBorders>
              <w:top w:val="nil"/>
              <w:bottom w:val="nil"/>
            </w:tcBorders>
          </w:tcPr>
          <w:p>
            <w:pPr>
              <w:pStyle w:val="TableParagraph"/>
              <w:spacing w:before="47"/>
              <w:ind w:left="75"/>
              <w:rPr>
                <w:sz w:val="18"/>
              </w:rPr>
            </w:pPr>
            <w:r>
              <w:rPr>
                <w:sz w:val="18"/>
              </w:rPr>
              <w:t>HT6</w:t>
            </w:r>
          </w:p>
        </w:tc>
        <w:tc>
          <w:tcPr>
            <w:tcW w:w="699" w:type="dxa"/>
            <w:tcBorders>
              <w:top w:val="nil"/>
              <w:bottom w:val="nil"/>
              <w:right w:val="single" w:sz="8" w:space="0" w:color="000000"/>
            </w:tcBorders>
          </w:tcPr>
          <w:p>
            <w:pPr>
              <w:pStyle w:val="TableParagraph"/>
              <w:rPr>
                <w:sz w:val="18"/>
              </w:rPr>
            </w:pPr>
          </w:p>
        </w:tc>
        <w:tc>
          <w:tcPr>
            <w:tcW w:w="709" w:type="dxa"/>
            <w:tcBorders>
              <w:top w:val="nil"/>
              <w:left w:val="single" w:sz="8" w:space="0" w:color="000000"/>
              <w:bottom w:val="nil"/>
              <w:right w:val="single" w:sz="8" w:space="0" w:color="000000"/>
            </w:tcBorders>
          </w:tcPr>
          <w:p>
            <w:pPr>
              <w:pStyle w:val="TableParagraph"/>
              <w:rPr>
                <w:sz w:val="18"/>
              </w:rPr>
            </w:pPr>
          </w:p>
        </w:tc>
        <w:tc>
          <w:tcPr>
            <w:tcW w:w="711" w:type="dxa"/>
            <w:tcBorders>
              <w:top w:val="nil"/>
              <w:left w:val="single" w:sz="8" w:space="0" w:color="000000"/>
              <w:bottom w:val="nil"/>
              <w:right w:val="single" w:sz="8" w:space="0" w:color="000000"/>
            </w:tcBorders>
          </w:tcPr>
          <w:p>
            <w:pPr>
              <w:pStyle w:val="TableParagraph"/>
              <w:rPr>
                <w:sz w:val="18"/>
              </w:rPr>
            </w:pPr>
          </w:p>
        </w:tc>
        <w:tc>
          <w:tcPr>
            <w:tcW w:w="709" w:type="dxa"/>
            <w:tcBorders>
              <w:top w:val="nil"/>
              <w:left w:val="single" w:sz="8" w:space="0" w:color="000000"/>
              <w:bottom w:val="nil"/>
              <w:right w:val="single" w:sz="8" w:space="0" w:color="000000"/>
            </w:tcBorders>
          </w:tcPr>
          <w:p>
            <w:pPr>
              <w:pStyle w:val="TableParagraph"/>
              <w:spacing w:before="47"/>
              <w:ind w:left="331"/>
              <w:rPr>
                <w:sz w:val="18"/>
              </w:rPr>
            </w:pPr>
            <w:r>
              <w:rPr>
                <w:sz w:val="18"/>
              </w:rPr>
              <w:t>.787</w:t>
            </w:r>
          </w:p>
        </w:tc>
        <w:tc>
          <w:tcPr>
            <w:tcW w:w="709" w:type="dxa"/>
            <w:vMerge/>
            <w:tcBorders>
              <w:top w:val="nil"/>
              <w:left w:val="single" w:sz="8" w:space="0" w:color="000000"/>
              <w:bottom w:val="nil"/>
              <w:right w:val="single" w:sz="8" w:space="0" w:color="000000"/>
            </w:tcBorders>
          </w:tcPr>
          <w:p>
            <w:pPr>
              <w:rPr>
                <w:sz w:val="2"/>
                <w:szCs w:val="2"/>
              </w:rPr>
            </w:pPr>
          </w:p>
        </w:tc>
        <w:tc>
          <w:tcPr>
            <w:tcW w:w="712" w:type="dxa"/>
            <w:vMerge/>
            <w:tcBorders>
              <w:top w:val="nil"/>
              <w:left w:val="single" w:sz="8" w:space="0" w:color="000000"/>
              <w:bottom w:val="nil"/>
              <w:right w:val="single" w:sz="8" w:space="0" w:color="000000"/>
            </w:tcBorders>
          </w:tcPr>
          <w:p>
            <w:pPr>
              <w:rPr>
                <w:sz w:val="2"/>
                <w:szCs w:val="2"/>
              </w:rPr>
            </w:pPr>
          </w:p>
        </w:tc>
        <w:tc>
          <w:tcPr>
            <w:tcW w:w="709" w:type="dxa"/>
            <w:vMerge/>
            <w:tcBorders>
              <w:top w:val="nil"/>
              <w:left w:val="single" w:sz="8" w:space="0" w:color="000000"/>
              <w:bottom w:val="nil"/>
              <w:right w:val="single" w:sz="8" w:space="0" w:color="000000"/>
            </w:tcBorders>
          </w:tcPr>
          <w:p>
            <w:pPr>
              <w:rPr>
                <w:sz w:val="2"/>
                <w:szCs w:val="2"/>
              </w:rPr>
            </w:pPr>
          </w:p>
        </w:tc>
        <w:tc>
          <w:tcPr>
            <w:tcW w:w="851" w:type="dxa"/>
            <w:vMerge/>
            <w:tcBorders>
              <w:top w:val="nil"/>
              <w:left w:val="single" w:sz="8" w:space="0" w:color="000000"/>
              <w:bottom w:val="nil"/>
              <w:right w:val="single" w:sz="8" w:space="0" w:color="000000"/>
            </w:tcBorders>
          </w:tcPr>
          <w:p>
            <w:pPr>
              <w:rPr>
                <w:sz w:val="2"/>
                <w:szCs w:val="2"/>
              </w:rPr>
            </w:pPr>
          </w:p>
        </w:tc>
        <w:tc>
          <w:tcPr>
            <w:tcW w:w="768" w:type="dxa"/>
            <w:vMerge/>
            <w:tcBorders>
              <w:top w:val="nil"/>
              <w:left w:val="single" w:sz="8" w:space="0" w:color="000000"/>
              <w:bottom w:val="nil"/>
            </w:tcBorders>
          </w:tcPr>
          <w:p>
            <w:pPr>
              <w:rPr>
                <w:sz w:val="2"/>
                <w:szCs w:val="2"/>
              </w:rPr>
            </w:pPr>
          </w:p>
        </w:tc>
      </w:tr>
    </w:tbl>
    <w:p>
      <w:pPr>
        <w:spacing w:after="0"/>
        <w:rPr>
          <w:sz w:val="2"/>
          <w:szCs w:val="2"/>
        </w:rPr>
        <w:sectPr>
          <w:pgSz w:w="11910" w:h="16850"/>
          <w:pgMar w:header="751" w:footer="0" w:top="960" w:bottom="280" w:left="820" w:right="240"/>
        </w:sectPr>
      </w:pPr>
    </w:p>
    <w:p>
      <w:pPr>
        <w:pStyle w:val="BodyText"/>
        <w:spacing w:before="9"/>
        <w:rPr>
          <w:b/>
          <w:sz w:val="23"/>
        </w:rPr>
      </w:pPr>
    </w:p>
    <w:tbl>
      <w:tblPr>
        <w:tblW w:w="0" w:type="auto"/>
        <w:jc w:val="left"/>
        <w:tblInd w:w="90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
      <w:tblGrid>
        <w:gridCol w:w="1135"/>
        <w:gridCol w:w="708"/>
        <w:gridCol w:w="709"/>
        <w:gridCol w:w="711"/>
        <w:gridCol w:w="3685"/>
      </w:tblGrid>
      <w:tr>
        <w:trPr>
          <w:trHeight w:val="263" w:hRule="atLeast"/>
        </w:trPr>
        <w:tc>
          <w:tcPr>
            <w:tcW w:w="1135" w:type="dxa"/>
            <w:tcBorders>
              <w:left w:val="single" w:sz="18" w:space="0" w:color="000000"/>
              <w:right w:val="single" w:sz="18" w:space="0" w:color="000000"/>
            </w:tcBorders>
          </w:tcPr>
          <w:p>
            <w:pPr>
              <w:pStyle w:val="TableParagraph"/>
              <w:ind w:left="75"/>
              <w:rPr>
                <w:sz w:val="18"/>
              </w:rPr>
            </w:pPr>
            <w:r>
              <w:rPr>
                <w:sz w:val="18"/>
              </w:rPr>
              <w:t>HT1</w:t>
            </w:r>
          </w:p>
        </w:tc>
        <w:tc>
          <w:tcPr>
            <w:tcW w:w="708" w:type="dxa"/>
            <w:tcBorders>
              <w:left w:val="single" w:sz="18" w:space="0" w:color="000000"/>
              <w:right w:val="single" w:sz="8" w:space="0" w:color="000000"/>
            </w:tcBorders>
          </w:tcPr>
          <w:p>
            <w:pPr>
              <w:pStyle w:val="TableParagraph"/>
              <w:rPr>
                <w:sz w:val="18"/>
              </w:rPr>
            </w:pPr>
          </w:p>
        </w:tc>
        <w:tc>
          <w:tcPr>
            <w:tcW w:w="709" w:type="dxa"/>
            <w:tcBorders>
              <w:left w:val="single" w:sz="8" w:space="0" w:color="000000"/>
              <w:right w:val="single" w:sz="8" w:space="0" w:color="000000"/>
            </w:tcBorders>
          </w:tcPr>
          <w:p>
            <w:pPr>
              <w:pStyle w:val="TableParagraph"/>
              <w:rPr>
                <w:sz w:val="18"/>
              </w:rPr>
            </w:pPr>
          </w:p>
        </w:tc>
        <w:tc>
          <w:tcPr>
            <w:tcW w:w="711" w:type="dxa"/>
            <w:tcBorders>
              <w:left w:val="single" w:sz="8" w:space="0" w:color="000000"/>
              <w:right w:val="single" w:sz="8" w:space="0" w:color="000000"/>
            </w:tcBorders>
          </w:tcPr>
          <w:p>
            <w:pPr>
              <w:pStyle w:val="TableParagraph"/>
              <w:rPr>
                <w:sz w:val="18"/>
              </w:rPr>
            </w:pPr>
          </w:p>
        </w:tc>
        <w:tc>
          <w:tcPr>
            <w:tcW w:w="3685" w:type="dxa"/>
            <w:tcBorders>
              <w:left w:val="single" w:sz="8" w:space="0" w:color="000000"/>
              <w:right w:val="single" w:sz="8" w:space="0" w:color="000000"/>
            </w:tcBorders>
          </w:tcPr>
          <w:p>
            <w:pPr>
              <w:pStyle w:val="TableParagraph"/>
              <w:ind w:left="332"/>
              <w:rPr>
                <w:sz w:val="18"/>
              </w:rPr>
            </w:pPr>
            <w:r>
              <w:rPr>
                <w:sz w:val="18"/>
              </w:rPr>
              <w:t>.702</w:t>
            </w:r>
          </w:p>
        </w:tc>
      </w:tr>
      <w:tr>
        <w:trPr>
          <w:trHeight w:val="310" w:hRule="atLeast"/>
        </w:trPr>
        <w:tc>
          <w:tcPr>
            <w:tcW w:w="1135" w:type="dxa"/>
            <w:tcBorders>
              <w:left w:val="single" w:sz="18" w:space="0" w:color="000000"/>
              <w:right w:val="single" w:sz="18" w:space="0" w:color="000000"/>
            </w:tcBorders>
          </w:tcPr>
          <w:p>
            <w:pPr>
              <w:pStyle w:val="TableParagraph"/>
              <w:spacing w:before="48"/>
              <w:ind w:left="75"/>
              <w:rPr>
                <w:sz w:val="18"/>
              </w:rPr>
            </w:pPr>
            <w:r>
              <w:rPr>
                <w:sz w:val="18"/>
              </w:rPr>
              <w:t>HT2</w:t>
            </w:r>
          </w:p>
        </w:tc>
        <w:tc>
          <w:tcPr>
            <w:tcW w:w="708" w:type="dxa"/>
            <w:tcBorders>
              <w:left w:val="single" w:sz="18" w:space="0" w:color="000000"/>
              <w:right w:val="single" w:sz="8" w:space="0" w:color="000000"/>
            </w:tcBorders>
          </w:tcPr>
          <w:p>
            <w:pPr>
              <w:pStyle w:val="TableParagraph"/>
              <w:rPr>
                <w:sz w:val="20"/>
              </w:rPr>
            </w:pPr>
          </w:p>
        </w:tc>
        <w:tc>
          <w:tcPr>
            <w:tcW w:w="709" w:type="dxa"/>
            <w:tcBorders>
              <w:left w:val="single" w:sz="8" w:space="0" w:color="000000"/>
              <w:right w:val="single" w:sz="8" w:space="0" w:color="000000"/>
            </w:tcBorders>
          </w:tcPr>
          <w:p>
            <w:pPr>
              <w:pStyle w:val="TableParagraph"/>
              <w:rPr>
                <w:sz w:val="20"/>
              </w:rPr>
            </w:pPr>
          </w:p>
        </w:tc>
        <w:tc>
          <w:tcPr>
            <w:tcW w:w="711" w:type="dxa"/>
            <w:tcBorders>
              <w:left w:val="single" w:sz="8" w:space="0" w:color="000000"/>
              <w:right w:val="single" w:sz="8" w:space="0" w:color="000000"/>
            </w:tcBorders>
          </w:tcPr>
          <w:p>
            <w:pPr>
              <w:pStyle w:val="TableParagraph"/>
              <w:rPr>
                <w:sz w:val="20"/>
              </w:rPr>
            </w:pPr>
          </w:p>
        </w:tc>
        <w:tc>
          <w:tcPr>
            <w:tcW w:w="3685" w:type="dxa"/>
            <w:tcBorders>
              <w:left w:val="single" w:sz="8" w:space="0" w:color="000000"/>
              <w:right w:val="single" w:sz="8" w:space="0" w:color="000000"/>
            </w:tcBorders>
          </w:tcPr>
          <w:p>
            <w:pPr>
              <w:pStyle w:val="TableParagraph"/>
              <w:spacing w:before="48"/>
              <w:ind w:left="332"/>
              <w:rPr>
                <w:sz w:val="18"/>
              </w:rPr>
            </w:pPr>
            <w:r>
              <w:rPr>
                <w:sz w:val="18"/>
              </w:rPr>
              <w:t>.655</w:t>
            </w:r>
          </w:p>
        </w:tc>
      </w:tr>
      <w:tr>
        <w:trPr>
          <w:trHeight w:val="309" w:hRule="atLeast"/>
        </w:trPr>
        <w:tc>
          <w:tcPr>
            <w:tcW w:w="1135" w:type="dxa"/>
            <w:tcBorders>
              <w:left w:val="single" w:sz="18" w:space="0" w:color="000000"/>
              <w:right w:val="single" w:sz="18" w:space="0" w:color="000000"/>
            </w:tcBorders>
          </w:tcPr>
          <w:p>
            <w:pPr>
              <w:pStyle w:val="TableParagraph"/>
              <w:spacing w:before="47"/>
              <w:ind w:left="75"/>
              <w:rPr>
                <w:sz w:val="18"/>
              </w:rPr>
            </w:pPr>
            <w:r>
              <w:rPr>
                <w:sz w:val="18"/>
              </w:rPr>
              <w:t>HT7</w:t>
            </w:r>
          </w:p>
        </w:tc>
        <w:tc>
          <w:tcPr>
            <w:tcW w:w="708" w:type="dxa"/>
            <w:tcBorders>
              <w:left w:val="single" w:sz="18" w:space="0" w:color="000000"/>
              <w:right w:val="single" w:sz="8" w:space="0" w:color="000000"/>
            </w:tcBorders>
          </w:tcPr>
          <w:p>
            <w:pPr>
              <w:pStyle w:val="TableParagraph"/>
              <w:rPr>
                <w:sz w:val="20"/>
              </w:rPr>
            </w:pPr>
          </w:p>
        </w:tc>
        <w:tc>
          <w:tcPr>
            <w:tcW w:w="709" w:type="dxa"/>
            <w:tcBorders>
              <w:left w:val="single" w:sz="8" w:space="0" w:color="000000"/>
              <w:right w:val="single" w:sz="8" w:space="0" w:color="000000"/>
            </w:tcBorders>
          </w:tcPr>
          <w:p>
            <w:pPr>
              <w:pStyle w:val="TableParagraph"/>
              <w:rPr>
                <w:sz w:val="20"/>
              </w:rPr>
            </w:pPr>
          </w:p>
        </w:tc>
        <w:tc>
          <w:tcPr>
            <w:tcW w:w="711" w:type="dxa"/>
            <w:tcBorders>
              <w:left w:val="single" w:sz="8" w:space="0" w:color="000000"/>
              <w:right w:val="single" w:sz="8" w:space="0" w:color="000000"/>
            </w:tcBorders>
          </w:tcPr>
          <w:p>
            <w:pPr>
              <w:pStyle w:val="TableParagraph"/>
              <w:rPr>
                <w:sz w:val="20"/>
              </w:rPr>
            </w:pPr>
          </w:p>
        </w:tc>
        <w:tc>
          <w:tcPr>
            <w:tcW w:w="3685" w:type="dxa"/>
            <w:tcBorders>
              <w:left w:val="single" w:sz="8" w:space="0" w:color="000000"/>
              <w:right w:val="single" w:sz="8" w:space="0" w:color="000000"/>
            </w:tcBorders>
          </w:tcPr>
          <w:p>
            <w:pPr>
              <w:pStyle w:val="TableParagraph"/>
              <w:spacing w:before="47"/>
              <w:ind w:left="332"/>
              <w:rPr>
                <w:sz w:val="18"/>
              </w:rPr>
            </w:pPr>
            <w:r>
              <w:rPr>
                <w:sz w:val="18"/>
              </w:rPr>
              <w:t>.607</w:t>
            </w:r>
          </w:p>
        </w:tc>
      </w:tr>
      <w:tr>
        <w:trPr>
          <w:trHeight w:val="310" w:hRule="atLeast"/>
        </w:trPr>
        <w:tc>
          <w:tcPr>
            <w:tcW w:w="1135" w:type="dxa"/>
            <w:tcBorders>
              <w:left w:val="single" w:sz="18" w:space="0" w:color="000000"/>
              <w:right w:val="single" w:sz="18" w:space="0" w:color="000000"/>
            </w:tcBorders>
          </w:tcPr>
          <w:p>
            <w:pPr>
              <w:pStyle w:val="TableParagraph"/>
              <w:spacing w:before="47"/>
              <w:ind w:left="75"/>
              <w:rPr>
                <w:sz w:val="18"/>
              </w:rPr>
            </w:pPr>
            <w:r>
              <w:rPr>
                <w:sz w:val="18"/>
              </w:rPr>
              <w:t>ND1</w:t>
            </w:r>
          </w:p>
        </w:tc>
        <w:tc>
          <w:tcPr>
            <w:tcW w:w="708" w:type="dxa"/>
            <w:tcBorders>
              <w:left w:val="single" w:sz="18" w:space="0" w:color="000000"/>
              <w:right w:val="single" w:sz="8" w:space="0" w:color="000000"/>
            </w:tcBorders>
          </w:tcPr>
          <w:p>
            <w:pPr>
              <w:pStyle w:val="TableParagraph"/>
              <w:rPr>
                <w:sz w:val="20"/>
              </w:rPr>
            </w:pPr>
          </w:p>
        </w:tc>
        <w:tc>
          <w:tcPr>
            <w:tcW w:w="709" w:type="dxa"/>
            <w:tcBorders>
              <w:left w:val="single" w:sz="8" w:space="0" w:color="000000"/>
              <w:right w:val="single" w:sz="8" w:space="0" w:color="000000"/>
            </w:tcBorders>
          </w:tcPr>
          <w:p>
            <w:pPr>
              <w:pStyle w:val="TableParagraph"/>
              <w:rPr>
                <w:sz w:val="20"/>
              </w:rPr>
            </w:pPr>
          </w:p>
        </w:tc>
        <w:tc>
          <w:tcPr>
            <w:tcW w:w="711" w:type="dxa"/>
            <w:tcBorders>
              <w:left w:val="single" w:sz="8" w:space="0" w:color="000000"/>
              <w:right w:val="single" w:sz="8" w:space="0" w:color="000000"/>
            </w:tcBorders>
          </w:tcPr>
          <w:p>
            <w:pPr>
              <w:pStyle w:val="TableParagraph"/>
              <w:rPr>
                <w:sz w:val="20"/>
              </w:rPr>
            </w:pPr>
          </w:p>
        </w:tc>
        <w:tc>
          <w:tcPr>
            <w:tcW w:w="3685" w:type="dxa"/>
            <w:tcBorders>
              <w:left w:val="single" w:sz="8" w:space="0" w:color="000000"/>
              <w:right w:val="single" w:sz="8" w:space="0" w:color="000000"/>
            </w:tcBorders>
          </w:tcPr>
          <w:p>
            <w:pPr>
              <w:pStyle w:val="TableParagraph"/>
              <w:spacing w:before="47"/>
              <w:ind w:left="1040"/>
              <w:rPr>
                <w:sz w:val="18"/>
              </w:rPr>
            </w:pPr>
            <w:r>
              <w:rPr>
                <w:sz w:val="18"/>
              </w:rPr>
              <w:t>.829</w:t>
            </w:r>
          </w:p>
        </w:tc>
      </w:tr>
      <w:tr>
        <w:trPr>
          <w:trHeight w:val="310" w:hRule="atLeast"/>
        </w:trPr>
        <w:tc>
          <w:tcPr>
            <w:tcW w:w="1135" w:type="dxa"/>
            <w:tcBorders>
              <w:left w:val="single" w:sz="18" w:space="0" w:color="000000"/>
              <w:right w:val="single" w:sz="18" w:space="0" w:color="000000"/>
            </w:tcBorders>
          </w:tcPr>
          <w:p>
            <w:pPr>
              <w:pStyle w:val="TableParagraph"/>
              <w:spacing w:before="48"/>
              <w:ind w:left="75"/>
              <w:rPr>
                <w:sz w:val="18"/>
              </w:rPr>
            </w:pPr>
            <w:r>
              <w:rPr>
                <w:sz w:val="18"/>
              </w:rPr>
              <w:t>ND4</w:t>
            </w:r>
          </w:p>
        </w:tc>
        <w:tc>
          <w:tcPr>
            <w:tcW w:w="708" w:type="dxa"/>
            <w:tcBorders>
              <w:left w:val="single" w:sz="18" w:space="0" w:color="000000"/>
              <w:right w:val="single" w:sz="8" w:space="0" w:color="000000"/>
            </w:tcBorders>
          </w:tcPr>
          <w:p>
            <w:pPr>
              <w:pStyle w:val="TableParagraph"/>
              <w:rPr>
                <w:sz w:val="20"/>
              </w:rPr>
            </w:pPr>
          </w:p>
        </w:tc>
        <w:tc>
          <w:tcPr>
            <w:tcW w:w="709" w:type="dxa"/>
            <w:tcBorders>
              <w:left w:val="single" w:sz="8" w:space="0" w:color="000000"/>
              <w:right w:val="single" w:sz="8" w:space="0" w:color="000000"/>
            </w:tcBorders>
          </w:tcPr>
          <w:p>
            <w:pPr>
              <w:pStyle w:val="TableParagraph"/>
              <w:rPr>
                <w:sz w:val="20"/>
              </w:rPr>
            </w:pPr>
          </w:p>
        </w:tc>
        <w:tc>
          <w:tcPr>
            <w:tcW w:w="711" w:type="dxa"/>
            <w:tcBorders>
              <w:left w:val="single" w:sz="8" w:space="0" w:color="000000"/>
              <w:right w:val="single" w:sz="8" w:space="0" w:color="000000"/>
            </w:tcBorders>
          </w:tcPr>
          <w:p>
            <w:pPr>
              <w:pStyle w:val="TableParagraph"/>
              <w:rPr>
                <w:sz w:val="20"/>
              </w:rPr>
            </w:pPr>
          </w:p>
        </w:tc>
        <w:tc>
          <w:tcPr>
            <w:tcW w:w="3685" w:type="dxa"/>
            <w:tcBorders>
              <w:left w:val="single" w:sz="8" w:space="0" w:color="000000"/>
              <w:right w:val="single" w:sz="8" w:space="0" w:color="000000"/>
            </w:tcBorders>
          </w:tcPr>
          <w:p>
            <w:pPr>
              <w:pStyle w:val="TableParagraph"/>
              <w:spacing w:before="48"/>
              <w:ind w:left="1040"/>
              <w:rPr>
                <w:sz w:val="18"/>
              </w:rPr>
            </w:pPr>
            <w:r>
              <w:rPr>
                <w:sz w:val="18"/>
              </w:rPr>
              <w:t>.824</w:t>
            </w:r>
          </w:p>
        </w:tc>
      </w:tr>
      <w:tr>
        <w:trPr>
          <w:trHeight w:val="309" w:hRule="atLeast"/>
        </w:trPr>
        <w:tc>
          <w:tcPr>
            <w:tcW w:w="1135" w:type="dxa"/>
            <w:tcBorders>
              <w:left w:val="single" w:sz="18" w:space="0" w:color="000000"/>
              <w:right w:val="single" w:sz="18" w:space="0" w:color="000000"/>
            </w:tcBorders>
          </w:tcPr>
          <w:p>
            <w:pPr>
              <w:pStyle w:val="TableParagraph"/>
              <w:spacing w:before="47"/>
              <w:ind w:left="75"/>
              <w:rPr>
                <w:sz w:val="18"/>
              </w:rPr>
            </w:pPr>
            <w:r>
              <w:rPr>
                <w:sz w:val="18"/>
              </w:rPr>
              <w:t>ND2</w:t>
            </w:r>
          </w:p>
        </w:tc>
        <w:tc>
          <w:tcPr>
            <w:tcW w:w="708" w:type="dxa"/>
            <w:tcBorders>
              <w:left w:val="single" w:sz="18" w:space="0" w:color="000000"/>
              <w:right w:val="single" w:sz="8" w:space="0" w:color="000000"/>
            </w:tcBorders>
          </w:tcPr>
          <w:p>
            <w:pPr>
              <w:pStyle w:val="TableParagraph"/>
              <w:rPr>
                <w:sz w:val="20"/>
              </w:rPr>
            </w:pPr>
          </w:p>
        </w:tc>
        <w:tc>
          <w:tcPr>
            <w:tcW w:w="709" w:type="dxa"/>
            <w:tcBorders>
              <w:left w:val="single" w:sz="8" w:space="0" w:color="000000"/>
              <w:right w:val="single" w:sz="8" w:space="0" w:color="000000"/>
            </w:tcBorders>
          </w:tcPr>
          <w:p>
            <w:pPr>
              <w:pStyle w:val="TableParagraph"/>
              <w:rPr>
                <w:sz w:val="20"/>
              </w:rPr>
            </w:pPr>
          </w:p>
        </w:tc>
        <w:tc>
          <w:tcPr>
            <w:tcW w:w="711" w:type="dxa"/>
            <w:tcBorders>
              <w:left w:val="single" w:sz="8" w:space="0" w:color="000000"/>
              <w:right w:val="single" w:sz="8" w:space="0" w:color="000000"/>
            </w:tcBorders>
          </w:tcPr>
          <w:p>
            <w:pPr>
              <w:pStyle w:val="TableParagraph"/>
              <w:rPr>
                <w:sz w:val="20"/>
              </w:rPr>
            </w:pPr>
          </w:p>
        </w:tc>
        <w:tc>
          <w:tcPr>
            <w:tcW w:w="3685" w:type="dxa"/>
            <w:tcBorders>
              <w:left w:val="single" w:sz="8" w:space="0" w:color="000000"/>
              <w:right w:val="single" w:sz="8" w:space="0" w:color="000000"/>
            </w:tcBorders>
          </w:tcPr>
          <w:p>
            <w:pPr>
              <w:pStyle w:val="TableParagraph"/>
              <w:spacing w:before="47"/>
              <w:ind w:left="1040"/>
              <w:rPr>
                <w:sz w:val="18"/>
              </w:rPr>
            </w:pPr>
            <w:r>
              <w:rPr>
                <w:sz w:val="18"/>
              </w:rPr>
              <w:t>.796</w:t>
            </w:r>
          </w:p>
        </w:tc>
      </w:tr>
      <w:tr>
        <w:trPr>
          <w:trHeight w:val="310" w:hRule="atLeast"/>
        </w:trPr>
        <w:tc>
          <w:tcPr>
            <w:tcW w:w="1135" w:type="dxa"/>
            <w:tcBorders>
              <w:left w:val="single" w:sz="18" w:space="0" w:color="000000"/>
              <w:right w:val="single" w:sz="18" w:space="0" w:color="000000"/>
            </w:tcBorders>
          </w:tcPr>
          <w:p>
            <w:pPr>
              <w:pStyle w:val="TableParagraph"/>
              <w:spacing w:before="47"/>
              <w:ind w:left="75"/>
              <w:rPr>
                <w:sz w:val="18"/>
              </w:rPr>
            </w:pPr>
            <w:r>
              <w:rPr>
                <w:sz w:val="18"/>
              </w:rPr>
              <w:t>ND5</w:t>
            </w:r>
          </w:p>
        </w:tc>
        <w:tc>
          <w:tcPr>
            <w:tcW w:w="708" w:type="dxa"/>
            <w:tcBorders>
              <w:left w:val="single" w:sz="18" w:space="0" w:color="000000"/>
              <w:right w:val="single" w:sz="8" w:space="0" w:color="000000"/>
            </w:tcBorders>
          </w:tcPr>
          <w:p>
            <w:pPr>
              <w:pStyle w:val="TableParagraph"/>
              <w:rPr>
                <w:sz w:val="20"/>
              </w:rPr>
            </w:pPr>
          </w:p>
        </w:tc>
        <w:tc>
          <w:tcPr>
            <w:tcW w:w="709" w:type="dxa"/>
            <w:tcBorders>
              <w:left w:val="single" w:sz="8" w:space="0" w:color="000000"/>
              <w:right w:val="single" w:sz="8" w:space="0" w:color="000000"/>
            </w:tcBorders>
          </w:tcPr>
          <w:p>
            <w:pPr>
              <w:pStyle w:val="TableParagraph"/>
              <w:rPr>
                <w:sz w:val="20"/>
              </w:rPr>
            </w:pPr>
          </w:p>
        </w:tc>
        <w:tc>
          <w:tcPr>
            <w:tcW w:w="711" w:type="dxa"/>
            <w:tcBorders>
              <w:left w:val="single" w:sz="8" w:space="0" w:color="000000"/>
              <w:right w:val="single" w:sz="8" w:space="0" w:color="000000"/>
            </w:tcBorders>
          </w:tcPr>
          <w:p>
            <w:pPr>
              <w:pStyle w:val="TableParagraph"/>
              <w:rPr>
                <w:sz w:val="20"/>
              </w:rPr>
            </w:pPr>
          </w:p>
        </w:tc>
        <w:tc>
          <w:tcPr>
            <w:tcW w:w="3685" w:type="dxa"/>
            <w:tcBorders>
              <w:left w:val="single" w:sz="8" w:space="0" w:color="000000"/>
              <w:right w:val="single" w:sz="8" w:space="0" w:color="000000"/>
            </w:tcBorders>
          </w:tcPr>
          <w:p>
            <w:pPr>
              <w:pStyle w:val="TableParagraph"/>
              <w:spacing w:before="47"/>
              <w:ind w:left="1040"/>
              <w:rPr>
                <w:sz w:val="18"/>
              </w:rPr>
            </w:pPr>
            <w:r>
              <w:rPr>
                <w:sz w:val="18"/>
              </w:rPr>
              <w:t>.785</w:t>
            </w:r>
          </w:p>
        </w:tc>
      </w:tr>
      <w:tr>
        <w:trPr>
          <w:trHeight w:val="310" w:hRule="atLeast"/>
        </w:trPr>
        <w:tc>
          <w:tcPr>
            <w:tcW w:w="1135" w:type="dxa"/>
            <w:tcBorders>
              <w:left w:val="single" w:sz="18" w:space="0" w:color="000000"/>
              <w:right w:val="single" w:sz="18" w:space="0" w:color="000000"/>
            </w:tcBorders>
          </w:tcPr>
          <w:p>
            <w:pPr>
              <w:pStyle w:val="TableParagraph"/>
              <w:spacing w:before="48"/>
              <w:ind w:left="75"/>
              <w:rPr>
                <w:sz w:val="18"/>
              </w:rPr>
            </w:pPr>
            <w:r>
              <w:rPr>
                <w:sz w:val="18"/>
              </w:rPr>
              <w:t>ND3</w:t>
            </w:r>
          </w:p>
        </w:tc>
        <w:tc>
          <w:tcPr>
            <w:tcW w:w="708" w:type="dxa"/>
            <w:tcBorders>
              <w:left w:val="single" w:sz="18" w:space="0" w:color="000000"/>
              <w:right w:val="single" w:sz="8" w:space="0" w:color="000000"/>
            </w:tcBorders>
          </w:tcPr>
          <w:p>
            <w:pPr>
              <w:pStyle w:val="TableParagraph"/>
              <w:rPr>
                <w:sz w:val="20"/>
              </w:rPr>
            </w:pPr>
          </w:p>
        </w:tc>
        <w:tc>
          <w:tcPr>
            <w:tcW w:w="709" w:type="dxa"/>
            <w:tcBorders>
              <w:left w:val="single" w:sz="8" w:space="0" w:color="000000"/>
              <w:right w:val="single" w:sz="8" w:space="0" w:color="000000"/>
            </w:tcBorders>
          </w:tcPr>
          <w:p>
            <w:pPr>
              <w:pStyle w:val="TableParagraph"/>
              <w:rPr>
                <w:sz w:val="20"/>
              </w:rPr>
            </w:pPr>
          </w:p>
        </w:tc>
        <w:tc>
          <w:tcPr>
            <w:tcW w:w="711" w:type="dxa"/>
            <w:tcBorders>
              <w:left w:val="single" w:sz="8" w:space="0" w:color="000000"/>
              <w:right w:val="single" w:sz="8" w:space="0" w:color="000000"/>
            </w:tcBorders>
          </w:tcPr>
          <w:p>
            <w:pPr>
              <w:pStyle w:val="TableParagraph"/>
              <w:rPr>
                <w:sz w:val="20"/>
              </w:rPr>
            </w:pPr>
          </w:p>
        </w:tc>
        <w:tc>
          <w:tcPr>
            <w:tcW w:w="3685" w:type="dxa"/>
            <w:tcBorders>
              <w:left w:val="single" w:sz="8" w:space="0" w:color="000000"/>
              <w:right w:val="single" w:sz="8" w:space="0" w:color="000000"/>
            </w:tcBorders>
          </w:tcPr>
          <w:p>
            <w:pPr>
              <w:pStyle w:val="TableParagraph"/>
              <w:spacing w:before="48"/>
              <w:ind w:left="1040"/>
              <w:rPr>
                <w:sz w:val="18"/>
              </w:rPr>
            </w:pPr>
            <w:r>
              <w:rPr>
                <w:sz w:val="18"/>
              </w:rPr>
              <w:t>.725</w:t>
            </w:r>
          </w:p>
        </w:tc>
      </w:tr>
      <w:tr>
        <w:trPr>
          <w:trHeight w:val="309" w:hRule="atLeast"/>
        </w:trPr>
        <w:tc>
          <w:tcPr>
            <w:tcW w:w="1135" w:type="dxa"/>
            <w:tcBorders>
              <w:left w:val="single" w:sz="18" w:space="0" w:color="000000"/>
              <w:right w:val="single" w:sz="18" w:space="0" w:color="000000"/>
            </w:tcBorders>
          </w:tcPr>
          <w:p>
            <w:pPr>
              <w:pStyle w:val="TableParagraph"/>
              <w:spacing w:before="47"/>
              <w:ind w:left="75"/>
              <w:rPr>
                <w:sz w:val="18"/>
              </w:rPr>
            </w:pPr>
            <w:r>
              <w:rPr>
                <w:sz w:val="18"/>
              </w:rPr>
              <w:t>TC4</w:t>
            </w:r>
          </w:p>
        </w:tc>
        <w:tc>
          <w:tcPr>
            <w:tcW w:w="708" w:type="dxa"/>
            <w:tcBorders>
              <w:left w:val="single" w:sz="18" w:space="0" w:color="000000"/>
              <w:right w:val="single" w:sz="8" w:space="0" w:color="000000"/>
            </w:tcBorders>
          </w:tcPr>
          <w:p>
            <w:pPr>
              <w:pStyle w:val="TableParagraph"/>
              <w:rPr>
                <w:sz w:val="20"/>
              </w:rPr>
            </w:pPr>
          </w:p>
        </w:tc>
        <w:tc>
          <w:tcPr>
            <w:tcW w:w="709" w:type="dxa"/>
            <w:tcBorders>
              <w:left w:val="single" w:sz="8" w:space="0" w:color="000000"/>
              <w:right w:val="single" w:sz="8" w:space="0" w:color="000000"/>
            </w:tcBorders>
          </w:tcPr>
          <w:p>
            <w:pPr>
              <w:pStyle w:val="TableParagraph"/>
              <w:rPr>
                <w:sz w:val="20"/>
              </w:rPr>
            </w:pPr>
          </w:p>
        </w:tc>
        <w:tc>
          <w:tcPr>
            <w:tcW w:w="711" w:type="dxa"/>
            <w:tcBorders>
              <w:left w:val="single" w:sz="8" w:space="0" w:color="000000"/>
              <w:right w:val="single" w:sz="8" w:space="0" w:color="000000"/>
            </w:tcBorders>
          </w:tcPr>
          <w:p>
            <w:pPr>
              <w:pStyle w:val="TableParagraph"/>
              <w:rPr>
                <w:sz w:val="20"/>
              </w:rPr>
            </w:pPr>
          </w:p>
        </w:tc>
        <w:tc>
          <w:tcPr>
            <w:tcW w:w="3685" w:type="dxa"/>
            <w:tcBorders>
              <w:left w:val="single" w:sz="8" w:space="0" w:color="000000"/>
              <w:right w:val="single" w:sz="8" w:space="0" w:color="000000"/>
            </w:tcBorders>
          </w:tcPr>
          <w:p>
            <w:pPr>
              <w:pStyle w:val="TableParagraph"/>
              <w:spacing w:before="47"/>
              <w:ind w:left="1728" w:right="1581"/>
              <w:jc w:val="center"/>
              <w:rPr>
                <w:sz w:val="18"/>
              </w:rPr>
            </w:pPr>
            <w:r>
              <w:rPr>
                <w:sz w:val="18"/>
              </w:rPr>
              <w:t>.846</w:t>
            </w:r>
          </w:p>
        </w:tc>
      </w:tr>
      <w:tr>
        <w:trPr>
          <w:trHeight w:val="310" w:hRule="atLeast"/>
        </w:trPr>
        <w:tc>
          <w:tcPr>
            <w:tcW w:w="1135" w:type="dxa"/>
            <w:tcBorders>
              <w:left w:val="single" w:sz="18" w:space="0" w:color="000000"/>
              <w:right w:val="single" w:sz="18" w:space="0" w:color="000000"/>
            </w:tcBorders>
          </w:tcPr>
          <w:p>
            <w:pPr>
              <w:pStyle w:val="TableParagraph"/>
              <w:spacing w:before="47"/>
              <w:ind w:left="75"/>
              <w:rPr>
                <w:sz w:val="18"/>
              </w:rPr>
            </w:pPr>
            <w:r>
              <w:rPr>
                <w:sz w:val="18"/>
              </w:rPr>
              <w:t>TC1</w:t>
            </w:r>
          </w:p>
        </w:tc>
        <w:tc>
          <w:tcPr>
            <w:tcW w:w="708" w:type="dxa"/>
            <w:tcBorders>
              <w:left w:val="single" w:sz="18" w:space="0" w:color="000000"/>
              <w:right w:val="single" w:sz="8" w:space="0" w:color="000000"/>
            </w:tcBorders>
          </w:tcPr>
          <w:p>
            <w:pPr>
              <w:pStyle w:val="TableParagraph"/>
              <w:rPr>
                <w:sz w:val="20"/>
              </w:rPr>
            </w:pPr>
          </w:p>
        </w:tc>
        <w:tc>
          <w:tcPr>
            <w:tcW w:w="709" w:type="dxa"/>
            <w:tcBorders>
              <w:left w:val="single" w:sz="8" w:space="0" w:color="000000"/>
              <w:right w:val="single" w:sz="8" w:space="0" w:color="000000"/>
            </w:tcBorders>
          </w:tcPr>
          <w:p>
            <w:pPr>
              <w:pStyle w:val="TableParagraph"/>
              <w:rPr>
                <w:sz w:val="20"/>
              </w:rPr>
            </w:pPr>
          </w:p>
        </w:tc>
        <w:tc>
          <w:tcPr>
            <w:tcW w:w="711" w:type="dxa"/>
            <w:tcBorders>
              <w:left w:val="single" w:sz="8" w:space="0" w:color="000000"/>
              <w:right w:val="single" w:sz="8" w:space="0" w:color="000000"/>
            </w:tcBorders>
          </w:tcPr>
          <w:p>
            <w:pPr>
              <w:pStyle w:val="TableParagraph"/>
              <w:rPr>
                <w:sz w:val="20"/>
              </w:rPr>
            </w:pPr>
          </w:p>
        </w:tc>
        <w:tc>
          <w:tcPr>
            <w:tcW w:w="3685" w:type="dxa"/>
            <w:tcBorders>
              <w:left w:val="single" w:sz="8" w:space="0" w:color="000000"/>
              <w:right w:val="single" w:sz="8" w:space="0" w:color="000000"/>
            </w:tcBorders>
          </w:tcPr>
          <w:p>
            <w:pPr>
              <w:pStyle w:val="TableParagraph"/>
              <w:spacing w:before="47"/>
              <w:ind w:left="1728" w:right="1581"/>
              <w:jc w:val="center"/>
              <w:rPr>
                <w:sz w:val="18"/>
              </w:rPr>
            </w:pPr>
            <w:r>
              <w:rPr>
                <w:sz w:val="18"/>
              </w:rPr>
              <w:t>.834</w:t>
            </w:r>
          </w:p>
        </w:tc>
      </w:tr>
      <w:tr>
        <w:trPr>
          <w:trHeight w:val="310" w:hRule="atLeast"/>
        </w:trPr>
        <w:tc>
          <w:tcPr>
            <w:tcW w:w="1135" w:type="dxa"/>
            <w:tcBorders>
              <w:left w:val="single" w:sz="18" w:space="0" w:color="000000"/>
              <w:right w:val="single" w:sz="18" w:space="0" w:color="000000"/>
            </w:tcBorders>
          </w:tcPr>
          <w:p>
            <w:pPr>
              <w:pStyle w:val="TableParagraph"/>
              <w:spacing w:before="48"/>
              <w:ind w:left="75"/>
              <w:rPr>
                <w:sz w:val="18"/>
              </w:rPr>
            </w:pPr>
            <w:r>
              <w:rPr>
                <w:sz w:val="18"/>
              </w:rPr>
              <w:t>TC2</w:t>
            </w:r>
          </w:p>
        </w:tc>
        <w:tc>
          <w:tcPr>
            <w:tcW w:w="708" w:type="dxa"/>
            <w:tcBorders>
              <w:left w:val="single" w:sz="18" w:space="0" w:color="000000"/>
              <w:right w:val="single" w:sz="8" w:space="0" w:color="000000"/>
            </w:tcBorders>
          </w:tcPr>
          <w:p>
            <w:pPr>
              <w:pStyle w:val="TableParagraph"/>
              <w:rPr>
                <w:sz w:val="20"/>
              </w:rPr>
            </w:pPr>
          </w:p>
        </w:tc>
        <w:tc>
          <w:tcPr>
            <w:tcW w:w="709" w:type="dxa"/>
            <w:tcBorders>
              <w:left w:val="single" w:sz="8" w:space="0" w:color="000000"/>
              <w:right w:val="single" w:sz="8" w:space="0" w:color="000000"/>
            </w:tcBorders>
          </w:tcPr>
          <w:p>
            <w:pPr>
              <w:pStyle w:val="TableParagraph"/>
              <w:rPr>
                <w:sz w:val="20"/>
              </w:rPr>
            </w:pPr>
          </w:p>
        </w:tc>
        <w:tc>
          <w:tcPr>
            <w:tcW w:w="711" w:type="dxa"/>
            <w:tcBorders>
              <w:left w:val="single" w:sz="8" w:space="0" w:color="000000"/>
              <w:right w:val="single" w:sz="8" w:space="0" w:color="000000"/>
            </w:tcBorders>
          </w:tcPr>
          <w:p>
            <w:pPr>
              <w:pStyle w:val="TableParagraph"/>
              <w:rPr>
                <w:sz w:val="20"/>
              </w:rPr>
            </w:pPr>
          </w:p>
        </w:tc>
        <w:tc>
          <w:tcPr>
            <w:tcW w:w="3685" w:type="dxa"/>
            <w:tcBorders>
              <w:left w:val="single" w:sz="8" w:space="0" w:color="000000"/>
              <w:right w:val="single" w:sz="8" w:space="0" w:color="000000"/>
            </w:tcBorders>
          </w:tcPr>
          <w:p>
            <w:pPr>
              <w:pStyle w:val="TableParagraph"/>
              <w:spacing w:before="48"/>
              <w:ind w:left="1728" w:right="1581"/>
              <w:jc w:val="center"/>
              <w:rPr>
                <w:sz w:val="18"/>
              </w:rPr>
            </w:pPr>
            <w:r>
              <w:rPr>
                <w:sz w:val="18"/>
              </w:rPr>
              <w:t>.823</w:t>
            </w:r>
          </w:p>
        </w:tc>
      </w:tr>
      <w:tr>
        <w:trPr>
          <w:trHeight w:val="310" w:hRule="atLeast"/>
        </w:trPr>
        <w:tc>
          <w:tcPr>
            <w:tcW w:w="1135" w:type="dxa"/>
            <w:tcBorders>
              <w:left w:val="single" w:sz="18" w:space="0" w:color="000000"/>
              <w:right w:val="single" w:sz="18" w:space="0" w:color="000000"/>
            </w:tcBorders>
          </w:tcPr>
          <w:p>
            <w:pPr>
              <w:pStyle w:val="TableParagraph"/>
              <w:spacing w:before="47"/>
              <w:ind w:left="75"/>
              <w:rPr>
                <w:sz w:val="18"/>
              </w:rPr>
            </w:pPr>
            <w:r>
              <w:rPr>
                <w:sz w:val="18"/>
              </w:rPr>
              <w:t>TC3</w:t>
            </w:r>
          </w:p>
        </w:tc>
        <w:tc>
          <w:tcPr>
            <w:tcW w:w="708" w:type="dxa"/>
            <w:tcBorders>
              <w:left w:val="single" w:sz="18" w:space="0" w:color="000000"/>
              <w:right w:val="single" w:sz="8" w:space="0" w:color="000000"/>
            </w:tcBorders>
          </w:tcPr>
          <w:p>
            <w:pPr>
              <w:pStyle w:val="TableParagraph"/>
              <w:rPr>
                <w:sz w:val="20"/>
              </w:rPr>
            </w:pPr>
          </w:p>
        </w:tc>
        <w:tc>
          <w:tcPr>
            <w:tcW w:w="709" w:type="dxa"/>
            <w:tcBorders>
              <w:left w:val="single" w:sz="8" w:space="0" w:color="000000"/>
              <w:right w:val="single" w:sz="8" w:space="0" w:color="000000"/>
            </w:tcBorders>
          </w:tcPr>
          <w:p>
            <w:pPr>
              <w:pStyle w:val="TableParagraph"/>
              <w:rPr>
                <w:sz w:val="20"/>
              </w:rPr>
            </w:pPr>
          </w:p>
        </w:tc>
        <w:tc>
          <w:tcPr>
            <w:tcW w:w="711" w:type="dxa"/>
            <w:tcBorders>
              <w:left w:val="single" w:sz="8" w:space="0" w:color="000000"/>
              <w:right w:val="single" w:sz="8" w:space="0" w:color="000000"/>
            </w:tcBorders>
          </w:tcPr>
          <w:p>
            <w:pPr>
              <w:pStyle w:val="TableParagraph"/>
              <w:rPr>
                <w:sz w:val="20"/>
              </w:rPr>
            </w:pPr>
          </w:p>
        </w:tc>
        <w:tc>
          <w:tcPr>
            <w:tcW w:w="3685" w:type="dxa"/>
            <w:tcBorders>
              <w:left w:val="single" w:sz="8" w:space="0" w:color="000000"/>
              <w:right w:val="single" w:sz="8" w:space="0" w:color="000000"/>
            </w:tcBorders>
          </w:tcPr>
          <w:p>
            <w:pPr>
              <w:pStyle w:val="TableParagraph"/>
              <w:spacing w:before="47"/>
              <w:ind w:left="1728" w:right="1581"/>
              <w:jc w:val="center"/>
              <w:rPr>
                <w:sz w:val="18"/>
              </w:rPr>
            </w:pPr>
            <w:r>
              <w:rPr>
                <w:sz w:val="18"/>
              </w:rPr>
              <w:t>.810</w:t>
            </w:r>
          </w:p>
        </w:tc>
      </w:tr>
      <w:tr>
        <w:trPr>
          <w:trHeight w:val="311" w:hRule="atLeast"/>
        </w:trPr>
        <w:tc>
          <w:tcPr>
            <w:tcW w:w="1135" w:type="dxa"/>
            <w:tcBorders>
              <w:left w:val="single" w:sz="18" w:space="0" w:color="000000"/>
              <w:right w:val="single" w:sz="18" w:space="0" w:color="000000"/>
            </w:tcBorders>
          </w:tcPr>
          <w:p>
            <w:pPr>
              <w:pStyle w:val="TableParagraph"/>
              <w:spacing w:before="48"/>
              <w:ind w:left="75"/>
              <w:rPr>
                <w:sz w:val="18"/>
              </w:rPr>
            </w:pPr>
            <w:r>
              <w:rPr>
                <w:sz w:val="18"/>
              </w:rPr>
              <w:t>HL1</w:t>
            </w:r>
          </w:p>
        </w:tc>
        <w:tc>
          <w:tcPr>
            <w:tcW w:w="708" w:type="dxa"/>
            <w:tcBorders>
              <w:left w:val="single" w:sz="18" w:space="0" w:color="000000"/>
              <w:right w:val="single" w:sz="8" w:space="0" w:color="000000"/>
            </w:tcBorders>
          </w:tcPr>
          <w:p>
            <w:pPr>
              <w:pStyle w:val="TableParagraph"/>
              <w:rPr>
                <w:sz w:val="20"/>
              </w:rPr>
            </w:pPr>
          </w:p>
        </w:tc>
        <w:tc>
          <w:tcPr>
            <w:tcW w:w="709" w:type="dxa"/>
            <w:tcBorders>
              <w:left w:val="single" w:sz="8" w:space="0" w:color="000000"/>
              <w:right w:val="single" w:sz="8" w:space="0" w:color="000000"/>
            </w:tcBorders>
          </w:tcPr>
          <w:p>
            <w:pPr>
              <w:pStyle w:val="TableParagraph"/>
              <w:rPr>
                <w:sz w:val="20"/>
              </w:rPr>
            </w:pPr>
          </w:p>
        </w:tc>
        <w:tc>
          <w:tcPr>
            <w:tcW w:w="711" w:type="dxa"/>
            <w:tcBorders>
              <w:left w:val="single" w:sz="8" w:space="0" w:color="000000"/>
              <w:right w:val="single" w:sz="8" w:space="0" w:color="000000"/>
            </w:tcBorders>
          </w:tcPr>
          <w:p>
            <w:pPr>
              <w:pStyle w:val="TableParagraph"/>
              <w:rPr>
                <w:sz w:val="20"/>
              </w:rPr>
            </w:pPr>
          </w:p>
        </w:tc>
        <w:tc>
          <w:tcPr>
            <w:tcW w:w="3685" w:type="dxa"/>
            <w:tcBorders>
              <w:left w:val="single" w:sz="8" w:space="0" w:color="000000"/>
              <w:right w:val="single" w:sz="8" w:space="0" w:color="000000"/>
            </w:tcBorders>
          </w:tcPr>
          <w:p>
            <w:pPr>
              <w:pStyle w:val="TableParagraph"/>
              <w:spacing w:before="48"/>
              <w:ind w:right="888"/>
              <w:jc w:val="right"/>
              <w:rPr>
                <w:sz w:val="18"/>
              </w:rPr>
            </w:pPr>
            <w:r>
              <w:rPr>
                <w:sz w:val="18"/>
              </w:rPr>
              <w:t>.828</w:t>
            </w:r>
          </w:p>
        </w:tc>
      </w:tr>
      <w:tr>
        <w:trPr>
          <w:trHeight w:val="309" w:hRule="atLeast"/>
        </w:trPr>
        <w:tc>
          <w:tcPr>
            <w:tcW w:w="1135" w:type="dxa"/>
            <w:tcBorders>
              <w:left w:val="single" w:sz="18" w:space="0" w:color="000000"/>
              <w:right w:val="single" w:sz="18" w:space="0" w:color="000000"/>
            </w:tcBorders>
          </w:tcPr>
          <w:p>
            <w:pPr>
              <w:pStyle w:val="TableParagraph"/>
              <w:spacing w:before="47"/>
              <w:ind w:left="75"/>
              <w:rPr>
                <w:sz w:val="18"/>
              </w:rPr>
            </w:pPr>
            <w:r>
              <w:rPr>
                <w:sz w:val="18"/>
              </w:rPr>
              <w:t>HL3</w:t>
            </w:r>
          </w:p>
        </w:tc>
        <w:tc>
          <w:tcPr>
            <w:tcW w:w="708" w:type="dxa"/>
            <w:tcBorders>
              <w:left w:val="single" w:sz="18" w:space="0" w:color="000000"/>
              <w:right w:val="single" w:sz="8" w:space="0" w:color="000000"/>
            </w:tcBorders>
          </w:tcPr>
          <w:p>
            <w:pPr>
              <w:pStyle w:val="TableParagraph"/>
              <w:rPr>
                <w:sz w:val="20"/>
              </w:rPr>
            </w:pPr>
          </w:p>
        </w:tc>
        <w:tc>
          <w:tcPr>
            <w:tcW w:w="709" w:type="dxa"/>
            <w:tcBorders>
              <w:left w:val="single" w:sz="8" w:space="0" w:color="000000"/>
              <w:right w:val="single" w:sz="8" w:space="0" w:color="000000"/>
            </w:tcBorders>
          </w:tcPr>
          <w:p>
            <w:pPr>
              <w:pStyle w:val="TableParagraph"/>
              <w:rPr>
                <w:sz w:val="20"/>
              </w:rPr>
            </w:pPr>
          </w:p>
        </w:tc>
        <w:tc>
          <w:tcPr>
            <w:tcW w:w="711" w:type="dxa"/>
            <w:tcBorders>
              <w:left w:val="single" w:sz="8" w:space="0" w:color="000000"/>
              <w:right w:val="single" w:sz="8" w:space="0" w:color="000000"/>
            </w:tcBorders>
          </w:tcPr>
          <w:p>
            <w:pPr>
              <w:pStyle w:val="TableParagraph"/>
              <w:rPr>
                <w:sz w:val="20"/>
              </w:rPr>
            </w:pPr>
          </w:p>
        </w:tc>
        <w:tc>
          <w:tcPr>
            <w:tcW w:w="3685" w:type="dxa"/>
            <w:tcBorders>
              <w:left w:val="single" w:sz="8" w:space="0" w:color="000000"/>
              <w:right w:val="single" w:sz="8" w:space="0" w:color="000000"/>
            </w:tcBorders>
          </w:tcPr>
          <w:p>
            <w:pPr>
              <w:pStyle w:val="TableParagraph"/>
              <w:spacing w:before="47"/>
              <w:ind w:right="888"/>
              <w:jc w:val="right"/>
              <w:rPr>
                <w:sz w:val="18"/>
              </w:rPr>
            </w:pPr>
            <w:r>
              <w:rPr>
                <w:sz w:val="18"/>
              </w:rPr>
              <w:t>.803</w:t>
            </w:r>
          </w:p>
        </w:tc>
      </w:tr>
      <w:tr>
        <w:trPr>
          <w:trHeight w:val="310" w:hRule="atLeast"/>
        </w:trPr>
        <w:tc>
          <w:tcPr>
            <w:tcW w:w="1135" w:type="dxa"/>
            <w:tcBorders>
              <w:left w:val="single" w:sz="18" w:space="0" w:color="000000"/>
              <w:right w:val="single" w:sz="18" w:space="0" w:color="000000"/>
            </w:tcBorders>
          </w:tcPr>
          <w:p>
            <w:pPr>
              <w:pStyle w:val="TableParagraph"/>
              <w:spacing w:before="47"/>
              <w:ind w:left="75"/>
              <w:rPr>
                <w:sz w:val="18"/>
              </w:rPr>
            </w:pPr>
            <w:r>
              <w:rPr>
                <w:sz w:val="18"/>
              </w:rPr>
              <w:t>HL2</w:t>
            </w:r>
          </w:p>
        </w:tc>
        <w:tc>
          <w:tcPr>
            <w:tcW w:w="708" w:type="dxa"/>
            <w:tcBorders>
              <w:left w:val="single" w:sz="18" w:space="0" w:color="000000"/>
              <w:right w:val="single" w:sz="8" w:space="0" w:color="000000"/>
            </w:tcBorders>
          </w:tcPr>
          <w:p>
            <w:pPr>
              <w:pStyle w:val="TableParagraph"/>
              <w:rPr>
                <w:sz w:val="20"/>
              </w:rPr>
            </w:pPr>
          </w:p>
        </w:tc>
        <w:tc>
          <w:tcPr>
            <w:tcW w:w="709" w:type="dxa"/>
            <w:tcBorders>
              <w:left w:val="single" w:sz="8" w:space="0" w:color="000000"/>
              <w:right w:val="single" w:sz="8" w:space="0" w:color="000000"/>
            </w:tcBorders>
          </w:tcPr>
          <w:p>
            <w:pPr>
              <w:pStyle w:val="TableParagraph"/>
              <w:rPr>
                <w:sz w:val="20"/>
              </w:rPr>
            </w:pPr>
          </w:p>
        </w:tc>
        <w:tc>
          <w:tcPr>
            <w:tcW w:w="711" w:type="dxa"/>
            <w:tcBorders>
              <w:left w:val="single" w:sz="8" w:space="0" w:color="000000"/>
              <w:right w:val="single" w:sz="8" w:space="0" w:color="000000"/>
            </w:tcBorders>
          </w:tcPr>
          <w:p>
            <w:pPr>
              <w:pStyle w:val="TableParagraph"/>
              <w:rPr>
                <w:sz w:val="20"/>
              </w:rPr>
            </w:pPr>
          </w:p>
        </w:tc>
        <w:tc>
          <w:tcPr>
            <w:tcW w:w="3685" w:type="dxa"/>
            <w:tcBorders>
              <w:left w:val="single" w:sz="8" w:space="0" w:color="000000"/>
              <w:right w:val="single" w:sz="8" w:space="0" w:color="000000"/>
            </w:tcBorders>
          </w:tcPr>
          <w:p>
            <w:pPr>
              <w:pStyle w:val="TableParagraph"/>
              <w:spacing w:before="47"/>
              <w:ind w:right="889"/>
              <w:jc w:val="right"/>
              <w:rPr>
                <w:sz w:val="18"/>
              </w:rPr>
            </w:pPr>
            <w:r>
              <w:rPr>
                <w:sz w:val="18"/>
              </w:rPr>
              <w:t>.790</w:t>
            </w:r>
          </w:p>
        </w:tc>
      </w:tr>
      <w:tr>
        <w:trPr>
          <w:trHeight w:val="310" w:hRule="atLeast"/>
        </w:trPr>
        <w:tc>
          <w:tcPr>
            <w:tcW w:w="1135" w:type="dxa"/>
            <w:tcBorders>
              <w:left w:val="single" w:sz="18" w:space="0" w:color="000000"/>
              <w:right w:val="single" w:sz="18" w:space="0" w:color="000000"/>
            </w:tcBorders>
          </w:tcPr>
          <w:p>
            <w:pPr>
              <w:pStyle w:val="TableParagraph"/>
              <w:spacing w:before="48"/>
              <w:ind w:left="75"/>
              <w:rPr>
                <w:sz w:val="18"/>
              </w:rPr>
            </w:pPr>
            <w:r>
              <w:rPr>
                <w:sz w:val="18"/>
              </w:rPr>
              <w:t>LI3</w:t>
            </w:r>
          </w:p>
        </w:tc>
        <w:tc>
          <w:tcPr>
            <w:tcW w:w="708" w:type="dxa"/>
            <w:tcBorders>
              <w:left w:val="single" w:sz="18" w:space="0" w:color="000000"/>
              <w:right w:val="single" w:sz="8" w:space="0" w:color="000000"/>
            </w:tcBorders>
          </w:tcPr>
          <w:p>
            <w:pPr>
              <w:pStyle w:val="TableParagraph"/>
              <w:rPr>
                <w:sz w:val="20"/>
              </w:rPr>
            </w:pPr>
          </w:p>
        </w:tc>
        <w:tc>
          <w:tcPr>
            <w:tcW w:w="709" w:type="dxa"/>
            <w:tcBorders>
              <w:left w:val="single" w:sz="8" w:space="0" w:color="000000"/>
              <w:right w:val="single" w:sz="8" w:space="0" w:color="000000"/>
            </w:tcBorders>
          </w:tcPr>
          <w:p>
            <w:pPr>
              <w:pStyle w:val="TableParagraph"/>
              <w:rPr>
                <w:sz w:val="20"/>
              </w:rPr>
            </w:pPr>
          </w:p>
        </w:tc>
        <w:tc>
          <w:tcPr>
            <w:tcW w:w="711" w:type="dxa"/>
            <w:tcBorders>
              <w:left w:val="single" w:sz="8" w:space="0" w:color="000000"/>
              <w:right w:val="single" w:sz="8" w:space="0" w:color="000000"/>
            </w:tcBorders>
          </w:tcPr>
          <w:p>
            <w:pPr>
              <w:pStyle w:val="TableParagraph"/>
              <w:rPr>
                <w:sz w:val="20"/>
              </w:rPr>
            </w:pPr>
          </w:p>
        </w:tc>
        <w:tc>
          <w:tcPr>
            <w:tcW w:w="3685" w:type="dxa"/>
            <w:tcBorders>
              <w:left w:val="single" w:sz="8" w:space="0" w:color="000000"/>
              <w:right w:val="single" w:sz="8" w:space="0" w:color="000000"/>
            </w:tcBorders>
          </w:tcPr>
          <w:p>
            <w:pPr>
              <w:pStyle w:val="TableParagraph"/>
              <w:spacing w:before="48"/>
              <w:ind w:right="39"/>
              <w:jc w:val="right"/>
              <w:rPr>
                <w:sz w:val="18"/>
              </w:rPr>
            </w:pPr>
            <w:r>
              <w:rPr>
                <w:sz w:val="18"/>
              </w:rPr>
              <w:t>.830</w:t>
            </w:r>
          </w:p>
        </w:tc>
      </w:tr>
      <w:tr>
        <w:trPr>
          <w:trHeight w:val="309" w:hRule="atLeast"/>
        </w:trPr>
        <w:tc>
          <w:tcPr>
            <w:tcW w:w="1135" w:type="dxa"/>
            <w:tcBorders>
              <w:left w:val="single" w:sz="18" w:space="0" w:color="000000"/>
              <w:right w:val="single" w:sz="18" w:space="0" w:color="000000"/>
            </w:tcBorders>
          </w:tcPr>
          <w:p>
            <w:pPr>
              <w:pStyle w:val="TableParagraph"/>
              <w:spacing w:before="47"/>
              <w:ind w:left="75"/>
              <w:rPr>
                <w:sz w:val="18"/>
              </w:rPr>
            </w:pPr>
            <w:r>
              <w:rPr>
                <w:sz w:val="18"/>
              </w:rPr>
              <w:t>LI2</w:t>
            </w:r>
          </w:p>
        </w:tc>
        <w:tc>
          <w:tcPr>
            <w:tcW w:w="708" w:type="dxa"/>
            <w:tcBorders>
              <w:left w:val="single" w:sz="18" w:space="0" w:color="000000"/>
              <w:right w:val="single" w:sz="8" w:space="0" w:color="000000"/>
            </w:tcBorders>
          </w:tcPr>
          <w:p>
            <w:pPr>
              <w:pStyle w:val="TableParagraph"/>
              <w:rPr>
                <w:sz w:val="20"/>
              </w:rPr>
            </w:pPr>
          </w:p>
        </w:tc>
        <w:tc>
          <w:tcPr>
            <w:tcW w:w="709" w:type="dxa"/>
            <w:tcBorders>
              <w:left w:val="single" w:sz="8" w:space="0" w:color="000000"/>
              <w:right w:val="single" w:sz="8" w:space="0" w:color="000000"/>
            </w:tcBorders>
          </w:tcPr>
          <w:p>
            <w:pPr>
              <w:pStyle w:val="TableParagraph"/>
              <w:rPr>
                <w:sz w:val="20"/>
              </w:rPr>
            </w:pPr>
          </w:p>
        </w:tc>
        <w:tc>
          <w:tcPr>
            <w:tcW w:w="711" w:type="dxa"/>
            <w:tcBorders>
              <w:left w:val="single" w:sz="8" w:space="0" w:color="000000"/>
              <w:right w:val="single" w:sz="8" w:space="0" w:color="000000"/>
            </w:tcBorders>
          </w:tcPr>
          <w:p>
            <w:pPr>
              <w:pStyle w:val="TableParagraph"/>
              <w:rPr>
                <w:sz w:val="20"/>
              </w:rPr>
            </w:pPr>
          </w:p>
        </w:tc>
        <w:tc>
          <w:tcPr>
            <w:tcW w:w="3685" w:type="dxa"/>
            <w:tcBorders>
              <w:left w:val="single" w:sz="8" w:space="0" w:color="000000"/>
              <w:right w:val="single" w:sz="8" w:space="0" w:color="000000"/>
            </w:tcBorders>
          </w:tcPr>
          <w:p>
            <w:pPr>
              <w:pStyle w:val="TableParagraph"/>
              <w:spacing w:before="47"/>
              <w:ind w:right="38"/>
              <w:jc w:val="right"/>
              <w:rPr>
                <w:sz w:val="18"/>
              </w:rPr>
            </w:pPr>
            <w:r>
              <w:rPr>
                <w:sz w:val="18"/>
              </w:rPr>
              <w:t>.796</w:t>
            </w:r>
          </w:p>
        </w:tc>
      </w:tr>
      <w:tr>
        <w:trPr>
          <w:trHeight w:val="359" w:hRule="atLeast"/>
        </w:trPr>
        <w:tc>
          <w:tcPr>
            <w:tcW w:w="1135" w:type="dxa"/>
            <w:tcBorders>
              <w:left w:val="single" w:sz="18" w:space="0" w:color="000000"/>
              <w:right w:val="single" w:sz="18" w:space="0" w:color="000000"/>
            </w:tcBorders>
          </w:tcPr>
          <w:p>
            <w:pPr>
              <w:pStyle w:val="TableParagraph"/>
              <w:spacing w:before="47"/>
              <w:ind w:left="75"/>
              <w:rPr>
                <w:sz w:val="18"/>
              </w:rPr>
            </w:pPr>
            <w:r>
              <w:rPr>
                <w:sz w:val="18"/>
              </w:rPr>
              <w:t>LI1</w:t>
            </w:r>
          </w:p>
        </w:tc>
        <w:tc>
          <w:tcPr>
            <w:tcW w:w="708" w:type="dxa"/>
            <w:tcBorders>
              <w:left w:val="single" w:sz="18" w:space="0" w:color="000000"/>
              <w:right w:val="single" w:sz="8" w:space="0" w:color="000000"/>
            </w:tcBorders>
          </w:tcPr>
          <w:p>
            <w:pPr>
              <w:pStyle w:val="TableParagraph"/>
              <w:rPr>
                <w:sz w:val="20"/>
              </w:rPr>
            </w:pPr>
          </w:p>
        </w:tc>
        <w:tc>
          <w:tcPr>
            <w:tcW w:w="709" w:type="dxa"/>
            <w:tcBorders>
              <w:left w:val="single" w:sz="8" w:space="0" w:color="000000"/>
              <w:right w:val="single" w:sz="8" w:space="0" w:color="000000"/>
            </w:tcBorders>
          </w:tcPr>
          <w:p>
            <w:pPr>
              <w:pStyle w:val="TableParagraph"/>
              <w:rPr>
                <w:sz w:val="20"/>
              </w:rPr>
            </w:pPr>
          </w:p>
        </w:tc>
        <w:tc>
          <w:tcPr>
            <w:tcW w:w="711" w:type="dxa"/>
            <w:tcBorders>
              <w:left w:val="single" w:sz="8" w:space="0" w:color="000000"/>
              <w:right w:val="single" w:sz="8" w:space="0" w:color="000000"/>
            </w:tcBorders>
          </w:tcPr>
          <w:p>
            <w:pPr>
              <w:pStyle w:val="TableParagraph"/>
              <w:rPr>
                <w:sz w:val="20"/>
              </w:rPr>
            </w:pPr>
          </w:p>
        </w:tc>
        <w:tc>
          <w:tcPr>
            <w:tcW w:w="3685" w:type="dxa"/>
            <w:tcBorders>
              <w:left w:val="single" w:sz="8" w:space="0" w:color="000000"/>
              <w:right w:val="single" w:sz="8" w:space="0" w:color="000000"/>
            </w:tcBorders>
          </w:tcPr>
          <w:p>
            <w:pPr>
              <w:pStyle w:val="TableParagraph"/>
              <w:spacing w:before="47"/>
              <w:ind w:right="38"/>
              <w:jc w:val="right"/>
              <w:rPr>
                <w:sz w:val="18"/>
              </w:rPr>
            </w:pPr>
            <w:r>
              <w:rPr>
                <w:sz w:val="18"/>
              </w:rPr>
              <w:t>.776</w:t>
            </w:r>
          </w:p>
        </w:tc>
      </w:tr>
      <w:tr>
        <w:trPr>
          <w:trHeight w:val="571" w:hRule="atLeast"/>
        </w:trPr>
        <w:tc>
          <w:tcPr>
            <w:tcW w:w="6948" w:type="dxa"/>
            <w:gridSpan w:val="5"/>
          </w:tcPr>
          <w:p>
            <w:pPr>
              <w:pStyle w:val="TableParagraph"/>
              <w:ind w:left="79"/>
              <w:rPr>
                <w:sz w:val="18"/>
              </w:rPr>
            </w:pPr>
            <w:r>
              <w:rPr>
                <w:sz w:val="18"/>
              </w:rPr>
              <w:t>Extraction Method: Principal Component Analysis.</w:t>
            </w:r>
          </w:p>
          <w:p>
            <w:pPr>
              <w:pStyle w:val="TableParagraph"/>
              <w:spacing w:before="102"/>
              <w:ind w:left="124"/>
              <w:rPr>
                <w:sz w:val="18"/>
              </w:rPr>
            </w:pPr>
            <w:r>
              <w:rPr>
                <w:sz w:val="18"/>
              </w:rPr>
              <w:t>Rotation Method: Promax with Kaiser Normalization.</w:t>
            </w:r>
          </w:p>
        </w:tc>
      </w:tr>
      <w:tr>
        <w:trPr>
          <w:trHeight w:val="254" w:hRule="atLeast"/>
        </w:trPr>
        <w:tc>
          <w:tcPr>
            <w:tcW w:w="6948" w:type="dxa"/>
            <w:gridSpan w:val="5"/>
          </w:tcPr>
          <w:p>
            <w:pPr>
              <w:pStyle w:val="TableParagraph"/>
              <w:spacing w:line="187" w:lineRule="exact" w:before="47"/>
              <w:ind w:left="79"/>
              <w:rPr>
                <w:sz w:val="18"/>
              </w:rPr>
            </w:pPr>
            <w:r>
              <w:rPr>
                <w:sz w:val="18"/>
              </w:rPr>
              <w:t>a. Rotation converged in 6 iterations.</w:t>
            </w:r>
          </w:p>
        </w:tc>
      </w:tr>
    </w:tbl>
    <w:p>
      <w:pPr>
        <w:pStyle w:val="ListParagraph"/>
        <w:numPr>
          <w:ilvl w:val="0"/>
          <w:numId w:val="45"/>
        </w:numPr>
        <w:tabs>
          <w:tab w:pos="1257" w:val="left" w:leader="none"/>
        </w:tabs>
        <w:spacing w:line="240" w:lineRule="auto" w:before="104" w:after="0"/>
        <w:ind w:left="1256" w:right="0" w:hanging="375"/>
        <w:jc w:val="left"/>
        <w:rPr>
          <w:b/>
          <w:i/>
          <w:sz w:val="24"/>
        </w:rPr>
      </w:pPr>
      <w:r>
        <w:rPr/>
        <w:pict>
          <v:line style="position:absolute;mso-position-horizontal-relative:page;mso-position-vertical-relative:paragraph;z-index:-30408192" from="283.610016pt,-320.846863pt" to="283.610016pt,-41.316863pt" stroked="true" strokeweight=".96002pt" strokecolor="#000000">
            <v:stroke dashstyle="solid"/>
            <w10:wrap type="none"/>
          </v:line>
        </w:pict>
      </w:r>
      <w:r>
        <w:rPr/>
        <w:pict>
          <v:line style="position:absolute;mso-position-horizontal-relative:page;mso-position-vertical-relative:paragraph;z-index:-30407680" from="319.010010pt,-320.846863pt" to="319.010010pt,-41.316863pt" stroked="true" strokeweight=".95999pt" strokecolor="#000000">
            <v:stroke dashstyle="solid"/>
            <w10:wrap type="none"/>
          </v:line>
        </w:pict>
      </w:r>
      <w:r>
        <w:rPr/>
        <w:pict>
          <v:line style="position:absolute;mso-position-horizontal-relative:page;mso-position-vertical-relative:paragraph;z-index:-30407168" from="354.550018pt,-320.846863pt" to="354.550018pt,-41.316863pt" stroked="true" strokeweight=".96002pt" strokecolor="#000000">
            <v:stroke dashstyle="solid"/>
            <w10:wrap type="none"/>
          </v:line>
        </w:pict>
      </w:r>
      <w:r>
        <w:rPr/>
        <w:pict>
          <v:line style="position:absolute;mso-position-horizontal-relative:page;mso-position-vertical-relative:paragraph;z-index:-30406656" from="389.949982pt,-320.846863pt" to="389.949982pt,-41.316863pt" stroked="true" strokeweight=".95999pt" strokecolor="#000000">
            <v:stroke dashstyle="solid"/>
            <w10:wrap type="none"/>
          </v:line>
        </w:pict>
      </w:r>
      <w:r>
        <w:rPr/>
        <w:pict>
          <v:line style="position:absolute;mso-position-horizontal-relative:page;mso-position-vertical-relative:paragraph;z-index:15800832" from="470.73999pt,-320.846863pt" to="470.73999pt,-41.316863pt" stroked="true" strokeweight="1.92pt" strokecolor="#000000">
            <v:stroke dashstyle="solid"/>
            <w10:wrap type="none"/>
          </v:line>
        </w:pict>
      </w:r>
      <w:r>
        <w:rPr>
          <w:b/>
          <w:i/>
          <w:sz w:val="24"/>
          <w:u w:val="thick"/>
        </w:rPr>
        <w:t>Phân tích</w:t>
      </w:r>
      <w:r>
        <w:rPr>
          <w:b/>
          <w:i/>
          <w:spacing w:val="-2"/>
          <w:sz w:val="24"/>
          <w:u w:val="thick"/>
        </w:rPr>
        <w:t> </w:t>
      </w:r>
      <w:r>
        <w:rPr>
          <w:b/>
          <w:i/>
          <w:sz w:val="24"/>
          <w:u w:val="thick"/>
        </w:rPr>
        <w:t>CFA</w:t>
      </w:r>
    </w:p>
    <w:p>
      <w:pPr>
        <w:spacing w:before="138"/>
        <w:ind w:left="882" w:right="0" w:firstLine="0"/>
        <w:jc w:val="left"/>
        <w:rPr>
          <w:b/>
          <w:sz w:val="20"/>
        </w:rPr>
      </w:pPr>
      <w:r>
        <w:rPr>
          <w:b/>
          <w:sz w:val="20"/>
        </w:rPr>
        <w:t>Regression Weights: (Group number 1 - Default model)</w:t>
      </w:r>
    </w:p>
    <w:p>
      <w:pPr>
        <w:pStyle w:val="BodyText"/>
        <w:rPr>
          <w:b/>
          <w:sz w:val="10"/>
        </w:rPr>
      </w:pPr>
    </w:p>
    <w:tbl>
      <w:tblPr>
        <w:tblW w:w="0" w:type="auto"/>
        <w:jc w:val="left"/>
        <w:tblInd w:w="74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1008"/>
        <w:gridCol w:w="490"/>
        <w:gridCol w:w="935"/>
        <w:gridCol w:w="1122"/>
        <w:gridCol w:w="700"/>
        <w:gridCol w:w="943"/>
        <w:gridCol w:w="643"/>
        <w:gridCol w:w="828"/>
      </w:tblGrid>
      <w:tr>
        <w:trPr>
          <w:trHeight w:val="443" w:hRule="atLeast"/>
        </w:trPr>
        <w:tc>
          <w:tcPr>
            <w:tcW w:w="1008" w:type="dxa"/>
          </w:tcPr>
          <w:p>
            <w:pPr>
              <w:pStyle w:val="TableParagraph"/>
              <w:rPr>
                <w:sz w:val="20"/>
              </w:rPr>
            </w:pPr>
          </w:p>
        </w:tc>
        <w:tc>
          <w:tcPr>
            <w:tcW w:w="490" w:type="dxa"/>
          </w:tcPr>
          <w:p>
            <w:pPr>
              <w:pStyle w:val="TableParagraph"/>
              <w:rPr>
                <w:sz w:val="20"/>
              </w:rPr>
            </w:pPr>
          </w:p>
        </w:tc>
        <w:tc>
          <w:tcPr>
            <w:tcW w:w="935" w:type="dxa"/>
          </w:tcPr>
          <w:p>
            <w:pPr>
              <w:pStyle w:val="TableParagraph"/>
              <w:rPr>
                <w:sz w:val="20"/>
              </w:rPr>
            </w:pPr>
          </w:p>
        </w:tc>
        <w:tc>
          <w:tcPr>
            <w:tcW w:w="1122" w:type="dxa"/>
          </w:tcPr>
          <w:p>
            <w:pPr>
              <w:pStyle w:val="TableParagraph"/>
              <w:spacing w:before="13"/>
              <w:ind w:right="131"/>
              <w:jc w:val="right"/>
              <w:rPr>
                <w:sz w:val="24"/>
              </w:rPr>
            </w:pPr>
            <w:r>
              <w:rPr>
                <w:w w:val="95"/>
                <w:sz w:val="24"/>
              </w:rPr>
              <w:t>Estimate</w:t>
            </w:r>
          </w:p>
        </w:tc>
        <w:tc>
          <w:tcPr>
            <w:tcW w:w="700" w:type="dxa"/>
          </w:tcPr>
          <w:p>
            <w:pPr>
              <w:pStyle w:val="TableParagraph"/>
              <w:spacing w:before="13"/>
              <w:ind w:left="116" w:right="94"/>
              <w:jc w:val="center"/>
              <w:rPr>
                <w:sz w:val="24"/>
              </w:rPr>
            </w:pPr>
            <w:r>
              <w:rPr>
                <w:sz w:val="24"/>
              </w:rPr>
              <w:t>S.E.</w:t>
            </w:r>
          </w:p>
        </w:tc>
        <w:tc>
          <w:tcPr>
            <w:tcW w:w="943" w:type="dxa"/>
          </w:tcPr>
          <w:p>
            <w:pPr>
              <w:pStyle w:val="TableParagraph"/>
              <w:spacing w:before="13"/>
              <w:ind w:right="132"/>
              <w:jc w:val="right"/>
              <w:rPr>
                <w:sz w:val="24"/>
              </w:rPr>
            </w:pPr>
            <w:r>
              <w:rPr>
                <w:sz w:val="24"/>
              </w:rPr>
              <w:t>C.R.</w:t>
            </w:r>
          </w:p>
        </w:tc>
        <w:tc>
          <w:tcPr>
            <w:tcW w:w="643" w:type="dxa"/>
          </w:tcPr>
          <w:p>
            <w:pPr>
              <w:pStyle w:val="TableParagraph"/>
              <w:spacing w:before="13"/>
              <w:ind w:right="138"/>
              <w:jc w:val="right"/>
              <w:rPr>
                <w:sz w:val="24"/>
              </w:rPr>
            </w:pPr>
            <w:r>
              <w:rPr>
                <w:w w:val="99"/>
                <w:sz w:val="24"/>
              </w:rPr>
              <w:t>P</w:t>
            </w:r>
          </w:p>
        </w:tc>
        <w:tc>
          <w:tcPr>
            <w:tcW w:w="828" w:type="dxa"/>
          </w:tcPr>
          <w:p>
            <w:pPr>
              <w:pStyle w:val="TableParagraph"/>
              <w:spacing w:before="13"/>
              <w:ind w:left="130"/>
              <w:rPr>
                <w:sz w:val="24"/>
              </w:rPr>
            </w:pPr>
            <w:r>
              <w:rPr>
                <w:sz w:val="24"/>
              </w:rPr>
              <w:t>Label</w:t>
            </w:r>
          </w:p>
        </w:tc>
      </w:tr>
      <w:tr>
        <w:trPr>
          <w:trHeight w:val="443" w:hRule="atLeast"/>
        </w:trPr>
        <w:tc>
          <w:tcPr>
            <w:tcW w:w="1008" w:type="dxa"/>
          </w:tcPr>
          <w:p>
            <w:pPr>
              <w:pStyle w:val="TableParagraph"/>
              <w:spacing w:before="15"/>
              <w:ind w:left="55"/>
              <w:rPr>
                <w:sz w:val="24"/>
              </w:rPr>
            </w:pPr>
            <w:r>
              <w:rPr>
                <w:sz w:val="24"/>
              </w:rPr>
              <w:t>CLDV1</w:t>
            </w:r>
          </w:p>
        </w:tc>
        <w:tc>
          <w:tcPr>
            <w:tcW w:w="490" w:type="dxa"/>
          </w:tcPr>
          <w:p>
            <w:pPr>
              <w:pStyle w:val="TableParagraph"/>
              <w:spacing w:before="15"/>
              <w:ind w:left="32" w:right="30"/>
              <w:jc w:val="center"/>
              <w:rPr>
                <w:sz w:val="24"/>
              </w:rPr>
            </w:pPr>
            <w:r>
              <w:rPr>
                <w:sz w:val="24"/>
              </w:rPr>
              <w:t>&lt;---</w:t>
            </w:r>
          </w:p>
        </w:tc>
        <w:tc>
          <w:tcPr>
            <w:tcW w:w="935" w:type="dxa"/>
          </w:tcPr>
          <w:p>
            <w:pPr>
              <w:pStyle w:val="TableParagraph"/>
              <w:spacing w:before="15"/>
              <w:ind w:left="138"/>
              <w:rPr>
                <w:sz w:val="24"/>
              </w:rPr>
            </w:pPr>
            <w:r>
              <w:rPr>
                <w:sz w:val="24"/>
              </w:rPr>
              <w:t>CLDV</w:t>
            </w:r>
          </w:p>
        </w:tc>
        <w:tc>
          <w:tcPr>
            <w:tcW w:w="1122" w:type="dxa"/>
          </w:tcPr>
          <w:p>
            <w:pPr>
              <w:pStyle w:val="TableParagraph"/>
              <w:spacing w:before="15"/>
              <w:ind w:right="132"/>
              <w:jc w:val="right"/>
              <w:rPr>
                <w:sz w:val="24"/>
              </w:rPr>
            </w:pPr>
            <w:r>
              <w:rPr>
                <w:sz w:val="24"/>
              </w:rPr>
              <w:t>1.000</w:t>
            </w:r>
          </w:p>
        </w:tc>
        <w:tc>
          <w:tcPr>
            <w:tcW w:w="700" w:type="dxa"/>
          </w:tcPr>
          <w:p>
            <w:pPr>
              <w:pStyle w:val="TableParagraph"/>
              <w:rPr>
                <w:sz w:val="20"/>
              </w:rPr>
            </w:pPr>
          </w:p>
        </w:tc>
        <w:tc>
          <w:tcPr>
            <w:tcW w:w="943" w:type="dxa"/>
          </w:tcPr>
          <w:p>
            <w:pPr>
              <w:pStyle w:val="TableParagraph"/>
              <w:rPr>
                <w:sz w:val="20"/>
              </w:rPr>
            </w:pPr>
          </w:p>
        </w:tc>
        <w:tc>
          <w:tcPr>
            <w:tcW w:w="643" w:type="dxa"/>
          </w:tcPr>
          <w:p>
            <w:pPr>
              <w:pStyle w:val="TableParagraph"/>
              <w:rPr>
                <w:sz w:val="20"/>
              </w:rPr>
            </w:pPr>
          </w:p>
        </w:tc>
        <w:tc>
          <w:tcPr>
            <w:tcW w:w="828" w:type="dxa"/>
          </w:tcPr>
          <w:p>
            <w:pPr>
              <w:pStyle w:val="TableParagraph"/>
              <w:rPr>
                <w:sz w:val="20"/>
              </w:rPr>
            </w:pPr>
          </w:p>
        </w:tc>
      </w:tr>
      <w:tr>
        <w:trPr>
          <w:trHeight w:val="446" w:hRule="atLeast"/>
        </w:trPr>
        <w:tc>
          <w:tcPr>
            <w:tcW w:w="1008" w:type="dxa"/>
          </w:tcPr>
          <w:p>
            <w:pPr>
              <w:pStyle w:val="TableParagraph"/>
              <w:spacing w:before="15"/>
              <w:ind w:left="55"/>
              <w:rPr>
                <w:sz w:val="24"/>
              </w:rPr>
            </w:pPr>
            <w:r>
              <w:rPr>
                <w:sz w:val="24"/>
              </w:rPr>
              <w:t>CLDV7</w:t>
            </w:r>
          </w:p>
        </w:tc>
        <w:tc>
          <w:tcPr>
            <w:tcW w:w="490" w:type="dxa"/>
          </w:tcPr>
          <w:p>
            <w:pPr>
              <w:pStyle w:val="TableParagraph"/>
              <w:spacing w:before="15"/>
              <w:ind w:left="32" w:right="31"/>
              <w:jc w:val="center"/>
              <w:rPr>
                <w:sz w:val="24"/>
              </w:rPr>
            </w:pPr>
            <w:r>
              <w:rPr>
                <w:sz w:val="24"/>
              </w:rPr>
              <w:t>&lt;---</w:t>
            </w:r>
          </w:p>
        </w:tc>
        <w:tc>
          <w:tcPr>
            <w:tcW w:w="935" w:type="dxa"/>
          </w:tcPr>
          <w:p>
            <w:pPr>
              <w:pStyle w:val="TableParagraph"/>
              <w:spacing w:before="15"/>
              <w:ind w:left="138"/>
              <w:rPr>
                <w:sz w:val="24"/>
              </w:rPr>
            </w:pPr>
            <w:r>
              <w:rPr>
                <w:sz w:val="24"/>
              </w:rPr>
              <w:t>CLDV</w:t>
            </w:r>
          </w:p>
        </w:tc>
        <w:tc>
          <w:tcPr>
            <w:tcW w:w="1122" w:type="dxa"/>
          </w:tcPr>
          <w:p>
            <w:pPr>
              <w:pStyle w:val="TableParagraph"/>
              <w:spacing w:before="15"/>
              <w:ind w:right="132"/>
              <w:jc w:val="right"/>
              <w:rPr>
                <w:sz w:val="24"/>
              </w:rPr>
            </w:pPr>
            <w:r>
              <w:rPr>
                <w:sz w:val="24"/>
              </w:rPr>
              <w:t>.998</w:t>
            </w:r>
          </w:p>
        </w:tc>
        <w:tc>
          <w:tcPr>
            <w:tcW w:w="700" w:type="dxa"/>
          </w:tcPr>
          <w:p>
            <w:pPr>
              <w:pStyle w:val="TableParagraph"/>
              <w:spacing w:before="15"/>
              <w:ind w:left="116" w:right="113"/>
              <w:jc w:val="center"/>
              <w:rPr>
                <w:sz w:val="24"/>
              </w:rPr>
            </w:pPr>
            <w:r>
              <w:rPr>
                <w:sz w:val="24"/>
              </w:rPr>
              <w:t>.061</w:t>
            </w:r>
          </w:p>
        </w:tc>
        <w:tc>
          <w:tcPr>
            <w:tcW w:w="943" w:type="dxa"/>
          </w:tcPr>
          <w:p>
            <w:pPr>
              <w:pStyle w:val="TableParagraph"/>
              <w:spacing w:before="15"/>
              <w:ind w:right="136"/>
              <w:jc w:val="right"/>
              <w:rPr>
                <w:sz w:val="24"/>
              </w:rPr>
            </w:pPr>
            <w:r>
              <w:rPr>
                <w:sz w:val="24"/>
              </w:rPr>
              <w:t>16.492</w:t>
            </w:r>
          </w:p>
        </w:tc>
        <w:tc>
          <w:tcPr>
            <w:tcW w:w="643" w:type="dxa"/>
          </w:tcPr>
          <w:p>
            <w:pPr>
              <w:pStyle w:val="TableParagraph"/>
              <w:spacing w:before="15"/>
              <w:ind w:right="137"/>
              <w:jc w:val="right"/>
              <w:rPr>
                <w:sz w:val="24"/>
              </w:rPr>
            </w:pPr>
            <w:r>
              <w:rPr>
                <w:sz w:val="24"/>
              </w:rPr>
              <w:t>***</w:t>
            </w:r>
          </w:p>
        </w:tc>
        <w:tc>
          <w:tcPr>
            <w:tcW w:w="828" w:type="dxa"/>
          </w:tcPr>
          <w:p>
            <w:pPr>
              <w:pStyle w:val="TableParagraph"/>
              <w:rPr>
                <w:sz w:val="20"/>
              </w:rPr>
            </w:pPr>
          </w:p>
        </w:tc>
      </w:tr>
      <w:tr>
        <w:trPr>
          <w:trHeight w:val="443" w:hRule="atLeast"/>
        </w:trPr>
        <w:tc>
          <w:tcPr>
            <w:tcW w:w="1008" w:type="dxa"/>
          </w:tcPr>
          <w:p>
            <w:pPr>
              <w:pStyle w:val="TableParagraph"/>
              <w:spacing w:before="13"/>
              <w:ind w:left="55"/>
              <w:rPr>
                <w:sz w:val="24"/>
              </w:rPr>
            </w:pPr>
            <w:r>
              <w:rPr>
                <w:sz w:val="24"/>
              </w:rPr>
              <w:t>CLDV8</w:t>
            </w:r>
          </w:p>
        </w:tc>
        <w:tc>
          <w:tcPr>
            <w:tcW w:w="490" w:type="dxa"/>
          </w:tcPr>
          <w:p>
            <w:pPr>
              <w:pStyle w:val="TableParagraph"/>
              <w:spacing w:before="13"/>
              <w:ind w:left="32" w:right="30"/>
              <w:jc w:val="center"/>
              <w:rPr>
                <w:sz w:val="24"/>
              </w:rPr>
            </w:pPr>
            <w:r>
              <w:rPr>
                <w:sz w:val="24"/>
              </w:rPr>
              <w:t>&lt;---</w:t>
            </w:r>
          </w:p>
        </w:tc>
        <w:tc>
          <w:tcPr>
            <w:tcW w:w="935" w:type="dxa"/>
          </w:tcPr>
          <w:p>
            <w:pPr>
              <w:pStyle w:val="TableParagraph"/>
              <w:spacing w:before="13"/>
              <w:ind w:left="138"/>
              <w:rPr>
                <w:sz w:val="24"/>
              </w:rPr>
            </w:pPr>
            <w:r>
              <w:rPr>
                <w:sz w:val="24"/>
              </w:rPr>
              <w:t>CLDV</w:t>
            </w:r>
          </w:p>
        </w:tc>
        <w:tc>
          <w:tcPr>
            <w:tcW w:w="1122" w:type="dxa"/>
          </w:tcPr>
          <w:p>
            <w:pPr>
              <w:pStyle w:val="TableParagraph"/>
              <w:spacing w:before="13"/>
              <w:ind w:right="132"/>
              <w:jc w:val="right"/>
              <w:rPr>
                <w:sz w:val="24"/>
              </w:rPr>
            </w:pPr>
            <w:r>
              <w:rPr>
                <w:sz w:val="24"/>
              </w:rPr>
              <w:t>.971</w:t>
            </w:r>
          </w:p>
        </w:tc>
        <w:tc>
          <w:tcPr>
            <w:tcW w:w="700" w:type="dxa"/>
          </w:tcPr>
          <w:p>
            <w:pPr>
              <w:pStyle w:val="TableParagraph"/>
              <w:spacing w:before="13"/>
              <w:ind w:left="116" w:right="113"/>
              <w:jc w:val="center"/>
              <w:rPr>
                <w:sz w:val="24"/>
              </w:rPr>
            </w:pPr>
            <w:r>
              <w:rPr>
                <w:sz w:val="24"/>
              </w:rPr>
              <w:t>.054</w:t>
            </w:r>
          </w:p>
        </w:tc>
        <w:tc>
          <w:tcPr>
            <w:tcW w:w="943" w:type="dxa"/>
          </w:tcPr>
          <w:p>
            <w:pPr>
              <w:pStyle w:val="TableParagraph"/>
              <w:spacing w:before="13"/>
              <w:ind w:right="136"/>
              <w:jc w:val="right"/>
              <w:rPr>
                <w:sz w:val="24"/>
              </w:rPr>
            </w:pPr>
            <w:r>
              <w:rPr>
                <w:sz w:val="24"/>
              </w:rPr>
              <w:t>18.089</w:t>
            </w:r>
          </w:p>
        </w:tc>
        <w:tc>
          <w:tcPr>
            <w:tcW w:w="643" w:type="dxa"/>
          </w:tcPr>
          <w:p>
            <w:pPr>
              <w:pStyle w:val="TableParagraph"/>
              <w:spacing w:before="13"/>
              <w:ind w:right="137"/>
              <w:jc w:val="right"/>
              <w:rPr>
                <w:sz w:val="24"/>
              </w:rPr>
            </w:pPr>
            <w:r>
              <w:rPr>
                <w:sz w:val="24"/>
              </w:rPr>
              <w:t>***</w:t>
            </w:r>
          </w:p>
        </w:tc>
        <w:tc>
          <w:tcPr>
            <w:tcW w:w="828" w:type="dxa"/>
          </w:tcPr>
          <w:p>
            <w:pPr>
              <w:pStyle w:val="TableParagraph"/>
              <w:rPr>
                <w:sz w:val="20"/>
              </w:rPr>
            </w:pPr>
          </w:p>
        </w:tc>
      </w:tr>
      <w:tr>
        <w:trPr>
          <w:trHeight w:val="443" w:hRule="atLeast"/>
        </w:trPr>
        <w:tc>
          <w:tcPr>
            <w:tcW w:w="1008" w:type="dxa"/>
          </w:tcPr>
          <w:p>
            <w:pPr>
              <w:pStyle w:val="TableParagraph"/>
              <w:spacing w:before="13"/>
              <w:ind w:left="55"/>
              <w:rPr>
                <w:sz w:val="24"/>
              </w:rPr>
            </w:pPr>
            <w:r>
              <w:rPr>
                <w:sz w:val="24"/>
              </w:rPr>
              <w:t>CLDV4</w:t>
            </w:r>
          </w:p>
        </w:tc>
        <w:tc>
          <w:tcPr>
            <w:tcW w:w="490" w:type="dxa"/>
          </w:tcPr>
          <w:p>
            <w:pPr>
              <w:pStyle w:val="TableParagraph"/>
              <w:spacing w:before="13"/>
              <w:ind w:left="32" w:right="30"/>
              <w:jc w:val="center"/>
              <w:rPr>
                <w:sz w:val="24"/>
              </w:rPr>
            </w:pPr>
            <w:r>
              <w:rPr>
                <w:sz w:val="24"/>
              </w:rPr>
              <w:t>&lt;---</w:t>
            </w:r>
          </w:p>
        </w:tc>
        <w:tc>
          <w:tcPr>
            <w:tcW w:w="935" w:type="dxa"/>
          </w:tcPr>
          <w:p>
            <w:pPr>
              <w:pStyle w:val="TableParagraph"/>
              <w:spacing w:before="13"/>
              <w:ind w:left="138"/>
              <w:rPr>
                <w:sz w:val="24"/>
              </w:rPr>
            </w:pPr>
            <w:r>
              <w:rPr>
                <w:sz w:val="24"/>
              </w:rPr>
              <w:t>CLDV</w:t>
            </w:r>
          </w:p>
        </w:tc>
        <w:tc>
          <w:tcPr>
            <w:tcW w:w="1122" w:type="dxa"/>
          </w:tcPr>
          <w:p>
            <w:pPr>
              <w:pStyle w:val="TableParagraph"/>
              <w:spacing w:before="13"/>
              <w:ind w:right="132"/>
              <w:jc w:val="right"/>
              <w:rPr>
                <w:sz w:val="24"/>
              </w:rPr>
            </w:pPr>
            <w:r>
              <w:rPr>
                <w:sz w:val="24"/>
              </w:rPr>
              <w:t>.997</w:t>
            </w:r>
          </w:p>
        </w:tc>
        <w:tc>
          <w:tcPr>
            <w:tcW w:w="700" w:type="dxa"/>
          </w:tcPr>
          <w:p>
            <w:pPr>
              <w:pStyle w:val="TableParagraph"/>
              <w:spacing w:before="13"/>
              <w:ind w:left="116" w:right="113"/>
              <w:jc w:val="center"/>
              <w:rPr>
                <w:sz w:val="24"/>
              </w:rPr>
            </w:pPr>
            <w:r>
              <w:rPr>
                <w:sz w:val="24"/>
              </w:rPr>
              <w:t>.055</w:t>
            </w:r>
          </w:p>
        </w:tc>
        <w:tc>
          <w:tcPr>
            <w:tcW w:w="943" w:type="dxa"/>
          </w:tcPr>
          <w:p>
            <w:pPr>
              <w:pStyle w:val="TableParagraph"/>
              <w:spacing w:before="13"/>
              <w:ind w:right="136"/>
              <w:jc w:val="right"/>
              <w:rPr>
                <w:sz w:val="24"/>
              </w:rPr>
            </w:pPr>
            <w:r>
              <w:rPr>
                <w:sz w:val="24"/>
              </w:rPr>
              <w:t>18.259</w:t>
            </w:r>
          </w:p>
        </w:tc>
        <w:tc>
          <w:tcPr>
            <w:tcW w:w="643" w:type="dxa"/>
          </w:tcPr>
          <w:p>
            <w:pPr>
              <w:pStyle w:val="TableParagraph"/>
              <w:spacing w:before="13"/>
              <w:ind w:right="137"/>
              <w:jc w:val="right"/>
              <w:rPr>
                <w:sz w:val="24"/>
              </w:rPr>
            </w:pPr>
            <w:r>
              <w:rPr>
                <w:sz w:val="24"/>
              </w:rPr>
              <w:t>***</w:t>
            </w:r>
          </w:p>
        </w:tc>
        <w:tc>
          <w:tcPr>
            <w:tcW w:w="828" w:type="dxa"/>
          </w:tcPr>
          <w:p>
            <w:pPr>
              <w:pStyle w:val="TableParagraph"/>
              <w:rPr>
                <w:sz w:val="20"/>
              </w:rPr>
            </w:pPr>
          </w:p>
        </w:tc>
      </w:tr>
      <w:tr>
        <w:trPr>
          <w:trHeight w:val="443" w:hRule="atLeast"/>
        </w:trPr>
        <w:tc>
          <w:tcPr>
            <w:tcW w:w="1008" w:type="dxa"/>
          </w:tcPr>
          <w:p>
            <w:pPr>
              <w:pStyle w:val="TableParagraph"/>
              <w:spacing w:before="13"/>
              <w:ind w:left="55"/>
              <w:rPr>
                <w:sz w:val="24"/>
              </w:rPr>
            </w:pPr>
            <w:r>
              <w:rPr>
                <w:sz w:val="24"/>
              </w:rPr>
              <w:t>CLDV3</w:t>
            </w:r>
          </w:p>
        </w:tc>
        <w:tc>
          <w:tcPr>
            <w:tcW w:w="490" w:type="dxa"/>
          </w:tcPr>
          <w:p>
            <w:pPr>
              <w:pStyle w:val="TableParagraph"/>
              <w:spacing w:before="13"/>
              <w:ind w:left="32" w:right="31"/>
              <w:jc w:val="center"/>
              <w:rPr>
                <w:sz w:val="24"/>
              </w:rPr>
            </w:pPr>
            <w:r>
              <w:rPr>
                <w:sz w:val="24"/>
              </w:rPr>
              <w:t>&lt;---</w:t>
            </w:r>
          </w:p>
        </w:tc>
        <w:tc>
          <w:tcPr>
            <w:tcW w:w="935" w:type="dxa"/>
          </w:tcPr>
          <w:p>
            <w:pPr>
              <w:pStyle w:val="TableParagraph"/>
              <w:spacing w:before="13"/>
              <w:ind w:left="138"/>
              <w:rPr>
                <w:sz w:val="24"/>
              </w:rPr>
            </w:pPr>
            <w:r>
              <w:rPr>
                <w:sz w:val="24"/>
              </w:rPr>
              <w:t>CLDV</w:t>
            </w:r>
          </w:p>
        </w:tc>
        <w:tc>
          <w:tcPr>
            <w:tcW w:w="1122" w:type="dxa"/>
          </w:tcPr>
          <w:p>
            <w:pPr>
              <w:pStyle w:val="TableParagraph"/>
              <w:spacing w:before="13"/>
              <w:ind w:right="132"/>
              <w:jc w:val="right"/>
              <w:rPr>
                <w:sz w:val="24"/>
              </w:rPr>
            </w:pPr>
            <w:r>
              <w:rPr>
                <w:sz w:val="24"/>
              </w:rPr>
              <w:t>.942</w:t>
            </w:r>
          </w:p>
        </w:tc>
        <w:tc>
          <w:tcPr>
            <w:tcW w:w="700" w:type="dxa"/>
          </w:tcPr>
          <w:p>
            <w:pPr>
              <w:pStyle w:val="TableParagraph"/>
              <w:spacing w:before="13"/>
              <w:ind w:left="116" w:right="113"/>
              <w:jc w:val="center"/>
              <w:rPr>
                <w:sz w:val="24"/>
              </w:rPr>
            </w:pPr>
            <w:r>
              <w:rPr>
                <w:sz w:val="24"/>
              </w:rPr>
              <w:t>.053</w:t>
            </w:r>
          </w:p>
        </w:tc>
        <w:tc>
          <w:tcPr>
            <w:tcW w:w="943" w:type="dxa"/>
          </w:tcPr>
          <w:p>
            <w:pPr>
              <w:pStyle w:val="TableParagraph"/>
              <w:spacing w:before="13"/>
              <w:ind w:right="136"/>
              <w:jc w:val="right"/>
              <w:rPr>
                <w:sz w:val="24"/>
              </w:rPr>
            </w:pPr>
            <w:r>
              <w:rPr>
                <w:sz w:val="24"/>
              </w:rPr>
              <w:t>17.662</w:t>
            </w:r>
          </w:p>
        </w:tc>
        <w:tc>
          <w:tcPr>
            <w:tcW w:w="643" w:type="dxa"/>
          </w:tcPr>
          <w:p>
            <w:pPr>
              <w:pStyle w:val="TableParagraph"/>
              <w:spacing w:before="13"/>
              <w:ind w:right="137"/>
              <w:jc w:val="right"/>
              <w:rPr>
                <w:sz w:val="24"/>
              </w:rPr>
            </w:pPr>
            <w:r>
              <w:rPr>
                <w:sz w:val="24"/>
              </w:rPr>
              <w:t>***</w:t>
            </w:r>
          </w:p>
        </w:tc>
        <w:tc>
          <w:tcPr>
            <w:tcW w:w="828" w:type="dxa"/>
          </w:tcPr>
          <w:p>
            <w:pPr>
              <w:pStyle w:val="TableParagraph"/>
              <w:rPr>
                <w:sz w:val="20"/>
              </w:rPr>
            </w:pPr>
          </w:p>
        </w:tc>
      </w:tr>
      <w:tr>
        <w:trPr>
          <w:trHeight w:val="443" w:hRule="atLeast"/>
        </w:trPr>
        <w:tc>
          <w:tcPr>
            <w:tcW w:w="1008" w:type="dxa"/>
          </w:tcPr>
          <w:p>
            <w:pPr>
              <w:pStyle w:val="TableParagraph"/>
              <w:spacing w:before="13"/>
              <w:ind w:left="55"/>
              <w:rPr>
                <w:sz w:val="24"/>
              </w:rPr>
            </w:pPr>
            <w:r>
              <w:rPr>
                <w:sz w:val="24"/>
              </w:rPr>
              <w:t>CLDV6</w:t>
            </w:r>
          </w:p>
        </w:tc>
        <w:tc>
          <w:tcPr>
            <w:tcW w:w="490" w:type="dxa"/>
          </w:tcPr>
          <w:p>
            <w:pPr>
              <w:pStyle w:val="TableParagraph"/>
              <w:spacing w:before="13"/>
              <w:ind w:left="32" w:right="31"/>
              <w:jc w:val="center"/>
              <w:rPr>
                <w:sz w:val="24"/>
              </w:rPr>
            </w:pPr>
            <w:r>
              <w:rPr>
                <w:sz w:val="24"/>
              </w:rPr>
              <w:t>&lt;---</w:t>
            </w:r>
          </w:p>
        </w:tc>
        <w:tc>
          <w:tcPr>
            <w:tcW w:w="935" w:type="dxa"/>
          </w:tcPr>
          <w:p>
            <w:pPr>
              <w:pStyle w:val="TableParagraph"/>
              <w:spacing w:before="13"/>
              <w:ind w:left="138"/>
              <w:rPr>
                <w:sz w:val="24"/>
              </w:rPr>
            </w:pPr>
            <w:r>
              <w:rPr>
                <w:sz w:val="24"/>
              </w:rPr>
              <w:t>CLDV</w:t>
            </w:r>
          </w:p>
        </w:tc>
        <w:tc>
          <w:tcPr>
            <w:tcW w:w="1122" w:type="dxa"/>
          </w:tcPr>
          <w:p>
            <w:pPr>
              <w:pStyle w:val="TableParagraph"/>
              <w:spacing w:before="13"/>
              <w:ind w:right="132"/>
              <w:jc w:val="right"/>
              <w:rPr>
                <w:sz w:val="24"/>
              </w:rPr>
            </w:pPr>
            <w:r>
              <w:rPr>
                <w:sz w:val="24"/>
              </w:rPr>
              <w:t>.914</w:t>
            </w:r>
          </w:p>
        </w:tc>
        <w:tc>
          <w:tcPr>
            <w:tcW w:w="700" w:type="dxa"/>
          </w:tcPr>
          <w:p>
            <w:pPr>
              <w:pStyle w:val="TableParagraph"/>
              <w:spacing w:before="13"/>
              <w:ind w:left="116" w:right="113"/>
              <w:jc w:val="center"/>
              <w:rPr>
                <w:sz w:val="24"/>
              </w:rPr>
            </w:pPr>
            <w:r>
              <w:rPr>
                <w:sz w:val="24"/>
              </w:rPr>
              <w:t>.067</w:t>
            </w:r>
          </w:p>
        </w:tc>
        <w:tc>
          <w:tcPr>
            <w:tcW w:w="943" w:type="dxa"/>
          </w:tcPr>
          <w:p>
            <w:pPr>
              <w:pStyle w:val="TableParagraph"/>
              <w:spacing w:before="13"/>
              <w:ind w:right="136"/>
              <w:jc w:val="right"/>
              <w:rPr>
                <w:sz w:val="24"/>
              </w:rPr>
            </w:pPr>
            <w:r>
              <w:rPr>
                <w:sz w:val="24"/>
              </w:rPr>
              <w:t>13.572</w:t>
            </w:r>
          </w:p>
        </w:tc>
        <w:tc>
          <w:tcPr>
            <w:tcW w:w="643" w:type="dxa"/>
          </w:tcPr>
          <w:p>
            <w:pPr>
              <w:pStyle w:val="TableParagraph"/>
              <w:spacing w:before="13"/>
              <w:ind w:right="137"/>
              <w:jc w:val="right"/>
              <w:rPr>
                <w:sz w:val="24"/>
              </w:rPr>
            </w:pPr>
            <w:r>
              <w:rPr>
                <w:sz w:val="24"/>
              </w:rPr>
              <w:t>***</w:t>
            </w:r>
          </w:p>
        </w:tc>
        <w:tc>
          <w:tcPr>
            <w:tcW w:w="828" w:type="dxa"/>
          </w:tcPr>
          <w:p>
            <w:pPr>
              <w:pStyle w:val="TableParagraph"/>
              <w:rPr>
                <w:sz w:val="20"/>
              </w:rPr>
            </w:pPr>
          </w:p>
        </w:tc>
      </w:tr>
      <w:tr>
        <w:trPr>
          <w:trHeight w:val="443" w:hRule="atLeast"/>
        </w:trPr>
        <w:tc>
          <w:tcPr>
            <w:tcW w:w="1008" w:type="dxa"/>
          </w:tcPr>
          <w:p>
            <w:pPr>
              <w:pStyle w:val="TableParagraph"/>
              <w:spacing w:before="15"/>
              <w:ind w:left="55"/>
              <w:rPr>
                <w:sz w:val="24"/>
              </w:rPr>
            </w:pPr>
            <w:r>
              <w:rPr>
                <w:sz w:val="24"/>
              </w:rPr>
              <w:t>CLDV10</w:t>
            </w:r>
          </w:p>
        </w:tc>
        <w:tc>
          <w:tcPr>
            <w:tcW w:w="490" w:type="dxa"/>
          </w:tcPr>
          <w:p>
            <w:pPr>
              <w:pStyle w:val="TableParagraph"/>
              <w:spacing w:before="15"/>
              <w:ind w:left="32" w:right="30"/>
              <w:jc w:val="center"/>
              <w:rPr>
                <w:sz w:val="24"/>
              </w:rPr>
            </w:pPr>
            <w:r>
              <w:rPr>
                <w:sz w:val="24"/>
              </w:rPr>
              <w:t>&lt;---</w:t>
            </w:r>
          </w:p>
        </w:tc>
        <w:tc>
          <w:tcPr>
            <w:tcW w:w="935" w:type="dxa"/>
          </w:tcPr>
          <w:p>
            <w:pPr>
              <w:pStyle w:val="TableParagraph"/>
              <w:spacing w:before="15"/>
              <w:ind w:left="138"/>
              <w:rPr>
                <w:sz w:val="24"/>
              </w:rPr>
            </w:pPr>
            <w:r>
              <w:rPr>
                <w:sz w:val="24"/>
              </w:rPr>
              <w:t>CLDV</w:t>
            </w:r>
          </w:p>
        </w:tc>
        <w:tc>
          <w:tcPr>
            <w:tcW w:w="1122" w:type="dxa"/>
          </w:tcPr>
          <w:p>
            <w:pPr>
              <w:pStyle w:val="TableParagraph"/>
              <w:spacing w:before="15"/>
              <w:ind w:right="132"/>
              <w:jc w:val="right"/>
              <w:rPr>
                <w:sz w:val="24"/>
              </w:rPr>
            </w:pPr>
            <w:r>
              <w:rPr>
                <w:sz w:val="24"/>
              </w:rPr>
              <w:t>.695</w:t>
            </w:r>
          </w:p>
        </w:tc>
        <w:tc>
          <w:tcPr>
            <w:tcW w:w="700" w:type="dxa"/>
          </w:tcPr>
          <w:p>
            <w:pPr>
              <w:pStyle w:val="TableParagraph"/>
              <w:spacing w:before="15"/>
              <w:ind w:left="116" w:right="113"/>
              <w:jc w:val="center"/>
              <w:rPr>
                <w:sz w:val="24"/>
              </w:rPr>
            </w:pPr>
            <w:r>
              <w:rPr>
                <w:sz w:val="24"/>
              </w:rPr>
              <w:t>.063</w:t>
            </w:r>
          </w:p>
        </w:tc>
        <w:tc>
          <w:tcPr>
            <w:tcW w:w="943" w:type="dxa"/>
          </w:tcPr>
          <w:p>
            <w:pPr>
              <w:pStyle w:val="TableParagraph"/>
              <w:spacing w:before="15"/>
              <w:ind w:right="136"/>
              <w:jc w:val="right"/>
              <w:rPr>
                <w:sz w:val="24"/>
              </w:rPr>
            </w:pPr>
            <w:r>
              <w:rPr>
                <w:sz w:val="24"/>
              </w:rPr>
              <w:t>11.087</w:t>
            </w:r>
          </w:p>
        </w:tc>
        <w:tc>
          <w:tcPr>
            <w:tcW w:w="643" w:type="dxa"/>
          </w:tcPr>
          <w:p>
            <w:pPr>
              <w:pStyle w:val="TableParagraph"/>
              <w:spacing w:before="15"/>
              <w:ind w:right="137"/>
              <w:jc w:val="right"/>
              <w:rPr>
                <w:sz w:val="24"/>
              </w:rPr>
            </w:pPr>
            <w:r>
              <w:rPr>
                <w:sz w:val="24"/>
              </w:rPr>
              <w:t>***</w:t>
            </w:r>
          </w:p>
        </w:tc>
        <w:tc>
          <w:tcPr>
            <w:tcW w:w="828" w:type="dxa"/>
          </w:tcPr>
          <w:p>
            <w:pPr>
              <w:pStyle w:val="TableParagraph"/>
              <w:rPr>
                <w:sz w:val="20"/>
              </w:rPr>
            </w:pPr>
          </w:p>
        </w:tc>
      </w:tr>
      <w:tr>
        <w:trPr>
          <w:trHeight w:val="444" w:hRule="atLeast"/>
        </w:trPr>
        <w:tc>
          <w:tcPr>
            <w:tcW w:w="1008" w:type="dxa"/>
          </w:tcPr>
          <w:p>
            <w:pPr>
              <w:pStyle w:val="TableParagraph"/>
              <w:spacing w:before="15"/>
              <w:ind w:left="55"/>
              <w:rPr>
                <w:sz w:val="24"/>
              </w:rPr>
            </w:pPr>
            <w:r>
              <w:rPr>
                <w:sz w:val="24"/>
              </w:rPr>
              <w:t>CP3</w:t>
            </w:r>
          </w:p>
        </w:tc>
        <w:tc>
          <w:tcPr>
            <w:tcW w:w="490" w:type="dxa"/>
          </w:tcPr>
          <w:p>
            <w:pPr>
              <w:pStyle w:val="TableParagraph"/>
              <w:spacing w:before="15"/>
              <w:ind w:left="32" w:right="31"/>
              <w:jc w:val="center"/>
              <w:rPr>
                <w:sz w:val="24"/>
              </w:rPr>
            </w:pPr>
            <w:r>
              <w:rPr>
                <w:sz w:val="24"/>
              </w:rPr>
              <w:t>&lt;---</w:t>
            </w:r>
          </w:p>
        </w:tc>
        <w:tc>
          <w:tcPr>
            <w:tcW w:w="935" w:type="dxa"/>
          </w:tcPr>
          <w:p>
            <w:pPr>
              <w:pStyle w:val="TableParagraph"/>
              <w:spacing w:before="15"/>
              <w:ind w:left="138"/>
              <w:rPr>
                <w:sz w:val="24"/>
              </w:rPr>
            </w:pPr>
            <w:r>
              <w:rPr>
                <w:sz w:val="24"/>
              </w:rPr>
              <w:t>CP</w:t>
            </w:r>
          </w:p>
        </w:tc>
        <w:tc>
          <w:tcPr>
            <w:tcW w:w="1122" w:type="dxa"/>
          </w:tcPr>
          <w:p>
            <w:pPr>
              <w:pStyle w:val="TableParagraph"/>
              <w:spacing w:before="15"/>
              <w:ind w:right="132"/>
              <w:jc w:val="right"/>
              <w:rPr>
                <w:sz w:val="24"/>
              </w:rPr>
            </w:pPr>
            <w:r>
              <w:rPr>
                <w:sz w:val="24"/>
              </w:rPr>
              <w:t>1.000</w:t>
            </w:r>
          </w:p>
        </w:tc>
        <w:tc>
          <w:tcPr>
            <w:tcW w:w="700" w:type="dxa"/>
          </w:tcPr>
          <w:p>
            <w:pPr>
              <w:pStyle w:val="TableParagraph"/>
              <w:rPr>
                <w:sz w:val="20"/>
              </w:rPr>
            </w:pPr>
          </w:p>
        </w:tc>
        <w:tc>
          <w:tcPr>
            <w:tcW w:w="943" w:type="dxa"/>
          </w:tcPr>
          <w:p>
            <w:pPr>
              <w:pStyle w:val="TableParagraph"/>
              <w:rPr>
                <w:sz w:val="20"/>
              </w:rPr>
            </w:pPr>
          </w:p>
        </w:tc>
        <w:tc>
          <w:tcPr>
            <w:tcW w:w="643" w:type="dxa"/>
          </w:tcPr>
          <w:p>
            <w:pPr>
              <w:pStyle w:val="TableParagraph"/>
              <w:rPr>
                <w:sz w:val="20"/>
              </w:rPr>
            </w:pPr>
          </w:p>
        </w:tc>
        <w:tc>
          <w:tcPr>
            <w:tcW w:w="828" w:type="dxa"/>
          </w:tcPr>
          <w:p>
            <w:pPr>
              <w:pStyle w:val="TableParagraph"/>
              <w:rPr>
                <w:sz w:val="20"/>
              </w:rPr>
            </w:pPr>
          </w:p>
        </w:tc>
      </w:tr>
      <w:tr>
        <w:trPr>
          <w:trHeight w:val="445" w:hRule="atLeast"/>
        </w:trPr>
        <w:tc>
          <w:tcPr>
            <w:tcW w:w="1008" w:type="dxa"/>
          </w:tcPr>
          <w:p>
            <w:pPr>
              <w:pStyle w:val="TableParagraph"/>
              <w:spacing w:before="15"/>
              <w:ind w:left="55"/>
              <w:rPr>
                <w:sz w:val="24"/>
              </w:rPr>
            </w:pPr>
            <w:r>
              <w:rPr>
                <w:sz w:val="24"/>
              </w:rPr>
              <w:t>CP4</w:t>
            </w:r>
          </w:p>
        </w:tc>
        <w:tc>
          <w:tcPr>
            <w:tcW w:w="490" w:type="dxa"/>
          </w:tcPr>
          <w:p>
            <w:pPr>
              <w:pStyle w:val="TableParagraph"/>
              <w:spacing w:before="15"/>
              <w:ind w:left="32" w:right="30"/>
              <w:jc w:val="center"/>
              <w:rPr>
                <w:sz w:val="24"/>
              </w:rPr>
            </w:pPr>
            <w:r>
              <w:rPr>
                <w:sz w:val="24"/>
              </w:rPr>
              <w:t>&lt;---</w:t>
            </w:r>
          </w:p>
        </w:tc>
        <w:tc>
          <w:tcPr>
            <w:tcW w:w="935" w:type="dxa"/>
          </w:tcPr>
          <w:p>
            <w:pPr>
              <w:pStyle w:val="TableParagraph"/>
              <w:spacing w:before="15"/>
              <w:ind w:left="138"/>
              <w:rPr>
                <w:sz w:val="24"/>
              </w:rPr>
            </w:pPr>
            <w:r>
              <w:rPr>
                <w:sz w:val="24"/>
              </w:rPr>
              <w:t>CP</w:t>
            </w:r>
          </w:p>
        </w:tc>
        <w:tc>
          <w:tcPr>
            <w:tcW w:w="1122" w:type="dxa"/>
          </w:tcPr>
          <w:p>
            <w:pPr>
              <w:pStyle w:val="TableParagraph"/>
              <w:spacing w:before="15"/>
              <w:ind w:right="132"/>
              <w:jc w:val="right"/>
              <w:rPr>
                <w:sz w:val="24"/>
              </w:rPr>
            </w:pPr>
            <w:r>
              <w:rPr>
                <w:sz w:val="24"/>
              </w:rPr>
              <w:t>1.075</w:t>
            </w:r>
          </w:p>
        </w:tc>
        <w:tc>
          <w:tcPr>
            <w:tcW w:w="700" w:type="dxa"/>
          </w:tcPr>
          <w:p>
            <w:pPr>
              <w:pStyle w:val="TableParagraph"/>
              <w:spacing w:before="15"/>
              <w:ind w:left="116" w:right="113"/>
              <w:jc w:val="center"/>
              <w:rPr>
                <w:sz w:val="24"/>
              </w:rPr>
            </w:pPr>
            <w:r>
              <w:rPr>
                <w:sz w:val="24"/>
              </w:rPr>
              <w:t>.071</w:t>
            </w:r>
          </w:p>
        </w:tc>
        <w:tc>
          <w:tcPr>
            <w:tcW w:w="943" w:type="dxa"/>
          </w:tcPr>
          <w:p>
            <w:pPr>
              <w:pStyle w:val="TableParagraph"/>
              <w:spacing w:before="15"/>
              <w:ind w:right="136"/>
              <w:jc w:val="right"/>
              <w:rPr>
                <w:sz w:val="24"/>
              </w:rPr>
            </w:pPr>
            <w:r>
              <w:rPr>
                <w:sz w:val="24"/>
              </w:rPr>
              <w:t>15.088</w:t>
            </w:r>
          </w:p>
        </w:tc>
        <w:tc>
          <w:tcPr>
            <w:tcW w:w="643" w:type="dxa"/>
          </w:tcPr>
          <w:p>
            <w:pPr>
              <w:pStyle w:val="TableParagraph"/>
              <w:spacing w:before="15"/>
              <w:ind w:right="137"/>
              <w:jc w:val="right"/>
              <w:rPr>
                <w:sz w:val="24"/>
              </w:rPr>
            </w:pPr>
            <w:r>
              <w:rPr>
                <w:sz w:val="24"/>
              </w:rPr>
              <w:t>***</w:t>
            </w:r>
          </w:p>
        </w:tc>
        <w:tc>
          <w:tcPr>
            <w:tcW w:w="828" w:type="dxa"/>
          </w:tcPr>
          <w:p>
            <w:pPr>
              <w:pStyle w:val="TableParagraph"/>
              <w:rPr>
                <w:sz w:val="20"/>
              </w:rPr>
            </w:pPr>
          </w:p>
        </w:tc>
      </w:tr>
      <w:tr>
        <w:trPr>
          <w:trHeight w:val="443" w:hRule="atLeast"/>
        </w:trPr>
        <w:tc>
          <w:tcPr>
            <w:tcW w:w="1008" w:type="dxa"/>
          </w:tcPr>
          <w:p>
            <w:pPr>
              <w:pStyle w:val="TableParagraph"/>
              <w:spacing w:before="13"/>
              <w:ind w:left="55"/>
              <w:rPr>
                <w:sz w:val="24"/>
              </w:rPr>
            </w:pPr>
            <w:r>
              <w:rPr>
                <w:sz w:val="24"/>
              </w:rPr>
              <w:t>CP6</w:t>
            </w:r>
          </w:p>
        </w:tc>
        <w:tc>
          <w:tcPr>
            <w:tcW w:w="490" w:type="dxa"/>
          </w:tcPr>
          <w:p>
            <w:pPr>
              <w:pStyle w:val="TableParagraph"/>
              <w:spacing w:before="13"/>
              <w:ind w:left="32" w:right="30"/>
              <w:jc w:val="center"/>
              <w:rPr>
                <w:sz w:val="24"/>
              </w:rPr>
            </w:pPr>
            <w:r>
              <w:rPr>
                <w:sz w:val="24"/>
              </w:rPr>
              <w:t>&lt;---</w:t>
            </w:r>
          </w:p>
        </w:tc>
        <w:tc>
          <w:tcPr>
            <w:tcW w:w="935" w:type="dxa"/>
          </w:tcPr>
          <w:p>
            <w:pPr>
              <w:pStyle w:val="TableParagraph"/>
              <w:spacing w:before="13"/>
              <w:ind w:left="138"/>
              <w:rPr>
                <w:sz w:val="24"/>
              </w:rPr>
            </w:pPr>
            <w:r>
              <w:rPr>
                <w:sz w:val="24"/>
              </w:rPr>
              <w:t>CP</w:t>
            </w:r>
          </w:p>
        </w:tc>
        <w:tc>
          <w:tcPr>
            <w:tcW w:w="1122" w:type="dxa"/>
          </w:tcPr>
          <w:p>
            <w:pPr>
              <w:pStyle w:val="TableParagraph"/>
              <w:spacing w:before="13"/>
              <w:ind w:right="132"/>
              <w:jc w:val="right"/>
              <w:rPr>
                <w:sz w:val="24"/>
              </w:rPr>
            </w:pPr>
            <w:r>
              <w:rPr>
                <w:sz w:val="24"/>
              </w:rPr>
              <w:t>.999</w:t>
            </w:r>
          </w:p>
        </w:tc>
        <w:tc>
          <w:tcPr>
            <w:tcW w:w="700" w:type="dxa"/>
          </w:tcPr>
          <w:p>
            <w:pPr>
              <w:pStyle w:val="TableParagraph"/>
              <w:spacing w:before="13"/>
              <w:ind w:left="116" w:right="113"/>
              <w:jc w:val="center"/>
              <w:rPr>
                <w:sz w:val="24"/>
              </w:rPr>
            </w:pPr>
            <w:r>
              <w:rPr>
                <w:sz w:val="24"/>
              </w:rPr>
              <w:t>.068</w:t>
            </w:r>
          </w:p>
        </w:tc>
        <w:tc>
          <w:tcPr>
            <w:tcW w:w="943" w:type="dxa"/>
          </w:tcPr>
          <w:p>
            <w:pPr>
              <w:pStyle w:val="TableParagraph"/>
              <w:spacing w:before="13"/>
              <w:ind w:right="136"/>
              <w:jc w:val="right"/>
              <w:rPr>
                <w:sz w:val="24"/>
              </w:rPr>
            </w:pPr>
            <w:r>
              <w:rPr>
                <w:sz w:val="24"/>
              </w:rPr>
              <w:t>14.675</w:t>
            </w:r>
          </w:p>
        </w:tc>
        <w:tc>
          <w:tcPr>
            <w:tcW w:w="643" w:type="dxa"/>
          </w:tcPr>
          <w:p>
            <w:pPr>
              <w:pStyle w:val="TableParagraph"/>
              <w:spacing w:before="13"/>
              <w:ind w:right="137"/>
              <w:jc w:val="right"/>
              <w:rPr>
                <w:sz w:val="24"/>
              </w:rPr>
            </w:pPr>
            <w:r>
              <w:rPr>
                <w:sz w:val="24"/>
              </w:rPr>
              <w:t>***</w:t>
            </w:r>
          </w:p>
        </w:tc>
        <w:tc>
          <w:tcPr>
            <w:tcW w:w="828" w:type="dxa"/>
          </w:tcPr>
          <w:p>
            <w:pPr>
              <w:pStyle w:val="TableParagraph"/>
              <w:rPr>
                <w:sz w:val="20"/>
              </w:rPr>
            </w:pPr>
          </w:p>
        </w:tc>
      </w:tr>
      <w:tr>
        <w:trPr>
          <w:trHeight w:val="443" w:hRule="atLeast"/>
        </w:trPr>
        <w:tc>
          <w:tcPr>
            <w:tcW w:w="1008" w:type="dxa"/>
          </w:tcPr>
          <w:p>
            <w:pPr>
              <w:pStyle w:val="TableParagraph"/>
              <w:spacing w:before="13"/>
              <w:ind w:left="55"/>
              <w:rPr>
                <w:sz w:val="24"/>
              </w:rPr>
            </w:pPr>
            <w:r>
              <w:rPr>
                <w:sz w:val="24"/>
              </w:rPr>
              <w:t>CP2</w:t>
            </w:r>
          </w:p>
        </w:tc>
        <w:tc>
          <w:tcPr>
            <w:tcW w:w="490" w:type="dxa"/>
          </w:tcPr>
          <w:p>
            <w:pPr>
              <w:pStyle w:val="TableParagraph"/>
              <w:spacing w:before="13"/>
              <w:ind w:left="32" w:right="30"/>
              <w:jc w:val="center"/>
              <w:rPr>
                <w:sz w:val="24"/>
              </w:rPr>
            </w:pPr>
            <w:r>
              <w:rPr>
                <w:sz w:val="24"/>
              </w:rPr>
              <w:t>&lt;---</w:t>
            </w:r>
          </w:p>
        </w:tc>
        <w:tc>
          <w:tcPr>
            <w:tcW w:w="935" w:type="dxa"/>
          </w:tcPr>
          <w:p>
            <w:pPr>
              <w:pStyle w:val="TableParagraph"/>
              <w:spacing w:before="13"/>
              <w:ind w:left="138"/>
              <w:rPr>
                <w:sz w:val="24"/>
              </w:rPr>
            </w:pPr>
            <w:r>
              <w:rPr>
                <w:sz w:val="24"/>
              </w:rPr>
              <w:t>CP</w:t>
            </w:r>
          </w:p>
        </w:tc>
        <w:tc>
          <w:tcPr>
            <w:tcW w:w="1122" w:type="dxa"/>
          </w:tcPr>
          <w:p>
            <w:pPr>
              <w:pStyle w:val="TableParagraph"/>
              <w:spacing w:before="13"/>
              <w:ind w:right="132"/>
              <w:jc w:val="right"/>
              <w:rPr>
                <w:sz w:val="24"/>
              </w:rPr>
            </w:pPr>
            <w:r>
              <w:rPr>
                <w:sz w:val="24"/>
              </w:rPr>
              <w:t>.963</w:t>
            </w:r>
          </w:p>
        </w:tc>
        <w:tc>
          <w:tcPr>
            <w:tcW w:w="700" w:type="dxa"/>
          </w:tcPr>
          <w:p>
            <w:pPr>
              <w:pStyle w:val="TableParagraph"/>
              <w:spacing w:before="13"/>
              <w:ind w:left="116" w:right="113"/>
              <w:jc w:val="center"/>
              <w:rPr>
                <w:sz w:val="24"/>
              </w:rPr>
            </w:pPr>
            <w:r>
              <w:rPr>
                <w:sz w:val="24"/>
              </w:rPr>
              <w:t>.057</w:t>
            </w:r>
          </w:p>
        </w:tc>
        <w:tc>
          <w:tcPr>
            <w:tcW w:w="943" w:type="dxa"/>
          </w:tcPr>
          <w:p>
            <w:pPr>
              <w:pStyle w:val="TableParagraph"/>
              <w:spacing w:before="13"/>
              <w:ind w:right="136"/>
              <w:jc w:val="right"/>
              <w:rPr>
                <w:sz w:val="24"/>
              </w:rPr>
            </w:pPr>
            <w:r>
              <w:rPr>
                <w:sz w:val="24"/>
              </w:rPr>
              <w:t>16.898</w:t>
            </w:r>
          </w:p>
        </w:tc>
        <w:tc>
          <w:tcPr>
            <w:tcW w:w="643" w:type="dxa"/>
          </w:tcPr>
          <w:p>
            <w:pPr>
              <w:pStyle w:val="TableParagraph"/>
              <w:spacing w:before="13"/>
              <w:ind w:right="137"/>
              <w:jc w:val="right"/>
              <w:rPr>
                <w:sz w:val="24"/>
              </w:rPr>
            </w:pPr>
            <w:r>
              <w:rPr>
                <w:sz w:val="24"/>
              </w:rPr>
              <w:t>***</w:t>
            </w:r>
          </w:p>
        </w:tc>
        <w:tc>
          <w:tcPr>
            <w:tcW w:w="828" w:type="dxa"/>
          </w:tcPr>
          <w:p>
            <w:pPr>
              <w:pStyle w:val="TableParagraph"/>
              <w:rPr>
                <w:sz w:val="20"/>
              </w:rPr>
            </w:pPr>
          </w:p>
        </w:tc>
      </w:tr>
      <w:tr>
        <w:trPr>
          <w:trHeight w:val="443" w:hRule="atLeast"/>
        </w:trPr>
        <w:tc>
          <w:tcPr>
            <w:tcW w:w="1008" w:type="dxa"/>
          </w:tcPr>
          <w:p>
            <w:pPr>
              <w:pStyle w:val="TableParagraph"/>
              <w:spacing w:before="13"/>
              <w:ind w:left="55"/>
              <w:rPr>
                <w:sz w:val="24"/>
              </w:rPr>
            </w:pPr>
            <w:r>
              <w:rPr>
                <w:sz w:val="24"/>
              </w:rPr>
              <w:t>CP1</w:t>
            </w:r>
          </w:p>
        </w:tc>
        <w:tc>
          <w:tcPr>
            <w:tcW w:w="490" w:type="dxa"/>
          </w:tcPr>
          <w:p>
            <w:pPr>
              <w:pStyle w:val="TableParagraph"/>
              <w:spacing w:before="13"/>
              <w:ind w:left="32" w:right="31"/>
              <w:jc w:val="center"/>
              <w:rPr>
                <w:sz w:val="24"/>
              </w:rPr>
            </w:pPr>
            <w:r>
              <w:rPr>
                <w:sz w:val="24"/>
              </w:rPr>
              <w:t>&lt;---</w:t>
            </w:r>
          </w:p>
        </w:tc>
        <w:tc>
          <w:tcPr>
            <w:tcW w:w="935" w:type="dxa"/>
          </w:tcPr>
          <w:p>
            <w:pPr>
              <w:pStyle w:val="TableParagraph"/>
              <w:spacing w:before="13"/>
              <w:ind w:left="138"/>
              <w:rPr>
                <w:sz w:val="24"/>
              </w:rPr>
            </w:pPr>
            <w:r>
              <w:rPr>
                <w:sz w:val="24"/>
              </w:rPr>
              <w:t>CP</w:t>
            </w:r>
          </w:p>
        </w:tc>
        <w:tc>
          <w:tcPr>
            <w:tcW w:w="1122" w:type="dxa"/>
          </w:tcPr>
          <w:p>
            <w:pPr>
              <w:pStyle w:val="TableParagraph"/>
              <w:spacing w:before="13"/>
              <w:ind w:right="132"/>
              <w:jc w:val="right"/>
              <w:rPr>
                <w:sz w:val="24"/>
              </w:rPr>
            </w:pPr>
            <w:r>
              <w:rPr>
                <w:sz w:val="24"/>
              </w:rPr>
              <w:t>.846</w:t>
            </w:r>
          </w:p>
        </w:tc>
        <w:tc>
          <w:tcPr>
            <w:tcW w:w="700" w:type="dxa"/>
          </w:tcPr>
          <w:p>
            <w:pPr>
              <w:pStyle w:val="TableParagraph"/>
              <w:spacing w:before="13"/>
              <w:ind w:left="116" w:right="113"/>
              <w:jc w:val="center"/>
              <w:rPr>
                <w:sz w:val="24"/>
              </w:rPr>
            </w:pPr>
            <w:r>
              <w:rPr>
                <w:sz w:val="24"/>
              </w:rPr>
              <w:t>.061</w:t>
            </w:r>
          </w:p>
        </w:tc>
        <w:tc>
          <w:tcPr>
            <w:tcW w:w="943" w:type="dxa"/>
          </w:tcPr>
          <w:p>
            <w:pPr>
              <w:pStyle w:val="TableParagraph"/>
              <w:spacing w:before="13"/>
              <w:ind w:right="136"/>
              <w:jc w:val="right"/>
              <w:rPr>
                <w:sz w:val="24"/>
              </w:rPr>
            </w:pPr>
            <w:r>
              <w:rPr>
                <w:sz w:val="24"/>
              </w:rPr>
              <w:t>13.934</w:t>
            </w:r>
          </w:p>
        </w:tc>
        <w:tc>
          <w:tcPr>
            <w:tcW w:w="643" w:type="dxa"/>
          </w:tcPr>
          <w:p>
            <w:pPr>
              <w:pStyle w:val="TableParagraph"/>
              <w:spacing w:before="13"/>
              <w:ind w:right="137"/>
              <w:jc w:val="right"/>
              <w:rPr>
                <w:sz w:val="24"/>
              </w:rPr>
            </w:pPr>
            <w:r>
              <w:rPr>
                <w:sz w:val="24"/>
              </w:rPr>
              <w:t>***</w:t>
            </w:r>
          </w:p>
        </w:tc>
        <w:tc>
          <w:tcPr>
            <w:tcW w:w="828" w:type="dxa"/>
          </w:tcPr>
          <w:p>
            <w:pPr>
              <w:pStyle w:val="TableParagraph"/>
              <w:rPr>
                <w:sz w:val="20"/>
              </w:rPr>
            </w:pPr>
          </w:p>
        </w:tc>
      </w:tr>
      <w:tr>
        <w:trPr>
          <w:trHeight w:val="443" w:hRule="atLeast"/>
        </w:trPr>
        <w:tc>
          <w:tcPr>
            <w:tcW w:w="1008" w:type="dxa"/>
          </w:tcPr>
          <w:p>
            <w:pPr>
              <w:pStyle w:val="TableParagraph"/>
              <w:spacing w:before="13"/>
              <w:ind w:left="55"/>
              <w:rPr>
                <w:sz w:val="24"/>
              </w:rPr>
            </w:pPr>
            <w:r>
              <w:rPr>
                <w:sz w:val="24"/>
              </w:rPr>
              <w:t>CP5</w:t>
            </w:r>
          </w:p>
        </w:tc>
        <w:tc>
          <w:tcPr>
            <w:tcW w:w="490" w:type="dxa"/>
          </w:tcPr>
          <w:p>
            <w:pPr>
              <w:pStyle w:val="TableParagraph"/>
              <w:spacing w:before="13"/>
              <w:ind w:left="32" w:right="31"/>
              <w:jc w:val="center"/>
              <w:rPr>
                <w:sz w:val="24"/>
              </w:rPr>
            </w:pPr>
            <w:r>
              <w:rPr>
                <w:sz w:val="24"/>
              </w:rPr>
              <w:t>&lt;---</w:t>
            </w:r>
          </w:p>
        </w:tc>
        <w:tc>
          <w:tcPr>
            <w:tcW w:w="935" w:type="dxa"/>
          </w:tcPr>
          <w:p>
            <w:pPr>
              <w:pStyle w:val="TableParagraph"/>
              <w:spacing w:before="13"/>
              <w:ind w:left="138"/>
              <w:rPr>
                <w:sz w:val="24"/>
              </w:rPr>
            </w:pPr>
            <w:r>
              <w:rPr>
                <w:sz w:val="24"/>
              </w:rPr>
              <w:t>CP</w:t>
            </w:r>
          </w:p>
        </w:tc>
        <w:tc>
          <w:tcPr>
            <w:tcW w:w="1122" w:type="dxa"/>
          </w:tcPr>
          <w:p>
            <w:pPr>
              <w:pStyle w:val="TableParagraph"/>
              <w:spacing w:before="13"/>
              <w:ind w:right="132"/>
              <w:jc w:val="right"/>
              <w:rPr>
                <w:sz w:val="24"/>
              </w:rPr>
            </w:pPr>
            <w:r>
              <w:rPr>
                <w:sz w:val="24"/>
              </w:rPr>
              <w:t>1.098</w:t>
            </w:r>
          </w:p>
        </w:tc>
        <w:tc>
          <w:tcPr>
            <w:tcW w:w="700" w:type="dxa"/>
          </w:tcPr>
          <w:p>
            <w:pPr>
              <w:pStyle w:val="TableParagraph"/>
              <w:spacing w:before="13"/>
              <w:ind w:left="116" w:right="113"/>
              <w:jc w:val="center"/>
              <w:rPr>
                <w:sz w:val="24"/>
              </w:rPr>
            </w:pPr>
            <w:r>
              <w:rPr>
                <w:sz w:val="24"/>
              </w:rPr>
              <w:t>.070</w:t>
            </w:r>
          </w:p>
        </w:tc>
        <w:tc>
          <w:tcPr>
            <w:tcW w:w="943" w:type="dxa"/>
          </w:tcPr>
          <w:p>
            <w:pPr>
              <w:pStyle w:val="TableParagraph"/>
              <w:spacing w:before="13"/>
              <w:ind w:right="136"/>
              <w:jc w:val="right"/>
              <w:rPr>
                <w:sz w:val="24"/>
              </w:rPr>
            </w:pPr>
            <w:r>
              <w:rPr>
                <w:sz w:val="24"/>
              </w:rPr>
              <w:t>15.618</w:t>
            </w:r>
          </w:p>
        </w:tc>
        <w:tc>
          <w:tcPr>
            <w:tcW w:w="643" w:type="dxa"/>
          </w:tcPr>
          <w:p>
            <w:pPr>
              <w:pStyle w:val="TableParagraph"/>
              <w:spacing w:before="13"/>
              <w:ind w:right="137"/>
              <w:jc w:val="right"/>
              <w:rPr>
                <w:sz w:val="24"/>
              </w:rPr>
            </w:pPr>
            <w:r>
              <w:rPr>
                <w:sz w:val="24"/>
              </w:rPr>
              <w:t>***</w:t>
            </w:r>
          </w:p>
        </w:tc>
        <w:tc>
          <w:tcPr>
            <w:tcW w:w="828" w:type="dxa"/>
          </w:tcPr>
          <w:p>
            <w:pPr>
              <w:pStyle w:val="TableParagraph"/>
              <w:rPr>
                <w:sz w:val="20"/>
              </w:rPr>
            </w:pPr>
          </w:p>
        </w:tc>
      </w:tr>
      <w:tr>
        <w:trPr>
          <w:trHeight w:val="446" w:hRule="atLeast"/>
        </w:trPr>
        <w:tc>
          <w:tcPr>
            <w:tcW w:w="1008" w:type="dxa"/>
          </w:tcPr>
          <w:p>
            <w:pPr>
              <w:pStyle w:val="TableParagraph"/>
              <w:spacing w:before="15"/>
              <w:ind w:left="55"/>
              <w:rPr>
                <w:sz w:val="24"/>
              </w:rPr>
            </w:pPr>
            <w:r>
              <w:rPr>
                <w:sz w:val="24"/>
              </w:rPr>
              <w:t>VT7</w:t>
            </w:r>
          </w:p>
        </w:tc>
        <w:tc>
          <w:tcPr>
            <w:tcW w:w="490" w:type="dxa"/>
          </w:tcPr>
          <w:p>
            <w:pPr>
              <w:pStyle w:val="TableParagraph"/>
              <w:spacing w:before="15"/>
              <w:ind w:left="32" w:right="31"/>
              <w:jc w:val="center"/>
              <w:rPr>
                <w:sz w:val="24"/>
              </w:rPr>
            </w:pPr>
            <w:r>
              <w:rPr>
                <w:sz w:val="24"/>
              </w:rPr>
              <w:t>&lt;---</w:t>
            </w:r>
          </w:p>
        </w:tc>
        <w:tc>
          <w:tcPr>
            <w:tcW w:w="935" w:type="dxa"/>
          </w:tcPr>
          <w:p>
            <w:pPr>
              <w:pStyle w:val="TableParagraph"/>
              <w:spacing w:before="15"/>
              <w:ind w:left="138"/>
              <w:rPr>
                <w:sz w:val="24"/>
              </w:rPr>
            </w:pPr>
            <w:r>
              <w:rPr>
                <w:sz w:val="24"/>
              </w:rPr>
              <w:t>VT</w:t>
            </w:r>
          </w:p>
        </w:tc>
        <w:tc>
          <w:tcPr>
            <w:tcW w:w="1122" w:type="dxa"/>
          </w:tcPr>
          <w:p>
            <w:pPr>
              <w:pStyle w:val="TableParagraph"/>
              <w:spacing w:before="15"/>
              <w:ind w:right="132"/>
              <w:jc w:val="right"/>
              <w:rPr>
                <w:sz w:val="24"/>
              </w:rPr>
            </w:pPr>
            <w:r>
              <w:rPr>
                <w:sz w:val="24"/>
              </w:rPr>
              <w:t>1.000</w:t>
            </w:r>
          </w:p>
        </w:tc>
        <w:tc>
          <w:tcPr>
            <w:tcW w:w="700" w:type="dxa"/>
          </w:tcPr>
          <w:p>
            <w:pPr>
              <w:pStyle w:val="TableParagraph"/>
              <w:rPr>
                <w:sz w:val="20"/>
              </w:rPr>
            </w:pPr>
          </w:p>
        </w:tc>
        <w:tc>
          <w:tcPr>
            <w:tcW w:w="943" w:type="dxa"/>
          </w:tcPr>
          <w:p>
            <w:pPr>
              <w:pStyle w:val="TableParagraph"/>
              <w:rPr>
                <w:sz w:val="20"/>
              </w:rPr>
            </w:pPr>
          </w:p>
        </w:tc>
        <w:tc>
          <w:tcPr>
            <w:tcW w:w="643" w:type="dxa"/>
          </w:tcPr>
          <w:p>
            <w:pPr>
              <w:pStyle w:val="TableParagraph"/>
              <w:rPr>
                <w:sz w:val="20"/>
              </w:rPr>
            </w:pPr>
          </w:p>
        </w:tc>
        <w:tc>
          <w:tcPr>
            <w:tcW w:w="828" w:type="dxa"/>
          </w:tcPr>
          <w:p>
            <w:pPr>
              <w:pStyle w:val="TableParagraph"/>
              <w:rPr>
                <w:sz w:val="20"/>
              </w:rPr>
            </w:pPr>
          </w:p>
        </w:tc>
      </w:tr>
    </w:tbl>
    <w:p>
      <w:pPr>
        <w:spacing w:after="0"/>
        <w:rPr>
          <w:sz w:val="20"/>
        </w:rPr>
        <w:sectPr>
          <w:pgSz w:w="11910" w:h="16850"/>
          <w:pgMar w:header="751" w:footer="0" w:top="960" w:bottom="280" w:left="820" w:right="240"/>
        </w:sectPr>
      </w:pPr>
    </w:p>
    <w:p>
      <w:pPr>
        <w:pStyle w:val="BodyText"/>
        <w:spacing w:before="9"/>
        <w:rPr>
          <w:b/>
          <w:sz w:val="23"/>
        </w:rPr>
      </w:pPr>
    </w:p>
    <w:tbl>
      <w:tblPr>
        <w:tblW w:w="0" w:type="auto"/>
        <w:jc w:val="left"/>
        <w:tblInd w:w="74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1008"/>
        <w:gridCol w:w="490"/>
        <w:gridCol w:w="935"/>
        <w:gridCol w:w="1122"/>
        <w:gridCol w:w="700"/>
        <w:gridCol w:w="943"/>
        <w:gridCol w:w="643"/>
        <w:gridCol w:w="828"/>
      </w:tblGrid>
      <w:tr>
        <w:trPr>
          <w:trHeight w:val="443" w:hRule="atLeast"/>
        </w:trPr>
        <w:tc>
          <w:tcPr>
            <w:tcW w:w="1008" w:type="dxa"/>
          </w:tcPr>
          <w:p>
            <w:pPr>
              <w:pStyle w:val="TableParagraph"/>
              <w:rPr>
                <w:sz w:val="22"/>
              </w:rPr>
            </w:pPr>
          </w:p>
        </w:tc>
        <w:tc>
          <w:tcPr>
            <w:tcW w:w="490" w:type="dxa"/>
          </w:tcPr>
          <w:p>
            <w:pPr>
              <w:pStyle w:val="TableParagraph"/>
              <w:rPr>
                <w:sz w:val="22"/>
              </w:rPr>
            </w:pPr>
          </w:p>
        </w:tc>
        <w:tc>
          <w:tcPr>
            <w:tcW w:w="935" w:type="dxa"/>
          </w:tcPr>
          <w:p>
            <w:pPr>
              <w:pStyle w:val="TableParagraph"/>
              <w:rPr>
                <w:sz w:val="22"/>
              </w:rPr>
            </w:pPr>
          </w:p>
        </w:tc>
        <w:tc>
          <w:tcPr>
            <w:tcW w:w="1122" w:type="dxa"/>
          </w:tcPr>
          <w:p>
            <w:pPr>
              <w:pStyle w:val="TableParagraph"/>
              <w:spacing w:before="15"/>
              <w:ind w:right="131"/>
              <w:jc w:val="right"/>
              <w:rPr>
                <w:sz w:val="24"/>
              </w:rPr>
            </w:pPr>
            <w:r>
              <w:rPr>
                <w:w w:val="95"/>
                <w:sz w:val="24"/>
              </w:rPr>
              <w:t>Estimate</w:t>
            </w:r>
          </w:p>
        </w:tc>
        <w:tc>
          <w:tcPr>
            <w:tcW w:w="700" w:type="dxa"/>
          </w:tcPr>
          <w:p>
            <w:pPr>
              <w:pStyle w:val="TableParagraph"/>
              <w:spacing w:before="15"/>
              <w:ind w:left="116" w:right="94"/>
              <w:jc w:val="center"/>
              <w:rPr>
                <w:sz w:val="24"/>
              </w:rPr>
            </w:pPr>
            <w:r>
              <w:rPr>
                <w:sz w:val="24"/>
              </w:rPr>
              <w:t>S.E.</w:t>
            </w:r>
          </w:p>
        </w:tc>
        <w:tc>
          <w:tcPr>
            <w:tcW w:w="943" w:type="dxa"/>
          </w:tcPr>
          <w:p>
            <w:pPr>
              <w:pStyle w:val="TableParagraph"/>
              <w:spacing w:before="15"/>
              <w:ind w:right="132"/>
              <w:jc w:val="right"/>
              <w:rPr>
                <w:sz w:val="24"/>
              </w:rPr>
            </w:pPr>
            <w:r>
              <w:rPr>
                <w:sz w:val="24"/>
              </w:rPr>
              <w:t>C.R.</w:t>
            </w:r>
          </w:p>
        </w:tc>
        <w:tc>
          <w:tcPr>
            <w:tcW w:w="643" w:type="dxa"/>
          </w:tcPr>
          <w:p>
            <w:pPr>
              <w:pStyle w:val="TableParagraph"/>
              <w:spacing w:before="15"/>
              <w:ind w:right="138"/>
              <w:jc w:val="right"/>
              <w:rPr>
                <w:sz w:val="24"/>
              </w:rPr>
            </w:pPr>
            <w:r>
              <w:rPr>
                <w:w w:val="99"/>
                <w:sz w:val="24"/>
              </w:rPr>
              <w:t>P</w:t>
            </w:r>
          </w:p>
        </w:tc>
        <w:tc>
          <w:tcPr>
            <w:tcW w:w="828" w:type="dxa"/>
          </w:tcPr>
          <w:p>
            <w:pPr>
              <w:pStyle w:val="TableParagraph"/>
              <w:spacing w:before="15"/>
              <w:ind w:left="130"/>
              <w:rPr>
                <w:sz w:val="24"/>
              </w:rPr>
            </w:pPr>
            <w:r>
              <w:rPr>
                <w:sz w:val="24"/>
              </w:rPr>
              <w:t>Label</w:t>
            </w:r>
          </w:p>
        </w:tc>
      </w:tr>
      <w:tr>
        <w:trPr>
          <w:trHeight w:val="446" w:hRule="atLeast"/>
        </w:trPr>
        <w:tc>
          <w:tcPr>
            <w:tcW w:w="1008" w:type="dxa"/>
          </w:tcPr>
          <w:p>
            <w:pPr>
              <w:pStyle w:val="TableParagraph"/>
              <w:spacing w:before="16"/>
              <w:ind w:left="55"/>
              <w:rPr>
                <w:sz w:val="24"/>
              </w:rPr>
            </w:pPr>
            <w:r>
              <w:rPr>
                <w:sz w:val="24"/>
              </w:rPr>
              <w:t>VT2</w:t>
            </w:r>
          </w:p>
        </w:tc>
        <w:tc>
          <w:tcPr>
            <w:tcW w:w="490" w:type="dxa"/>
          </w:tcPr>
          <w:p>
            <w:pPr>
              <w:pStyle w:val="TableParagraph"/>
              <w:spacing w:before="16"/>
              <w:ind w:left="32" w:right="31"/>
              <w:jc w:val="center"/>
              <w:rPr>
                <w:sz w:val="24"/>
              </w:rPr>
            </w:pPr>
            <w:r>
              <w:rPr>
                <w:sz w:val="24"/>
              </w:rPr>
              <w:t>&lt;---</w:t>
            </w:r>
          </w:p>
        </w:tc>
        <w:tc>
          <w:tcPr>
            <w:tcW w:w="935" w:type="dxa"/>
          </w:tcPr>
          <w:p>
            <w:pPr>
              <w:pStyle w:val="TableParagraph"/>
              <w:spacing w:before="16"/>
              <w:ind w:left="138"/>
              <w:rPr>
                <w:sz w:val="24"/>
              </w:rPr>
            </w:pPr>
            <w:r>
              <w:rPr>
                <w:sz w:val="24"/>
              </w:rPr>
              <w:t>VT</w:t>
            </w:r>
          </w:p>
        </w:tc>
        <w:tc>
          <w:tcPr>
            <w:tcW w:w="1122" w:type="dxa"/>
          </w:tcPr>
          <w:p>
            <w:pPr>
              <w:pStyle w:val="TableParagraph"/>
              <w:spacing w:before="16"/>
              <w:ind w:right="132"/>
              <w:jc w:val="right"/>
              <w:rPr>
                <w:sz w:val="24"/>
              </w:rPr>
            </w:pPr>
            <w:r>
              <w:rPr>
                <w:sz w:val="24"/>
              </w:rPr>
              <w:t>.815</w:t>
            </w:r>
          </w:p>
        </w:tc>
        <w:tc>
          <w:tcPr>
            <w:tcW w:w="700" w:type="dxa"/>
          </w:tcPr>
          <w:p>
            <w:pPr>
              <w:pStyle w:val="TableParagraph"/>
              <w:spacing w:before="16"/>
              <w:ind w:left="116" w:right="113"/>
              <w:jc w:val="center"/>
              <w:rPr>
                <w:sz w:val="24"/>
              </w:rPr>
            </w:pPr>
            <w:r>
              <w:rPr>
                <w:sz w:val="24"/>
              </w:rPr>
              <w:t>.050</w:t>
            </w:r>
          </w:p>
        </w:tc>
        <w:tc>
          <w:tcPr>
            <w:tcW w:w="943" w:type="dxa"/>
          </w:tcPr>
          <w:p>
            <w:pPr>
              <w:pStyle w:val="TableParagraph"/>
              <w:spacing w:before="16"/>
              <w:ind w:right="136"/>
              <w:jc w:val="right"/>
              <w:rPr>
                <w:sz w:val="24"/>
              </w:rPr>
            </w:pPr>
            <w:r>
              <w:rPr>
                <w:sz w:val="24"/>
              </w:rPr>
              <w:t>16.398</w:t>
            </w:r>
          </w:p>
        </w:tc>
        <w:tc>
          <w:tcPr>
            <w:tcW w:w="643" w:type="dxa"/>
          </w:tcPr>
          <w:p>
            <w:pPr>
              <w:pStyle w:val="TableParagraph"/>
              <w:spacing w:before="16"/>
              <w:ind w:right="137"/>
              <w:jc w:val="right"/>
              <w:rPr>
                <w:sz w:val="24"/>
              </w:rPr>
            </w:pPr>
            <w:r>
              <w:rPr>
                <w:sz w:val="24"/>
              </w:rPr>
              <w:t>***</w:t>
            </w:r>
          </w:p>
        </w:tc>
        <w:tc>
          <w:tcPr>
            <w:tcW w:w="828" w:type="dxa"/>
          </w:tcPr>
          <w:p>
            <w:pPr>
              <w:pStyle w:val="TableParagraph"/>
              <w:rPr>
                <w:sz w:val="22"/>
              </w:rPr>
            </w:pPr>
          </w:p>
        </w:tc>
      </w:tr>
      <w:tr>
        <w:trPr>
          <w:trHeight w:val="443" w:hRule="atLeast"/>
        </w:trPr>
        <w:tc>
          <w:tcPr>
            <w:tcW w:w="1008" w:type="dxa"/>
          </w:tcPr>
          <w:p>
            <w:pPr>
              <w:pStyle w:val="TableParagraph"/>
              <w:spacing w:before="13"/>
              <w:ind w:left="55"/>
              <w:rPr>
                <w:sz w:val="24"/>
              </w:rPr>
            </w:pPr>
            <w:r>
              <w:rPr>
                <w:sz w:val="24"/>
              </w:rPr>
              <w:t>VT6</w:t>
            </w:r>
          </w:p>
        </w:tc>
        <w:tc>
          <w:tcPr>
            <w:tcW w:w="490" w:type="dxa"/>
          </w:tcPr>
          <w:p>
            <w:pPr>
              <w:pStyle w:val="TableParagraph"/>
              <w:spacing w:before="13"/>
              <w:ind w:left="32" w:right="31"/>
              <w:jc w:val="center"/>
              <w:rPr>
                <w:sz w:val="24"/>
              </w:rPr>
            </w:pPr>
            <w:r>
              <w:rPr>
                <w:sz w:val="24"/>
              </w:rPr>
              <w:t>&lt;---</w:t>
            </w:r>
          </w:p>
        </w:tc>
        <w:tc>
          <w:tcPr>
            <w:tcW w:w="935" w:type="dxa"/>
          </w:tcPr>
          <w:p>
            <w:pPr>
              <w:pStyle w:val="TableParagraph"/>
              <w:spacing w:before="13"/>
              <w:ind w:left="138"/>
              <w:rPr>
                <w:sz w:val="24"/>
              </w:rPr>
            </w:pPr>
            <w:r>
              <w:rPr>
                <w:sz w:val="24"/>
              </w:rPr>
              <w:t>VT</w:t>
            </w:r>
          </w:p>
        </w:tc>
        <w:tc>
          <w:tcPr>
            <w:tcW w:w="1122" w:type="dxa"/>
          </w:tcPr>
          <w:p>
            <w:pPr>
              <w:pStyle w:val="TableParagraph"/>
              <w:spacing w:before="13"/>
              <w:ind w:right="132"/>
              <w:jc w:val="right"/>
              <w:rPr>
                <w:sz w:val="24"/>
              </w:rPr>
            </w:pPr>
            <w:r>
              <w:rPr>
                <w:sz w:val="24"/>
              </w:rPr>
              <w:t>.762</w:t>
            </w:r>
          </w:p>
        </w:tc>
        <w:tc>
          <w:tcPr>
            <w:tcW w:w="700" w:type="dxa"/>
          </w:tcPr>
          <w:p>
            <w:pPr>
              <w:pStyle w:val="TableParagraph"/>
              <w:spacing w:before="13"/>
              <w:ind w:left="116" w:right="113"/>
              <w:jc w:val="center"/>
              <w:rPr>
                <w:sz w:val="24"/>
              </w:rPr>
            </w:pPr>
            <w:r>
              <w:rPr>
                <w:sz w:val="24"/>
              </w:rPr>
              <w:t>.049</w:t>
            </w:r>
          </w:p>
        </w:tc>
        <w:tc>
          <w:tcPr>
            <w:tcW w:w="943" w:type="dxa"/>
          </w:tcPr>
          <w:p>
            <w:pPr>
              <w:pStyle w:val="TableParagraph"/>
              <w:spacing w:before="13"/>
              <w:ind w:right="136"/>
              <w:jc w:val="right"/>
              <w:rPr>
                <w:sz w:val="24"/>
              </w:rPr>
            </w:pPr>
            <w:r>
              <w:rPr>
                <w:sz w:val="24"/>
              </w:rPr>
              <w:t>15.688</w:t>
            </w:r>
          </w:p>
        </w:tc>
        <w:tc>
          <w:tcPr>
            <w:tcW w:w="643" w:type="dxa"/>
          </w:tcPr>
          <w:p>
            <w:pPr>
              <w:pStyle w:val="TableParagraph"/>
              <w:spacing w:before="13"/>
              <w:ind w:right="137"/>
              <w:jc w:val="right"/>
              <w:rPr>
                <w:sz w:val="24"/>
              </w:rPr>
            </w:pPr>
            <w:r>
              <w:rPr>
                <w:sz w:val="24"/>
              </w:rPr>
              <w:t>***</w:t>
            </w:r>
          </w:p>
        </w:tc>
        <w:tc>
          <w:tcPr>
            <w:tcW w:w="828" w:type="dxa"/>
          </w:tcPr>
          <w:p>
            <w:pPr>
              <w:pStyle w:val="TableParagraph"/>
              <w:rPr>
                <w:sz w:val="22"/>
              </w:rPr>
            </w:pPr>
          </w:p>
        </w:tc>
      </w:tr>
      <w:tr>
        <w:trPr>
          <w:trHeight w:val="443" w:hRule="atLeast"/>
        </w:trPr>
        <w:tc>
          <w:tcPr>
            <w:tcW w:w="1008" w:type="dxa"/>
          </w:tcPr>
          <w:p>
            <w:pPr>
              <w:pStyle w:val="TableParagraph"/>
              <w:spacing w:before="13"/>
              <w:ind w:left="55"/>
              <w:rPr>
                <w:sz w:val="24"/>
              </w:rPr>
            </w:pPr>
            <w:r>
              <w:rPr>
                <w:sz w:val="24"/>
              </w:rPr>
              <w:t>VT5</w:t>
            </w:r>
          </w:p>
        </w:tc>
        <w:tc>
          <w:tcPr>
            <w:tcW w:w="490" w:type="dxa"/>
          </w:tcPr>
          <w:p>
            <w:pPr>
              <w:pStyle w:val="TableParagraph"/>
              <w:spacing w:before="13"/>
              <w:ind w:left="32" w:right="31"/>
              <w:jc w:val="center"/>
              <w:rPr>
                <w:sz w:val="24"/>
              </w:rPr>
            </w:pPr>
            <w:r>
              <w:rPr>
                <w:sz w:val="24"/>
              </w:rPr>
              <w:t>&lt;---</w:t>
            </w:r>
          </w:p>
        </w:tc>
        <w:tc>
          <w:tcPr>
            <w:tcW w:w="935" w:type="dxa"/>
          </w:tcPr>
          <w:p>
            <w:pPr>
              <w:pStyle w:val="TableParagraph"/>
              <w:spacing w:before="13"/>
              <w:ind w:left="138"/>
              <w:rPr>
                <w:sz w:val="24"/>
              </w:rPr>
            </w:pPr>
            <w:r>
              <w:rPr>
                <w:sz w:val="24"/>
              </w:rPr>
              <w:t>VT</w:t>
            </w:r>
          </w:p>
        </w:tc>
        <w:tc>
          <w:tcPr>
            <w:tcW w:w="1122" w:type="dxa"/>
          </w:tcPr>
          <w:p>
            <w:pPr>
              <w:pStyle w:val="TableParagraph"/>
              <w:spacing w:before="13"/>
              <w:ind w:right="132"/>
              <w:jc w:val="right"/>
              <w:rPr>
                <w:sz w:val="24"/>
              </w:rPr>
            </w:pPr>
            <w:r>
              <w:rPr>
                <w:sz w:val="24"/>
              </w:rPr>
              <w:t>.950</w:t>
            </w:r>
          </w:p>
        </w:tc>
        <w:tc>
          <w:tcPr>
            <w:tcW w:w="700" w:type="dxa"/>
          </w:tcPr>
          <w:p>
            <w:pPr>
              <w:pStyle w:val="TableParagraph"/>
              <w:spacing w:before="13"/>
              <w:ind w:left="116" w:right="113"/>
              <w:jc w:val="center"/>
              <w:rPr>
                <w:sz w:val="24"/>
              </w:rPr>
            </w:pPr>
            <w:r>
              <w:rPr>
                <w:sz w:val="24"/>
              </w:rPr>
              <w:t>.049</w:t>
            </w:r>
          </w:p>
        </w:tc>
        <w:tc>
          <w:tcPr>
            <w:tcW w:w="943" w:type="dxa"/>
          </w:tcPr>
          <w:p>
            <w:pPr>
              <w:pStyle w:val="TableParagraph"/>
              <w:spacing w:before="13"/>
              <w:ind w:right="136"/>
              <w:jc w:val="right"/>
              <w:rPr>
                <w:sz w:val="24"/>
              </w:rPr>
            </w:pPr>
            <w:r>
              <w:rPr>
                <w:sz w:val="24"/>
              </w:rPr>
              <w:t>19.288</w:t>
            </w:r>
          </w:p>
        </w:tc>
        <w:tc>
          <w:tcPr>
            <w:tcW w:w="643" w:type="dxa"/>
          </w:tcPr>
          <w:p>
            <w:pPr>
              <w:pStyle w:val="TableParagraph"/>
              <w:spacing w:before="13"/>
              <w:ind w:right="137"/>
              <w:jc w:val="right"/>
              <w:rPr>
                <w:sz w:val="24"/>
              </w:rPr>
            </w:pPr>
            <w:r>
              <w:rPr>
                <w:sz w:val="24"/>
              </w:rPr>
              <w:t>***</w:t>
            </w:r>
          </w:p>
        </w:tc>
        <w:tc>
          <w:tcPr>
            <w:tcW w:w="828" w:type="dxa"/>
          </w:tcPr>
          <w:p>
            <w:pPr>
              <w:pStyle w:val="TableParagraph"/>
              <w:rPr>
                <w:sz w:val="22"/>
              </w:rPr>
            </w:pPr>
          </w:p>
        </w:tc>
      </w:tr>
      <w:tr>
        <w:trPr>
          <w:trHeight w:val="443" w:hRule="atLeast"/>
        </w:trPr>
        <w:tc>
          <w:tcPr>
            <w:tcW w:w="1008" w:type="dxa"/>
          </w:tcPr>
          <w:p>
            <w:pPr>
              <w:pStyle w:val="TableParagraph"/>
              <w:spacing w:before="13"/>
              <w:ind w:left="55"/>
              <w:rPr>
                <w:sz w:val="24"/>
              </w:rPr>
            </w:pPr>
            <w:r>
              <w:rPr>
                <w:sz w:val="24"/>
              </w:rPr>
              <w:t>VT9</w:t>
            </w:r>
          </w:p>
        </w:tc>
        <w:tc>
          <w:tcPr>
            <w:tcW w:w="490" w:type="dxa"/>
          </w:tcPr>
          <w:p>
            <w:pPr>
              <w:pStyle w:val="TableParagraph"/>
              <w:spacing w:before="13"/>
              <w:ind w:left="32" w:right="31"/>
              <w:jc w:val="center"/>
              <w:rPr>
                <w:sz w:val="24"/>
              </w:rPr>
            </w:pPr>
            <w:r>
              <w:rPr>
                <w:sz w:val="24"/>
              </w:rPr>
              <w:t>&lt;---</w:t>
            </w:r>
          </w:p>
        </w:tc>
        <w:tc>
          <w:tcPr>
            <w:tcW w:w="935" w:type="dxa"/>
          </w:tcPr>
          <w:p>
            <w:pPr>
              <w:pStyle w:val="TableParagraph"/>
              <w:spacing w:before="13"/>
              <w:ind w:left="138"/>
              <w:rPr>
                <w:sz w:val="24"/>
              </w:rPr>
            </w:pPr>
            <w:r>
              <w:rPr>
                <w:sz w:val="24"/>
              </w:rPr>
              <w:t>VT</w:t>
            </w:r>
          </w:p>
        </w:tc>
        <w:tc>
          <w:tcPr>
            <w:tcW w:w="1122" w:type="dxa"/>
          </w:tcPr>
          <w:p>
            <w:pPr>
              <w:pStyle w:val="TableParagraph"/>
              <w:spacing w:before="13"/>
              <w:ind w:right="132"/>
              <w:jc w:val="right"/>
              <w:rPr>
                <w:sz w:val="24"/>
              </w:rPr>
            </w:pPr>
            <w:r>
              <w:rPr>
                <w:sz w:val="24"/>
              </w:rPr>
              <w:t>.886</w:t>
            </w:r>
          </w:p>
        </w:tc>
        <w:tc>
          <w:tcPr>
            <w:tcW w:w="700" w:type="dxa"/>
          </w:tcPr>
          <w:p>
            <w:pPr>
              <w:pStyle w:val="TableParagraph"/>
              <w:spacing w:before="13"/>
              <w:ind w:left="116" w:right="113"/>
              <w:jc w:val="center"/>
              <w:rPr>
                <w:sz w:val="24"/>
              </w:rPr>
            </w:pPr>
            <w:r>
              <w:rPr>
                <w:sz w:val="24"/>
              </w:rPr>
              <w:t>.051</w:t>
            </w:r>
          </w:p>
        </w:tc>
        <w:tc>
          <w:tcPr>
            <w:tcW w:w="943" w:type="dxa"/>
          </w:tcPr>
          <w:p>
            <w:pPr>
              <w:pStyle w:val="TableParagraph"/>
              <w:spacing w:before="13"/>
              <w:ind w:right="136"/>
              <w:jc w:val="right"/>
              <w:rPr>
                <w:sz w:val="24"/>
              </w:rPr>
            </w:pPr>
            <w:r>
              <w:rPr>
                <w:sz w:val="24"/>
              </w:rPr>
              <w:t>17.240</w:t>
            </w:r>
          </w:p>
        </w:tc>
        <w:tc>
          <w:tcPr>
            <w:tcW w:w="643" w:type="dxa"/>
          </w:tcPr>
          <w:p>
            <w:pPr>
              <w:pStyle w:val="TableParagraph"/>
              <w:spacing w:before="13"/>
              <w:ind w:right="137"/>
              <w:jc w:val="right"/>
              <w:rPr>
                <w:sz w:val="24"/>
              </w:rPr>
            </w:pPr>
            <w:r>
              <w:rPr>
                <w:sz w:val="24"/>
              </w:rPr>
              <w:t>***</w:t>
            </w:r>
          </w:p>
        </w:tc>
        <w:tc>
          <w:tcPr>
            <w:tcW w:w="828" w:type="dxa"/>
          </w:tcPr>
          <w:p>
            <w:pPr>
              <w:pStyle w:val="TableParagraph"/>
              <w:rPr>
                <w:sz w:val="22"/>
              </w:rPr>
            </w:pPr>
          </w:p>
        </w:tc>
      </w:tr>
      <w:tr>
        <w:trPr>
          <w:trHeight w:val="443" w:hRule="atLeast"/>
        </w:trPr>
        <w:tc>
          <w:tcPr>
            <w:tcW w:w="1008" w:type="dxa"/>
          </w:tcPr>
          <w:p>
            <w:pPr>
              <w:pStyle w:val="TableParagraph"/>
              <w:spacing w:before="13"/>
              <w:ind w:left="55"/>
              <w:rPr>
                <w:sz w:val="24"/>
              </w:rPr>
            </w:pPr>
            <w:r>
              <w:rPr>
                <w:sz w:val="24"/>
              </w:rPr>
              <w:t>VT3</w:t>
            </w:r>
          </w:p>
        </w:tc>
        <w:tc>
          <w:tcPr>
            <w:tcW w:w="490" w:type="dxa"/>
          </w:tcPr>
          <w:p>
            <w:pPr>
              <w:pStyle w:val="TableParagraph"/>
              <w:spacing w:before="13"/>
              <w:ind w:left="32" w:right="31"/>
              <w:jc w:val="center"/>
              <w:rPr>
                <w:sz w:val="24"/>
              </w:rPr>
            </w:pPr>
            <w:r>
              <w:rPr>
                <w:sz w:val="24"/>
              </w:rPr>
              <w:t>&lt;---</w:t>
            </w:r>
          </w:p>
        </w:tc>
        <w:tc>
          <w:tcPr>
            <w:tcW w:w="935" w:type="dxa"/>
          </w:tcPr>
          <w:p>
            <w:pPr>
              <w:pStyle w:val="TableParagraph"/>
              <w:spacing w:before="13"/>
              <w:ind w:left="138"/>
              <w:rPr>
                <w:sz w:val="24"/>
              </w:rPr>
            </w:pPr>
            <w:r>
              <w:rPr>
                <w:sz w:val="24"/>
              </w:rPr>
              <w:t>VT</w:t>
            </w:r>
          </w:p>
        </w:tc>
        <w:tc>
          <w:tcPr>
            <w:tcW w:w="1122" w:type="dxa"/>
          </w:tcPr>
          <w:p>
            <w:pPr>
              <w:pStyle w:val="TableParagraph"/>
              <w:spacing w:before="13"/>
              <w:ind w:right="132"/>
              <w:jc w:val="right"/>
              <w:rPr>
                <w:sz w:val="24"/>
              </w:rPr>
            </w:pPr>
            <w:r>
              <w:rPr>
                <w:sz w:val="24"/>
              </w:rPr>
              <w:t>.834</w:t>
            </w:r>
          </w:p>
        </w:tc>
        <w:tc>
          <w:tcPr>
            <w:tcW w:w="700" w:type="dxa"/>
          </w:tcPr>
          <w:p>
            <w:pPr>
              <w:pStyle w:val="TableParagraph"/>
              <w:spacing w:before="13"/>
              <w:ind w:left="116" w:right="113"/>
              <w:jc w:val="center"/>
              <w:rPr>
                <w:sz w:val="24"/>
              </w:rPr>
            </w:pPr>
            <w:r>
              <w:rPr>
                <w:sz w:val="24"/>
              </w:rPr>
              <w:t>.050</w:t>
            </w:r>
          </w:p>
        </w:tc>
        <w:tc>
          <w:tcPr>
            <w:tcW w:w="943" w:type="dxa"/>
          </w:tcPr>
          <w:p>
            <w:pPr>
              <w:pStyle w:val="TableParagraph"/>
              <w:spacing w:before="13"/>
              <w:ind w:right="136"/>
              <w:jc w:val="right"/>
              <w:rPr>
                <w:sz w:val="24"/>
              </w:rPr>
            </w:pPr>
            <w:r>
              <w:rPr>
                <w:sz w:val="24"/>
              </w:rPr>
              <w:t>16.645</w:t>
            </w:r>
          </w:p>
        </w:tc>
        <w:tc>
          <w:tcPr>
            <w:tcW w:w="643" w:type="dxa"/>
          </w:tcPr>
          <w:p>
            <w:pPr>
              <w:pStyle w:val="TableParagraph"/>
              <w:spacing w:before="13"/>
              <w:ind w:right="137"/>
              <w:jc w:val="right"/>
              <w:rPr>
                <w:sz w:val="24"/>
              </w:rPr>
            </w:pPr>
            <w:r>
              <w:rPr>
                <w:sz w:val="24"/>
              </w:rPr>
              <w:t>***</w:t>
            </w:r>
          </w:p>
        </w:tc>
        <w:tc>
          <w:tcPr>
            <w:tcW w:w="828" w:type="dxa"/>
          </w:tcPr>
          <w:p>
            <w:pPr>
              <w:pStyle w:val="TableParagraph"/>
              <w:rPr>
                <w:sz w:val="22"/>
              </w:rPr>
            </w:pPr>
          </w:p>
        </w:tc>
      </w:tr>
      <w:tr>
        <w:trPr>
          <w:trHeight w:val="443" w:hRule="atLeast"/>
        </w:trPr>
        <w:tc>
          <w:tcPr>
            <w:tcW w:w="1008" w:type="dxa"/>
          </w:tcPr>
          <w:p>
            <w:pPr>
              <w:pStyle w:val="TableParagraph"/>
              <w:spacing w:before="15"/>
              <w:ind w:left="55"/>
              <w:rPr>
                <w:sz w:val="24"/>
              </w:rPr>
            </w:pPr>
            <w:r>
              <w:rPr>
                <w:sz w:val="24"/>
              </w:rPr>
              <w:t>HT5</w:t>
            </w:r>
          </w:p>
        </w:tc>
        <w:tc>
          <w:tcPr>
            <w:tcW w:w="490" w:type="dxa"/>
          </w:tcPr>
          <w:p>
            <w:pPr>
              <w:pStyle w:val="TableParagraph"/>
              <w:spacing w:before="15"/>
              <w:ind w:left="32" w:right="30"/>
              <w:jc w:val="center"/>
              <w:rPr>
                <w:sz w:val="24"/>
              </w:rPr>
            </w:pPr>
            <w:r>
              <w:rPr>
                <w:sz w:val="24"/>
              </w:rPr>
              <w:t>&lt;---</w:t>
            </w:r>
          </w:p>
        </w:tc>
        <w:tc>
          <w:tcPr>
            <w:tcW w:w="935" w:type="dxa"/>
          </w:tcPr>
          <w:p>
            <w:pPr>
              <w:pStyle w:val="TableParagraph"/>
              <w:spacing w:before="15"/>
              <w:ind w:left="138"/>
              <w:rPr>
                <w:sz w:val="24"/>
              </w:rPr>
            </w:pPr>
            <w:r>
              <w:rPr>
                <w:sz w:val="24"/>
              </w:rPr>
              <w:t>HT</w:t>
            </w:r>
          </w:p>
        </w:tc>
        <w:tc>
          <w:tcPr>
            <w:tcW w:w="1122" w:type="dxa"/>
          </w:tcPr>
          <w:p>
            <w:pPr>
              <w:pStyle w:val="TableParagraph"/>
              <w:spacing w:before="15"/>
              <w:ind w:right="132"/>
              <w:jc w:val="right"/>
              <w:rPr>
                <w:sz w:val="24"/>
              </w:rPr>
            </w:pPr>
            <w:r>
              <w:rPr>
                <w:sz w:val="24"/>
              </w:rPr>
              <w:t>1.000</w:t>
            </w:r>
          </w:p>
        </w:tc>
        <w:tc>
          <w:tcPr>
            <w:tcW w:w="700" w:type="dxa"/>
          </w:tcPr>
          <w:p>
            <w:pPr>
              <w:pStyle w:val="TableParagraph"/>
              <w:rPr>
                <w:sz w:val="22"/>
              </w:rPr>
            </w:pPr>
          </w:p>
        </w:tc>
        <w:tc>
          <w:tcPr>
            <w:tcW w:w="943" w:type="dxa"/>
          </w:tcPr>
          <w:p>
            <w:pPr>
              <w:pStyle w:val="TableParagraph"/>
              <w:rPr>
                <w:sz w:val="22"/>
              </w:rPr>
            </w:pPr>
          </w:p>
        </w:tc>
        <w:tc>
          <w:tcPr>
            <w:tcW w:w="643" w:type="dxa"/>
          </w:tcPr>
          <w:p>
            <w:pPr>
              <w:pStyle w:val="TableParagraph"/>
              <w:rPr>
                <w:sz w:val="22"/>
              </w:rPr>
            </w:pPr>
          </w:p>
        </w:tc>
        <w:tc>
          <w:tcPr>
            <w:tcW w:w="828" w:type="dxa"/>
          </w:tcPr>
          <w:p>
            <w:pPr>
              <w:pStyle w:val="TableParagraph"/>
              <w:rPr>
                <w:sz w:val="22"/>
              </w:rPr>
            </w:pPr>
          </w:p>
        </w:tc>
      </w:tr>
      <w:tr>
        <w:trPr>
          <w:trHeight w:val="443" w:hRule="atLeast"/>
        </w:trPr>
        <w:tc>
          <w:tcPr>
            <w:tcW w:w="1008" w:type="dxa"/>
          </w:tcPr>
          <w:p>
            <w:pPr>
              <w:pStyle w:val="TableParagraph"/>
              <w:spacing w:before="15"/>
              <w:ind w:left="55"/>
              <w:rPr>
                <w:sz w:val="24"/>
              </w:rPr>
            </w:pPr>
            <w:r>
              <w:rPr>
                <w:sz w:val="24"/>
              </w:rPr>
              <w:t>HT4</w:t>
            </w:r>
          </w:p>
        </w:tc>
        <w:tc>
          <w:tcPr>
            <w:tcW w:w="490" w:type="dxa"/>
          </w:tcPr>
          <w:p>
            <w:pPr>
              <w:pStyle w:val="TableParagraph"/>
              <w:spacing w:before="15"/>
              <w:ind w:left="32" w:right="31"/>
              <w:jc w:val="center"/>
              <w:rPr>
                <w:sz w:val="24"/>
              </w:rPr>
            </w:pPr>
            <w:r>
              <w:rPr>
                <w:sz w:val="24"/>
              </w:rPr>
              <w:t>&lt;---</w:t>
            </w:r>
          </w:p>
        </w:tc>
        <w:tc>
          <w:tcPr>
            <w:tcW w:w="935" w:type="dxa"/>
          </w:tcPr>
          <w:p>
            <w:pPr>
              <w:pStyle w:val="TableParagraph"/>
              <w:spacing w:before="15"/>
              <w:ind w:left="138"/>
              <w:rPr>
                <w:sz w:val="24"/>
              </w:rPr>
            </w:pPr>
            <w:r>
              <w:rPr>
                <w:sz w:val="24"/>
              </w:rPr>
              <w:t>HT</w:t>
            </w:r>
          </w:p>
        </w:tc>
        <w:tc>
          <w:tcPr>
            <w:tcW w:w="1122" w:type="dxa"/>
          </w:tcPr>
          <w:p>
            <w:pPr>
              <w:pStyle w:val="TableParagraph"/>
              <w:spacing w:before="15"/>
              <w:ind w:right="132"/>
              <w:jc w:val="right"/>
              <w:rPr>
                <w:sz w:val="24"/>
              </w:rPr>
            </w:pPr>
            <w:r>
              <w:rPr>
                <w:sz w:val="24"/>
              </w:rPr>
              <w:t>.997</w:t>
            </w:r>
          </w:p>
        </w:tc>
        <w:tc>
          <w:tcPr>
            <w:tcW w:w="700" w:type="dxa"/>
          </w:tcPr>
          <w:p>
            <w:pPr>
              <w:pStyle w:val="TableParagraph"/>
              <w:spacing w:before="15"/>
              <w:ind w:left="116" w:right="113"/>
              <w:jc w:val="center"/>
              <w:rPr>
                <w:sz w:val="24"/>
              </w:rPr>
            </w:pPr>
            <w:r>
              <w:rPr>
                <w:sz w:val="24"/>
              </w:rPr>
              <w:t>.046</w:t>
            </w:r>
          </w:p>
        </w:tc>
        <w:tc>
          <w:tcPr>
            <w:tcW w:w="943" w:type="dxa"/>
          </w:tcPr>
          <w:p>
            <w:pPr>
              <w:pStyle w:val="TableParagraph"/>
              <w:spacing w:before="15"/>
              <w:ind w:right="136"/>
              <w:jc w:val="right"/>
              <w:rPr>
                <w:sz w:val="24"/>
              </w:rPr>
            </w:pPr>
            <w:r>
              <w:rPr>
                <w:sz w:val="24"/>
              </w:rPr>
              <w:t>21.777</w:t>
            </w:r>
          </w:p>
        </w:tc>
        <w:tc>
          <w:tcPr>
            <w:tcW w:w="643" w:type="dxa"/>
          </w:tcPr>
          <w:p>
            <w:pPr>
              <w:pStyle w:val="TableParagraph"/>
              <w:spacing w:before="15"/>
              <w:ind w:right="137"/>
              <w:jc w:val="right"/>
              <w:rPr>
                <w:sz w:val="24"/>
              </w:rPr>
            </w:pPr>
            <w:r>
              <w:rPr>
                <w:sz w:val="24"/>
              </w:rPr>
              <w:t>***</w:t>
            </w:r>
          </w:p>
        </w:tc>
        <w:tc>
          <w:tcPr>
            <w:tcW w:w="828" w:type="dxa"/>
          </w:tcPr>
          <w:p>
            <w:pPr>
              <w:pStyle w:val="TableParagraph"/>
              <w:rPr>
                <w:sz w:val="22"/>
              </w:rPr>
            </w:pPr>
          </w:p>
        </w:tc>
      </w:tr>
      <w:tr>
        <w:trPr>
          <w:trHeight w:val="443" w:hRule="atLeast"/>
        </w:trPr>
        <w:tc>
          <w:tcPr>
            <w:tcW w:w="1008" w:type="dxa"/>
            <w:tcBorders>
              <w:bottom w:val="single" w:sz="6" w:space="0" w:color="000000"/>
            </w:tcBorders>
          </w:tcPr>
          <w:p>
            <w:pPr>
              <w:pStyle w:val="TableParagraph"/>
              <w:spacing w:before="15"/>
              <w:ind w:left="55"/>
              <w:rPr>
                <w:sz w:val="24"/>
              </w:rPr>
            </w:pPr>
            <w:r>
              <w:rPr>
                <w:sz w:val="24"/>
              </w:rPr>
              <w:t>HT6</w:t>
            </w:r>
          </w:p>
        </w:tc>
        <w:tc>
          <w:tcPr>
            <w:tcW w:w="490" w:type="dxa"/>
            <w:tcBorders>
              <w:bottom w:val="single" w:sz="6" w:space="0" w:color="000000"/>
            </w:tcBorders>
          </w:tcPr>
          <w:p>
            <w:pPr>
              <w:pStyle w:val="TableParagraph"/>
              <w:spacing w:before="15"/>
              <w:ind w:left="32" w:right="31"/>
              <w:jc w:val="center"/>
              <w:rPr>
                <w:sz w:val="24"/>
              </w:rPr>
            </w:pPr>
            <w:r>
              <w:rPr>
                <w:sz w:val="24"/>
              </w:rPr>
              <w:t>&lt;---</w:t>
            </w:r>
          </w:p>
        </w:tc>
        <w:tc>
          <w:tcPr>
            <w:tcW w:w="935" w:type="dxa"/>
            <w:tcBorders>
              <w:bottom w:val="single" w:sz="6" w:space="0" w:color="000000"/>
            </w:tcBorders>
          </w:tcPr>
          <w:p>
            <w:pPr>
              <w:pStyle w:val="TableParagraph"/>
              <w:spacing w:before="15"/>
              <w:ind w:left="138"/>
              <w:rPr>
                <w:sz w:val="24"/>
              </w:rPr>
            </w:pPr>
            <w:r>
              <w:rPr>
                <w:sz w:val="24"/>
              </w:rPr>
              <w:t>HT</w:t>
            </w:r>
          </w:p>
        </w:tc>
        <w:tc>
          <w:tcPr>
            <w:tcW w:w="1122" w:type="dxa"/>
            <w:tcBorders>
              <w:bottom w:val="single" w:sz="6" w:space="0" w:color="000000"/>
            </w:tcBorders>
          </w:tcPr>
          <w:p>
            <w:pPr>
              <w:pStyle w:val="TableParagraph"/>
              <w:spacing w:before="15"/>
              <w:ind w:right="132"/>
              <w:jc w:val="right"/>
              <w:rPr>
                <w:sz w:val="24"/>
              </w:rPr>
            </w:pPr>
            <w:r>
              <w:rPr>
                <w:sz w:val="24"/>
              </w:rPr>
              <w:t>.827</w:t>
            </w:r>
          </w:p>
        </w:tc>
        <w:tc>
          <w:tcPr>
            <w:tcW w:w="700" w:type="dxa"/>
            <w:tcBorders>
              <w:bottom w:val="single" w:sz="6" w:space="0" w:color="000000"/>
            </w:tcBorders>
          </w:tcPr>
          <w:p>
            <w:pPr>
              <w:pStyle w:val="TableParagraph"/>
              <w:spacing w:before="15"/>
              <w:ind w:left="116" w:right="113"/>
              <w:jc w:val="center"/>
              <w:rPr>
                <w:sz w:val="24"/>
              </w:rPr>
            </w:pPr>
            <w:r>
              <w:rPr>
                <w:sz w:val="24"/>
              </w:rPr>
              <w:t>.044</w:t>
            </w:r>
          </w:p>
        </w:tc>
        <w:tc>
          <w:tcPr>
            <w:tcW w:w="943" w:type="dxa"/>
            <w:tcBorders>
              <w:bottom w:val="single" w:sz="6" w:space="0" w:color="000000"/>
            </w:tcBorders>
          </w:tcPr>
          <w:p>
            <w:pPr>
              <w:pStyle w:val="TableParagraph"/>
              <w:spacing w:before="15"/>
              <w:ind w:right="136"/>
              <w:jc w:val="right"/>
              <w:rPr>
                <w:sz w:val="24"/>
              </w:rPr>
            </w:pPr>
            <w:r>
              <w:rPr>
                <w:sz w:val="24"/>
              </w:rPr>
              <w:t>18.867</w:t>
            </w:r>
          </w:p>
        </w:tc>
        <w:tc>
          <w:tcPr>
            <w:tcW w:w="643" w:type="dxa"/>
            <w:tcBorders>
              <w:bottom w:val="single" w:sz="6" w:space="0" w:color="000000"/>
            </w:tcBorders>
          </w:tcPr>
          <w:p>
            <w:pPr>
              <w:pStyle w:val="TableParagraph"/>
              <w:spacing w:before="15"/>
              <w:ind w:right="137"/>
              <w:jc w:val="right"/>
              <w:rPr>
                <w:sz w:val="24"/>
              </w:rPr>
            </w:pPr>
            <w:r>
              <w:rPr>
                <w:sz w:val="24"/>
              </w:rPr>
              <w:t>***</w:t>
            </w:r>
          </w:p>
        </w:tc>
        <w:tc>
          <w:tcPr>
            <w:tcW w:w="828" w:type="dxa"/>
            <w:tcBorders>
              <w:bottom w:val="single" w:sz="6" w:space="0" w:color="000000"/>
            </w:tcBorders>
          </w:tcPr>
          <w:p>
            <w:pPr>
              <w:pStyle w:val="TableParagraph"/>
              <w:rPr>
                <w:sz w:val="22"/>
              </w:rPr>
            </w:pPr>
          </w:p>
        </w:tc>
      </w:tr>
      <w:tr>
        <w:trPr>
          <w:trHeight w:val="441" w:hRule="atLeast"/>
        </w:trPr>
        <w:tc>
          <w:tcPr>
            <w:tcW w:w="1008" w:type="dxa"/>
            <w:tcBorders>
              <w:top w:val="single" w:sz="6" w:space="0" w:color="000000"/>
            </w:tcBorders>
          </w:tcPr>
          <w:p>
            <w:pPr>
              <w:pStyle w:val="TableParagraph"/>
              <w:spacing w:before="11"/>
              <w:ind w:left="55"/>
              <w:rPr>
                <w:sz w:val="24"/>
              </w:rPr>
            </w:pPr>
            <w:r>
              <w:rPr>
                <w:sz w:val="24"/>
              </w:rPr>
              <w:t>HT2</w:t>
            </w:r>
          </w:p>
        </w:tc>
        <w:tc>
          <w:tcPr>
            <w:tcW w:w="490" w:type="dxa"/>
            <w:tcBorders>
              <w:top w:val="single" w:sz="6" w:space="0" w:color="000000"/>
            </w:tcBorders>
          </w:tcPr>
          <w:p>
            <w:pPr>
              <w:pStyle w:val="TableParagraph"/>
              <w:spacing w:before="11"/>
              <w:ind w:left="32" w:right="31"/>
              <w:jc w:val="center"/>
              <w:rPr>
                <w:sz w:val="24"/>
              </w:rPr>
            </w:pPr>
            <w:r>
              <w:rPr>
                <w:sz w:val="24"/>
              </w:rPr>
              <w:t>&lt;---</w:t>
            </w:r>
          </w:p>
        </w:tc>
        <w:tc>
          <w:tcPr>
            <w:tcW w:w="935" w:type="dxa"/>
            <w:tcBorders>
              <w:top w:val="single" w:sz="6" w:space="0" w:color="000000"/>
            </w:tcBorders>
          </w:tcPr>
          <w:p>
            <w:pPr>
              <w:pStyle w:val="TableParagraph"/>
              <w:spacing w:before="11"/>
              <w:ind w:left="138"/>
              <w:rPr>
                <w:sz w:val="24"/>
              </w:rPr>
            </w:pPr>
            <w:r>
              <w:rPr>
                <w:sz w:val="24"/>
              </w:rPr>
              <w:t>HT</w:t>
            </w:r>
          </w:p>
        </w:tc>
        <w:tc>
          <w:tcPr>
            <w:tcW w:w="1122" w:type="dxa"/>
            <w:tcBorders>
              <w:top w:val="single" w:sz="6" w:space="0" w:color="000000"/>
            </w:tcBorders>
          </w:tcPr>
          <w:p>
            <w:pPr>
              <w:pStyle w:val="TableParagraph"/>
              <w:spacing w:before="11"/>
              <w:ind w:right="132"/>
              <w:jc w:val="right"/>
              <w:rPr>
                <w:sz w:val="24"/>
              </w:rPr>
            </w:pPr>
            <w:r>
              <w:rPr>
                <w:sz w:val="24"/>
              </w:rPr>
              <w:t>.631</w:t>
            </w:r>
          </w:p>
        </w:tc>
        <w:tc>
          <w:tcPr>
            <w:tcW w:w="700" w:type="dxa"/>
            <w:tcBorders>
              <w:top w:val="single" w:sz="6" w:space="0" w:color="000000"/>
            </w:tcBorders>
          </w:tcPr>
          <w:p>
            <w:pPr>
              <w:pStyle w:val="TableParagraph"/>
              <w:spacing w:before="11"/>
              <w:ind w:left="116" w:right="113"/>
              <w:jc w:val="center"/>
              <w:rPr>
                <w:sz w:val="24"/>
              </w:rPr>
            </w:pPr>
            <w:r>
              <w:rPr>
                <w:sz w:val="24"/>
              </w:rPr>
              <w:t>.051</w:t>
            </w:r>
          </w:p>
        </w:tc>
        <w:tc>
          <w:tcPr>
            <w:tcW w:w="943" w:type="dxa"/>
            <w:tcBorders>
              <w:top w:val="single" w:sz="6" w:space="0" w:color="000000"/>
            </w:tcBorders>
          </w:tcPr>
          <w:p>
            <w:pPr>
              <w:pStyle w:val="TableParagraph"/>
              <w:spacing w:before="11"/>
              <w:ind w:right="136"/>
              <w:jc w:val="right"/>
              <w:rPr>
                <w:sz w:val="24"/>
              </w:rPr>
            </w:pPr>
            <w:r>
              <w:rPr>
                <w:sz w:val="24"/>
              </w:rPr>
              <w:t>12.361</w:t>
            </w:r>
          </w:p>
        </w:tc>
        <w:tc>
          <w:tcPr>
            <w:tcW w:w="643" w:type="dxa"/>
            <w:tcBorders>
              <w:top w:val="single" w:sz="6" w:space="0" w:color="000000"/>
            </w:tcBorders>
          </w:tcPr>
          <w:p>
            <w:pPr>
              <w:pStyle w:val="TableParagraph"/>
              <w:spacing w:before="11"/>
              <w:ind w:right="137"/>
              <w:jc w:val="right"/>
              <w:rPr>
                <w:sz w:val="24"/>
              </w:rPr>
            </w:pPr>
            <w:r>
              <w:rPr>
                <w:sz w:val="24"/>
              </w:rPr>
              <w:t>***</w:t>
            </w:r>
          </w:p>
        </w:tc>
        <w:tc>
          <w:tcPr>
            <w:tcW w:w="828" w:type="dxa"/>
            <w:tcBorders>
              <w:top w:val="single" w:sz="6" w:space="0" w:color="000000"/>
            </w:tcBorders>
          </w:tcPr>
          <w:p>
            <w:pPr>
              <w:pStyle w:val="TableParagraph"/>
              <w:rPr>
                <w:sz w:val="22"/>
              </w:rPr>
            </w:pPr>
          </w:p>
        </w:tc>
      </w:tr>
      <w:tr>
        <w:trPr>
          <w:trHeight w:val="443" w:hRule="atLeast"/>
        </w:trPr>
        <w:tc>
          <w:tcPr>
            <w:tcW w:w="1008" w:type="dxa"/>
          </w:tcPr>
          <w:p>
            <w:pPr>
              <w:pStyle w:val="TableParagraph"/>
              <w:spacing w:before="13"/>
              <w:ind w:left="55"/>
              <w:rPr>
                <w:sz w:val="24"/>
              </w:rPr>
            </w:pPr>
            <w:r>
              <w:rPr>
                <w:sz w:val="24"/>
              </w:rPr>
              <w:t>HT1</w:t>
            </w:r>
          </w:p>
        </w:tc>
        <w:tc>
          <w:tcPr>
            <w:tcW w:w="490" w:type="dxa"/>
          </w:tcPr>
          <w:p>
            <w:pPr>
              <w:pStyle w:val="TableParagraph"/>
              <w:spacing w:before="13"/>
              <w:ind w:left="32" w:right="30"/>
              <w:jc w:val="center"/>
              <w:rPr>
                <w:sz w:val="24"/>
              </w:rPr>
            </w:pPr>
            <w:r>
              <w:rPr>
                <w:sz w:val="24"/>
              </w:rPr>
              <w:t>&lt;---</w:t>
            </w:r>
          </w:p>
        </w:tc>
        <w:tc>
          <w:tcPr>
            <w:tcW w:w="935" w:type="dxa"/>
          </w:tcPr>
          <w:p>
            <w:pPr>
              <w:pStyle w:val="TableParagraph"/>
              <w:spacing w:before="13"/>
              <w:ind w:left="138"/>
              <w:rPr>
                <w:sz w:val="24"/>
              </w:rPr>
            </w:pPr>
            <w:r>
              <w:rPr>
                <w:sz w:val="24"/>
              </w:rPr>
              <w:t>HT</w:t>
            </w:r>
          </w:p>
        </w:tc>
        <w:tc>
          <w:tcPr>
            <w:tcW w:w="1122" w:type="dxa"/>
          </w:tcPr>
          <w:p>
            <w:pPr>
              <w:pStyle w:val="TableParagraph"/>
              <w:spacing w:before="13"/>
              <w:ind w:right="132"/>
              <w:jc w:val="right"/>
              <w:rPr>
                <w:sz w:val="24"/>
              </w:rPr>
            </w:pPr>
            <w:r>
              <w:rPr>
                <w:sz w:val="24"/>
              </w:rPr>
              <w:t>.636</w:t>
            </w:r>
          </w:p>
        </w:tc>
        <w:tc>
          <w:tcPr>
            <w:tcW w:w="700" w:type="dxa"/>
          </w:tcPr>
          <w:p>
            <w:pPr>
              <w:pStyle w:val="TableParagraph"/>
              <w:spacing w:before="13"/>
              <w:ind w:left="116" w:right="113"/>
              <w:jc w:val="center"/>
              <w:rPr>
                <w:sz w:val="24"/>
              </w:rPr>
            </w:pPr>
            <w:r>
              <w:rPr>
                <w:sz w:val="24"/>
              </w:rPr>
              <w:t>.048</w:t>
            </w:r>
          </w:p>
        </w:tc>
        <w:tc>
          <w:tcPr>
            <w:tcW w:w="943" w:type="dxa"/>
          </w:tcPr>
          <w:p>
            <w:pPr>
              <w:pStyle w:val="TableParagraph"/>
              <w:spacing w:before="13"/>
              <w:ind w:right="136"/>
              <w:jc w:val="right"/>
              <w:rPr>
                <w:sz w:val="24"/>
              </w:rPr>
            </w:pPr>
            <w:r>
              <w:rPr>
                <w:sz w:val="24"/>
              </w:rPr>
              <w:t>13.139</w:t>
            </w:r>
          </w:p>
        </w:tc>
        <w:tc>
          <w:tcPr>
            <w:tcW w:w="643" w:type="dxa"/>
          </w:tcPr>
          <w:p>
            <w:pPr>
              <w:pStyle w:val="TableParagraph"/>
              <w:spacing w:before="13"/>
              <w:ind w:right="137"/>
              <w:jc w:val="right"/>
              <w:rPr>
                <w:sz w:val="24"/>
              </w:rPr>
            </w:pPr>
            <w:r>
              <w:rPr>
                <w:sz w:val="24"/>
              </w:rPr>
              <w:t>***</w:t>
            </w:r>
          </w:p>
        </w:tc>
        <w:tc>
          <w:tcPr>
            <w:tcW w:w="828" w:type="dxa"/>
          </w:tcPr>
          <w:p>
            <w:pPr>
              <w:pStyle w:val="TableParagraph"/>
              <w:rPr>
                <w:sz w:val="22"/>
              </w:rPr>
            </w:pPr>
          </w:p>
        </w:tc>
      </w:tr>
      <w:tr>
        <w:trPr>
          <w:trHeight w:val="443" w:hRule="atLeast"/>
        </w:trPr>
        <w:tc>
          <w:tcPr>
            <w:tcW w:w="1008" w:type="dxa"/>
          </w:tcPr>
          <w:p>
            <w:pPr>
              <w:pStyle w:val="TableParagraph"/>
              <w:spacing w:before="13"/>
              <w:ind w:left="55"/>
              <w:rPr>
                <w:sz w:val="24"/>
              </w:rPr>
            </w:pPr>
            <w:r>
              <w:rPr>
                <w:sz w:val="24"/>
              </w:rPr>
              <w:t>HT7</w:t>
            </w:r>
          </w:p>
        </w:tc>
        <w:tc>
          <w:tcPr>
            <w:tcW w:w="490" w:type="dxa"/>
          </w:tcPr>
          <w:p>
            <w:pPr>
              <w:pStyle w:val="TableParagraph"/>
              <w:spacing w:before="13"/>
              <w:ind w:left="32" w:right="30"/>
              <w:jc w:val="center"/>
              <w:rPr>
                <w:sz w:val="24"/>
              </w:rPr>
            </w:pPr>
            <w:r>
              <w:rPr>
                <w:sz w:val="24"/>
              </w:rPr>
              <w:t>&lt;---</w:t>
            </w:r>
          </w:p>
        </w:tc>
        <w:tc>
          <w:tcPr>
            <w:tcW w:w="935" w:type="dxa"/>
          </w:tcPr>
          <w:p>
            <w:pPr>
              <w:pStyle w:val="TableParagraph"/>
              <w:spacing w:before="13"/>
              <w:ind w:left="138"/>
              <w:rPr>
                <w:sz w:val="24"/>
              </w:rPr>
            </w:pPr>
            <w:r>
              <w:rPr>
                <w:sz w:val="24"/>
              </w:rPr>
              <w:t>HT</w:t>
            </w:r>
          </w:p>
        </w:tc>
        <w:tc>
          <w:tcPr>
            <w:tcW w:w="1122" w:type="dxa"/>
          </w:tcPr>
          <w:p>
            <w:pPr>
              <w:pStyle w:val="TableParagraph"/>
              <w:spacing w:before="13"/>
              <w:ind w:right="132"/>
              <w:jc w:val="right"/>
              <w:rPr>
                <w:sz w:val="24"/>
              </w:rPr>
            </w:pPr>
            <w:r>
              <w:rPr>
                <w:sz w:val="24"/>
              </w:rPr>
              <w:t>.537</w:t>
            </w:r>
          </w:p>
        </w:tc>
        <w:tc>
          <w:tcPr>
            <w:tcW w:w="700" w:type="dxa"/>
          </w:tcPr>
          <w:p>
            <w:pPr>
              <w:pStyle w:val="TableParagraph"/>
              <w:spacing w:before="13"/>
              <w:ind w:left="116" w:right="113"/>
              <w:jc w:val="center"/>
              <w:rPr>
                <w:sz w:val="24"/>
              </w:rPr>
            </w:pPr>
            <w:r>
              <w:rPr>
                <w:sz w:val="24"/>
              </w:rPr>
              <w:t>.051</w:t>
            </w:r>
          </w:p>
        </w:tc>
        <w:tc>
          <w:tcPr>
            <w:tcW w:w="943" w:type="dxa"/>
          </w:tcPr>
          <w:p>
            <w:pPr>
              <w:pStyle w:val="TableParagraph"/>
              <w:spacing w:before="13"/>
              <w:ind w:right="136"/>
              <w:jc w:val="right"/>
              <w:rPr>
                <w:sz w:val="24"/>
              </w:rPr>
            </w:pPr>
            <w:r>
              <w:rPr>
                <w:sz w:val="24"/>
              </w:rPr>
              <w:t>10.435</w:t>
            </w:r>
          </w:p>
        </w:tc>
        <w:tc>
          <w:tcPr>
            <w:tcW w:w="643" w:type="dxa"/>
          </w:tcPr>
          <w:p>
            <w:pPr>
              <w:pStyle w:val="TableParagraph"/>
              <w:spacing w:before="13"/>
              <w:ind w:right="137"/>
              <w:jc w:val="right"/>
              <w:rPr>
                <w:sz w:val="24"/>
              </w:rPr>
            </w:pPr>
            <w:r>
              <w:rPr>
                <w:sz w:val="24"/>
              </w:rPr>
              <w:t>***</w:t>
            </w:r>
          </w:p>
        </w:tc>
        <w:tc>
          <w:tcPr>
            <w:tcW w:w="828" w:type="dxa"/>
          </w:tcPr>
          <w:p>
            <w:pPr>
              <w:pStyle w:val="TableParagraph"/>
              <w:rPr>
                <w:sz w:val="22"/>
              </w:rPr>
            </w:pPr>
          </w:p>
        </w:tc>
      </w:tr>
      <w:tr>
        <w:trPr>
          <w:trHeight w:val="443" w:hRule="atLeast"/>
        </w:trPr>
        <w:tc>
          <w:tcPr>
            <w:tcW w:w="1008" w:type="dxa"/>
          </w:tcPr>
          <w:p>
            <w:pPr>
              <w:pStyle w:val="TableParagraph"/>
              <w:spacing w:before="13"/>
              <w:ind w:left="55"/>
              <w:rPr>
                <w:sz w:val="24"/>
              </w:rPr>
            </w:pPr>
            <w:r>
              <w:rPr>
                <w:sz w:val="24"/>
              </w:rPr>
              <w:t>ND1</w:t>
            </w:r>
          </w:p>
        </w:tc>
        <w:tc>
          <w:tcPr>
            <w:tcW w:w="490" w:type="dxa"/>
          </w:tcPr>
          <w:p>
            <w:pPr>
              <w:pStyle w:val="TableParagraph"/>
              <w:spacing w:before="13"/>
              <w:ind w:left="32" w:right="30"/>
              <w:jc w:val="center"/>
              <w:rPr>
                <w:sz w:val="24"/>
              </w:rPr>
            </w:pPr>
            <w:r>
              <w:rPr>
                <w:sz w:val="24"/>
              </w:rPr>
              <w:t>&lt;---</w:t>
            </w:r>
          </w:p>
        </w:tc>
        <w:tc>
          <w:tcPr>
            <w:tcW w:w="935" w:type="dxa"/>
          </w:tcPr>
          <w:p>
            <w:pPr>
              <w:pStyle w:val="TableParagraph"/>
              <w:spacing w:before="13"/>
              <w:ind w:left="138"/>
              <w:rPr>
                <w:sz w:val="24"/>
              </w:rPr>
            </w:pPr>
            <w:r>
              <w:rPr>
                <w:sz w:val="24"/>
              </w:rPr>
              <w:t>ND</w:t>
            </w:r>
          </w:p>
        </w:tc>
        <w:tc>
          <w:tcPr>
            <w:tcW w:w="1122" w:type="dxa"/>
          </w:tcPr>
          <w:p>
            <w:pPr>
              <w:pStyle w:val="TableParagraph"/>
              <w:spacing w:before="13"/>
              <w:ind w:right="132"/>
              <w:jc w:val="right"/>
              <w:rPr>
                <w:sz w:val="24"/>
              </w:rPr>
            </w:pPr>
            <w:r>
              <w:rPr>
                <w:sz w:val="24"/>
              </w:rPr>
              <w:t>1.000</w:t>
            </w:r>
          </w:p>
        </w:tc>
        <w:tc>
          <w:tcPr>
            <w:tcW w:w="700" w:type="dxa"/>
          </w:tcPr>
          <w:p>
            <w:pPr>
              <w:pStyle w:val="TableParagraph"/>
              <w:rPr>
                <w:sz w:val="22"/>
              </w:rPr>
            </w:pPr>
          </w:p>
        </w:tc>
        <w:tc>
          <w:tcPr>
            <w:tcW w:w="943" w:type="dxa"/>
          </w:tcPr>
          <w:p>
            <w:pPr>
              <w:pStyle w:val="TableParagraph"/>
              <w:rPr>
                <w:sz w:val="22"/>
              </w:rPr>
            </w:pPr>
          </w:p>
        </w:tc>
        <w:tc>
          <w:tcPr>
            <w:tcW w:w="643" w:type="dxa"/>
          </w:tcPr>
          <w:p>
            <w:pPr>
              <w:pStyle w:val="TableParagraph"/>
              <w:rPr>
                <w:sz w:val="22"/>
              </w:rPr>
            </w:pPr>
          </w:p>
        </w:tc>
        <w:tc>
          <w:tcPr>
            <w:tcW w:w="828" w:type="dxa"/>
          </w:tcPr>
          <w:p>
            <w:pPr>
              <w:pStyle w:val="TableParagraph"/>
              <w:rPr>
                <w:sz w:val="22"/>
              </w:rPr>
            </w:pPr>
          </w:p>
        </w:tc>
      </w:tr>
      <w:tr>
        <w:trPr>
          <w:trHeight w:val="443" w:hRule="atLeast"/>
        </w:trPr>
        <w:tc>
          <w:tcPr>
            <w:tcW w:w="1008" w:type="dxa"/>
          </w:tcPr>
          <w:p>
            <w:pPr>
              <w:pStyle w:val="TableParagraph"/>
              <w:spacing w:before="15"/>
              <w:ind w:left="55"/>
              <w:rPr>
                <w:sz w:val="24"/>
              </w:rPr>
            </w:pPr>
            <w:r>
              <w:rPr>
                <w:sz w:val="24"/>
              </w:rPr>
              <w:t>ND2</w:t>
            </w:r>
          </w:p>
        </w:tc>
        <w:tc>
          <w:tcPr>
            <w:tcW w:w="490" w:type="dxa"/>
          </w:tcPr>
          <w:p>
            <w:pPr>
              <w:pStyle w:val="TableParagraph"/>
              <w:spacing w:before="15"/>
              <w:ind w:left="32" w:right="31"/>
              <w:jc w:val="center"/>
              <w:rPr>
                <w:sz w:val="24"/>
              </w:rPr>
            </w:pPr>
            <w:r>
              <w:rPr>
                <w:sz w:val="24"/>
              </w:rPr>
              <w:t>&lt;---</w:t>
            </w:r>
          </w:p>
        </w:tc>
        <w:tc>
          <w:tcPr>
            <w:tcW w:w="935" w:type="dxa"/>
          </w:tcPr>
          <w:p>
            <w:pPr>
              <w:pStyle w:val="TableParagraph"/>
              <w:spacing w:before="15"/>
              <w:ind w:left="138"/>
              <w:rPr>
                <w:sz w:val="24"/>
              </w:rPr>
            </w:pPr>
            <w:r>
              <w:rPr>
                <w:sz w:val="24"/>
              </w:rPr>
              <w:t>ND</w:t>
            </w:r>
          </w:p>
        </w:tc>
        <w:tc>
          <w:tcPr>
            <w:tcW w:w="1122" w:type="dxa"/>
          </w:tcPr>
          <w:p>
            <w:pPr>
              <w:pStyle w:val="TableParagraph"/>
              <w:spacing w:before="15"/>
              <w:ind w:right="132"/>
              <w:jc w:val="right"/>
              <w:rPr>
                <w:sz w:val="24"/>
              </w:rPr>
            </w:pPr>
            <w:r>
              <w:rPr>
                <w:sz w:val="24"/>
              </w:rPr>
              <w:t>.881</w:t>
            </w:r>
          </w:p>
        </w:tc>
        <w:tc>
          <w:tcPr>
            <w:tcW w:w="700" w:type="dxa"/>
          </w:tcPr>
          <w:p>
            <w:pPr>
              <w:pStyle w:val="TableParagraph"/>
              <w:spacing w:before="15"/>
              <w:ind w:left="116" w:right="113"/>
              <w:jc w:val="center"/>
              <w:rPr>
                <w:sz w:val="24"/>
              </w:rPr>
            </w:pPr>
            <w:r>
              <w:rPr>
                <w:sz w:val="24"/>
              </w:rPr>
              <w:t>.057</w:t>
            </w:r>
          </w:p>
        </w:tc>
        <w:tc>
          <w:tcPr>
            <w:tcW w:w="943" w:type="dxa"/>
          </w:tcPr>
          <w:p>
            <w:pPr>
              <w:pStyle w:val="TableParagraph"/>
              <w:spacing w:before="15"/>
              <w:ind w:right="136"/>
              <w:jc w:val="right"/>
              <w:rPr>
                <w:sz w:val="24"/>
              </w:rPr>
            </w:pPr>
            <w:r>
              <w:rPr>
                <w:sz w:val="24"/>
              </w:rPr>
              <w:t>15.434</w:t>
            </w:r>
          </w:p>
        </w:tc>
        <w:tc>
          <w:tcPr>
            <w:tcW w:w="643" w:type="dxa"/>
          </w:tcPr>
          <w:p>
            <w:pPr>
              <w:pStyle w:val="TableParagraph"/>
              <w:spacing w:before="15"/>
              <w:ind w:right="137"/>
              <w:jc w:val="right"/>
              <w:rPr>
                <w:sz w:val="24"/>
              </w:rPr>
            </w:pPr>
            <w:r>
              <w:rPr>
                <w:sz w:val="24"/>
              </w:rPr>
              <w:t>***</w:t>
            </w:r>
          </w:p>
        </w:tc>
        <w:tc>
          <w:tcPr>
            <w:tcW w:w="828" w:type="dxa"/>
          </w:tcPr>
          <w:p>
            <w:pPr>
              <w:pStyle w:val="TableParagraph"/>
              <w:rPr>
                <w:sz w:val="22"/>
              </w:rPr>
            </w:pPr>
          </w:p>
        </w:tc>
      </w:tr>
      <w:tr>
        <w:trPr>
          <w:trHeight w:val="443" w:hRule="atLeast"/>
        </w:trPr>
        <w:tc>
          <w:tcPr>
            <w:tcW w:w="1008" w:type="dxa"/>
          </w:tcPr>
          <w:p>
            <w:pPr>
              <w:pStyle w:val="TableParagraph"/>
              <w:spacing w:before="15"/>
              <w:ind w:left="55"/>
              <w:rPr>
                <w:sz w:val="24"/>
              </w:rPr>
            </w:pPr>
            <w:r>
              <w:rPr>
                <w:sz w:val="24"/>
              </w:rPr>
              <w:t>ND5</w:t>
            </w:r>
          </w:p>
        </w:tc>
        <w:tc>
          <w:tcPr>
            <w:tcW w:w="490" w:type="dxa"/>
          </w:tcPr>
          <w:p>
            <w:pPr>
              <w:pStyle w:val="TableParagraph"/>
              <w:spacing w:before="15"/>
              <w:ind w:left="32" w:right="31"/>
              <w:jc w:val="center"/>
              <w:rPr>
                <w:sz w:val="24"/>
              </w:rPr>
            </w:pPr>
            <w:r>
              <w:rPr>
                <w:sz w:val="24"/>
              </w:rPr>
              <w:t>&lt;---</w:t>
            </w:r>
          </w:p>
        </w:tc>
        <w:tc>
          <w:tcPr>
            <w:tcW w:w="935" w:type="dxa"/>
          </w:tcPr>
          <w:p>
            <w:pPr>
              <w:pStyle w:val="TableParagraph"/>
              <w:spacing w:before="15"/>
              <w:ind w:left="138"/>
              <w:rPr>
                <w:sz w:val="24"/>
              </w:rPr>
            </w:pPr>
            <w:r>
              <w:rPr>
                <w:sz w:val="24"/>
              </w:rPr>
              <w:t>ND</w:t>
            </w:r>
          </w:p>
        </w:tc>
        <w:tc>
          <w:tcPr>
            <w:tcW w:w="1122" w:type="dxa"/>
          </w:tcPr>
          <w:p>
            <w:pPr>
              <w:pStyle w:val="TableParagraph"/>
              <w:spacing w:before="15"/>
              <w:ind w:right="132"/>
              <w:jc w:val="right"/>
              <w:rPr>
                <w:sz w:val="24"/>
              </w:rPr>
            </w:pPr>
            <w:r>
              <w:rPr>
                <w:sz w:val="24"/>
              </w:rPr>
              <w:t>.983</w:t>
            </w:r>
          </w:p>
        </w:tc>
        <w:tc>
          <w:tcPr>
            <w:tcW w:w="700" w:type="dxa"/>
          </w:tcPr>
          <w:p>
            <w:pPr>
              <w:pStyle w:val="TableParagraph"/>
              <w:spacing w:before="15"/>
              <w:ind w:left="116" w:right="113"/>
              <w:jc w:val="center"/>
              <w:rPr>
                <w:sz w:val="24"/>
              </w:rPr>
            </w:pPr>
            <w:r>
              <w:rPr>
                <w:sz w:val="24"/>
              </w:rPr>
              <w:t>.068</w:t>
            </w:r>
          </w:p>
        </w:tc>
        <w:tc>
          <w:tcPr>
            <w:tcW w:w="943" w:type="dxa"/>
          </w:tcPr>
          <w:p>
            <w:pPr>
              <w:pStyle w:val="TableParagraph"/>
              <w:spacing w:before="15"/>
              <w:ind w:right="136"/>
              <w:jc w:val="right"/>
              <w:rPr>
                <w:sz w:val="24"/>
              </w:rPr>
            </w:pPr>
            <w:r>
              <w:rPr>
                <w:sz w:val="24"/>
              </w:rPr>
              <w:t>14.529</w:t>
            </w:r>
          </w:p>
        </w:tc>
        <w:tc>
          <w:tcPr>
            <w:tcW w:w="643" w:type="dxa"/>
          </w:tcPr>
          <w:p>
            <w:pPr>
              <w:pStyle w:val="TableParagraph"/>
              <w:spacing w:before="15"/>
              <w:ind w:right="137"/>
              <w:jc w:val="right"/>
              <w:rPr>
                <w:sz w:val="24"/>
              </w:rPr>
            </w:pPr>
            <w:r>
              <w:rPr>
                <w:sz w:val="24"/>
              </w:rPr>
              <w:t>***</w:t>
            </w:r>
          </w:p>
        </w:tc>
        <w:tc>
          <w:tcPr>
            <w:tcW w:w="828" w:type="dxa"/>
          </w:tcPr>
          <w:p>
            <w:pPr>
              <w:pStyle w:val="TableParagraph"/>
              <w:rPr>
                <w:sz w:val="22"/>
              </w:rPr>
            </w:pPr>
          </w:p>
        </w:tc>
      </w:tr>
      <w:tr>
        <w:trPr>
          <w:trHeight w:val="446" w:hRule="atLeast"/>
        </w:trPr>
        <w:tc>
          <w:tcPr>
            <w:tcW w:w="1008" w:type="dxa"/>
          </w:tcPr>
          <w:p>
            <w:pPr>
              <w:pStyle w:val="TableParagraph"/>
              <w:spacing w:before="15"/>
              <w:ind w:left="55"/>
              <w:rPr>
                <w:sz w:val="24"/>
              </w:rPr>
            </w:pPr>
            <w:r>
              <w:rPr>
                <w:sz w:val="24"/>
              </w:rPr>
              <w:t>ND4</w:t>
            </w:r>
          </w:p>
        </w:tc>
        <w:tc>
          <w:tcPr>
            <w:tcW w:w="490" w:type="dxa"/>
          </w:tcPr>
          <w:p>
            <w:pPr>
              <w:pStyle w:val="TableParagraph"/>
              <w:spacing w:before="15"/>
              <w:ind w:left="32" w:right="30"/>
              <w:jc w:val="center"/>
              <w:rPr>
                <w:sz w:val="24"/>
              </w:rPr>
            </w:pPr>
            <w:r>
              <w:rPr>
                <w:sz w:val="24"/>
              </w:rPr>
              <w:t>&lt;---</w:t>
            </w:r>
          </w:p>
        </w:tc>
        <w:tc>
          <w:tcPr>
            <w:tcW w:w="935" w:type="dxa"/>
          </w:tcPr>
          <w:p>
            <w:pPr>
              <w:pStyle w:val="TableParagraph"/>
              <w:spacing w:before="15"/>
              <w:ind w:left="138"/>
              <w:rPr>
                <w:sz w:val="24"/>
              </w:rPr>
            </w:pPr>
            <w:r>
              <w:rPr>
                <w:sz w:val="24"/>
              </w:rPr>
              <w:t>ND</w:t>
            </w:r>
          </w:p>
        </w:tc>
        <w:tc>
          <w:tcPr>
            <w:tcW w:w="1122" w:type="dxa"/>
          </w:tcPr>
          <w:p>
            <w:pPr>
              <w:pStyle w:val="TableParagraph"/>
              <w:spacing w:before="15"/>
              <w:ind w:right="132"/>
              <w:jc w:val="right"/>
              <w:rPr>
                <w:sz w:val="24"/>
              </w:rPr>
            </w:pPr>
            <w:r>
              <w:rPr>
                <w:sz w:val="24"/>
              </w:rPr>
              <w:t>1.013</w:t>
            </w:r>
          </w:p>
        </w:tc>
        <w:tc>
          <w:tcPr>
            <w:tcW w:w="700" w:type="dxa"/>
          </w:tcPr>
          <w:p>
            <w:pPr>
              <w:pStyle w:val="TableParagraph"/>
              <w:spacing w:before="15"/>
              <w:ind w:left="116" w:right="113"/>
              <w:jc w:val="center"/>
              <w:rPr>
                <w:sz w:val="24"/>
              </w:rPr>
            </w:pPr>
            <w:r>
              <w:rPr>
                <w:sz w:val="24"/>
              </w:rPr>
              <w:t>.058</w:t>
            </w:r>
          </w:p>
        </w:tc>
        <w:tc>
          <w:tcPr>
            <w:tcW w:w="943" w:type="dxa"/>
          </w:tcPr>
          <w:p>
            <w:pPr>
              <w:pStyle w:val="TableParagraph"/>
              <w:spacing w:before="15"/>
              <w:ind w:right="136"/>
              <w:jc w:val="right"/>
              <w:rPr>
                <w:sz w:val="24"/>
              </w:rPr>
            </w:pPr>
            <w:r>
              <w:rPr>
                <w:sz w:val="24"/>
              </w:rPr>
              <w:t>17.442</w:t>
            </w:r>
          </w:p>
        </w:tc>
        <w:tc>
          <w:tcPr>
            <w:tcW w:w="643" w:type="dxa"/>
          </w:tcPr>
          <w:p>
            <w:pPr>
              <w:pStyle w:val="TableParagraph"/>
              <w:spacing w:before="15"/>
              <w:ind w:right="137"/>
              <w:jc w:val="right"/>
              <w:rPr>
                <w:sz w:val="24"/>
              </w:rPr>
            </w:pPr>
            <w:r>
              <w:rPr>
                <w:sz w:val="24"/>
              </w:rPr>
              <w:t>***</w:t>
            </w:r>
          </w:p>
        </w:tc>
        <w:tc>
          <w:tcPr>
            <w:tcW w:w="828" w:type="dxa"/>
          </w:tcPr>
          <w:p>
            <w:pPr>
              <w:pStyle w:val="TableParagraph"/>
              <w:rPr>
                <w:sz w:val="22"/>
              </w:rPr>
            </w:pPr>
          </w:p>
        </w:tc>
      </w:tr>
      <w:tr>
        <w:trPr>
          <w:trHeight w:val="443" w:hRule="atLeast"/>
        </w:trPr>
        <w:tc>
          <w:tcPr>
            <w:tcW w:w="1008" w:type="dxa"/>
          </w:tcPr>
          <w:p>
            <w:pPr>
              <w:pStyle w:val="TableParagraph"/>
              <w:spacing w:before="13"/>
              <w:ind w:left="55"/>
              <w:rPr>
                <w:sz w:val="24"/>
              </w:rPr>
            </w:pPr>
            <w:r>
              <w:rPr>
                <w:sz w:val="24"/>
              </w:rPr>
              <w:t>ND3</w:t>
            </w:r>
          </w:p>
        </w:tc>
        <w:tc>
          <w:tcPr>
            <w:tcW w:w="490" w:type="dxa"/>
          </w:tcPr>
          <w:p>
            <w:pPr>
              <w:pStyle w:val="TableParagraph"/>
              <w:spacing w:before="13"/>
              <w:ind w:left="32" w:right="31"/>
              <w:jc w:val="center"/>
              <w:rPr>
                <w:sz w:val="24"/>
              </w:rPr>
            </w:pPr>
            <w:r>
              <w:rPr>
                <w:sz w:val="24"/>
              </w:rPr>
              <w:t>&lt;---</w:t>
            </w:r>
          </w:p>
        </w:tc>
        <w:tc>
          <w:tcPr>
            <w:tcW w:w="935" w:type="dxa"/>
          </w:tcPr>
          <w:p>
            <w:pPr>
              <w:pStyle w:val="TableParagraph"/>
              <w:spacing w:before="13"/>
              <w:ind w:left="138"/>
              <w:rPr>
                <w:sz w:val="24"/>
              </w:rPr>
            </w:pPr>
            <w:r>
              <w:rPr>
                <w:sz w:val="24"/>
              </w:rPr>
              <w:t>ND</w:t>
            </w:r>
          </w:p>
        </w:tc>
        <w:tc>
          <w:tcPr>
            <w:tcW w:w="1122" w:type="dxa"/>
          </w:tcPr>
          <w:p>
            <w:pPr>
              <w:pStyle w:val="TableParagraph"/>
              <w:spacing w:before="13"/>
              <w:ind w:right="132"/>
              <w:jc w:val="right"/>
              <w:rPr>
                <w:sz w:val="24"/>
              </w:rPr>
            </w:pPr>
            <w:r>
              <w:rPr>
                <w:sz w:val="24"/>
              </w:rPr>
              <w:t>.800</w:t>
            </w:r>
          </w:p>
        </w:tc>
        <w:tc>
          <w:tcPr>
            <w:tcW w:w="700" w:type="dxa"/>
          </w:tcPr>
          <w:p>
            <w:pPr>
              <w:pStyle w:val="TableParagraph"/>
              <w:spacing w:before="13"/>
              <w:ind w:left="116" w:right="113"/>
              <w:jc w:val="center"/>
              <w:rPr>
                <w:sz w:val="24"/>
              </w:rPr>
            </w:pPr>
            <w:r>
              <w:rPr>
                <w:sz w:val="24"/>
              </w:rPr>
              <w:t>.052</w:t>
            </w:r>
          </w:p>
        </w:tc>
        <w:tc>
          <w:tcPr>
            <w:tcW w:w="943" w:type="dxa"/>
          </w:tcPr>
          <w:p>
            <w:pPr>
              <w:pStyle w:val="TableParagraph"/>
              <w:spacing w:before="13"/>
              <w:ind w:right="136"/>
              <w:jc w:val="right"/>
              <w:rPr>
                <w:sz w:val="24"/>
              </w:rPr>
            </w:pPr>
            <w:r>
              <w:rPr>
                <w:sz w:val="24"/>
              </w:rPr>
              <w:t>15.431</w:t>
            </w:r>
          </w:p>
        </w:tc>
        <w:tc>
          <w:tcPr>
            <w:tcW w:w="643" w:type="dxa"/>
          </w:tcPr>
          <w:p>
            <w:pPr>
              <w:pStyle w:val="TableParagraph"/>
              <w:spacing w:before="13"/>
              <w:ind w:right="137"/>
              <w:jc w:val="right"/>
              <w:rPr>
                <w:sz w:val="24"/>
              </w:rPr>
            </w:pPr>
            <w:r>
              <w:rPr>
                <w:sz w:val="24"/>
              </w:rPr>
              <w:t>***</w:t>
            </w:r>
          </w:p>
        </w:tc>
        <w:tc>
          <w:tcPr>
            <w:tcW w:w="828" w:type="dxa"/>
          </w:tcPr>
          <w:p>
            <w:pPr>
              <w:pStyle w:val="TableParagraph"/>
              <w:rPr>
                <w:sz w:val="22"/>
              </w:rPr>
            </w:pPr>
          </w:p>
        </w:tc>
      </w:tr>
      <w:tr>
        <w:trPr>
          <w:trHeight w:val="443" w:hRule="atLeast"/>
        </w:trPr>
        <w:tc>
          <w:tcPr>
            <w:tcW w:w="1008" w:type="dxa"/>
          </w:tcPr>
          <w:p>
            <w:pPr>
              <w:pStyle w:val="TableParagraph"/>
              <w:spacing w:before="13"/>
              <w:ind w:left="55"/>
              <w:rPr>
                <w:sz w:val="24"/>
              </w:rPr>
            </w:pPr>
            <w:r>
              <w:rPr>
                <w:sz w:val="24"/>
              </w:rPr>
              <w:t>TC1</w:t>
            </w:r>
          </w:p>
        </w:tc>
        <w:tc>
          <w:tcPr>
            <w:tcW w:w="490" w:type="dxa"/>
          </w:tcPr>
          <w:p>
            <w:pPr>
              <w:pStyle w:val="TableParagraph"/>
              <w:spacing w:before="13"/>
              <w:ind w:left="32" w:right="31"/>
              <w:jc w:val="center"/>
              <w:rPr>
                <w:sz w:val="24"/>
              </w:rPr>
            </w:pPr>
            <w:r>
              <w:rPr>
                <w:sz w:val="24"/>
              </w:rPr>
              <w:t>&lt;---</w:t>
            </w:r>
          </w:p>
        </w:tc>
        <w:tc>
          <w:tcPr>
            <w:tcW w:w="935" w:type="dxa"/>
          </w:tcPr>
          <w:p>
            <w:pPr>
              <w:pStyle w:val="TableParagraph"/>
              <w:spacing w:before="13"/>
              <w:ind w:left="138"/>
              <w:rPr>
                <w:sz w:val="24"/>
              </w:rPr>
            </w:pPr>
            <w:r>
              <w:rPr>
                <w:sz w:val="24"/>
              </w:rPr>
              <w:t>TC</w:t>
            </w:r>
          </w:p>
        </w:tc>
        <w:tc>
          <w:tcPr>
            <w:tcW w:w="1122" w:type="dxa"/>
          </w:tcPr>
          <w:p>
            <w:pPr>
              <w:pStyle w:val="TableParagraph"/>
              <w:spacing w:before="13"/>
              <w:ind w:right="132"/>
              <w:jc w:val="right"/>
              <w:rPr>
                <w:sz w:val="24"/>
              </w:rPr>
            </w:pPr>
            <w:r>
              <w:rPr>
                <w:sz w:val="24"/>
              </w:rPr>
              <w:t>1.000</w:t>
            </w:r>
          </w:p>
        </w:tc>
        <w:tc>
          <w:tcPr>
            <w:tcW w:w="700" w:type="dxa"/>
          </w:tcPr>
          <w:p>
            <w:pPr>
              <w:pStyle w:val="TableParagraph"/>
              <w:rPr>
                <w:sz w:val="22"/>
              </w:rPr>
            </w:pPr>
          </w:p>
        </w:tc>
        <w:tc>
          <w:tcPr>
            <w:tcW w:w="943" w:type="dxa"/>
          </w:tcPr>
          <w:p>
            <w:pPr>
              <w:pStyle w:val="TableParagraph"/>
              <w:rPr>
                <w:sz w:val="22"/>
              </w:rPr>
            </w:pPr>
          </w:p>
        </w:tc>
        <w:tc>
          <w:tcPr>
            <w:tcW w:w="643" w:type="dxa"/>
          </w:tcPr>
          <w:p>
            <w:pPr>
              <w:pStyle w:val="TableParagraph"/>
              <w:rPr>
                <w:sz w:val="22"/>
              </w:rPr>
            </w:pPr>
          </w:p>
        </w:tc>
        <w:tc>
          <w:tcPr>
            <w:tcW w:w="828" w:type="dxa"/>
          </w:tcPr>
          <w:p>
            <w:pPr>
              <w:pStyle w:val="TableParagraph"/>
              <w:rPr>
                <w:sz w:val="22"/>
              </w:rPr>
            </w:pPr>
          </w:p>
        </w:tc>
      </w:tr>
      <w:tr>
        <w:trPr>
          <w:trHeight w:val="443" w:hRule="atLeast"/>
        </w:trPr>
        <w:tc>
          <w:tcPr>
            <w:tcW w:w="1008" w:type="dxa"/>
          </w:tcPr>
          <w:p>
            <w:pPr>
              <w:pStyle w:val="TableParagraph"/>
              <w:spacing w:before="13"/>
              <w:ind w:left="55"/>
              <w:rPr>
                <w:sz w:val="24"/>
              </w:rPr>
            </w:pPr>
            <w:r>
              <w:rPr>
                <w:sz w:val="24"/>
              </w:rPr>
              <w:t>TC4</w:t>
            </w:r>
          </w:p>
        </w:tc>
        <w:tc>
          <w:tcPr>
            <w:tcW w:w="490" w:type="dxa"/>
          </w:tcPr>
          <w:p>
            <w:pPr>
              <w:pStyle w:val="TableParagraph"/>
              <w:spacing w:before="13"/>
              <w:ind w:left="32" w:right="30"/>
              <w:jc w:val="center"/>
              <w:rPr>
                <w:sz w:val="24"/>
              </w:rPr>
            </w:pPr>
            <w:r>
              <w:rPr>
                <w:sz w:val="24"/>
              </w:rPr>
              <w:t>&lt;---</w:t>
            </w:r>
          </w:p>
        </w:tc>
        <w:tc>
          <w:tcPr>
            <w:tcW w:w="935" w:type="dxa"/>
          </w:tcPr>
          <w:p>
            <w:pPr>
              <w:pStyle w:val="TableParagraph"/>
              <w:spacing w:before="13"/>
              <w:ind w:left="138"/>
              <w:rPr>
                <w:sz w:val="24"/>
              </w:rPr>
            </w:pPr>
            <w:r>
              <w:rPr>
                <w:sz w:val="24"/>
              </w:rPr>
              <w:t>TC</w:t>
            </w:r>
          </w:p>
        </w:tc>
        <w:tc>
          <w:tcPr>
            <w:tcW w:w="1122" w:type="dxa"/>
          </w:tcPr>
          <w:p>
            <w:pPr>
              <w:pStyle w:val="TableParagraph"/>
              <w:spacing w:before="13"/>
              <w:ind w:right="132"/>
              <w:jc w:val="right"/>
              <w:rPr>
                <w:sz w:val="24"/>
              </w:rPr>
            </w:pPr>
            <w:r>
              <w:rPr>
                <w:sz w:val="24"/>
              </w:rPr>
              <w:t>1.003</w:t>
            </w:r>
          </w:p>
        </w:tc>
        <w:tc>
          <w:tcPr>
            <w:tcW w:w="700" w:type="dxa"/>
          </w:tcPr>
          <w:p>
            <w:pPr>
              <w:pStyle w:val="TableParagraph"/>
              <w:spacing w:before="13"/>
              <w:ind w:left="116" w:right="113"/>
              <w:jc w:val="center"/>
              <w:rPr>
                <w:sz w:val="24"/>
              </w:rPr>
            </w:pPr>
            <w:r>
              <w:rPr>
                <w:sz w:val="24"/>
              </w:rPr>
              <w:t>.053</w:t>
            </w:r>
          </w:p>
        </w:tc>
        <w:tc>
          <w:tcPr>
            <w:tcW w:w="943" w:type="dxa"/>
          </w:tcPr>
          <w:p>
            <w:pPr>
              <w:pStyle w:val="TableParagraph"/>
              <w:spacing w:before="13"/>
              <w:ind w:right="136"/>
              <w:jc w:val="right"/>
              <w:rPr>
                <w:sz w:val="24"/>
              </w:rPr>
            </w:pPr>
            <w:r>
              <w:rPr>
                <w:sz w:val="24"/>
              </w:rPr>
              <w:t>19.072</w:t>
            </w:r>
          </w:p>
        </w:tc>
        <w:tc>
          <w:tcPr>
            <w:tcW w:w="643" w:type="dxa"/>
          </w:tcPr>
          <w:p>
            <w:pPr>
              <w:pStyle w:val="TableParagraph"/>
              <w:spacing w:before="13"/>
              <w:ind w:right="137"/>
              <w:jc w:val="right"/>
              <w:rPr>
                <w:sz w:val="24"/>
              </w:rPr>
            </w:pPr>
            <w:r>
              <w:rPr>
                <w:sz w:val="24"/>
              </w:rPr>
              <w:t>***</w:t>
            </w:r>
          </w:p>
        </w:tc>
        <w:tc>
          <w:tcPr>
            <w:tcW w:w="828" w:type="dxa"/>
          </w:tcPr>
          <w:p>
            <w:pPr>
              <w:pStyle w:val="TableParagraph"/>
              <w:rPr>
                <w:sz w:val="22"/>
              </w:rPr>
            </w:pPr>
          </w:p>
        </w:tc>
      </w:tr>
      <w:tr>
        <w:trPr>
          <w:trHeight w:val="443" w:hRule="atLeast"/>
        </w:trPr>
        <w:tc>
          <w:tcPr>
            <w:tcW w:w="1008" w:type="dxa"/>
          </w:tcPr>
          <w:p>
            <w:pPr>
              <w:pStyle w:val="TableParagraph"/>
              <w:spacing w:before="15"/>
              <w:ind w:left="55"/>
              <w:rPr>
                <w:sz w:val="24"/>
              </w:rPr>
            </w:pPr>
            <w:r>
              <w:rPr>
                <w:sz w:val="24"/>
              </w:rPr>
              <w:t>TC3</w:t>
            </w:r>
          </w:p>
        </w:tc>
        <w:tc>
          <w:tcPr>
            <w:tcW w:w="490" w:type="dxa"/>
          </w:tcPr>
          <w:p>
            <w:pPr>
              <w:pStyle w:val="TableParagraph"/>
              <w:spacing w:before="15"/>
              <w:ind w:left="32" w:right="31"/>
              <w:jc w:val="center"/>
              <w:rPr>
                <w:sz w:val="24"/>
              </w:rPr>
            </w:pPr>
            <w:r>
              <w:rPr>
                <w:sz w:val="24"/>
              </w:rPr>
              <w:t>&lt;---</w:t>
            </w:r>
          </w:p>
        </w:tc>
        <w:tc>
          <w:tcPr>
            <w:tcW w:w="935" w:type="dxa"/>
          </w:tcPr>
          <w:p>
            <w:pPr>
              <w:pStyle w:val="TableParagraph"/>
              <w:spacing w:before="15"/>
              <w:ind w:left="138"/>
              <w:rPr>
                <w:sz w:val="24"/>
              </w:rPr>
            </w:pPr>
            <w:r>
              <w:rPr>
                <w:sz w:val="24"/>
              </w:rPr>
              <w:t>TC</w:t>
            </w:r>
          </w:p>
        </w:tc>
        <w:tc>
          <w:tcPr>
            <w:tcW w:w="1122" w:type="dxa"/>
          </w:tcPr>
          <w:p>
            <w:pPr>
              <w:pStyle w:val="TableParagraph"/>
              <w:spacing w:before="15"/>
              <w:ind w:right="132"/>
              <w:jc w:val="right"/>
              <w:rPr>
                <w:sz w:val="24"/>
              </w:rPr>
            </w:pPr>
            <w:r>
              <w:rPr>
                <w:sz w:val="24"/>
              </w:rPr>
              <w:t>.896</w:t>
            </w:r>
          </w:p>
        </w:tc>
        <w:tc>
          <w:tcPr>
            <w:tcW w:w="700" w:type="dxa"/>
          </w:tcPr>
          <w:p>
            <w:pPr>
              <w:pStyle w:val="TableParagraph"/>
              <w:spacing w:before="15"/>
              <w:ind w:left="116" w:right="113"/>
              <w:jc w:val="center"/>
              <w:rPr>
                <w:sz w:val="24"/>
              </w:rPr>
            </w:pPr>
            <w:r>
              <w:rPr>
                <w:sz w:val="24"/>
              </w:rPr>
              <w:t>.056</w:t>
            </w:r>
          </w:p>
        </w:tc>
        <w:tc>
          <w:tcPr>
            <w:tcW w:w="943" w:type="dxa"/>
          </w:tcPr>
          <w:p>
            <w:pPr>
              <w:pStyle w:val="TableParagraph"/>
              <w:spacing w:before="15"/>
              <w:ind w:right="136"/>
              <w:jc w:val="right"/>
              <w:rPr>
                <w:sz w:val="24"/>
              </w:rPr>
            </w:pPr>
            <w:r>
              <w:rPr>
                <w:sz w:val="24"/>
              </w:rPr>
              <w:t>15.962</w:t>
            </w:r>
          </w:p>
        </w:tc>
        <w:tc>
          <w:tcPr>
            <w:tcW w:w="643" w:type="dxa"/>
          </w:tcPr>
          <w:p>
            <w:pPr>
              <w:pStyle w:val="TableParagraph"/>
              <w:spacing w:before="15"/>
              <w:ind w:right="137"/>
              <w:jc w:val="right"/>
              <w:rPr>
                <w:sz w:val="24"/>
              </w:rPr>
            </w:pPr>
            <w:r>
              <w:rPr>
                <w:sz w:val="24"/>
              </w:rPr>
              <w:t>***</w:t>
            </w:r>
          </w:p>
        </w:tc>
        <w:tc>
          <w:tcPr>
            <w:tcW w:w="828" w:type="dxa"/>
          </w:tcPr>
          <w:p>
            <w:pPr>
              <w:pStyle w:val="TableParagraph"/>
              <w:rPr>
                <w:sz w:val="22"/>
              </w:rPr>
            </w:pPr>
          </w:p>
        </w:tc>
      </w:tr>
      <w:tr>
        <w:trPr>
          <w:trHeight w:val="443" w:hRule="atLeast"/>
        </w:trPr>
        <w:tc>
          <w:tcPr>
            <w:tcW w:w="1008" w:type="dxa"/>
          </w:tcPr>
          <w:p>
            <w:pPr>
              <w:pStyle w:val="TableParagraph"/>
              <w:spacing w:before="15"/>
              <w:ind w:left="55"/>
              <w:rPr>
                <w:sz w:val="24"/>
              </w:rPr>
            </w:pPr>
            <w:r>
              <w:rPr>
                <w:sz w:val="24"/>
              </w:rPr>
              <w:t>TC2</w:t>
            </w:r>
          </w:p>
        </w:tc>
        <w:tc>
          <w:tcPr>
            <w:tcW w:w="490" w:type="dxa"/>
          </w:tcPr>
          <w:p>
            <w:pPr>
              <w:pStyle w:val="TableParagraph"/>
              <w:spacing w:before="15"/>
              <w:ind w:left="32" w:right="31"/>
              <w:jc w:val="center"/>
              <w:rPr>
                <w:sz w:val="24"/>
              </w:rPr>
            </w:pPr>
            <w:r>
              <w:rPr>
                <w:sz w:val="24"/>
              </w:rPr>
              <w:t>&lt;---</w:t>
            </w:r>
          </w:p>
        </w:tc>
        <w:tc>
          <w:tcPr>
            <w:tcW w:w="935" w:type="dxa"/>
          </w:tcPr>
          <w:p>
            <w:pPr>
              <w:pStyle w:val="TableParagraph"/>
              <w:spacing w:before="15"/>
              <w:ind w:left="138"/>
              <w:rPr>
                <w:sz w:val="24"/>
              </w:rPr>
            </w:pPr>
            <w:r>
              <w:rPr>
                <w:sz w:val="24"/>
              </w:rPr>
              <w:t>TC</w:t>
            </w:r>
          </w:p>
        </w:tc>
        <w:tc>
          <w:tcPr>
            <w:tcW w:w="1122" w:type="dxa"/>
          </w:tcPr>
          <w:p>
            <w:pPr>
              <w:pStyle w:val="TableParagraph"/>
              <w:spacing w:before="15"/>
              <w:ind w:right="132"/>
              <w:jc w:val="right"/>
              <w:rPr>
                <w:sz w:val="24"/>
              </w:rPr>
            </w:pPr>
            <w:r>
              <w:rPr>
                <w:sz w:val="24"/>
              </w:rPr>
              <w:t>.946</w:t>
            </w:r>
          </w:p>
        </w:tc>
        <w:tc>
          <w:tcPr>
            <w:tcW w:w="700" w:type="dxa"/>
          </w:tcPr>
          <w:p>
            <w:pPr>
              <w:pStyle w:val="TableParagraph"/>
              <w:spacing w:before="15"/>
              <w:ind w:left="116" w:right="113"/>
              <w:jc w:val="center"/>
              <w:rPr>
                <w:sz w:val="24"/>
              </w:rPr>
            </w:pPr>
            <w:r>
              <w:rPr>
                <w:sz w:val="24"/>
              </w:rPr>
              <w:t>.057</w:t>
            </w:r>
          </w:p>
        </w:tc>
        <w:tc>
          <w:tcPr>
            <w:tcW w:w="943" w:type="dxa"/>
          </w:tcPr>
          <w:p>
            <w:pPr>
              <w:pStyle w:val="TableParagraph"/>
              <w:spacing w:before="15"/>
              <w:ind w:right="136"/>
              <w:jc w:val="right"/>
              <w:rPr>
                <w:sz w:val="24"/>
              </w:rPr>
            </w:pPr>
            <w:r>
              <w:rPr>
                <w:sz w:val="24"/>
              </w:rPr>
              <w:t>16.638</w:t>
            </w:r>
          </w:p>
        </w:tc>
        <w:tc>
          <w:tcPr>
            <w:tcW w:w="643" w:type="dxa"/>
          </w:tcPr>
          <w:p>
            <w:pPr>
              <w:pStyle w:val="TableParagraph"/>
              <w:spacing w:before="15"/>
              <w:ind w:right="137"/>
              <w:jc w:val="right"/>
              <w:rPr>
                <w:sz w:val="24"/>
              </w:rPr>
            </w:pPr>
            <w:r>
              <w:rPr>
                <w:sz w:val="24"/>
              </w:rPr>
              <w:t>***</w:t>
            </w:r>
          </w:p>
        </w:tc>
        <w:tc>
          <w:tcPr>
            <w:tcW w:w="828" w:type="dxa"/>
          </w:tcPr>
          <w:p>
            <w:pPr>
              <w:pStyle w:val="TableParagraph"/>
              <w:rPr>
                <w:sz w:val="22"/>
              </w:rPr>
            </w:pPr>
          </w:p>
        </w:tc>
      </w:tr>
      <w:tr>
        <w:trPr>
          <w:trHeight w:val="445" w:hRule="atLeast"/>
        </w:trPr>
        <w:tc>
          <w:tcPr>
            <w:tcW w:w="1008" w:type="dxa"/>
          </w:tcPr>
          <w:p>
            <w:pPr>
              <w:pStyle w:val="TableParagraph"/>
              <w:spacing w:before="15"/>
              <w:ind w:left="55"/>
              <w:rPr>
                <w:sz w:val="24"/>
              </w:rPr>
            </w:pPr>
            <w:r>
              <w:rPr>
                <w:sz w:val="24"/>
              </w:rPr>
              <w:t>HL1</w:t>
            </w:r>
          </w:p>
        </w:tc>
        <w:tc>
          <w:tcPr>
            <w:tcW w:w="490" w:type="dxa"/>
          </w:tcPr>
          <w:p>
            <w:pPr>
              <w:pStyle w:val="TableParagraph"/>
              <w:spacing w:before="15"/>
              <w:ind w:left="32" w:right="31"/>
              <w:jc w:val="center"/>
              <w:rPr>
                <w:sz w:val="24"/>
              </w:rPr>
            </w:pPr>
            <w:r>
              <w:rPr>
                <w:sz w:val="24"/>
              </w:rPr>
              <w:t>&lt;---</w:t>
            </w:r>
          </w:p>
        </w:tc>
        <w:tc>
          <w:tcPr>
            <w:tcW w:w="935" w:type="dxa"/>
          </w:tcPr>
          <w:p>
            <w:pPr>
              <w:pStyle w:val="TableParagraph"/>
              <w:spacing w:before="15"/>
              <w:ind w:left="138"/>
              <w:rPr>
                <w:sz w:val="24"/>
              </w:rPr>
            </w:pPr>
            <w:r>
              <w:rPr>
                <w:sz w:val="24"/>
              </w:rPr>
              <w:t>HL</w:t>
            </w:r>
          </w:p>
        </w:tc>
        <w:tc>
          <w:tcPr>
            <w:tcW w:w="1122" w:type="dxa"/>
          </w:tcPr>
          <w:p>
            <w:pPr>
              <w:pStyle w:val="TableParagraph"/>
              <w:spacing w:before="15"/>
              <w:ind w:right="132"/>
              <w:jc w:val="right"/>
              <w:rPr>
                <w:sz w:val="24"/>
              </w:rPr>
            </w:pPr>
            <w:r>
              <w:rPr>
                <w:sz w:val="24"/>
              </w:rPr>
              <w:t>1.000</w:t>
            </w:r>
          </w:p>
        </w:tc>
        <w:tc>
          <w:tcPr>
            <w:tcW w:w="700" w:type="dxa"/>
          </w:tcPr>
          <w:p>
            <w:pPr>
              <w:pStyle w:val="TableParagraph"/>
              <w:rPr>
                <w:sz w:val="22"/>
              </w:rPr>
            </w:pPr>
          </w:p>
        </w:tc>
        <w:tc>
          <w:tcPr>
            <w:tcW w:w="943" w:type="dxa"/>
          </w:tcPr>
          <w:p>
            <w:pPr>
              <w:pStyle w:val="TableParagraph"/>
              <w:rPr>
                <w:sz w:val="22"/>
              </w:rPr>
            </w:pPr>
          </w:p>
        </w:tc>
        <w:tc>
          <w:tcPr>
            <w:tcW w:w="643" w:type="dxa"/>
          </w:tcPr>
          <w:p>
            <w:pPr>
              <w:pStyle w:val="TableParagraph"/>
              <w:rPr>
                <w:sz w:val="22"/>
              </w:rPr>
            </w:pPr>
          </w:p>
        </w:tc>
        <w:tc>
          <w:tcPr>
            <w:tcW w:w="828" w:type="dxa"/>
          </w:tcPr>
          <w:p>
            <w:pPr>
              <w:pStyle w:val="TableParagraph"/>
              <w:rPr>
                <w:sz w:val="22"/>
              </w:rPr>
            </w:pPr>
          </w:p>
        </w:tc>
      </w:tr>
      <w:tr>
        <w:trPr>
          <w:trHeight w:val="443" w:hRule="atLeast"/>
        </w:trPr>
        <w:tc>
          <w:tcPr>
            <w:tcW w:w="1008" w:type="dxa"/>
          </w:tcPr>
          <w:p>
            <w:pPr>
              <w:pStyle w:val="TableParagraph"/>
              <w:spacing w:before="13"/>
              <w:ind w:left="55"/>
              <w:rPr>
                <w:sz w:val="24"/>
              </w:rPr>
            </w:pPr>
            <w:r>
              <w:rPr>
                <w:sz w:val="24"/>
              </w:rPr>
              <w:t>HL3</w:t>
            </w:r>
          </w:p>
        </w:tc>
        <w:tc>
          <w:tcPr>
            <w:tcW w:w="490" w:type="dxa"/>
          </w:tcPr>
          <w:p>
            <w:pPr>
              <w:pStyle w:val="TableParagraph"/>
              <w:spacing w:before="13"/>
              <w:ind w:left="32" w:right="31"/>
              <w:jc w:val="center"/>
              <w:rPr>
                <w:sz w:val="24"/>
              </w:rPr>
            </w:pPr>
            <w:r>
              <w:rPr>
                <w:sz w:val="24"/>
              </w:rPr>
              <w:t>&lt;---</w:t>
            </w:r>
          </w:p>
        </w:tc>
        <w:tc>
          <w:tcPr>
            <w:tcW w:w="935" w:type="dxa"/>
          </w:tcPr>
          <w:p>
            <w:pPr>
              <w:pStyle w:val="TableParagraph"/>
              <w:spacing w:before="13"/>
              <w:ind w:left="138"/>
              <w:rPr>
                <w:sz w:val="24"/>
              </w:rPr>
            </w:pPr>
            <w:r>
              <w:rPr>
                <w:sz w:val="24"/>
              </w:rPr>
              <w:t>HL</w:t>
            </w:r>
          </w:p>
        </w:tc>
        <w:tc>
          <w:tcPr>
            <w:tcW w:w="1122" w:type="dxa"/>
          </w:tcPr>
          <w:p>
            <w:pPr>
              <w:pStyle w:val="TableParagraph"/>
              <w:spacing w:before="13"/>
              <w:ind w:right="132"/>
              <w:jc w:val="right"/>
              <w:rPr>
                <w:sz w:val="24"/>
              </w:rPr>
            </w:pPr>
            <w:r>
              <w:rPr>
                <w:sz w:val="24"/>
              </w:rPr>
              <w:t>1.009</w:t>
            </w:r>
          </w:p>
        </w:tc>
        <w:tc>
          <w:tcPr>
            <w:tcW w:w="700" w:type="dxa"/>
          </w:tcPr>
          <w:p>
            <w:pPr>
              <w:pStyle w:val="TableParagraph"/>
              <w:spacing w:before="13"/>
              <w:ind w:left="116" w:right="113"/>
              <w:jc w:val="center"/>
              <w:rPr>
                <w:sz w:val="24"/>
              </w:rPr>
            </w:pPr>
            <w:r>
              <w:rPr>
                <w:sz w:val="24"/>
              </w:rPr>
              <w:t>.080</w:t>
            </w:r>
          </w:p>
        </w:tc>
        <w:tc>
          <w:tcPr>
            <w:tcW w:w="943" w:type="dxa"/>
          </w:tcPr>
          <w:p>
            <w:pPr>
              <w:pStyle w:val="TableParagraph"/>
              <w:spacing w:before="13"/>
              <w:ind w:right="136"/>
              <w:jc w:val="right"/>
              <w:rPr>
                <w:sz w:val="24"/>
              </w:rPr>
            </w:pPr>
            <w:r>
              <w:rPr>
                <w:sz w:val="24"/>
              </w:rPr>
              <w:t>12.642</w:t>
            </w:r>
          </w:p>
        </w:tc>
        <w:tc>
          <w:tcPr>
            <w:tcW w:w="643" w:type="dxa"/>
          </w:tcPr>
          <w:p>
            <w:pPr>
              <w:pStyle w:val="TableParagraph"/>
              <w:spacing w:before="13"/>
              <w:ind w:right="137"/>
              <w:jc w:val="right"/>
              <w:rPr>
                <w:sz w:val="24"/>
              </w:rPr>
            </w:pPr>
            <w:r>
              <w:rPr>
                <w:sz w:val="24"/>
              </w:rPr>
              <w:t>***</w:t>
            </w:r>
          </w:p>
        </w:tc>
        <w:tc>
          <w:tcPr>
            <w:tcW w:w="828" w:type="dxa"/>
          </w:tcPr>
          <w:p>
            <w:pPr>
              <w:pStyle w:val="TableParagraph"/>
              <w:rPr>
                <w:sz w:val="22"/>
              </w:rPr>
            </w:pPr>
          </w:p>
        </w:tc>
      </w:tr>
      <w:tr>
        <w:trPr>
          <w:trHeight w:val="443" w:hRule="atLeast"/>
        </w:trPr>
        <w:tc>
          <w:tcPr>
            <w:tcW w:w="1008" w:type="dxa"/>
          </w:tcPr>
          <w:p>
            <w:pPr>
              <w:pStyle w:val="TableParagraph"/>
              <w:spacing w:before="13"/>
              <w:ind w:left="55"/>
              <w:rPr>
                <w:sz w:val="24"/>
              </w:rPr>
            </w:pPr>
            <w:r>
              <w:rPr>
                <w:sz w:val="24"/>
              </w:rPr>
              <w:t>HL2</w:t>
            </w:r>
          </w:p>
        </w:tc>
        <w:tc>
          <w:tcPr>
            <w:tcW w:w="490" w:type="dxa"/>
          </w:tcPr>
          <w:p>
            <w:pPr>
              <w:pStyle w:val="TableParagraph"/>
              <w:spacing w:before="13"/>
              <w:ind w:left="32" w:right="31"/>
              <w:jc w:val="center"/>
              <w:rPr>
                <w:sz w:val="24"/>
              </w:rPr>
            </w:pPr>
            <w:r>
              <w:rPr>
                <w:sz w:val="24"/>
              </w:rPr>
              <w:t>&lt;---</w:t>
            </w:r>
          </w:p>
        </w:tc>
        <w:tc>
          <w:tcPr>
            <w:tcW w:w="935" w:type="dxa"/>
          </w:tcPr>
          <w:p>
            <w:pPr>
              <w:pStyle w:val="TableParagraph"/>
              <w:spacing w:before="13"/>
              <w:ind w:left="138"/>
              <w:rPr>
                <w:sz w:val="24"/>
              </w:rPr>
            </w:pPr>
            <w:r>
              <w:rPr>
                <w:sz w:val="24"/>
              </w:rPr>
              <w:t>HL</w:t>
            </w:r>
          </w:p>
        </w:tc>
        <w:tc>
          <w:tcPr>
            <w:tcW w:w="1122" w:type="dxa"/>
          </w:tcPr>
          <w:p>
            <w:pPr>
              <w:pStyle w:val="TableParagraph"/>
              <w:spacing w:before="13"/>
              <w:ind w:right="132"/>
              <w:jc w:val="right"/>
              <w:rPr>
                <w:sz w:val="24"/>
              </w:rPr>
            </w:pPr>
            <w:r>
              <w:rPr>
                <w:sz w:val="24"/>
              </w:rPr>
              <w:t>.965</w:t>
            </w:r>
          </w:p>
        </w:tc>
        <w:tc>
          <w:tcPr>
            <w:tcW w:w="700" w:type="dxa"/>
          </w:tcPr>
          <w:p>
            <w:pPr>
              <w:pStyle w:val="TableParagraph"/>
              <w:spacing w:before="13"/>
              <w:ind w:left="116" w:right="113"/>
              <w:jc w:val="center"/>
              <w:rPr>
                <w:sz w:val="24"/>
              </w:rPr>
            </w:pPr>
            <w:r>
              <w:rPr>
                <w:sz w:val="24"/>
              </w:rPr>
              <w:t>.079</w:t>
            </w:r>
          </w:p>
        </w:tc>
        <w:tc>
          <w:tcPr>
            <w:tcW w:w="943" w:type="dxa"/>
          </w:tcPr>
          <w:p>
            <w:pPr>
              <w:pStyle w:val="TableParagraph"/>
              <w:spacing w:before="13"/>
              <w:ind w:right="136"/>
              <w:jc w:val="right"/>
              <w:rPr>
                <w:sz w:val="24"/>
              </w:rPr>
            </w:pPr>
            <w:r>
              <w:rPr>
                <w:sz w:val="24"/>
              </w:rPr>
              <w:t>12.196</w:t>
            </w:r>
          </w:p>
        </w:tc>
        <w:tc>
          <w:tcPr>
            <w:tcW w:w="643" w:type="dxa"/>
          </w:tcPr>
          <w:p>
            <w:pPr>
              <w:pStyle w:val="TableParagraph"/>
              <w:spacing w:before="13"/>
              <w:ind w:right="137"/>
              <w:jc w:val="right"/>
              <w:rPr>
                <w:sz w:val="24"/>
              </w:rPr>
            </w:pPr>
            <w:r>
              <w:rPr>
                <w:sz w:val="24"/>
              </w:rPr>
              <w:t>***</w:t>
            </w:r>
          </w:p>
        </w:tc>
        <w:tc>
          <w:tcPr>
            <w:tcW w:w="828" w:type="dxa"/>
          </w:tcPr>
          <w:p>
            <w:pPr>
              <w:pStyle w:val="TableParagraph"/>
              <w:rPr>
                <w:sz w:val="22"/>
              </w:rPr>
            </w:pPr>
          </w:p>
        </w:tc>
      </w:tr>
      <w:tr>
        <w:trPr>
          <w:trHeight w:val="444" w:hRule="atLeast"/>
        </w:trPr>
        <w:tc>
          <w:tcPr>
            <w:tcW w:w="1008" w:type="dxa"/>
          </w:tcPr>
          <w:p>
            <w:pPr>
              <w:pStyle w:val="TableParagraph"/>
              <w:spacing w:before="13"/>
              <w:ind w:left="55"/>
              <w:rPr>
                <w:sz w:val="24"/>
              </w:rPr>
            </w:pPr>
            <w:r>
              <w:rPr>
                <w:sz w:val="24"/>
              </w:rPr>
              <w:t>LI3</w:t>
            </w:r>
          </w:p>
        </w:tc>
        <w:tc>
          <w:tcPr>
            <w:tcW w:w="490" w:type="dxa"/>
          </w:tcPr>
          <w:p>
            <w:pPr>
              <w:pStyle w:val="TableParagraph"/>
              <w:spacing w:before="13"/>
              <w:ind w:left="32" w:right="31"/>
              <w:jc w:val="center"/>
              <w:rPr>
                <w:sz w:val="24"/>
              </w:rPr>
            </w:pPr>
            <w:r>
              <w:rPr>
                <w:sz w:val="24"/>
              </w:rPr>
              <w:t>&lt;---</w:t>
            </w:r>
          </w:p>
        </w:tc>
        <w:tc>
          <w:tcPr>
            <w:tcW w:w="935" w:type="dxa"/>
          </w:tcPr>
          <w:p>
            <w:pPr>
              <w:pStyle w:val="TableParagraph"/>
              <w:spacing w:before="13"/>
              <w:ind w:left="138"/>
              <w:rPr>
                <w:sz w:val="24"/>
              </w:rPr>
            </w:pPr>
            <w:r>
              <w:rPr>
                <w:sz w:val="24"/>
              </w:rPr>
              <w:t>LI</w:t>
            </w:r>
          </w:p>
        </w:tc>
        <w:tc>
          <w:tcPr>
            <w:tcW w:w="1122" w:type="dxa"/>
          </w:tcPr>
          <w:p>
            <w:pPr>
              <w:pStyle w:val="TableParagraph"/>
              <w:spacing w:before="13"/>
              <w:ind w:right="132"/>
              <w:jc w:val="right"/>
              <w:rPr>
                <w:sz w:val="24"/>
              </w:rPr>
            </w:pPr>
            <w:r>
              <w:rPr>
                <w:sz w:val="24"/>
              </w:rPr>
              <w:t>1.000</w:t>
            </w:r>
          </w:p>
        </w:tc>
        <w:tc>
          <w:tcPr>
            <w:tcW w:w="700" w:type="dxa"/>
          </w:tcPr>
          <w:p>
            <w:pPr>
              <w:pStyle w:val="TableParagraph"/>
              <w:rPr>
                <w:sz w:val="22"/>
              </w:rPr>
            </w:pPr>
          </w:p>
        </w:tc>
        <w:tc>
          <w:tcPr>
            <w:tcW w:w="943" w:type="dxa"/>
          </w:tcPr>
          <w:p>
            <w:pPr>
              <w:pStyle w:val="TableParagraph"/>
              <w:rPr>
                <w:sz w:val="22"/>
              </w:rPr>
            </w:pPr>
          </w:p>
        </w:tc>
        <w:tc>
          <w:tcPr>
            <w:tcW w:w="643" w:type="dxa"/>
          </w:tcPr>
          <w:p>
            <w:pPr>
              <w:pStyle w:val="TableParagraph"/>
              <w:rPr>
                <w:sz w:val="22"/>
              </w:rPr>
            </w:pPr>
          </w:p>
        </w:tc>
        <w:tc>
          <w:tcPr>
            <w:tcW w:w="828" w:type="dxa"/>
          </w:tcPr>
          <w:p>
            <w:pPr>
              <w:pStyle w:val="TableParagraph"/>
              <w:rPr>
                <w:sz w:val="22"/>
              </w:rPr>
            </w:pPr>
          </w:p>
        </w:tc>
      </w:tr>
      <w:tr>
        <w:trPr>
          <w:trHeight w:val="443" w:hRule="atLeast"/>
        </w:trPr>
        <w:tc>
          <w:tcPr>
            <w:tcW w:w="1008" w:type="dxa"/>
          </w:tcPr>
          <w:p>
            <w:pPr>
              <w:pStyle w:val="TableParagraph"/>
              <w:spacing w:before="13"/>
              <w:ind w:left="55"/>
              <w:rPr>
                <w:sz w:val="24"/>
              </w:rPr>
            </w:pPr>
            <w:r>
              <w:rPr>
                <w:sz w:val="24"/>
              </w:rPr>
              <w:t>LI1</w:t>
            </w:r>
          </w:p>
        </w:tc>
        <w:tc>
          <w:tcPr>
            <w:tcW w:w="490" w:type="dxa"/>
          </w:tcPr>
          <w:p>
            <w:pPr>
              <w:pStyle w:val="TableParagraph"/>
              <w:spacing w:before="13"/>
              <w:ind w:left="32" w:right="31"/>
              <w:jc w:val="center"/>
              <w:rPr>
                <w:sz w:val="24"/>
              </w:rPr>
            </w:pPr>
            <w:r>
              <w:rPr>
                <w:sz w:val="24"/>
              </w:rPr>
              <w:t>&lt;---</w:t>
            </w:r>
          </w:p>
        </w:tc>
        <w:tc>
          <w:tcPr>
            <w:tcW w:w="935" w:type="dxa"/>
          </w:tcPr>
          <w:p>
            <w:pPr>
              <w:pStyle w:val="TableParagraph"/>
              <w:spacing w:before="13"/>
              <w:ind w:left="138"/>
              <w:rPr>
                <w:sz w:val="24"/>
              </w:rPr>
            </w:pPr>
            <w:r>
              <w:rPr>
                <w:sz w:val="24"/>
              </w:rPr>
              <w:t>LI</w:t>
            </w:r>
          </w:p>
        </w:tc>
        <w:tc>
          <w:tcPr>
            <w:tcW w:w="1122" w:type="dxa"/>
          </w:tcPr>
          <w:p>
            <w:pPr>
              <w:pStyle w:val="TableParagraph"/>
              <w:spacing w:before="13"/>
              <w:ind w:right="132"/>
              <w:jc w:val="right"/>
              <w:rPr>
                <w:sz w:val="24"/>
              </w:rPr>
            </w:pPr>
            <w:r>
              <w:rPr>
                <w:sz w:val="24"/>
              </w:rPr>
              <w:t>.896</w:t>
            </w:r>
          </w:p>
        </w:tc>
        <w:tc>
          <w:tcPr>
            <w:tcW w:w="700" w:type="dxa"/>
          </w:tcPr>
          <w:p>
            <w:pPr>
              <w:pStyle w:val="TableParagraph"/>
              <w:spacing w:before="13"/>
              <w:ind w:left="116" w:right="113"/>
              <w:jc w:val="center"/>
              <w:rPr>
                <w:sz w:val="24"/>
              </w:rPr>
            </w:pPr>
            <w:r>
              <w:rPr>
                <w:sz w:val="24"/>
              </w:rPr>
              <w:t>.082</w:t>
            </w:r>
          </w:p>
        </w:tc>
        <w:tc>
          <w:tcPr>
            <w:tcW w:w="943" w:type="dxa"/>
          </w:tcPr>
          <w:p>
            <w:pPr>
              <w:pStyle w:val="TableParagraph"/>
              <w:spacing w:before="13"/>
              <w:ind w:right="136"/>
              <w:jc w:val="right"/>
              <w:rPr>
                <w:sz w:val="24"/>
              </w:rPr>
            </w:pPr>
            <w:r>
              <w:rPr>
                <w:sz w:val="24"/>
              </w:rPr>
              <w:t>10.979</w:t>
            </w:r>
          </w:p>
        </w:tc>
        <w:tc>
          <w:tcPr>
            <w:tcW w:w="643" w:type="dxa"/>
          </w:tcPr>
          <w:p>
            <w:pPr>
              <w:pStyle w:val="TableParagraph"/>
              <w:spacing w:before="13"/>
              <w:ind w:right="137"/>
              <w:jc w:val="right"/>
              <w:rPr>
                <w:sz w:val="24"/>
              </w:rPr>
            </w:pPr>
            <w:r>
              <w:rPr>
                <w:sz w:val="24"/>
              </w:rPr>
              <w:t>***</w:t>
            </w:r>
          </w:p>
        </w:tc>
        <w:tc>
          <w:tcPr>
            <w:tcW w:w="828" w:type="dxa"/>
          </w:tcPr>
          <w:p>
            <w:pPr>
              <w:pStyle w:val="TableParagraph"/>
              <w:rPr>
                <w:sz w:val="22"/>
              </w:rPr>
            </w:pPr>
          </w:p>
        </w:tc>
      </w:tr>
      <w:tr>
        <w:trPr>
          <w:trHeight w:val="443" w:hRule="atLeast"/>
        </w:trPr>
        <w:tc>
          <w:tcPr>
            <w:tcW w:w="1008" w:type="dxa"/>
          </w:tcPr>
          <w:p>
            <w:pPr>
              <w:pStyle w:val="TableParagraph"/>
              <w:spacing w:before="15"/>
              <w:ind w:left="55"/>
              <w:rPr>
                <w:sz w:val="24"/>
              </w:rPr>
            </w:pPr>
            <w:r>
              <w:rPr>
                <w:sz w:val="24"/>
              </w:rPr>
              <w:t>LI2</w:t>
            </w:r>
          </w:p>
        </w:tc>
        <w:tc>
          <w:tcPr>
            <w:tcW w:w="490" w:type="dxa"/>
          </w:tcPr>
          <w:p>
            <w:pPr>
              <w:pStyle w:val="TableParagraph"/>
              <w:spacing w:before="15"/>
              <w:ind w:left="32" w:right="30"/>
              <w:jc w:val="center"/>
              <w:rPr>
                <w:sz w:val="24"/>
              </w:rPr>
            </w:pPr>
            <w:r>
              <w:rPr>
                <w:sz w:val="24"/>
              </w:rPr>
              <w:t>&lt;---</w:t>
            </w:r>
          </w:p>
        </w:tc>
        <w:tc>
          <w:tcPr>
            <w:tcW w:w="935" w:type="dxa"/>
          </w:tcPr>
          <w:p>
            <w:pPr>
              <w:pStyle w:val="TableParagraph"/>
              <w:spacing w:before="15"/>
              <w:ind w:left="138"/>
              <w:rPr>
                <w:sz w:val="24"/>
              </w:rPr>
            </w:pPr>
            <w:r>
              <w:rPr>
                <w:sz w:val="24"/>
              </w:rPr>
              <w:t>LI</w:t>
            </w:r>
          </w:p>
        </w:tc>
        <w:tc>
          <w:tcPr>
            <w:tcW w:w="1122" w:type="dxa"/>
          </w:tcPr>
          <w:p>
            <w:pPr>
              <w:pStyle w:val="TableParagraph"/>
              <w:spacing w:before="15"/>
              <w:ind w:right="132"/>
              <w:jc w:val="right"/>
              <w:rPr>
                <w:sz w:val="24"/>
              </w:rPr>
            </w:pPr>
            <w:r>
              <w:rPr>
                <w:sz w:val="24"/>
              </w:rPr>
              <w:t>.818</w:t>
            </w:r>
          </w:p>
        </w:tc>
        <w:tc>
          <w:tcPr>
            <w:tcW w:w="700" w:type="dxa"/>
          </w:tcPr>
          <w:p>
            <w:pPr>
              <w:pStyle w:val="TableParagraph"/>
              <w:spacing w:before="15"/>
              <w:ind w:left="116" w:right="113"/>
              <w:jc w:val="center"/>
              <w:rPr>
                <w:sz w:val="24"/>
              </w:rPr>
            </w:pPr>
            <w:r>
              <w:rPr>
                <w:sz w:val="24"/>
              </w:rPr>
              <w:t>.077</w:t>
            </w:r>
          </w:p>
        </w:tc>
        <w:tc>
          <w:tcPr>
            <w:tcW w:w="943" w:type="dxa"/>
          </w:tcPr>
          <w:p>
            <w:pPr>
              <w:pStyle w:val="TableParagraph"/>
              <w:spacing w:before="15"/>
              <w:ind w:right="136"/>
              <w:jc w:val="right"/>
              <w:rPr>
                <w:sz w:val="24"/>
              </w:rPr>
            </w:pPr>
            <w:r>
              <w:rPr>
                <w:sz w:val="24"/>
              </w:rPr>
              <w:t>10.577</w:t>
            </w:r>
          </w:p>
        </w:tc>
        <w:tc>
          <w:tcPr>
            <w:tcW w:w="643" w:type="dxa"/>
          </w:tcPr>
          <w:p>
            <w:pPr>
              <w:pStyle w:val="TableParagraph"/>
              <w:spacing w:before="15"/>
              <w:ind w:right="137"/>
              <w:jc w:val="right"/>
              <w:rPr>
                <w:sz w:val="24"/>
              </w:rPr>
            </w:pPr>
            <w:r>
              <w:rPr>
                <w:sz w:val="24"/>
              </w:rPr>
              <w:t>***</w:t>
            </w:r>
          </w:p>
        </w:tc>
        <w:tc>
          <w:tcPr>
            <w:tcW w:w="828" w:type="dxa"/>
          </w:tcPr>
          <w:p>
            <w:pPr>
              <w:pStyle w:val="TableParagraph"/>
              <w:rPr>
                <w:sz w:val="22"/>
              </w:rPr>
            </w:pPr>
          </w:p>
        </w:tc>
      </w:tr>
    </w:tbl>
    <w:p>
      <w:pPr>
        <w:spacing w:before="0"/>
        <w:ind w:left="882" w:right="0" w:firstLine="0"/>
        <w:jc w:val="left"/>
        <w:rPr>
          <w:b/>
          <w:sz w:val="20"/>
        </w:rPr>
      </w:pPr>
      <w:r>
        <w:rPr>
          <w:b/>
          <w:sz w:val="20"/>
        </w:rPr>
        <w:t>Covariances: (Group number 1 - Default model)</w:t>
      </w:r>
    </w:p>
    <w:p>
      <w:pPr>
        <w:pStyle w:val="BodyText"/>
        <w:rPr>
          <w:b/>
          <w:sz w:val="10"/>
        </w:rPr>
      </w:pPr>
    </w:p>
    <w:tbl>
      <w:tblPr>
        <w:tblW w:w="0" w:type="auto"/>
        <w:jc w:val="left"/>
        <w:tblInd w:w="74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768"/>
        <w:gridCol w:w="545"/>
        <w:gridCol w:w="627"/>
        <w:gridCol w:w="1122"/>
        <w:gridCol w:w="699"/>
        <w:gridCol w:w="821"/>
        <w:gridCol w:w="701"/>
        <w:gridCol w:w="825"/>
      </w:tblGrid>
      <w:tr>
        <w:trPr>
          <w:trHeight w:val="443" w:hRule="atLeast"/>
        </w:trPr>
        <w:tc>
          <w:tcPr>
            <w:tcW w:w="768" w:type="dxa"/>
          </w:tcPr>
          <w:p>
            <w:pPr>
              <w:pStyle w:val="TableParagraph"/>
              <w:rPr>
                <w:sz w:val="22"/>
              </w:rPr>
            </w:pPr>
          </w:p>
        </w:tc>
        <w:tc>
          <w:tcPr>
            <w:tcW w:w="545" w:type="dxa"/>
          </w:tcPr>
          <w:p>
            <w:pPr>
              <w:pStyle w:val="TableParagraph"/>
              <w:rPr>
                <w:sz w:val="22"/>
              </w:rPr>
            </w:pPr>
          </w:p>
        </w:tc>
        <w:tc>
          <w:tcPr>
            <w:tcW w:w="627" w:type="dxa"/>
          </w:tcPr>
          <w:p>
            <w:pPr>
              <w:pStyle w:val="TableParagraph"/>
              <w:rPr>
                <w:sz w:val="22"/>
              </w:rPr>
            </w:pPr>
          </w:p>
        </w:tc>
        <w:tc>
          <w:tcPr>
            <w:tcW w:w="1122" w:type="dxa"/>
          </w:tcPr>
          <w:p>
            <w:pPr>
              <w:pStyle w:val="TableParagraph"/>
              <w:spacing w:before="15"/>
              <w:ind w:right="131"/>
              <w:jc w:val="right"/>
              <w:rPr>
                <w:sz w:val="24"/>
              </w:rPr>
            </w:pPr>
            <w:r>
              <w:rPr>
                <w:w w:val="95"/>
                <w:sz w:val="24"/>
              </w:rPr>
              <w:t>Estimate</w:t>
            </w:r>
          </w:p>
        </w:tc>
        <w:tc>
          <w:tcPr>
            <w:tcW w:w="699" w:type="dxa"/>
          </w:tcPr>
          <w:p>
            <w:pPr>
              <w:pStyle w:val="TableParagraph"/>
              <w:spacing w:before="15"/>
              <w:ind w:left="117" w:right="92"/>
              <w:jc w:val="center"/>
              <w:rPr>
                <w:sz w:val="24"/>
              </w:rPr>
            </w:pPr>
            <w:r>
              <w:rPr>
                <w:sz w:val="24"/>
              </w:rPr>
              <w:t>S.E.</w:t>
            </w:r>
          </w:p>
        </w:tc>
        <w:tc>
          <w:tcPr>
            <w:tcW w:w="821" w:type="dxa"/>
          </w:tcPr>
          <w:p>
            <w:pPr>
              <w:pStyle w:val="TableParagraph"/>
              <w:spacing w:before="15"/>
              <w:ind w:right="128"/>
              <w:jc w:val="right"/>
              <w:rPr>
                <w:sz w:val="24"/>
              </w:rPr>
            </w:pPr>
            <w:r>
              <w:rPr>
                <w:sz w:val="24"/>
              </w:rPr>
              <w:t>C.R.</w:t>
            </w:r>
          </w:p>
        </w:tc>
        <w:tc>
          <w:tcPr>
            <w:tcW w:w="701" w:type="dxa"/>
          </w:tcPr>
          <w:p>
            <w:pPr>
              <w:pStyle w:val="TableParagraph"/>
              <w:spacing w:before="15"/>
              <w:ind w:right="133"/>
              <w:jc w:val="right"/>
              <w:rPr>
                <w:sz w:val="24"/>
              </w:rPr>
            </w:pPr>
            <w:r>
              <w:rPr>
                <w:w w:val="99"/>
                <w:sz w:val="24"/>
              </w:rPr>
              <w:t>P</w:t>
            </w:r>
          </w:p>
        </w:tc>
        <w:tc>
          <w:tcPr>
            <w:tcW w:w="825" w:type="dxa"/>
          </w:tcPr>
          <w:p>
            <w:pPr>
              <w:pStyle w:val="TableParagraph"/>
              <w:spacing w:before="15"/>
              <w:ind w:left="136"/>
              <w:rPr>
                <w:sz w:val="24"/>
              </w:rPr>
            </w:pPr>
            <w:r>
              <w:rPr>
                <w:sz w:val="24"/>
              </w:rPr>
              <w:t>Label</w:t>
            </w:r>
          </w:p>
        </w:tc>
      </w:tr>
      <w:tr>
        <w:trPr>
          <w:trHeight w:val="445" w:hRule="atLeast"/>
        </w:trPr>
        <w:tc>
          <w:tcPr>
            <w:tcW w:w="768" w:type="dxa"/>
          </w:tcPr>
          <w:p>
            <w:pPr>
              <w:pStyle w:val="TableParagraph"/>
              <w:spacing w:before="15"/>
              <w:ind w:left="55"/>
              <w:rPr>
                <w:sz w:val="24"/>
              </w:rPr>
            </w:pPr>
            <w:r>
              <w:rPr>
                <w:sz w:val="24"/>
              </w:rPr>
              <w:t>CLDV</w:t>
            </w:r>
          </w:p>
        </w:tc>
        <w:tc>
          <w:tcPr>
            <w:tcW w:w="545" w:type="dxa"/>
          </w:tcPr>
          <w:p>
            <w:pPr>
              <w:pStyle w:val="TableParagraph"/>
              <w:spacing w:before="15"/>
              <w:ind w:left="33" w:right="31"/>
              <w:jc w:val="center"/>
              <w:rPr>
                <w:sz w:val="24"/>
              </w:rPr>
            </w:pPr>
            <w:r>
              <w:rPr>
                <w:sz w:val="24"/>
              </w:rPr>
              <w:t>&lt;--&gt;</w:t>
            </w:r>
          </w:p>
        </w:tc>
        <w:tc>
          <w:tcPr>
            <w:tcW w:w="627" w:type="dxa"/>
          </w:tcPr>
          <w:p>
            <w:pPr>
              <w:pStyle w:val="TableParagraph"/>
              <w:spacing w:before="15"/>
              <w:ind w:left="138"/>
              <w:rPr>
                <w:sz w:val="24"/>
              </w:rPr>
            </w:pPr>
            <w:r>
              <w:rPr>
                <w:sz w:val="24"/>
              </w:rPr>
              <w:t>CP</w:t>
            </w:r>
          </w:p>
        </w:tc>
        <w:tc>
          <w:tcPr>
            <w:tcW w:w="1122" w:type="dxa"/>
          </w:tcPr>
          <w:p>
            <w:pPr>
              <w:pStyle w:val="TableParagraph"/>
              <w:spacing w:before="15"/>
              <w:ind w:right="131"/>
              <w:jc w:val="right"/>
              <w:rPr>
                <w:sz w:val="24"/>
              </w:rPr>
            </w:pPr>
            <w:r>
              <w:rPr>
                <w:sz w:val="24"/>
              </w:rPr>
              <w:t>.155</w:t>
            </w:r>
          </w:p>
        </w:tc>
        <w:tc>
          <w:tcPr>
            <w:tcW w:w="699" w:type="dxa"/>
          </w:tcPr>
          <w:p>
            <w:pPr>
              <w:pStyle w:val="TableParagraph"/>
              <w:spacing w:before="15"/>
              <w:ind w:left="117" w:right="111"/>
              <w:jc w:val="center"/>
              <w:rPr>
                <w:sz w:val="24"/>
              </w:rPr>
            </w:pPr>
            <w:r>
              <w:rPr>
                <w:sz w:val="24"/>
              </w:rPr>
              <w:t>.036</w:t>
            </w:r>
          </w:p>
        </w:tc>
        <w:tc>
          <w:tcPr>
            <w:tcW w:w="821" w:type="dxa"/>
          </w:tcPr>
          <w:p>
            <w:pPr>
              <w:pStyle w:val="TableParagraph"/>
              <w:spacing w:before="15"/>
              <w:ind w:right="132"/>
              <w:jc w:val="right"/>
              <w:rPr>
                <w:sz w:val="24"/>
              </w:rPr>
            </w:pPr>
            <w:r>
              <w:rPr>
                <w:sz w:val="24"/>
              </w:rPr>
              <w:t>4.299</w:t>
            </w:r>
          </w:p>
        </w:tc>
        <w:tc>
          <w:tcPr>
            <w:tcW w:w="701" w:type="dxa"/>
          </w:tcPr>
          <w:p>
            <w:pPr>
              <w:pStyle w:val="TableParagraph"/>
              <w:spacing w:before="15"/>
              <w:ind w:right="132"/>
              <w:jc w:val="right"/>
              <w:rPr>
                <w:sz w:val="24"/>
              </w:rPr>
            </w:pPr>
            <w:r>
              <w:rPr>
                <w:sz w:val="24"/>
              </w:rPr>
              <w:t>***</w:t>
            </w:r>
          </w:p>
        </w:tc>
        <w:tc>
          <w:tcPr>
            <w:tcW w:w="825" w:type="dxa"/>
          </w:tcPr>
          <w:p>
            <w:pPr>
              <w:pStyle w:val="TableParagraph"/>
              <w:rPr>
                <w:sz w:val="22"/>
              </w:rPr>
            </w:pPr>
          </w:p>
        </w:tc>
      </w:tr>
      <w:tr>
        <w:trPr>
          <w:trHeight w:val="443" w:hRule="atLeast"/>
        </w:trPr>
        <w:tc>
          <w:tcPr>
            <w:tcW w:w="768" w:type="dxa"/>
          </w:tcPr>
          <w:p>
            <w:pPr>
              <w:pStyle w:val="TableParagraph"/>
              <w:spacing w:before="13"/>
              <w:ind w:left="55"/>
              <w:rPr>
                <w:sz w:val="24"/>
              </w:rPr>
            </w:pPr>
            <w:r>
              <w:rPr>
                <w:sz w:val="24"/>
              </w:rPr>
              <w:t>CLDV</w:t>
            </w:r>
          </w:p>
        </w:tc>
        <w:tc>
          <w:tcPr>
            <w:tcW w:w="545" w:type="dxa"/>
          </w:tcPr>
          <w:p>
            <w:pPr>
              <w:pStyle w:val="TableParagraph"/>
              <w:spacing w:before="13"/>
              <w:ind w:left="33" w:right="31"/>
              <w:jc w:val="center"/>
              <w:rPr>
                <w:sz w:val="24"/>
              </w:rPr>
            </w:pPr>
            <w:r>
              <w:rPr>
                <w:sz w:val="24"/>
              </w:rPr>
              <w:t>&lt;--&gt;</w:t>
            </w:r>
          </w:p>
        </w:tc>
        <w:tc>
          <w:tcPr>
            <w:tcW w:w="627" w:type="dxa"/>
          </w:tcPr>
          <w:p>
            <w:pPr>
              <w:pStyle w:val="TableParagraph"/>
              <w:spacing w:before="13"/>
              <w:ind w:left="138"/>
              <w:rPr>
                <w:sz w:val="24"/>
              </w:rPr>
            </w:pPr>
            <w:r>
              <w:rPr>
                <w:sz w:val="24"/>
              </w:rPr>
              <w:t>VT</w:t>
            </w:r>
          </w:p>
        </w:tc>
        <w:tc>
          <w:tcPr>
            <w:tcW w:w="1122" w:type="dxa"/>
          </w:tcPr>
          <w:p>
            <w:pPr>
              <w:pStyle w:val="TableParagraph"/>
              <w:spacing w:before="13"/>
              <w:ind w:right="131"/>
              <w:jc w:val="right"/>
              <w:rPr>
                <w:sz w:val="24"/>
              </w:rPr>
            </w:pPr>
            <w:r>
              <w:rPr>
                <w:sz w:val="24"/>
              </w:rPr>
              <w:t>.158</w:t>
            </w:r>
          </w:p>
        </w:tc>
        <w:tc>
          <w:tcPr>
            <w:tcW w:w="699" w:type="dxa"/>
          </w:tcPr>
          <w:p>
            <w:pPr>
              <w:pStyle w:val="TableParagraph"/>
              <w:spacing w:before="13"/>
              <w:ind w:left="117" w:right="111"/>
              <w:jc w:val="center"/>
              <w:rPr>
                <w:sz w:val="24"/>
              </w:rPr>
            </w:pPr>
            <w:r>
              <w:rPr>
                <w:sz w:val="24"/>
              </w:rPr>
              <w:t>.043</w:t>
            </w:r>
          </w:p>
        </w:tc>
        <w:tc>
          <w:tcPr>
            <w:tcW w:w="821" w:type="dxa"/>
          </w:tcPr>
          <w:p>
            <w:pPr>
              <w:pStyle w:val="TableParagraph"/>
              <w:spacing w:before="13"/>
              <w:ind w:right="132"/>
              <w:jc w:val="right"/>
              <w:rPr>
                <w:sz w:val="24"/>
              </w:rPr>
            </w:pPr>
            <w:r>
              <w:rPr>
                <w:sz w:val="24"/>
              </w:rPr>
              <w:t>3.661</w:t>
            </w:r>
          </w:p>
        </w:tc>
        <w:tc>
          <w:tcPr>
            <w:tcW w:w="701" w:type="dxa"/>
          </w:tcPr>
          <w:p>
            <w:pPr>
              <w:pStyle w:val="TableParagraph"/>
              <w:spacing w:before="13"/>
              <w:ind w:right="132"/>
              <w:jc w:val="right"/>
              <w:rPr>
                <w:sz w:val="24"/>
              </w:rPr>
            </w:pPr>
            <w:r>
              <w:rPr>
                <w:sz w:val="24"/>
              </w:rPr>
              <w:t>***</w:t>
            </w:r>
          </w:p>
        </w:tc>
        <w:tc>
          <w:tcPr>
            <w:tcW w:w="825" w:type="dxa"/>
          </w:tcPr>
          <w:p>
            <w:pPr>
              <w:pStyle w:val="TableParagraph"/>
              <w:rPr>
                <w:sz w:val="22"/>
              </w:rPr>
            </w:pPr>
          </w:p>
        </w:tc>
      </w:tr>
      <w:tr>
        <w:trPr>
          <w:trHeight w:val="443" w:hRule="atLeast"/>
        </w:trPr>
        <w:tc>
          <w:tcPr>
            <w:tcW w:w="768" w:type="dxa"/>
          </w:tcPr>
          <w:p>
            <w:pPr>
              <w:pStyle w:val="TableParagraph"/>
              <w:spacing w:before="13"/>
              <w:ind w:left="55"/>
              <w:rPr>
                <w:sz w:val="24"/>
              </w:rPr>
            </w:pPr>
            <w:r>
              <w:rPr>
                <w:sz w:val="24"/>
              </w:rPr>
              <w:t>CLDV</w:t>
            </w:r>
          </w:p>
        </w:tc>
        <w:tc>
          <w:tcPr>
            <w:tcW w:w="545" w:type="dxa"/>
          </w:tcPr>
          <w:p>
            <w:pPr>
              <w:pStyle w:val="TableParagraph"/>
              <w:spacing w:before="13"/>
              <w:ind w:left="33" w:right="31"/>
              <w:jc w:val="center"/>
              <w:rPr>
                <w:sz w:val="24"/>
              </w:rPr>
            </w:pPr>
            <w:r>
              <w:rPr>
                <w:sz w:val="24"/>
              </w:rPr>
              <w:t>&lt;--&gt;</w:t>
            </w:r>
          </w:p>
        </w:tc>
        <w:tc>
          <w:tcPr>
            <w:tcW w:w="627" w:type="dxa"/>
          </w:tcPr>
          <w:p>
            <w:pPr>
              <w:pStyle w:val="TableParagraph"/>
              <w:spacing w:before="13"/>
              <w:ind w:left="138"/>
              <w:rPr>
                <w:sz w:val="24"/>
              </w:rPr>
            </w:pPr>
            <w:r>
              <w:rPr>
                <w:sz w:val="24"/>
              </w:rPr>
              <w:t>HT</w:t>
            </w:r>
          </w:p>
        </w:tc>
        <w:tc>
          <w:tcPr>
            <w:tcW w:w="1122" w:type="dxa"/>
          </w:tcPr>
          <w:p>
            <w:pPr>
              <w:pStyle w:val="TableParagraph"/>
              <w:spacing w:before="13"/>
              <w:ind w:right="131"/>
              <w:jc w:val="right"/>
              <w:rPr>
                <w:sz w:val="24"/>
              </w:rPr>
            </w:pPr>
            <w:r>
              <w:rPr>
                <w:sz w:val="24"/>
              </w:rPr>
              <w:t>.122</w:t>
            </w:r>
          </w:p>
        </w:tc>
        <w:tc>
          <w:tcPr>
            <w:tcW w:w="699" w:type="dxa"/>
          </w:tcPr>
          <w:p>
            <w:pPr>
              <w:pStyle w:val="TableParagraph"/>
              <w:spacing w:before="13"/>
              <w:ind w:left="117" w:right="111"/>
              <w:jc w:val="center"/>
              <w:rPr>
                <w:sz w:val="24"/>
              </w:rPr>
            </w:pPr>
            <w:r>
              <w:rPr>
                <w:sz w:val="24"/>
              </w:rPr>
              <w:t>.042</w:t>
            </w:r>
          </w:p>
        </w:tc>
        <w:tc>
          <w:tcPr>
            <w:tcW w:w="821" w:type="dxa"/>
          </w:tcPr>
          <w:p>
            <w:pPr>
              <w:pStyle w:val="TableParagraph"/>
              <w:spacing w:before="13"/>
              <w:ind w:right="132"/>
              <w:jc w:val="right"/>
              <w:rPr>
                <w:sz w:val="24"/>
              </w:rPr>
            </w:pPr>
            <w:r>
              <w:rPr>
                <w:sz w:val="24"/>
              </w:rPr>
              <w:t>2.904</w:t>
            </w:r>
          </w:p>
        </w:tc>
        <w:tc>
          <w:tcPr>
            <w:tcW w:w="701" w:type="dxa"/>
          </w:tcPr>
          <w:p>
            <w:pPr>
              <w:pStyle w:val="TableParagraph"/>
              <w:spacing w:before="13"/>
              <w:ind w:right="132"/>
              <w:jc w:val="right"/>
              <w:rPr>
                <w:sz w:val="24"/>
              </w:rPr>
            </w:pPr>
            <w:r>
              <w:rPr>
                <w:sz w:val="24"/>
              </w:rPr>
              <w:t>.004</w:t>
            </w:r>
          </w:p>
        </w:tc>
        <w:tc>
          <w:tcPr>
            <w:tcW w:w="825" w:type="dxa"/>
          </w:tcPr>
          <w:p>
            <w:pPr>
              <w:pStyle w:val="TableParagraph"/>
              <w:rPr>
                <w:sz w:val="22"/>
              </w:rPr>
            </w:pPr>
          </w:p>
        </w:tc>
      </w:tr>
    </w:tbl>
    <w:p>
      <w:pPr>
        <w:spacing w:after="0"/>
        <w:rPr>
          <w:sz w:val="22"/>
        </w:rPr>
        <w:sectPr>
          <w:pgSz w:w="11910" w:h="16850"/>
          <w:pgMar w:header="751" w:footer="0" w:top="960" w:bottom="280" w:left="820" w:right="240"/>
        </w:sectPr>
      </w:pPr>
    </w:p>
    <w:p>
      <w:pPr>
        <w:pStyle w:val="BodyText"/>
        <w:spacing w:before="9"/>
        <w:rPr>
          <w:b/>
          <w:sz w:val="23"/>
        </w:rPr>
      </w:pPr>
    </w:p>
    <w:tbl>
      <w:tblPr>
        <w:tblW w:w="0" w:type="auto"/>
        <w:jc w:val="left"/>
        <w:tblInd w:w="74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768"/>
        <w:gridCol w:w="545"/>
        <w:gridCol w:w="627"/>
        <w:gridCol w:w="1122"/>
        <w:gridCol w:w="699"/>
        <w:gridCol w:w="821"/>
        <w:gridCol w:w="701"/>
        <w:gridCol w:w="825"/>
      </w:tblGrid>
      <w:tr>
        <w:trPr>
          <w:trHeight w:val="443" w:hRule="atLeast"/>
        </w:trPr>
        <w:tc>
          <w:tcPr>
            <w:tcW w:w="768" w:type="dxa"/>
          </w:tcPr>
          <w:p>
            <w:pPr>
              <w:pStyle w:val="TableParagraph"/>
              <w:rPr>
                <w:sz w:val="22"/>
              </w:rPr>
            </w:pPr>
          </w:p>
        </w:tc>
        <w:tc>
          <w:tcPr>
            <w:tcW w:w="545" w:type="dxa"/>
          </w:tcPr>
          <w:p>
            <w:pPr>
              <w:pStyle w:val="TableParagraph"/>
              <w:rPr>
                <w:sz w:val="22"/>
              </w:rPr>
            </w:pPr>
          </w:p>
        </w:tc>
        <w:tc>
          <w:tcPr>
            <w:tcW w:w="627" w:type="dxa"/>
          </w:tcPr>
          <w:p>
            <w:pPr>
              <w:pStyle w:val="TableParagraph"/>
              <w:rPr>
                <w:sz w:val="22"/>
              </w:rPr>
            </w:pPr>
          </w:p>
        </w:tc>
        <w:tc>
          <w:tcPr>
            <w:tcW w:w="1122" w:type="dxa"/>
          </w:tcPr>
          <w:p>
            <w:pPr>
              <w:pStyle w:val="TableParagraph"/>
              <w:spacing w:before="15"/>
              <w:ind w:right="131"/>
              <w:jc w:val="right"/>
              <w:rPr>
                <w:sz w:val="24"/>
              </w:rPr>
            </w:pPr>
            <w:r>
              <w:rPr>
                <w:w w:val="95"/>
                <w:sz w:val="24"/>
              </w:rPr>
              <w:t>Estimate</w:t>
            </w:r>
          </w:p>
        </w:tc>
        <w:tc>
          <w:tcPr>
            <w:tcW w:w="699" w:type="dxa"/>
          </w:tcPr>
          <w:p>
            <w:pPr>
              <w:pStyle w:val="TableParagraph"/>
              <w:spacing w:before="15"/>
              <w:ind w:left="117" w:right="92"/>
              <w:jc w:val="center"/>
              <w:rPr>
                <w:sz w:val="24"/>
              </w:rPr>
            </w:pPr>
            <w:r>
              <w:rPr>
                <w:sz w:val="24"/>
              </w:rPr>
              <w:t>S.E.</w:t>
            </w:r>
          </w:p>
        </w:tc>
        <w:tc>
          <w:tcPr>
            <w:tcW w:w="821" w:type="dxa"/>
          </w:tcPr>
          <w:p>
            <w:pPr>
              <w:pStyle w:val="TableParagraph"/>
              <w:spacing w:before="15"/>
              <w:ind w:right="128"/>
              <w:jc w:val="right"/>
              <w:rPr>
                <w:sz w:val="24"/>
              </w:rPr>
            </w:pPr>
            <w:r>
              <w:rPr>
                <w:sz w:val="24"/>
              </w:rPr>
              <w:t>C.R.</w:t>
            </w:r>
          </w:p>
        </w:tc>
        <w:tc>
          <w:tcPr>
            <w:tcW w:w="701" w:type="dxa"/>
          </w:tcPr>
          <w:p>
            <w:pPr>
              <w:pStyle w:val="TableParagraph"/>
              <w:spacing w:before="15"/>
              <w:ind w:right="133"/>
              <w:jc w:val="right"/>
              <w:rPr>
                <w:sz w:val="24"/>
              </w:rPr>
            </w:pPr>
            <w:r>
              <w:rPr>
                <w:w w:val="99"/>
                <w:sz w:val="24"/>
              </w:rPr>
              <w:t>P</w:t>
            </w:r>
          </w:p>
        </w:tc>
        <w:tc>
          <w:tcPr>
            <w:tcW w:w="825" w:type="dxa"/>
          </w:tcPr>
          <w:p>
            <w:pPr>
              <w:pStyle w:val="TableParagraph"/>
              <w:spacing w:before="15"/>
              <w:ind w:left="136"/>
              <w:rPr>
                <w:sz w:val="24"/>
              </w:rPr>
            </w:pPr>
            <w:r>
              <w:rPr>
                <w:sz w:val="24"/>
              </w:rPr>
              <w:t>Label</w:t>
            </w:r>
          </w:p>
        </w:tc>
      </w:tr>
      <w:tr>
        <w:trPr>
          <w:trHeight w:val="446" w:hRule="atLeast"/>
        </w:trPr>
        <w:tc>
          <w:tcPr>
            <w:tcW w:w="768" w:type="dxa"/>
          </w:tcPr>
          <w:p>
            <w:pPr>
              <w:pStyle w:val="TableParagraph"/>
              <w:spacing w:before="16"/>
              <w:ind w:left="55"/>
              <w:rPr>
                <w:sz w:val="24"/>
              </w:rPr>
            </w:pPr>
            <w:r>
              <w:rPr>
                <w:sz w:val="24"/>
              </w:rPr>
              <w:t>CLDV</w:t>
            </w:r>
          </w:p>
        </w:tc>
        <w:tc>
          <w:tcPr>
            <w:tcW w:w="545" w:type="dxa"/>
          </w:tcPr>
          <w:p>
            <w:pPr>
              <w:pStyle w:val="TableParagraph"/>
              <w:spacing w:before="16"/>
              <w:ind w:left="33" w:right="31"/>
              <w:jc w:val="center"/>
              <w:rPr>
                <w:sz w:val="24"/>
              </w:rPr>
            </w:pPr>
            <w:r>
              <w:rPr>
                <w:sz w:val="24"/>
              </w:rPr>
              <w:t>&lt;--&gt;</w:t>
            </w:r>
          </w:p>
        </w:tc>
        <w:tc>
          <w:tcPr>
            <w:tcW w:w="627" w:type="dxa"/>
          </w:tcPr>
          <w:p>
            <w:pPr>
              <w:pStyle w:val="TableParagraph"/>
              <w:spacing w:before="16"/>
              <w:ind w:left="117" w:right="111"/>
              <w:jc w:val="center"/>
              <w:rPr>
                <w:sz w:val="24"/>
              </w:rPr>
            </w:pPr>
            <w:r>
              <w:rPr>
                <w:sz w:val="24"/>
              </w:rPr>
              <w:t>ND</w:t>
            </w:r>
          </w:p>
        </w:tc>
        <w:tc>
          <w:tcPr>
            <w:tcW w:w="1122" w:type="dxa"/>
          </w:tcPr>
          <w:p>
            <w:pPr>
              <w:pStyle w:val="TableParagraph"/>
              <w:spacing w:before="16"/>
              <w:ind w:right="131"/>
              <w:jc w:val="right"/>
              <w:rPr>
                <w:sz w:val="24"/>
              </w:rPr>
            </w:pPr>
            <w:r>
              <w:rPr>
                <w:sz w:val="24"/>
              </w:rPr>
              <w:t>.121</w:t>
            </w:r>
          </w:p>
        </w:tc>
        <w:tc>
          <w:tcPr>
            <w:tcW w:w="699" w:type="dxa"/>
          </w:tcPr>
          <w:p>
            <w:pPr>
              <w:pStyle w:val="TableParagraph"/>
              <w:spacing w:before="16"/>
              <w:ind w:left="117" w:right="111"/>
              <w:jc w:val="center"/>
              <w:rPr>
                <w:sz w:val="24"/>
              </w:rPr>
            </w:pPr>
            <w:r>
              <w:rPr>
                <w:sz w:val="24"/>
              </w:rPr>
              <w:t>.039</w:t>
            </w:r>
          </w:p>
        </w:tc>
        <w:tc>
          <w:tcPr>
            <w:tcW w:w="821" w:type="dxa"/>
          </w:tcPr>
          <w:p>
            <w:pPr>
              <w:pStyle w:val="TableParagraph"/>
              <w:spacing w:before="16"/>
              <w:ind w:right="132"/>
              <w:jc w:val="right"/>
              <w:rPr>
                <w:sz w:val="24"/>
              </w:rPr>
            </w:pPr>
            <w:r>
              <w:rPr>
                <w:sz w:val="24"/>
              </w:rPr>
              <w:t>3.143</w:t>
            </w:r>
          </w:p>
        </w:tc>
        <w:tc>
          <w:tcPr>
            <w:tcW w:w="701" w:type="dxa"/>
          </w:tcPr>
          <w:p>
            <w:pPr>
              <w:pStyle w:val="TableParagraph"/>
              <w:spacing w:before="16"/>
              <w:ind w:right="132"/>
              <w:jc w:val="right"/>
              <w:rPr>
                <w:sz w:val="24"/>
              </w:rPr>
            </w:pPr>
            <w:r>
              <w:rPr>
                <w:sz w:val="24"/>
              </w:rPr>
              <w:t>.002</w:t>
            </w:r>
          </w:p>
        </w:tc>
        <w:tc>
          <w:tcPr>
            <w:tcW w:w="825" w:type="dxa"/>
          </w:tcPr>
          <w:p>
            <w:pPr>
              <w:pStyle w:val="TableParagraph"/>
              <w:rPr>
                <w:sz w:val="22"/>
              </w:rPr>
            </w:pPr>
          </w:p>
        </w:tc>
      </w:tr>
      <w:tr>
        <w:trPr>
          <w:trHeight w:val="443" w:hRule="atLeast"/>
        </w:trPr>
        <w:tc>
          <w:tcPr>
            <w:tcW w:w="768" w:type="dxa"/>
          </w:tcPr>
          <w:p>
            <w:pPr>
              <w:pStyle w:val="TableParagraph"/>
              <w:spacing w:before="13"/>
              <w:ind w:left="55"/>
              <w:rPr>
                <w:sz w:val="24"/>
              </w:rPr>
            </w:pPr>
            <w:r>
              <w:rPr>
                <w:sz w:val="24"/>
              </w:rPr>
              <w:t>CLDV</w:t>
            </w:r>
          </w:p>
        </w:tc>
        <w:tc>
          <w:tcPr>
            <w:tcW w:w="545" w:type="dxa"/>
          </w:tcPr>
          <w:p>
            <w:pPr>
              <w:pStyle w:val="TableParagraph"/>
              <w:spacing w:before="13"/>
              <w:ind w:left="33" w:right="31"/>
              <w:jc w:val="center"/>
              <w:rPr>
                <w:sz w:val="24"/>
              </w:rPr>
            </w:pPr>
            <w:r>
              <w:rPr>
                <w:sz w:val="24"/>
              </w:rPr>
              <w:t>&lt;--&gt;</w:t>
            </w:r>
          </w:p>
        </w:tc>
        <w:tc>
          <w:tcPr>
            <w:tcW w:w="627" w:type="dxa"/>
          </w:tcPr>
          <w:p>
            <w:pPr>
              <w:pStyle w:val="TableParagraph"/>
              <w:spacing w:before="13"/>
              <w:ind w:left="81" w:right="112"/>
              <w:jc w:val="center"/>
              <w:rPr>
                <w:sz w:val="24"/>
              </w:rPr>
            </w:pPr>
            <w:r>
              <w:rPr>
                <w:sz w:val="24"/>
              </w:rPr>
              <w:t>TC</w:t>
            </w:r>
          </w:p>
        </w:tc>
        <w:tc>
          <w:tcPr>
            <w:tcW w:w="1122" w:type="dxa"/>
          </w:tcPr>
          <w:p>
            <w:pPr>
              <w:pStyle w:val="TableParagraph"/>
              <w:spacing w:before="13"/>
              <w:ind w:right="131"/>
              <w:jc w:val="right"/>
              <w:rPr>
                <w:sz w:val="24"/>
              </w:rPr>
            </w:pPr>
            <w:r>
              <w:rPr>
                <w:sz w:val="24"/>
              </w:rPr>
              <w:t>.243</w:t>
            </w:r>
          </w:p>
        </w:tc>
        <w:tc>
          <w:tcPr>
            <w:tcW w:w="699" w:type="dxa"/>
          </w:tcPr>
          <w:p>
            <w:pPr>
              <w:pStyle w:val="TableParagraph"/>
              <w:spacing w:before="13"/>
              <w:ind w:left="117" w:right="111"/>
              <w:jc w:val="center"/>
              <w:rPr>
                <w:sz w:val="24"/>
              </w:rPr>
            </w:pPr>
            <w:r>
              <w:rPr>
                <w:sz w:val="24"/>
              </w:rPr>
              <w:t>.044</w:t>
            </w:r>
          </w:p>
        </w:tc>
        <w:tc>
          <w:tcPr>
            <w:tcW w:w="821" w:type="dxa"/>
          </w:tcPr>
          <w:p>
            <w:pPr>
              <w:pStyle w:val="TableParagraph"/>
              <w:spacing w:before="13"/>
              <w:ind w:right="132"/>
              <w:jc w:val="right"/>
              <w:rPr>
                <w:sz w:val="24"/>
              </w:rPr>
            </w:pPr>
            <w:r>
              <w:rPr>
                <w:sz w:val="24"/>
              </w:rPr>
              <w:t>5.529</w:t>
            </w:r>
          </w:p>
        </w:tc>
        <w:tc>
          <w:tcPr>
            <w:tcW w:w="701" w:type="dxa"/>
          </w:tcPr>
          <w:p>
            <w:pPr>
              <w:pStyle w:val="TableParagraph"/>
              <w:spacing w:before="13"/>
              <w:ind w:right="132"/>
              <w:jc w:val="right"/>
              <w:rPr>
                <w:sz w:val="24"/>
              </w:rPr>
            </w:pPr>
            <w:r>
              <w:rPr>
                <w:sz w:val="24"/>
              </w:rPr>
              <w:t>***</w:t>
            </w:r>
          </w:p>
        </w:tc>
        <w:tc>
          <w:tcPr>
            <w:tcW w:w="825" w:type="dxa"/>
          </w:tcPr>
          <w:p>
            <w:pPr>
              <w:pStyle w:val="TableParagraph"/>
              <w:rPr>
                <w:sz w:val="22"/>
              </w:rPr>
            </w:pPr>
          </w:p>
        </w:tc>
      </w:tr>
      <w:tr>
        <w:trPr>
          <w:trHeight w:val="443" w:hRule="atLeast"/>
        </w:trPr>
        <w:tc>
          <w:tcPr>
            <w:tcW w:w="768" w:type="dxa"/>
          </w:tcPr>
          <w:p>
            <w:pPr>
              <w:pStyle w:val="TableParagraph"/>
              <w:spacing w:before="13"/>
              <w:ind w:left="55"/>
              <w:rPr>
                <w:sz w:val="24"/>
              </w:rPr>
            </w:pPr>
            <w:r>
              <w:rPr>
                <w:sz w:val="24"/>
              </w:rPr>
              <w:t>CP</w:t>
            </w:r>
          </w:p>
        </w:tc>
        <w:tc>
          <w:tcPr>
            <w:tcW w:w="545" w:type="dxa"/>
          </w:tcPr>
          <w:p>
            <w:pPr>
              <w:pStyle w:val="TableParagraph"/>
              <w:spacing w:before="13"/>
              <w:ind w:left="33" w:right="31"/>
              <w:jc w:val="center"/>
              <w:rPr>
                <w:sz w:val="24"/>
              </w:rPr>
            </w:pPr>
            <w:r>
              <w:rPr>
                <w:sz w:val="24"/>
              </w:rPr>
              <w:t>&lt;--&gt;</w:t>
            </w:r>
          </w:p>
        </w:tc>
        <w:tc>
          <w:tcPr>
            <w:tcW w:w="627" w:type="dxa"/>
          </w:tcPr>
          <w:p>
            <w:pPr>
              <w:pStyle w:val="TableParagraph"/>
              <w:spacing w:before="13"/>
              <w:ind w:left="94" w:right="112"/>
              <w:jc w:val="center"/>
              <w:rPr>
                <w:sz w:val="24"/>
              </w:rPr>
            </w:pPr>
            <w:r>
              <w:rPr>
                <w:sz w:val="24"/>
              </w:rPr>
              <w:t>VT</w:t>
            </w:r>
          </w:p>
        </w:tc>
        <w:tc>
          <w:tcPr>
            <w:tcW w:w="1122" w:type="dxa"/>
          </w:tcPr>
          <w:p>
            <w:pPr>
              <w:pStyle w:val="TableParagraph"/>
              <w:spacing w:before="13"/>
              <w:ind w:right="131"/>
              <w:jc w:val="right"/>
              <w:rPr>
                <w:sz w:val="24"/>
              </w:rPr>
            </w:pPr>
            <w:r>
              <w:rPr>
                <w:sz w:val="24"/>
              </w:rPr>
              <w:t>.058</w:t>
            </w:r>
          </w:p>
        </w:tc>
        <w:tc>
          <w:tcPr>
            <w:tcW w:w="699" w:type="dxa"/>
          </w:tcPr>
          <w:p>
            <w:pPr>
              <w:pStyle w:val="TableParagraph"/>
              <w:spacing w:before="13"/>
              <w:ind w:left="117" w:right="111"/>
              <w:jc w:val="center"/>
              <w:rPr>
                <w:sz w:val="24"/>
              </w:rPr>
            </w:pPr>
            <w:r>
              <w:rPr>
                <w:sz w:val="24"/>
              </w:rPr>
              <w:t>.045</w:t>
            </w:r>
          </w:p>
        </w:tc>
        <w:tc>
          <w:tcPr>
            <w:tcW w:w="821" w:type="dxa"/>
          </w:tcPr>
          <w:p>
            <w:pPr>
              <w:pStyle w:val="TableParagraph"/>
              <w:spacing w:before="13"/>
              <w:ind w:right="132"/>
              <w:jc w:val="right"/>
              <w:rPr>
                <w:sz w:val="24"/>
              </w:rPr>
            </w:pPr>
            <w:r>
              <w:rPr>
                <w:sz w:val="24"/>
              </w:rPr>
              <w:t>1.269</w:t>
            </w:r>
          </w:p>
        </w:tc>
        <w:tc>
          <w:tcPr>
            <w:tcW w:w="701" w:type="dxa"/>
          </w:tcPr>
          <w:p>
            <w:pPr>
              <w:pStyle w:val="TableParagraph"/>
              <w:spacing w:before="13"/>
              <w:ind w:right="132"/>
              <w:jc w:val="right"/>
              <w:rPr>
                <w:sz w:val="24"/>
              </w:rPr>
            </w:pPr>
            <w:r>
              <w:rPr>
                <w:sz w:val="24"/>
              </w:rPr>
              <w:t>.004</w:t>
            </w:r>
          </w:p>
        </w:tc>
        <w:tc>
          <w:tcPr>
            <w:tcW w:w="825" w:type="dxa"/>
          </w:tcPr>
          <w:p>
            <w:pPr>
              <w:pStyle w:val="TableParagraph"/>
              <w:rPr>
                <w:sz w:val="22"/>
              </w:rPr>
            </w:pPr>
          </w:p>
        </w:tc>
      </w:tr>
      <w:tr>
        <w:trPr>
          <w:trHeight w:val="443" w:hRule="atLeast"/>
        </w:trPr>
        <w:tc>
          <w:tcPr>
            <w:tcW w:w="768" w:type="dxa"/>
          </w:tcPr>
          <w:p>
            <w:pPr>
              <w:pStyle w:val="TableParagraph"/>
              <w:spacing w:before="13"/>
              <w:ind w:left="55"/>
              <w:rPr>
                <w:sz w:val="24"/>
              </w:rPr>
            </w:pPr>
            <w:r>
              <w:rPr>
                <w:sz w:val="24"/>
              </w:rPr>
              <w:t>CP</w:t>
            </w:r>
          </w:p>
        </w:tc>
        <w:tc>
          <w:tcPr>
            <w:tcW w:w="545" w:type="dxa"/>
          </w:tcPr>
          <w:p>
            <w:pPr>
              <w:pStyle w:val="TableParagraph"/>
              <w:spacing w:before="13"/>
              <w:ind w:left="33" w:right="31"/>
              <w:jc w:val="center"/>
              <w:rPr>
                <w:sz w:val="24"/>
              </w:rPr>
            </w:pPr>
            <w:r>
              <w:rPr>
                <w:sz w:val="24"/>
              </w:rPr>
              <w:t>&lt;--&gt;</w:t>
            </w:r>
          </w:p>
        </w:tc>
        <w:tc>
          <w:tcPr>
            <w:tcW w:w="627" w:type="dxa"/>
          </w:tcPr>
          <w:p>
            <w:pPr>
              <w:pStyle w:val="TableParagraph"/>
              <w:spacing w:before="13"/>
              <w:ind w:left="94" w:right="112"/>
              <w:jc w:val="center"/>
              <w:rPr>
                <w:sz w:val="24"/>
              </w:rPr>
            </w:pPr>
            <w:r>
              <w:rPr>
                <w:sz w:val="24"/>
              </w:rPr>
              <w:t>HT</w:t>
            </w:r>
          </w:p>
        </w:tc>
        <w:tc>
          <w:tcPr>
            <w:tcW w:w="1122" w:type="dxa"/>
          </w:tcPr>
          <w:p>
            <w:pPr>
              <w:pStyle w:val="TableParagraph"/>
              <w:spacing w:before="13"/>
              <w:ind w:right="131"/>
              <w:jc w:val="right"/>
              <w:rPr>
                <w:sz w:val="24"/>
              </w:rPr>
            </w:pPr>
            <w:r>
              <w:rPr>
                <w:sz w:val="24"/>
              </w:rPr>
              <w:t>.142</w:t>
            </w:r>
          </w:p>
        </w:tc>
        <w:tc>
          <w:tcPr>
            <w:tcW w:w="699" w:type="dxa"/>
          </w:tcPr>
          <w:p>
            <w:pPr>
              <w:pStyle w:val="TableParagraph"/>
              <w:spacing w:before="13"/>
              <w:ind w:left="117" w:right="111"/>
              <w:jc w:val="center"/>
              <w:rPr>
                <w:sz w:val="24"/>
              </w:rPr>
            </w:pPr>
            <w:r>
              <w:rPr>
                <w:sz w:val="24"/>
              </w:rPr>
              <w:t>.046</w:t>
            </w:r>
          </w:p>
        </w:tc>
        <w:tc>
          <w:tcPr>
            <w:tcW w:w="821" w:type="dxa"/>
          </w:tcPr>
          <w:p>
            <w:pPr>
              <w:pStyle w:val="TableParagraph"/>
              <w:spacing w:before="13"/>
              <w:ind w:right="132"/>
              <w:jc w:val="right"/>
              <w:rPr>
                <w:sz w:val="24"/>
              </w:rPr>
            </w:pPr>
            <w:r>
              <w:rPr>
                <w:sz w:val="24"/>
              </w:rPr>
              <w:t>3.113</w:t>
            </w:r>
          </w:p>
        </w:tc>
        <w:tc>
          <w:tcPr>
            <w:tcW w:w="701" w:type="dxa"/>
          </w:tcPr>
          <w:p>
            <w:pPr>
              <w:pStyle w:val="TableParagraph"/>
              <w:spacing w:before="13"/>
              <w:ind w:right="132"/>
              <w:jc w:val="right"/>
              <w:rPr>
                <w:sz w:val="24"/>
              </w:rPr>
            </w:pPr>
            <w:r>
              <w:rPr>
                <w:sz w:val="24"/>
              </w:rPr>
              <w:t>.002</w:t>
            </w:r>
          </w:p>
        </w:tc>
        <w:tc>
          <w:tcPr>
            <w:tcW w:w="825" w:type="dxa"/>
          </w:tcPr>
          <w:p>
            <w:pPr>
              <w:pStyle w:val="TableParagraph"/>
              <w:rPr>
                <w:sz w:val="22"/>
              </w:rPr>
            </w:pPr>
          </w:p>
        </w:tc>
      </w:tr>
      <w:tr>
        <w:trPr>
          <w:trHeight w:val="443" w:hRule="atLeast"/>
        </w:trPr>
        <w:tc>
          <w:tcPr>
            <w:tcW w:w="768" w:type="dxa"/>
          </w:tcPr>
          <w:p>
            <w:pPr>
              <w:pStyle w:val="TableParagraph"/>
              <w:spacing w:before="13"/>
              <w:ind w:left="55"/>
              <w:rPr>
                <w:sz w:val="24"/>
              </w:rPr>
            </w:pPr>
            <w:r>
              <w:rPr>
                <w:sz w:val="24"/>
              </w:rPr>
              <w:t>CP</w:t>
            </w:r>
          </w:p>
        </w:tc>
        <w:tc>
          <w:tcPr>
            <w:tcW w:w="545" w:type="dxa"/>
          </w:tcPr>
          <w:p>
            <w:pPr>
              <w:pStyle w:val="TableParagraph"/>
              <w:spacing w:before="13"/>
              <w:ind w:left="33" w:right="31"/>
              <w:jc w:val="center"/>
              <w:rPr>
                <w:sz w:val="24"/>
              </w:rPr>
            </w:pPr>
            <w:r>
              <w:rPr>
                <w:sz w:val="24"/>
              </w:rPr>
              <w:t>&lt;--&gt;</w:t>
            </w:r>
          </w:p>
        </w:tc>
        <w:tc>
          <w:tcPr>
            <w:tcW w:w="627" w:type="dxa"/>
          </w:tcPr>
          <w:p>
            <w:pPr>
              <w:pStyle w:val="TableParagraph"/>
              <w:spacing w:before="13"/>
              <w:ind w:left="117" w:right="111"/>
              <w:jc w:val="center"/>
              <w:rPr>
                <w:sz w:val="24"/>
              </w:rPr>
            </w:pPr>
            <w:r>
              <w:rPr>
                <w:sz w:val="24"/>
              </w:rPr>
              <w:t>ND</w:t>
            </w:r>
          </w:p>
        </w:tc>
        <w:tc>
          <w:tcPr>
            <w:tcW w:w="1122" w:type="dxa"/>
          </w:tcPr>
          <w:p>
            <w:pPr>
              <w:pStyle w:val="TableParagraph"/>
              <w:spacing w:before="13"/>
              <w:ind w:right="131"/>
              <w:jc w:val="right"/>
              <w:rPr>
                <w:sz w:val="24"/>
              </w:rPr>
            </w:pPr>
            <w:r>
              <w:rPr>
                <w:sz w:val="24"/>
              </w:rPr>
              <w:t>.103</w:t>
            </w:r>
          </w:p>
        </w:tc>
        <w:tc>
          <w:tcPr>
            <w:tcW w:w="699" w:type="dxa"/>
          </w:tcPr>
          <w:p>
            <w:pPr>
              <w:pStyle w:val="TableParagraph"/>
              <w:spacing w:before="13"/>
              <w:ind w:left="117" w:right="111"/>
              <w:jc w:val="center"/>
              <w:rPr>
                <w:sz w:val="24"/>
              </w:rPr>
            </w:pPr>
            <w:r>
              <w:rPr>
                <w:sz w:val="24"/>
              </w:rPr>
              <w:t>.041</w:t>
            </w:r>
          </w:p>
        </w:tc>
        <w:tc>
          <w:tcPr>
            <w:tcW w:w="821" w:type="dxa"/>
          </w:tcPr>
          <w:p>
            <w:pPr>
              <w:pStyle w:val="TableParagraph"/>
              <w:spacing w:before="13"/>
              <w:ind w:right="132"/>
              <w:jc w:val="right"/>
              <w:rPr>
                <w:sz w:val="24"/>
              </w:rPr>
            </w:pPr>
            <w:r>
              <w:rPr>
                <w:sz w:val="24"/>
              </w:rPr>
              <w:t>2.492</w:t>
            </w:r>
          </w:p>
        </w:tc>
        <w:tc>
          <w:tcPr>
            <w:tcW w:w="701" w:type="dxa"/>
          </w:tcPr>
          <w:p>
            <w:pPr>
              <w:pStyle w:val="TableParagraph"/>
              <w:spacing w:before="13"/>
              <w:ind w:right="132"/>
              <w:jc w:val="right"/>
              <w:rPr>
                <w:sz w:val="24"/>
              </w:rPr>
            </w:pPr>
            <w:r>
              <w:rPr>
                <w:sz w:val="24"/>
              </w:rPr>
              <w:t>.013</w:t>
            </w:r>
          </w:p>
        </w:tc>
        <w:tc>
          <w:tcPr>
            <w:tcW w:w="825" w:type="dxa"/>
          </w:tcPr>
          <w:p>
            <w:pPr>
              <w:pStyle w:val="TableParagraph"/>
              <w:rPr>
                <w:sz w:val="22"/>
              </w:rPr>
            </w:pPr>
          </w:p>
        </w:tc>
      </w:tr>
      <w:tr>
        <w:trPr>
          <w:trHeight w:val="443" w:hRule="atLeast"/>
        </w:trPr>
        <w:tc>
          <w:tcPr>
            <w:tcW w:w="768" w:type="dxa"/>
          </w:tcPr>
          <w:p>
            <w:pPr>
              <w:pStyle w:val="TableParagraph"/>
              <w:spacing w:before="15"/>
              <w:ind w:left="55"/>
              <w:rPr>
                <w:sz w:val="24"/>
              </w:rPr>
            </w:pPr>
            <w:r>
              <w:rPr>
                <w:sz w:val="24"/>
              </w:rPr>
              <w:t>CP</w:t>
            </w:r>
          </w:p>
        </w:tc>
        <w:tc>
          <w:tcPr>
            <w:tcW w:w="545" w:type="dxa"/>
          </w:tcPr>
          <w:p>
            <w:pPr>
              <w:pStyle w:val="TableParagraph"/>
              <w:spacing w:before="15"/>
              <w:ind w:left="33" w:right="31"/>
              <w:jc w:val="center"/>
              <w:rPr>
                <w:sz w:val="24"/>
              </w:rPr>
            </w:pPr>
            <w:r>
              <w:rPr>
                <w:sz w:val="24"/>
              </w:rPr>
              <w:t>&lt;--&gt;</w:t>
            </w:r>
          </w:p>
        </w:tc>
        <w:tc>
          <w:tcPr>
            <w:tcW w:w="627" w:type="dxa"/>
          </w:tcPr>
          <w:p>
            <w:pPr>
              <w:pStyle w:val="TableParagraph"/>
              <w:spacing w:before="15"/>
              <w:ind w:left="81" w:right="112"/>
              <w:jc w:val="center"/>
              <w:rPr>
                <w:sz w:val="24"/>
              </w:rPr>
            </w:pPr>
            <w:r>
              <w:rPr>
                <w:sz w:val="24"/>
              </w:rPr>
              <w:t>TC</w:t>
            </w:r>
          </w:p>
        </w:tc>
        <w:tc>
          <w:tcPr>
            <w:tcW w:w="1122" w:type="dxa"/>
          </w:tcPr>
          <w:p>
            <w:pPr>
              <w:pStyle w:val="TableParagraph"/>
              <w:spacing w:before="15"/>
              <w:ind w:right="131"/>
              <w:jc w:val="right"/>
              <w:rPr>
                <w:sz w:val="24"/>
              </w:rPr>
            </w:pPr>
            <w:r>
              <w:rPr>
                <w:sz w:val="24"/>
              </w:rPr>
              <w:t>.116</w:t>
            </w:r>
          </w:p>
        </w:tc>
        <w:tc>
          <w:tcPr>
            <w:tcW w:w="699" w:type="dxa"/>
          </w:tcPr>
          <w:p>
            <w:pPr>
              <w:pStyle w:val="TableParagraph"/>
              <w:spacing w:before="15"/>
              <w:ind w:left="117" w:right="111"/>
              <w:jc w:val="center"/>
              <w:rPr>
                <w:sz w:val="24"/>
              </w:rPr>
            </w:pPr>
            <w:r>
              <w:rPr>
                <w:sz w:val="24"/>
              </w:rPr>
              <w:t>.045</w:t>
            </w:r>
          </w:p>
        </w:tc>
        <w:tc>
          <w:tcPr>
            <w:tcW w:w="821" w:type="dxa"/>
          </w:tcPr>
          <w:p>
            <w:pPr>
              <w:pStyle w:val="TableParagraph"/>
              <w:spacing w:before="15"/>
              <w:ind w:right="132"/>
              <w:jc w:val="right"/>
              <w:rPr>
                <w:sz w:val="24"/>
              </w:rPr>
            </w:pPr>
            <w:r>
              <w:rPr>
                <w:sz w:val="24"/>
              </w:rPr>
              <w:t>2.590</w:t>
            </w:r>
          </w:p>
        </w:tc>
        <w:tc>
          <w:tcPr>
            <w:tcW w:w="701" w:type="dxa"/>
          </w:tcPr>
          <w:p>
            <w:pPr>
              <w:pStyle w:val="TableParagraph"/>
              <w:spacing w:before="15"/>
              <w:ind w:right="132"/>
              <w:jc w:val="right"/>
              <w:rPr>
                <w:sz w:val="24"/>
              </w:rPr>
            </w:pPr>
            <w:r>
              <w:rPr>
                <w:sz w:val="24"/>
              </w:rPr>
              <w:t>.010</w:t>
            </w:r>
          </w:p>
        </w:tc>
        <w:tc>
          <w:tcPr>
            <w:tcW w:w="825" w:type="dxa"/>
          </w:tcPr>
          <w:p>
            <w:pPr>
              <w:pStyle w:val="TableParagraph"/>
              <w:rPr>
                <w:sz w:val="22"/>
              </w:rPr>
            </w:pPr>
          </w:p>
        </w:tc>
      </w:tr>
      <w:tr>
        <w:trPr>
          <w:trHeight w:val="443" w:hRule="atLeast"/>
        </w:trPr>
        <w:tc>
          <w:tcPr>
            <w:tcW w:w="768" w:type="dxa"/>
          </w:tcPr>
          <w:p>
            <w:pPr>
              <w:pStyle w:val="TableParagraph"/>
              <w:spacing w:before="15"/>
              <w:ind w:left="55"/>
              <w:rPr>
                <w:sz w:val="24"/>
              </w:rPr>
            </w:pPr>
            <w:r>
              <w:rPr>
                <w:sz w:val="24"/>
              </w:rPr>
              <w:t>VT</w:t>
            </w:r>
          </w:p>
        </w:tc>
        <w:tc>
          <w:tcPr>
            <w:tcW w:w="545" w:type="dxa"/>
          </w:tcPr>
          <w:p>
            <w:pPr>
              <w:pStyle w:val="TableParagraph"/>
              <w:spacing w:before="15"/>
              <w:ind w:left="33" w:right="31"/>
              <w:jc w:val="center"/>
              <w:rPr>
                <w:sz w:val="24"/>
              </w:rPr>
            </w:pPr>
            <w:r>
              <w:rPr>
                <w:sz w:val="24"/>
              </w:rPr>
              <w:t>&lt;--&gt;</w:t>
            </w:r>
          </w:p>
        </w:tc>
        <w:tc>
          <w:tcPr>
            <w:tcW w:w="627" w:type="dxa"/>
          </w:tcPr>
          <w:p>
            <w:pPr>
              <w:pStyle w:val="TableParagraph"/>
              <w:spacing w:before="15"/>
              <w:ind w:left="94" w:right="112"/>
              <w:jc w:val="center"/>
              <w:rPr>
                <w:sz w:val="24"/>
              </w:rPr>
            </w:pPr>
            <w:r>
              <w:rPr>
                <w:sz w:val="24"/>
              </w:rPr>
              <w:t>HT</w:t>
            </w:r>
          </w:p>
        </w:tc>
        <w:tc>
          <w:tcPr>
            <w:tcW w:w="1122" w:type="dxa"/>
          </w:tcPr>
          <w:p>
            <w:pPr>
              <w:pStyle w:val="TableParagraph"/>
              <w:spacing w:before="15"/>
              <w:ind w:right="131"/>
              <w:jc w:val="right"/>
              <w:rPr>
                <w:sz w:val="24"/>
              </w:rPr>
            </w:pPr>
            <w:r>
              <w:rPr>
                <w:sz w:val="24"/>
              </w:rPr>
              <w:t>-.018</w:t>
            </w:r>
          </w:p>
        </w:tc>
        <w:tc>
          <w:tcPr>
            <w:tcW w:w="699" w:type="dxa"/>
          </w:tcPr>
          <w:p>
            <w:pPr>
              <w:pStyle w:val="TableParagraph"/>
              <w:spacing w:before="15"/>
              <w:ind w:left="117" w:right="111"/>
              <w:jc w:val="center"/>
              <w:rPr>
                <w:sz w:val="24"/>
              </w:rPr>
            </w:pPr>
            <w:r>
              <w:rPr>
                <w:sz w:val="24"/>
              </w:rPr>
              <w:t>.054</w:t>
            </w:r>
          </w:p>
        </w:tc>
        <w:tc>
          <w:tcPr>
            <w:tcW w:w="821" w:type="dxa"/>
          </w:tcPr>
          <w:p>
            <w:pPr>
              <w:pStyle w:val="TableParagraph"/>
              <w:spacing w:before="15"/>
              <w:ind w:right="132"/>
              <w:jc w:val="right"/>
              <w:rPr>
                <w:sz w:val="24"/>
              </w:rPr>
            </w:pPr>
            <w:r>
              <w:rPr>
                <w:sz w:val="24"/>
              </w:rPr>
              <w:t>-.336</w:t>
            </w:r>
          </w:p>
        </w:tc>
        <w:tc>
          <w:tcPr>
            <w:tcW w:w="701" w:type="dxa"/>
          </w:tcPr>
          <w:p>
            <w:pPr>
              <w:pStyle w:val="TableParagraph"/>
              <w:spacing w:before="15"/>
              <w:ind w:right="132"/>
              <w:jc w:val="right"/>
              <w:rPr>
                <w:sz w:val="24"/>
              </w:rPr>
            </w:pPr>
            <w:r>
              <w:rPr>
                <w:sz w:val="24"/>
              </w:rPr>
              <w:t>.037</w:t>
            </w:r>
          </w:p>
        </w:tc>
        <w:tc>
          <w:tcPr>
            <w:tcW w:w="825" w:type="dxa"/>
          </w:tcPr>
          <w:p>
            <w:pPr>
              <w:pStyle w:val="TableParagraph"/>
              <w:rPr>
                <w:sz w:val="22"/>
              </w:rPr>
            </w:pPr>
          </w:p>
        </w:tc>
      </w:tr>
      <w:tr>
        <w:trPr>
          <w:trHeight w:val="443" w:hRule="atLeast"/>
        </w:trPr>
        <w:tc>
          <w:tcPr>
            <w:tcW w:w="768" w:type="dxa"/>
            <w:tcBorders>
              <w:bottom w:val="single" w:sz="6" w:space="0" w:color="000000"/>
            </w:tcBorders>
          </w:tcPr>
          <w:p>
            <w:pPr>
              <w:pStyle w:val="TableParagraph"/>
              <w:spacing w:before="15"/>
              <w:ind w:left="55"/>
              <w:rPr>
                <w:sz w:val="24"/>
              </w:rPr>
            </w:pPr>
            <w:r>
              <w:rPr>
                <w:sz w:val="24"/>
              </w:rPr>
              <w:t>VT</w:t>
            </w:r>
          </w:p>
        </w:tc>
        <w:tc>
          <w:tcPr>
            <w:tcW w:w="545" w:type="dxa"/>
            <w:tcBorders>
              <w:bottom w:val="single" w:sz="6" w:space="0" w:color="000000"/>
            </w:tcBorders>
          </w:tcPr>
          <w:p>
            <w:pPr>
              <w:pStyle w:val="TableParagraph"/>
              <w:spacing w:before="15"/>
              <w:ind w:left="33" w:right="31"/>
              <w:jc w:val="center"/>
              <w:rPr>
                <w:sz w:val="24"/>
              </w:rPr>
            </w:pPr>
            <w:r>
              <w:rPr>
                <w:sz w:val="24"/>
              </w:rPr>
              <w:t>&lt;--&gt;</w:t>
            </w:r>
          </w:p>
        </w:tc>
        <w:tc>
          <w:tcPr>
            <w:tcW w:w="627" w:type="dxa"/>
            <w:tcBorders>
              <w:bottom w:val="single" w:sz="6" w:space="0" w:color="000000"/>
            </w:tcBorders>
          </w:tcPr>
          <w:p>
            <w:pPr>
              <w:pStyle w:val="TableParagraph"/>
              <w:spacing w:before="15"/>
              <w:ind w:left="117" w:right="111"/>
              <w:jc w:val="center"/>
              <w:rPr>
                <w:sz w:val="24"/>
              </w:rPr>
            </w:pPr>
            <w:r>
              <w:rPr>
                <w:sz w:val="24"/>
              </w:rPr>
              <w:t>ND</w:t>
            </w:r>
          </w:p>
        </w:tc>
        <w:tc>
          <w:tcPr>
            <w:tcW w:w="1122" w:type="dxa"/>
            <w:tcBorders>
              <w:bottom w:val="single" w:sz="6" w:space="0" w:color="000000"/>
            </w:tcBorders>
          </w:tcPr>
          <w:p>
            <w:pPr>
              <w:pStyle w:val="TableParagraph"/>
              <w:spacing w:before="15"/>
              <w:ind w:right="131"/>
              <w:jc w:val="right"/>
              <w:rPr>
                <w:sz w:val="24"/>
              </w:rPr>
            </w:pPr>
            <w:r>
              <w:rPr>
                <w:sz w:val="24"/>
              </w:rPr>
              <w:t>.146</w:t>
            </w:r>
          </w:p>
        </w:tc>
        <w:tc>
          <w:tcPr>
            <w:tcW w:w="699" w:type="dxa"/>
            <w:tcBorders>
              <w:bottom w:val="single" w:sz="6" w:space="0" w:color="000000"/>
            </w:tcBorders>
          </w:tcPr>
          <w:p>
            <w:pPr>
              <w:pStyle w:val="TableParagraph"/>
              <w:spacing w:before="15"/>
              <w:ind w:left="117" w:right="111"/>
              <w:jc w:val="center"/>
              <w:rPr>
                <w:sz w:val="24"/>
              </w:rPr>
            </w:pPr>
            <w:r>
              <w:rPr>
                <w:sz w:val="24"/>
              </w:rPr>
              <w:t>.050</w:t>
            </w:r>
          </w:p>
        </w:tc>
        <w:tc>
          <w:tcPr>
            <w:tcW w:w="821" w:type="dxa"/>
            <w:tcBorders>
              <w:bottom w:val="single" w:sz="6" w:space="0" w:color="000000"/>
            </w:tcBorders>
          </w:tcPr>
          <w:p>
            <w:pPr>
              <w:pStyle w:val="TableParagraph"/>
              <w:spacing w:before="15"/>
              <w:ind w:right="132"/>
              <w:jc w:val="right"/>
              <w:rPr>
                <w:sz w:val="24"/>
              </w:rPr>
            </w:pPr>
            <w:r>
              <w:rPr>
                <w:sz w:val="24"/>
              </w:rPr>
              <w:t>2.894</w:t>
            </w:r>
          </w:p>
        </w:tc>
        <w:tc>
          <w:tcPr>
            <w:tcW w:w="701" w:type="dxa"/>
            <w:tcBorders>
              <w:bottom w:val="single" w:sz="6" w:space="0" w:color="000000"/>
            </w:tcBorders>
          </w:tcPr>
          <w:p>
            <w:pPr>
              <w:pStyle w:val="TableParagraph"/>
              <w:spacing w:before="15"/>
              <w:ind w:right="132"/>
              <w:jc w:val="right"/>
              <w:rPr>
                <w:sz w:val="24"/>
              </w:rPr>
            </w:pPr>
            <w:r>
              <w:rPr>
                <w:sz w:val="24"/>
              </w:rPr>
              <w:t>.004</w:t>
            </w:r>
          </w:p>
        </w:tc>
        <w:tc>
          <w:tcPr>
            <w:tcW w:w="825" w:type="dxa"/>
            <w:tcBorders>
              <w:bottom w:val="single" w:sz="6" w:space="0" w:color="000000"/>
            </w:tcBorders>
          </w:tcPr>
          <w:p>
            <w:pPr>
              <w:pStyle w:val="TableParagraph"/>
              <w:rPr>
                <w:sz w:val="22"/>
              </w:rPr>
            </w:pPr>
          </w:p>
        </w:tc>
      </w:tr>
      <w:tr>
        <w:trPr>
          <w:trHeight w:val="441" w:hRule="atLeast"/>
        </w:trPr>
        <w:tc>
          <w:tcPr>
            <w:tcW w:w="768" w:type="dxa"/>
            <w:tcBorders>
              <w:top w:val="single" w:sz="6" w:space="0" w:color="000000"/>
            </w:tcBorders>
          </w:tcPr>
          <w:p>
            <w:pPr>
              <w:pStyle w:val="TableParagraph"/>
              <w:spacing w:before="11"/>
              <w:ind w:left="55"/>
              <w:rPr>
                <w:sz w:val="24"/>
              </w:rPr>
            </w:pPr>
            <w:r>
              <w:rPr>
                <w:sz w:val="24"/>
              </w:rPr>
              <w:t>VT</w:t>
            </w:r>
          </w:p>
        </w:tc>
        <w:tc>
          <w:tcPr>
            <w:tcW w:w="545" w:type="dxa"/>
            <w:tcBorders>
              <w:top w:val="single" w:sz="6" w:space="0" w:color="000000"/>
            </w:tcBorders>
          </w:tcPr>
          <w:p>
            <w:pPr>
              <w:pStyle w:val="TableParagraph"/>
              <w:spacing w:before="11"/>
              <w:ind w:left="33" w:right="31"/>
              <w:jc w:val="center"/>
              <w:rPr>
                <w:sz w:val="24"/>
              </w:rPr>
            </w:pPr>
            <w:r>
              <w:rPr>
                <w:sz w:val="24"/>
              </w:rPr>
              <w:t>&lt;--&gt;</w:t>
            </w:r>
          </w:p>
        </w:tc>
        <w:tc>
          <w:tcPr>
            <w:tcW w:w="627" w:type="dxa"/>
            <w:tcBorders>
              <w:top w:val="single" w:sz="6" w:space="0" w:color="000000"/>
            </w:tcBorders>
          </w:tcPr>
          <w:p>
            <w:pPr>
              <w:pStyle w:val="TableParagraph"/>
              <w:spacing w:before="11"/>
              <w:ind w:left="81" w:right="112"/>
              <w:jc w:val="center"/>
              <w:rPr>
                <w:sz w:val="24"/>
              </w:rPr>
            </w:pPr>
            <w:r>
              <w:rPr>
                <w:sz w:val="24"/>
              </w:rPr>
              <w:t>TC</w:t>
            </w:r>
          </w:p>
        </w:tc>
        <w:tc>
          <w:tcPr>
            <w:tcW w:w="1122" w:type="dxa"/>
            <w:tcBorders>
              <w:top w:val="single" w:sz="6" w:space="0" w:color="000000"/>
            </w:tcBorders>
          </w:tcPr>
          <w:p>
            <w:pPr>
              <w:pStyle w:val="TableParagraph"/>
              <w:spacing w:before="11"/>
              <w:ind w:right="131"/>
              <w:jc w:val="right"/>
              <w:rPr>
                <w:sz w:val="24"/>
              </w:rPr>
            </w:pPr>
            <w:r>
              <w:rPr>
                <w:sz w:val="24"/>
              </w:rPr>
              <w:t>.151</w:t>
            </w:r>
          </w:p>
        </w:tc>
        <w:tc>
          <w:tcPr>
            <w:tcW w:w="699" w:type="dxa"/>
            <w:tcBorders>
              <w:top w:val="single" w:sz="6" w:space="0" w:color="000000"/>
            </w:tcBorders>
          </w:tcPr>
          <w:p>
            <w:pPr>
              <w:pStyle w:val="TableParagraph"/>
              <w:spacing w:before="11"/>
              <w:ind w:left="117" w:right="111"/>
              <w:jc w:val="center"/>
              <w:rPr>
                <w:sz w:val="24"/>
              </w:rPr>
            </w:pPr>
            <w:r>
              <w:rPr>
                <w:sz w:val="24"/>
              </w:rPr>
              <w:t>.054</w:t>
            </w:r>
          </w:p>
        </w:tc>
        <w:tc>
          <w:tcPr>
            <w:tcW w:w="821" w:type="dxa"/>
            <w:tcBorders>
              <w:top w:val="single" w:sz="6" w:space="0" w:color="000000"/>
            </w:tcBorders>
          </w:tcPr>
          <w:p>
            <w:pPr>
              <w:pStyle w:val="TableParagraph"/>
              <w:spacing w:before="11"/>
              <w:ind w:right="132"/>
              <w:jc w:val="right"/>
              <w:rPr>
                <w:sz w:val="24"/>
              </w:rPr>
            </w:pPr>
            <w:r>
              <w:rPr>
                <w:sz w:val="24"/>
              </w:rPr>
              <w:t>2.789</w:t>
            </w:r>
          </w:p>
        </w:tc>
        <w:tc>
          <w:tcPr>
            <w:tcW w:w="701" w:type="dxa"/>
            <w:tcBorders>
              <w:top w:val="single" w:sz="6" w:space="0" w:color="000000"/>
            </w:tcBorders>
          </w:tcPr>
          <w:p>
            <w:pPr>
              <w:pStyle w:val="TableParagraph"/>
              <w:spacing w:before="11"/>
              <w:ind w:right="132"/>
              <w:jc w:val="right"/>
              <w:rPr>
                <w:sz w:val="24"/>
              </w:rPr>
            </w:pPr>
            <w:r>
              <w:rPr>
                <w:sz w:val="24"/>
              </w:rPr>
              <w:t>.005</w:t>
            </w:r>
          </w:p>
        </w:tc>
        <w:tc>
          <w:tcPr>
            <w:tcW w:w="825" w:type="dxa"/>
            <w:tcBorders>
              <w:top w:val="single" w:sz="6" w:space="0" w:color="000000"/>
            </w:tcBorders>
          </w:tcPr>
          <w:p>
            <w:pPr>
              <w:pStyle w:val="TableParagraph"/>
              <w:rPr>
                <w:sz w:val="22"/>
              </w:rPr>
            </w:pPr>
          </w:p>
        </w:tc>
      </w:tr>
      <w:tr>
        <w:trPr>
          <w:trHeight w:val="443" w:hRule="atLeast"/>
        </w:trPr>
        <w:tc>
          <w:tcPr>
            <w:tcW w:w="768" w:type="dxa"/>
          </w:tcPr>
          <w:p>
            <w:pPr>
              <w:pStyle w:val="TableParagraph"/>
              <w:spacing w:before="13"/>
              <w:ind w:left="55"/>
              <w:rPr>
                <w:sz w:val="24"/>
              </w:rPr>
            </w:pPr>
            <w:r>
              <w:rPr>
                <w:sz w:val="24"/>
              </w:rPr>
              <w:t>HT</w:t>
            </w:r>
          </w:p>
        </w:tc>
        <w:tc>
          <w:tcPr>
            <w:tcW w:w="545" w:type="dxa"/>
          </w:tcPr>
          <w:p>
            <w:pPr>
              <w:pStyle w:val="TableParagraph"/>
              <w:spacing w:before="13"/>
              <w:ind w:left="33" w:right="31"/>
              <w:jc w:val="center"/>
              <w:rPr>
                <w:sz w:val="24"/>
              </w:rPr>
            </w:pPr>
            <w:r>
              <w:rPr>
                <w:sz w:val="24"/>
              </w:rPr>
              <w:t>&lt;--&gt;</w:t>
            </w:r>
          </w:p>
        </w:tc>
        <w:tc>
          <w:tcPr>
            <w:tcW w:w="627" w:type="dxa"/>
          </w:tcPr>
          <w:p>
            <w:pPr>
              <w:pStyle w:val="TableParagraph"/>
              <w:spacing w:before="13"/>
              <w:ind w:left="117" w:right="111"/>
              <w:jc w:val="center"/>
              <w:rPr>
                <w:sz w:val="24"/>
              </w:rPr>
            </w:pPr>
            <w:r>
              <w:rPr>
                <w:sz w:val="24"/>
              </w:rPr>
              <w:t>ND</w:t>
            </w:r>
          </w:p>
        </w:tc>
        <w:tc>
          <w:tcPr>
            <w:tcW w:w="1122" w:type="dxa"/>
          </w:tcPr>
          <w:p>
            <w:pPr>
              <w:pStyle w:val="TableParagraph"/>
              <w:spacing w:before="13"/>
              <w:ind w:right="131"/>
              <w:jc w:val="right"/>
              <w:rPr>
                <w:sz w:val="24"/>
              </w:rPr>
            </w:pPr>
            <w:r>
              <w:rPr>
                <w:sz w:val="24"/>
              </w:rPr>
              <w:t>.032</w:t>
            </w:r>
          </w:p>
        </w:tc>
        <w:tc>
          <w:tcPr>
            <w:tcW w:w="699" w:type="dxa"/>
          </w:tcPr>
          <w:p>
            <w:pPr>
              <w:pStyle w:val="TableParagraph"/>
              <w:spacing w:before="13"/>
              <w:ind w:left="117" w:right="111"/>
              <w:jc w:val="center"/>
              <w:rPr>
                <w:sz w:val="24"/>
              </w:rPr>
            </w:pPr>
            <w:r>
              <w:rPr>
                <w:sz w:val="24"/>
              </w:rPr>
              <w:t>.049</w:t>
            </w:r>
          </w:p>
        </w:tc>
        <w:tc>
          <w:tcPr>
            <w:tcW w:w="821" w:type="dxa"/>
          </w:tcPr>
          <w:p>
            <w:pPr>
              <w:pStyle w:val="TableParagraph"/>
              <w:spacing w:before="13"/>
              <w:ind w:right="132"/>
              <w:jc w:val="right"/>
              <w:rPr>
                <w:sz w:val="24"/>
              </w:rPr>
            </w:pPr>
            <w:r>
              <w:rPr>
                <w:sz w:val="24"/>
              </w:rPr>
              <w:t>.649</w:t>
            </w:r>
          </w:p>
        </w:tc>
        <w:tc>
          <w:tcPr>
            <w:tcW w:w="701" w:type="dxa"/>
          </w:tcPr>
          <w:p>
            <w:pPr>
              <w:pStyle w:val="TableParagraph"/>
              <w:spacing w:before="13"/>
              <w:ind w:right="132"/>
              <w:jc w:val="right"/>
              <w:rPr>
                <w:sz w:val="24"/>
              </w:rPr>
            </w:pPr>
            <w:r>
              <w:rPr>
                <w:sz w:val="24"/>
              </w:rPr>
              <w:t>.016</w:t>
            </w:r>
          </w:p>
        </w:tc>
        <w:tc>
          <w:tcPr>
            <w:tcW w:w="825" w:type="dxa"/>
          </w:tcPr>
          <w:p>
            <w:pPr>
              <w:pStyle w:val="TableParagraph"/>
              <w:rPr>
                <w:sz w:val="22"/>
              </w:rPr>
            </w:pPr>
          </w:p>
        </w:tc>
      </w:tr>
      <w:tr>
        <w:trPr>
          <w:trHeight w:val="443" w:hRule="atLeast"/>
        </w:trPr>
        <w:tc>
          <w:tcPr>
            <w:tcW w:w="768" w:type="dxa"/>
          </w:tcPr>
          <w:p>
            <w:pPr>
              <w:pStyle w:val="TableParagraph"/>
              <w:spacing w:before="13"/>
              <w:ind w:left="55"/>
              <w:rPr>
                <w:sz w:val="24"/>
              </w:rPr>
            </w:pPr>
            <w:r>
              <w:rPr>
                <w:sz w:val="24"/>
              </w:rPr>
              <w:t>HT</w:t>
            </w:r>
          </w:p>
        </w:tc>
        <w:tc>
          <w:tcPr>
            <w:tcW w:w="545" w:type="dxa"/>
          </w:tcPr>
          <w:p>
            <w:pPr>
              <w:pStyle w:val="TableParagraph"/>
              <w:spacing w:before="13"/>
              <w:ind w:left="33" w:right="31"/>
              <w:jc w:val="center"/>
              <w:rPr>
                <w:sz w:val="24"/>
              </w:rPr>
            </w:pPr>
            <w:r>
              <w:rPr>
                <w:sz w:val="24"/>
              </w:rPr>
              <w:t>&lt;--&gt;</w:t>
            </w:r>
          </w:p>
        </w:tc>
        <w:tc>
          <w:tcPr>
            <w:tcW w:w="627" w:type="dxa"/>
          </w:tcPr>
          <w:p>
            <w:pPr>
              <w:pStyle w:val="TableParagraph"/>
              <w:spacing w:before="13"/>
              <w:ind w:left="81" w:right="112"/>
              <w:jc w:val="center"/>
              <w:rPr>
                <w:sz w:val="24"/>
              </w:rPr>
            </w:pPr>
            <w:r>
              <w:rPr>
                <w:sz w:val="24"/>
              </w:rPr>
              <w:t>TC</w:t>
            </w:r>
          </w:p>
        </w:tc>
        <w:tc>
          <w:tcPr>
            <w:tcW w:w="1122" w:type="dxa"/>
          </w:tcPr>
          <w:p>
            <w:pPr>
              <w:pStyle w:val="TableParagraph"/>
              <w:spacing w:before="13"/>
              <w:ind w:right="131"/>
              <w:jc w:val="right"/>
              <w:rPr>
                <w:sz w:val="24"/>
              </w:rPr>
            </w:pPr>
            <w:r>
              <w:rPr>
                <w:sz w:val="24"/>
              </w:rPr>
              <w:t>.092</w:t>
            </w:r>
          </w:p>
        </w:tc>
        <w:tc>
          <w:tcPr>
            <w:tcW w:w="699" w:type="dxa"/>
          </w:tcPr>
          <w:p>
            <w:pPr>
              <w:pStyle w:val="TableParagraph"/>
              <w:spacing w:before="13"/>
              <w:ind w:left="117" w:right="111"/>
              <w:jc w:val="center"/>
              <w:rPr>
                <w:sz w:val="24"/>
              </w:rPr>
            </w:pPr>
            <w:r>
              <w:rPr>
                <w:sz w:val="24"/>
              </w:rPr>
              <w:t>.053</w:t>
            </w:r>
          </w:p>
        </w:tc>
        <w:tc>
          <w:tcPr>
            <w:tcW w:w="821" w:type="dxa"/>
          </w:tcPr>
          <w:p>
            <w:pPr>
              <w:pStyle w:val="TableParagraph"/>
              <w:spacing w:before="13"/>
              <w:ind w:right="132"/>
              <w:jc w:val="right"/>
              <w:rPr>
                <w:sz w:val="24"/>
              </w:rPr>
            </w:pPr>
            <w:r>
              <w:rPr>
                <w:sz w:val="24"/>
              </w:rPr>
              <w:t>1.737</w:t>
            </w:r>
          </w:p>
        </w:tc>
        <w:tc>
          <w:tcPr>
            <w:tcW w:w="701" w:type="dxa"/>
          </w:tcPr>
          <w:p>
            <w:pPr>
              <w:pStyle w:val="TableParagraph"/>
              <w:spacing w:before="13"/>
              <w:ind w:right="132"/>
              <w:jc w:val="right"/>
              <w:rPr>
                <w:sz w:val="24"/>
              </w:rPr>
            </w:pPr>
            <w:r>
              <w:rPr>
                <w:sz w:val="24"/>
              </w:rPr>
              <w:t>.002</w:t>
            </w:r>
          </w:p>
        </w:tc>
        <w:tc>
          <w:tcPr>
            <w:tcW w:w="825" w:type="dxa"/>
          </w:tcPr>
          <w:p>
            <w:pPr>
              <w:pStyle w:val="TableParagraph"/>
              <w:rPr>
                <w:sz w:val="22"/>
              </w:rPr>
            </w:pPr>
          </w:p>
        </w:tc>
      </w:tr>
      <w:tr>
        <w:trPr>
          <w:trHeight w:val="443" w:hRule="atLeast"/>
        </w:trPr>
        <w:tc>
          <w:tcPr>
            <w:tcW w:w="768" w:type="dxa"/>
          </w:tcPr>
          <w:p>
            <w:pPr>
              <w:pStyle w:val="TableParagraph"/>
              <w:spacing w:before="13"/>
              <w:ind w:left="55"/>
              <w:rPr>
                <w:sz w:val="24"/>
              </w:rPr>
            </w:pPr>
            <w:r>
              <w:rPr>
                <w:sz w:val="24"/>
              </w:rPr>
              <w:t>ND</w:t>
            </w:r>
          </w:p>
        </w:tc>
        <w:tc>
          <w:tcPr>
            <w:tcW w:w="545" w:type="dxa"/>
          </w:tcPr>
          <w:p>
            <w:pPr>
              <w:pStyle w:val="TableParagraph"/>
              <w:spacing w:before="13"/>
              <w:ind w:left="33" w:right="31"/>
              <w:jc w:val="center"/>
              <w:rPr>
                <w:sz w:val="24"/>
              </w:rPr>
            </w:pPr>
            <w:r>
              <w:rPr>
                <w:sz w:val="24"/>
              </w:rPr>
              <w:t>&lt;--&gt;</w:t>
            </w:r>
          </w:p>
        </w:tc>
        <w:tc>
          <w:tcPr>
            <w:tcW w:w="627" w:type="dxa"/>
          </w:tcPr>
          <w:p>
            <w:pPr>
              <w:pStyle w:val="TableParagraph"/>
              <w:spacing w:before="13"/>
              <w:ind w:left="81" w:right="112"/>
              <w:jc w:val="center"/>
              <w:rPr>
                <w:sz w:val="24"/>
              </w:rPr>
            </w:pPr>
            <w:r>
              <w:rPr>
                <w:sz w:val="24"/>
              </w:rPr>
              <w:t>TC</w:t>
            </w:r>
          </w:p>
        </w:tc>
        <w:tc>
          <w:tcPr>
            <w:tcW w:w="1122" w:type="dxa"/>
          </w:tcPr>
          <w:p>
            <w:pPr>
              <w:pStyle w:val="TableParagraph"/>
              <w:spacing w:before="13"/>
              <w:ind w:right="131"/>
              <w:jc w:val="right"/>
              <w:rPr>
                <w:sz w:val="24"/>
              </w:rPr>
            </w:pPr>
            <w:r>
              <w:rPr>
                <w:sz w:val="24"/>
              </w:rPr>
              <w:t>.072</w:t>
            </w:r>
          </w:p>
        </w:tc>
        <w:tc>
          <w:tcPr>
            <w:tcW w:w="699" w:type="dxa"/>
          </w:tcPr>
          <w:p>
            <w:pPr>
              <w:pStyle w:val="TableParagraph"/>
              <w:spacing w:before="13"/>
              <w:ind w:left="117" w:right="111"/>
              <w:jc w:val="center"/>
              <w:rPr>
                <w:sz w:val="24"/>
              </w:rPr>
            </w:pPr>
            <w:r>
              <w:rPr>
                <w:sz w:val="24"/>
              </w:rPr>
              <w:t>.048</w:t>
            </w:r>
          </w:p>
        </w:tc>
        <w:tc>
          <w:tcPr>
            <w:tcW w:w="821" w:type="dxa"/>
          </w:tcPr>
          <w:p>
            <w:pPr>
              <w:pStyle w:val="TableParagraph"/>
              <w:spacing w:before="13"/>
              <w:ind w:right="132"/>
              <w:jc w:val="right"/>
              <w:rPr>
                <w:sz w:val="24"/>
              </w:rPr>
            </w:pPr>
            <w:r>
              <w:rPr>
                <w:sz w:val="24"/>
              </w:rPr>
              <w:t>1.490</w:t>
            </w:r>
          </w:p>
        </w:tc>
        <w:tc>
          <w:tcPr>
            <w:tcW w:w="701" w:type="dxa"/>
          </w:tcPr>
          <w:p>
            <w:pPr>
              <w:pStyle w:val="TableParagraph"/>
              <w:spacing w:before="13"/>
              <w:ind w:right="132"/>
              <w:jc w:val="right"/>
              <w:rPr>
                <w:sz w:val="24"/>
              </w:rPr>
            </w:pPr>
            <w:r>
              <w:rPr>
                <w:sz w:val="24"/>
              </w:rPr>
              <w:t>.036</w:t>
            </w:r>
          </w:p>
        </w:tc>
        <w:tc>
          <w:tcPr>
            <w:tcW w:w="825" w:type="dxa"/>
          </w:tcPr>
          <w:p>
            <w:pPr>
              <w:pStyle w:val="TableParagraph"/>
              <w:rPr>
                <w:sz w:val="22"/>
              </w:rPr>
            </w:pPr>
          </w:p>
        </w:tc>
      </w:tr>
    </w:tbl>
    <w:p>
      <w:pPr>
        <w:pStyle w:val="BodyText"/>
        <w:rPr>
          <w:b/>
          <w:sz w:val="20"/>
        </w:rPr>
      </w:pPr>
    </w:p>
    <w:p>
      <w:pPr>
        <w:pStyle w:val="BodyText"/>
        <w:rPr>
          <w:b/>
          <w:sz w:val="20"/>
        </w:rPr>
      </w:pPr>
    </w:p>
    <w:p>
      <w:pPr>
        <w:pStyle w:val="BodyText"/>
        <w:rPr>
          <w:b/>
          <w:sz w:val="20"/>
        </w:rPr>
      </w:pPr>
    </w:p>
    <w:p>
      <w:pPr>
        <w:pStyle w:val="BodyText"/>
        <w:spacing w:before="3"/>
        <w:rPr>
          <w:b/>
          <w:sz w:val="22"/>
        </w:rPr>
      </w:pPr>
    </w:p>
    <w:p>
      <w:pPr>
        <w:spacing w:line="357" w:lineRule="auto" w:before="91" w:after="3"/>
        <w:ind w:left="882" w:right="5826" w:firstLine="0"/>
        <w:jc w:val="left"/>
        <w:rPr>
          <w:b/>
          <w:sz w:val="20"/>
        </w:rPr>
      </w:pPr>
      <w:r>
        <w:rPr>
          <w:b/>
          <w:sz w:val="20"/>
        </w:rPr>
        <w:t>Covariances: (Group number 1 - Default model) CMIN</w:t>
      </w:r>
    </w:p>
    <w:tbl>
      <w:tblPr>
        <w:tblW w:w="0" w:type="auto"/>
        <w:jc w:val="left"/>
        <w:tblInd w:w="74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2273"/>
        <w:gridCol w:w="922"/>
        <w:gridCol w:w="1298"/>
        <w:gridCol w:w="641"/>
        <w:gridCol w:w="701"/>
        <w:gridCol w:w="1279"/>
      </w:tblGrid>
      <w:tr>
        <w:trPr>
          <w:trHeight w:val="444" w:hRule="atLeast"/>
        </w:trPr>
        <w:tc>
          <w:tcPr>
            <w:tcW w:w="2273" w:type="dxa"/>
          </w:tcPr>
          <w:p>
            <w:pPr>
              <w:pStyle w:val="TableParagraph"/>
              <w:spacing w:before="13"/>
              <w:ind w:left="139"/>
              <w:rPr>
                <w:sz w:val="24"/>
              </w:rPr>
            </w:pPr>
            <w:r>
              <w:rPr>
                <w:sz w:val="24"/>
              </w:rPr>
              <w:t>Model</w:t>
            </w:r>
          </w:p>
        </w:tc>
        <w:tc>
          <w:tcPr>
            <w:tcW w:w="922" w:type="dxa"/>
          </w:tcPr>
          <w:p>
            <w:pPr>
              <w:pStyle w:val="TableParagraph"/>
              <w:spacing w:before="13"/>
              <w:ind w:right="131"/>
              <w:jc w:val="right"/>
              <w:rPr>
                <w:sz w:val="24"/>
              </w:rPr>
            </w:pPr>
            <w:r>
              <w:rPr>
                <w:w w:val="95"/>
                <w:sz w:val="24"/>
              </w:rPr>
              <w:t>NPAR</w:t>
            </w:r>
          </w:p>
        </w:tc>
        <w:tc>
          <w:tcPr>
            <w:tcW w:w="1298" w:type="dxa"/>
          </w:tcPr>
          <w:p>
            <w:pPr>
              <w:pStyle w:val="TableParagraph"/>
              <w:spacing w:before="13"/>
              <w:ind w:right="132"/>
              <w:jc w:val="right"/>
              <w:rPr>
                <w:sz w:val="24"/>
              </w:rPr>
            </w:pPr>
            <w:r>
              <w:rPr>
                <w:w w:val="95"/>
                <w:sz w:val="24"/>
              </w:rPr>
              <w:t>CMIN</w:t>
            </w:r>
          </w:p>
        </w:tc>
        <w:tc>
          <w:tcPr>
            <w:tcW w:w="641" w:type="dxa"/>
          </w:tcPr>
          <w:p>
            <w:pPr>
              <w:pStyle w:val="TableParagraph"/>
              <w:spacing w:before="13"/>
              <w:ind w:right="131"/>
              <w:jc w:val="right"/>
              <w:rPr>
                <w:sz w:val="24"/>
              </w:rPr>
            </w:pPr>
            <w:r>
              <w:rPr>
                <w:w w:val="95"/>
                <w:sz w:val="24"/>
              </w:rPr>
              <w:t>DF</w:t>
            </w:r>
          </w:p>
        </w:tc>
        <w:tc>
          <w:tcPr>
            <w:tcW w:w="701" w:type="dxa"/>
          </w:tcPr>
          <w:p>
            <w:pPr>
              <w:pStyle w:val="TableParagraph"/>
              <w:spacing w:before="13"/>
              <w:ind w:right="130"/>
              <w:jc w:val="right"/>
              <w:rPr>
                <w:sz w:val="24"/>
              </w:rPr>
            </w:pPr>
            <w:r>
              <w:rPr>
                <w:w w:val="99"/>
                <w:sz w:val="24"/>
              </w:rPr>
              <w:t>P</w:t>
            </w:r>
          </w:p>
        </w:tc>
        <w:tc>
          <w:tcPr>
            <w:tcW w:w="1279" w:type="dxa"/>
          </w:tcPr>
          <w:p>
            <w:pPr>
              <w:pStyle w:val="TableParagraph"/>
              <w:spacing w:before="13"/>
              <w:ind w:right="127"/>
              <w:jc w:val="right"/>
              <w:rPr>
                <w:sz w:val="24"/>
              </w:rPr>
            </w:pPr>
            <w:r>
              <w:rPr>
                <w:sz w:val="24"/>
              </w:rPr>
              <w:t>CMIN/DF</w:t>
            </w:r>
          </w:p>
        </w:tc>
      </w:tr>
      <w:tr>
        <w:trPr>
          <w:trHeight w:val="443" w:hRule="atLeast"/>
        </w:trPr>
        <w:tc>
          <w:tcPr>
            <w:tcW w:w="2273" w:type="dxa"/>
          </w:tcPr>
          <w:p>
            <w:pPr>
              <w:pStyle w:val="TableParagraph"/>
              <w:spacing w:before="15"/>
              <w:ind w:left="139"/>
              <w:rPr>
                <w:sz w:val="24"/>
              </w:rPr>
            </w:pPr>
            <w:r>
              <w:rPr>
                <w:sz w:val="24"/>
              </w:rPr>
              <w:t>Default model</w:t>
            </w:r>
          </w:p>
        </w:tc>
        <w:tc>
          <w:tcPr>
            <w:tcW w:w="922" w:type="dxa"/>
          </w:tcPr>
          <w:p>
            <w:pPr>
              <w:pStyle w:val="TableParagraph"/>
              <w:spacing w:before="15"/>
              <w:ind w:right="129"/>
              <w:jc w:val="right"/>
              <w:rPr>
                <w:sz w:val="24"/>
              </w:rPr>
            </w:pPr>
            <w:r>
              <w:rPr>
                <w:sz w:val="24"/>
              </w:rPr>
              <w:t>126</w:t>
            </w:r>
          </w:p>
        </w:tc>
        <w:tc>
          <w:tcPr>
            <w:tcW w:w="1298" w:type="dxa"/>
          </w:tcPr>
          <w:p>
            <w:pPr>
              <w:pStyle w:val="TableParagraph"/>
              <w:spacing w:before="15"/>
              <w:ind w:right="127"/>
              <w:jc w:val="right"/>
              <w:rPr>
                <w:sz w:val="24"/>
              </w:rPr>
            </w:pPr>
            <w:r>
              <w:rPr>
                <w:sz w:val="24"/>
              </w:rPr>
              <w:t>1223.990</w:t>
            </w:r>
          </w:p>
        </w:tc>
        <w:tc>
          <w:tcPr>
            <w:tcW w:w="641" w:type="dxa"/>
          </w:tcPr>
          <w:p>
            <w:pPr>
              <w:pStyle w:val="TableParagraph"/>
              <w:spacing w:before="15"/>
              <w:ind w:right="129"/>
              <w:jc w:val="right"/>
              <w:rPr>
                <w:sz w:val="24"/>
              </w:rPr>
            </w:pPr>
            <w:r>
              <w:rPr>
                <w:sz w:val="24"/>
              </w:rPr>
              <w:t>777</w:t>
            </w:r>
          </w:p>
        </w:tc>
        <w:tc>
          <w:tcPr>
            <w:tcW w:w="701" w:type="dxa"/>
          </w:tcPr>
          <w:p>
            <w:pPr>
              <w:pStyle w:val="TableParagraph"/>
              <w:spacing w:before="15"/>
              <w:ind w:right="129"/>
              <w:jc w:val="right"/>
              <w:rPr>
                <w:sz w:val="24"/>
              </w:rPr>
            </w:pPr>
            <w:r>
              <w:rPr>
                <w:sz w:val="24"/>
              </w:rPr>
              <w:t>.000</w:t>
            </w:r>
          </w:p>
        </w:tc>
        <w:tc>
          <w:tcPr>
            <w:tcW w:w="1279" w:type="dxa"/>
          </w:tcPr>
          <w:p>
            <w:pPr>
              <w:pStyle w:val="TableParagraph"/>
              <w:spacing w:before="15"/>
              <w:ind w:right="126"/>
              <w:jc w:val="right"/>
              <w:rPr>
                <w:sz w:val="24"/>
              </w:rPr>
            </w:pPr>
            <w:r>
              <w:rPr>
                <w:sz w:val="24"/>
              </w:rPr>
              <w:t>1.575</w:t>
            </w:r>
          </w:p>
        </w:tc>
      </w:tr>
      <w:tr>
        <w:trPr>
          <w:trHeight w:val="443" w:hRule="atLeast"/>
        </w:trPr>
        <w:tc>
          <w:tcPr>
            <w:tcW w:w="2273" w:type="dxa"/>
          </w:tcPr>
          <w:p>
            <w:pPr>
              <w:pStyle w:val="TableParagraph"/>
              <w:spacing w:before="15"/>
              <w:ind w:left="139"/>
              <w:rPr>
                <w:sz w:val="24"/>
              </w:rPr>
            </w:pPr>
            <w:r>
              <w:rPr>
                <w:sz w:val="24"/>
              </w:rPr>
              <w:t>Saturated model</w:t>
            </w:r>
          </w:p>
        </w:tc>
        <w:tc>
          <w:tcPr>
            <w:tcW w:w="922" w:type="dxa"/>
          </w:tcPr>
          <w:p>
            <w:pPr>
              <w:pStyle w:val="TableParagraph"/>
              <w:spacing w:before="15"/>
              <w:ind w:right="129"/>
              <w:jc w:val="right"/>
              <w:rPr>
                <w:sz w:val="24"/>
              </w:rPr>
            </w:pPr>
            <w:r>
              <w:rPr>
                <w:sz w:val="24"/>
              </w:rPr>
              <w:t>903</w:t>
            </w:r>
          </w:p>
        </w:tc>
        <w:tc>
          <w:tcPr>
            <w:tcW w:w="1298" w:type="dxa"/>
          </w:tcPr>
          <w:p>
            <w:pPr>
              <w:pStyle w:val="TableParagraph"/>
              <w:spacing w:before="15"/>
              <w:ind w:right="127"/>
              <w:jc w:val="right"/>
              <w:rPr>
                <w:sz w:val="24"/>
              </w:rPr>
            </w:pPr>
            <w:r>
              <w:rPr>
                <w:sz w:val="24"/>
              </w:rPr>
              <w:t>.000</w:t>
            </w:r>
          </w:p>
        </w:tc>
        <w:tc>
          <w:tcPr>
            <w:tcW w:w="641" w:type="dxa"/>
          </w:tcPr>
          <w:p>
            <w:pPr>
              <w:pStyle w:val="TableParagraph"/>
              <w:spacing w:before="15"/>
              <w:ind w:right="129"/>
              <w:jc w:val="right"/>
              <w:rPr>
                <w:sz w:val="24"/>
              </w:rPr>
            </w:pPr>
            <w:r>
              <w:rPr>
                <w:sz w:val="24"/>
              </w:rPr>
              <w:t>0</w:t>
            </w:r>
          </w:p>
        </w:tc>
        <w:tc>
          <w:tcPr>
            <w:tcW w:w="701" w:type="dxa"/>
          </w:tcPr>
          <w:p>
            <w:pPr>
              <w:pStyle w:val="TableParagraph"/>
              <w:rPr>
                <w:sz w:val="22"/>
              </w:rPr>
            </w:pPr>
          </w:p>
        </w:tc>
        <w:tc>
          <w:tcPr>
            <w:tcW w:w="1279" w:type="dxa"/>
          </w:tcPr>
          <w:p>
            <w:pPr>
              <w:pStyle w:val="TableParagraph"/>
              <w:rPr>
                <w:sz w:val="22"/>
              </w:rPr>
            </w:pPr>
          </w:p>
        </w:tc>
      </w:tr>
      <w:tr>
        <w:trPr>
          <w:trHeight w:val="445" w:hRule="atLeast"/>
        </w:trPr>
        <w:tc>
          <w:tcPr>
            <w:tcW w:w="2273" w:type="dxa"/>
          </w:tcPr>
          <w:p>
            <w:pPr>
              <w:pStyle w:val="TableParagraph"/>
              <w:spacing w:before="15"/>
              <w:ind w:left="139"/>
              <w:rPr>
                <w:sz w:val="24"/>
              </w:rPr>
            </w:pPr>
            <w:r>
              <w:rPr>
                <w:sz w:val="24"/>
              </w:rPr>
              <w:t>Independence model</w:t>
            </w:r>
          </w:p>
        </w:tc>
        <w:tc>
          <w:tcPr>
            <w:tcW w:w="922" w:type="dxa"/>
          </w:tcPr>
          <w:p>
            <w:pPr>
              <w:pStyle w:val="TableParagraph"/>
              <w:spacing w:before="15"/>
              <w:ind w:right="129"/>
              <w:jc w:val="right"/>
              <w:rPr>
                <w:sz w:val="24"/>
              </w:rPr>
            </w:pPr>
            <w:r>
              <w:rPr>
                <w:sz w:val="24"/>
              </w:rPr>
              <w:t>42</w:t>
            </w:r>
          </w:p>
        </w:tc>
        <w:tc>
          <w:tcPr>
            <w:tcW w:w="1298" w:type="dxa"/>
          </w:tcPr>
          <w:p>
            <w:pPr>
              <w:pStyle w:val="TableParagraph"/>
              <w:spacing w:before="15"/>
              <w:ind w:right="127"/>
              <w:jc w:val="right"/>
              <w:rPr>
                <w:sz w:val="24"/>
              </w:rPr>
            </w:pPr>
            <w:r>
              <w:rPr>
                <w:sz w:val="24"/>
              </w:rPr>
              <w:t>10122.904</w:t>
            </w:r>
          </w:p>
        </w:tc>
        <w:tc>
          <w:tcPr>
            <w:tcW w:w="641" w:type="dxa"/>
          </w:tcPr>
          <w:p>
            <w:pPr>
              <w:pStyle w:val="TableParagraph"/>
              <w:spacing w:before="15"/>
              <w:ind w:right="129"/>
              <w:jc w:val="right"/>
              <w:rPr>
                <w:sz w:val="24"/>
              </w:rPr>
            </w:pPr>
            <w:r>
              <w:rPr>
                <w:sz w:val="24"/>
              </w:rPr>
              <w:t>861</w:t>
            </w:r>
          </w:p>
        </w:tc>
        <w:tc>
          <w:tcPr>
            <w:tcW w:w="701" w:type="dxa"/>
          </w:tcPr>
          <w:p>
            <w:pPr>
              <w:pStyle w:val="TableParagraph"/>
              <w:spacing w:before="15"/>
              <w:ind w:right="129"/>
              <w:jc w:val="right"/>
              <w:rPr>
                <w:sz w:val="24"/>
              </w:rPr>
            </w:pPr>
            <w:r>
              <w:rPr>
                <w:sz w:val="24"/>
              </w:rPr>
              <w:t>.000</w:t>
            </w:r>
          </w:p>
        </w:tc>
        <w:tc>
          <w:tcPr>
            <w:tcW w:w="1279" w:type="dxa"/>
          </w:tcPr>
          <w:p>
            <w:pPr>
              <w:pStyle w:val="TableParagraph"/>
              <w:spacing w:before="15"/>
              <w:ind w:right="126"/>
              <w:jc w:val="right"/>
              <w:rPr>
                <w:sz w:val="24"/>
              </w:rPr>
            </w:pPr>
            <w:r>
              <w:rPr>
                <w:sz w:val="24"/>
              </w:rPr>
              <w:t>11.757</w:t>
            </w:r>
          </w:p>
        </w:tc>
      </w:tr>
    </w:tbl>
    <w:p>
      <w:pPr>
        <w:spacing w:before="0"/>
        <w:ind w:left="882" w:right="0" w:firstLine="0"/>
        <w:jc w:val="left"/>
        <w:rPr>
          <w:b/>
          <w:sz w:val="20"/>
        </w:rPr>
      </w:pPr>
      <w:r>
        <w:rPr>
          <w:b/>
          <w:sz w:val="20"/>
        </w:rPr>
        <w:t>RMR. GFI</w:t>
      </w:r>
    </w:p>
    <w:p>
      <w:pPr>
        <w:pStyle w:val="BodyText"/>
        <w:rPr>
          <w:b/>
          <w:sz w:val="10"/>
        </w:rPr>
      </w:pPr>
    </w:p>
    <w:tbl>
      <w:tblPr>
        <w:tblW w:w="0" w:type="auto"/>
        <w:jc w:val="left"/>
        <w:tblInd w:w="74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2273"/>
        <w:gridCol w:w="814"/>
        <w:gridCol w:w="821"/>
        <w:gridCol w:w="840"/>
        <w:gridCol w:w="802"/>
      </w:tblGrid>
      <w:tr>
        <w:trPr>
          <w:trHeight w:val="443" w:hRule="atLeast"/>
        </w:trPr>
        <w:tc>
          <w:tcPr>
            <w:tcW w:w="2273" w:type="dxa"/>
          </w:tcPr>
          <w:p>
            <w:pPr>
              <w:pStyle w:val="TableParagraph"/>
              <w:spacing w:before="13"/>
              <w:ind w:left="139"/>
              <w:rPr>
                <w:sz w:val="24"/>
              </w:rPr>
            </w:pPr>
            <w:r>
              <w:rPr>
                <w:sz w:val="24"/>
              </w:rPr>
              <w:t>Model</w:t>
            </w:r>
          </w:p>
        </w:tc>
        <w:tc>
          <w:tcPr>
            <w:tcW w:w="814" w:type="dxa"/>
          </w:tcPr>
          <w:p>
            <w:pPr>
              <w:pStyle w:val="TableParagraph"/>
              <w:spacing w:before="13"/>
              <w:ind w:left="118" w:right="111"/>
              <w:jc w:val="center"/>
              <w:rPr>
                <w:sz w:val="24"/>
              </w:rPr>
            </w:pPr>
            <w:r>
              <w:rPr>
                <w:sz w:val="24"/>
              </w:rPr>
              <w:t>RMR</w:t>
            </w:r>
          </w:p>
        </w:tc>
        <w:tc>
          <w:tcPr>
            <w:tcW w:w="821" w:type="dxa"/>
          </w:tcPr>
          <w:p>
            <w:pPr>
              <w:pStyle w:val="TableParagraph"/>
              <w:spacing w:before="13"/>
              <w:ind w:right="129"/>
              <w:jc w:val="right"/>
              <w:rPr>
                <w:sz w:val="24"/>
              </w:rPr>
            </w:pPr>
            <w:r>
              <w:rPr>
                <w:sz w:val="24"/>
              </w:rPr>
              <w:t>GFI</w:t>
            </w:r>
          </w:p>
        </w:tc>
        <w:tc>
          <w:tcPr>
            <w:tcW w:w="840" w:type="dxa"/>
          </w:tcPr>
          <w:p>
            <w:pPr>
              <w:pStyle w:val="TableParagraph"/>
              <w:spacing w:before="13"/>
              <w:ind w:right="127"/>
              <w:jc w:val="right"/>
              <w:rPr>
                <w:sz w:val="24"/>
              </w:rPr>
            </w:pPr>
            <w:r>
              <w:rPr>
                <w:sz w:val="24"/>
              </w:rPr>
              <w:t>AGFI</w:t>
            </w:r>
          </w:p>
        </w:tc>
        <w:tc>
          <w:tcPr>
            <w:tcW w:w="802" w:type="dxa"/>
          </w:tcPr>
          <w:p>
            <w:pPr>
              <w:pStyle w:val="TableParagraph"/>
              <w:spacing w:before="13"/>
              <w:ind w:right="130"/>
              <w:jc w:val="right"/>
              <w:rPr>
                <w:sz w:val="24"/>
              </w:rPr>
            </w:pPr>
            <w:r>
              <w:rPr>
                <w:w w:val="95"/>
                <w:sz w:val="24"/>
              </w:rPr>
              <w:t>PGFI</w:t>
            </w:r>
          </w:p>
        </w:tc>
      </w:tr>
      <w:tr>
        <w:trPr>
          <w:trHeight w:val="443" w:hRule="atLeast"/>
        </w:trPr>
        <w:tc>
          <w:tcPr>
            <w:tcW w:w="2273" w:type="dxa"/>
          </w:tcPr>
          <w:p>
            <w:pPr>
              <w:pStyle w:val="TableParagraph"/>
              <w:spacing w:before="13"/>
              <w:ind w:left="139"/>
              <w:rPr>
                <w:sz w:val="24"/>
              </w:rPr>
            </w:pPr>
            <w:r>
              <w:rPr>
                <w:sz w:val="24"/>
              </w:rPr>
              <w:t>Default model</w:t>
            </w:r>
          </w:p>
        </w:tc>
        <w:tc>
          <w:tcPr>
            <w:tcW w:w="814" w:type="dxa"/>
          </w:tcPr>
          <w:p>
            <w:pPr>
              <w:pStyle w:val="TableParagraph"/>
              <w:spacing w:before="13"/>
              <w:ind w:left="231" w:right="111"/>
              <w:jc w:val="center"/>
              <w:rPr>
                <w:sz w:val="24"/>
              </w:rPr>
            </w:pPr>
            <w:r>
              <w:rPr>
                <w:sz w:val="24"/>
              </w:rPr>
              <w:t>.058</w:t>
            </w:r>
          </w:p>
        </w:tc>
        <w:tc>
          <w:tcPr>
            <w:tcW w:w="821" w:type="dxa"/>
          </w:tcPr>
          <w:p>
            <w:pPr>
              <w:pStyle w:val="TableParagraph"/>
              <w:spacing w:before="13"/>
              <w:ind w:right="130"/>
              <w:jc w:val="right"/>
              <w:rPr>
                <w:sz w:val="24"/>
              </w:rPr>
            </w:pPr>
            <w:r>
              <w:rPr>
                <w:sz w:val="24"/>
              </w:rPr>
              <w:t>.899</w:t>
            </w:r>
          </w:p>
        </w:tc>
        <w:tc>
          <w:tcPr>
            <w:tcW w:w="840" w:type="dxa"/>
          </w:tcPr>
          <w:p>
            <w:pPr>
              <w:pStyle w:val="TableParagraph"/>
              <w:spacing w:before="13"/>
              <w:ind w:right="127"/>
              <w:jc w:val="right"/>
              <w:rPr>
                <w:sz w:val="24"/>
              </w:rPr>
            </w:pPr>
            <w:r>
              <w:rPr>
                <w:sz w:val="24"/>
              </w:rPr>
              <w:t>.883</w:t>
            </w:r>
          </w:p>
        </w:tc>
        <w:tc>
          <w:tcPr>
            <w:tcW w:w="802" w:type="dxa"/>
          </w:tcPr>
          <w:p>
            <w:pPr>
              <w:pStyle w:val="TableParagraph"/>
              <w:spacing w:before="13"/>
              <w:ind w:right="130"/>
              <w:jc w:val="right"/>
              <w:rPr>
                <w:sz w:val="24"/>
              </w:rPr>
            </w:pPr>
            <w:r>
              <w:rPr>
                <w:sz w:val="24"/>
              </w:rPr>
              <w:t>.774</w:t>
            </w:r>
          </w:p>
        </w:tc>
      </w:tr>
      <w:tr>
        <w:trPr>
          <w:trHeight w:val="443" w:hRule="atLeast"/>
        </w:trPr>
        <w:tc>
          <w:tcPr>
            <w:tcW w:w="2273" w:type="dxa"/>
          </w:tcPr>
          <w:p>
            <w:pPr>
              <w:pStyle w:val="TableParagraph"/>
              <w:spacing w:before="13"/>
              <w:ind w:left="139"/>
              <w:rPr>
                <w:sz w:val="24"/>
              </w:rPr>
            </w:pPr>
            <w:r>
              <w:rPr>
                <w:sz w:val="24"/>
              </w:rPr>
              <w:t>Saturated model</w:t>
            </w:r>
          </w:p>
        </w:tc>
        <w:tc>
          <w:tcPr>
            <w:tcW w:w="814" w:type="dxa"/>
          </w:tcPr>
          <w:p>
            <w:pPr>
              <w:pStyle w:val="TableParagraph"/>
              <w:spacing w:before="13"/>
              <w:ind w:left="231" w:right="111"/>
              <w:jc w:val="center"/>
              <w:rPr>
                <w:sz w:val="24"/>
              </w:rPr>
            </w:pPr>
            <w:r>
              <w:rPr>
                <w:sz w:val="24"/>
              </w:rPr>
              <w:t>.000</w:t>
            </w:r>
          </w:p>
        </w:tc>
        <w:tc>
          <w:tcPr>
            <w:tcW w:w="821" w:type="dxa"/>
          </w:tcPr>
          <w:p>
            <w:pPr>
              <w:pStyle w:val="TableParagraph"/>
              <w:spacing w:before="13"/>
              <w:ind w:right="130"/>
              <w:jc w:val="right"/>
              <w:rPr>
                <w:sz w:val="24"/>
              </w:rPr>
            </w:pPr>
            <w:r>
              <w:rPr>
                <w:sz w:val="24"/>
              </w:rPr>
              <w:t>1.000</w:t>
            </w:r>
          </w:p>
        </w:tc>
        <w:tc>
          <w:tcPr>
            <w:tcW w:w="840" w:type="dxa"/>
          </w:tcPr>
          <w:p>
            <w:pPr>
              <w:pStyle w:val="TableParagraph"/>
              <w:rPr>
                <w:sz w:val="22"/>
              </w:rPr>
            </w:pPr>
          </w:p>
        </w:tc>
        <w:tc>
          <w:tcPr>
            <w:tcW w:w="802" w:type="dxa"/>
          </w:tcPr>
          <w:p>
            <w:pPr>
              <w:pStyle w:val="TableParagraph"/>
              <w:rPr>
                <w:sz w:val="22"/>
              </w:rPr>
            </w:pPr>
          </w:p>
        </w:tc>
      </w:tr>
      <w:tr>
        <w:trPr>
          <w:trHeight w:val="444" w:hRule="atLeast"/>
        </w:trPr>
        <w:tc>
          <w:tcPr>
            <w:tcW w:w="2273" w:type="dxa"/>
          </w:tcPr>
          <w:p>
            <w:pPr>
              <w:pStyle w:val="TableParagraph"/>
              <w:spacing w:before="14"/>
              <w:ind w:left="139"/>
              <w:rPr>
                <w:sz w:val="24"/>
              </w:rPr>
            </w:pPr>
            <w:r>
              <w:rPr>
                <w:sz w:val="24"/>
              </w:rPr>
              <w:t>Independence model</w:t>
            </w:r>
          </w:p>
        </w:tc>
        <w:tc>
          <w:tcPr>
            <w:tcW w:w="814" w:type="dxa"/>
          </w:tcPr>
          <w:p>
            <w:pPr>
              <w:pStyle w:val="TableParagraph"/>
              <w:spacing w:before="14"/>
              <w:ind w:left="231" w:right="111"/>
              <w:jc w:val="center"/>
              <w:rPr>
                <w:sz w:val="24"/>
              </w:rPr>
            </w:pPr>
            <w:r>
              <w:rPr>
                <w:sz w:val="24"/>
              </w:rPr>
              <w:t>.269</w:t>
            </w:r>
          </w:p>
        </w:tc>
        <w:tc>
          <w:tcPr>
            <w:tcW w:w="821" w:type="dxa"/>
          </w:tcPr>
          <w:p>
            <w:pPr>
              <w:pStyle w:val="TableParagraph"/>
              <w:spacing w:before="14"/>
              <w:ind w:right="130"/>
              <w:jc w:val="right"/>
              <w:rPr>
                <w:sz w:val="24"/>
              </w:rPr>
            </w:pPr>
            <w:r>
              <w:rPr>
                <w:sz w:val="24"/>
              </w:rPr>
              <w:t>.397</w:t>
            </w:r>
          </w:p>
        </w:tc>
        <w:tc>
          <w:tcPr>
            <w:tcW w:w="840" w:type="dxa"/>
          </w:tcPr>
          <w:p>
            <w:pPr>
              <w:pStyle w:val="TableParagraph"/>
              <w:spacing w:before="14"/>
              <w:ind w:right="127"/>
              <w:jc w:val="right"/>
              <w:rPr>
                <w:sz w:val="24"/>
              </w:rPr>
            </w:pPr>
            <w:r>
              <w:rPr>
                <w:sz w:val="24"/>
              </w:rPr>
              <w:t>.368</w:t>
            </w:r>
          </w:p>
        </w:tc>
        <w:tc>
          <w:tcPr>
            <w:tcW w:w="802" w:type="dxa"/>
          </w:tcPr>
          <w:p>
            <w:pPr>
              <w:pStyle w:val="TableParagraph"/>
              <w:spacing w:before="14"/>
              <w:ind w:right="130"/>
              <w:jc w:val="right"/>
              <w:rPr>
                <w:sz w:val="24"/>
              </w:rPr>
            </w:pPr>
            <w:r>
              <w:rPr>
                <w:sz w:val="24"/>
              </w:rPr>
              <w:t>.379</w:t>
            </w:r>
          </w:p>
        </w:tc>
      </w:tr>
    </w:tbl>
    <w:p>
      <w:pPr>
        <w:spacing w:before="0"/>
        <w:ind w:left="882" w:right="0" w:firstLine="0"/>
        <w:jc w:val="left"/>
        <w:rPr>
          <w:b/>
          <w:sz w:val="20"/>
        </w:rPr>
      </w:pPr>
      <w:r>
        <w:rPr>
          <w:b/>
          <w:sz w:val="20"/>
        </w:rPr>
        <w:t>Baseline Comparisons</w:t>
      </w:r>
    </w:p>
    <w:p>
      <w:pPr>
        <w:pStyle w:val="BodyText"/>
        <w:rPr>
          <w:b/>
          <w:sz w:val="10"/>
        </w:rPr>
      </w:pPr>
    </w:p>
    <w:tbl>
      <w:tblPr>
        <w:tblW w:w="0" w:type="auto"/>
        <w:jc w:val="left"/>
        <w:tblInd w:w="74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2273"/>
        <w:gridCol w:w="920"/>
        <w:gridCol w:w="720"/>
        <w:gridCol w:w="919"/>
        <w:gridCol w:w="720"/>
        <w:gridCol w:w="820"/>
      </w:tblGrid>
      <w:tr>
        <w:trPr>
          <w:trHeight w:val="858" w:hRule="atLeast"/>
        </w:trPr>
        <w:tc>
          <w:tcPr>
            <w:tcW w:w="2273" w:type="dxa"/>
          </w:tcPr>
          <w:p>
            <w:pPr>
              <w:pStyle w:val="TableParagraph"/>
              <w:spacing w:before="222"/>
              <w:ind w:left="139"/>
              <w:rPr>
                <w:sz w:val="24"/>
              </w:rPr>
            </w:pPr>
            <w:r>
              <w:rPr>
                <w:sz w:val="24"/>
              </w:rPr>
              <w:t>Model</w:t>
            </w:r>
          </w:p>
        </w:tc>
        <w:tc>
          <w:tcPr>
            <w:tcW w:w="920" w:type="dxa"/>
          </w:tcPr>
          <w:p>
            <w:pPr>
              <w:pStyle w:val="TableParagraph"/>
              <w:spacing w:before="13"/>
              <w:ind w:left="393"/>
              <w:rPr>
                <w:sz w:val="24"/>
              </w:rPr>
            </w:pPr>
            <w:r>
              <w:rPr>
                <w:sz w:val="24"/>
              </w:rPr>
              <w:t>NFI</w:t>
            </w:r>
          </w:p>
          <w:p>
            <w:pPr>
              <w:pStyle w:val="TableParagraph"/>
              <w:spacing w:before="139"/>
              <w:ind w:left="138"/>
              <w:rPr>
                <w:sz w:val="24"/>
              </w:rPr>
            </w:pPr>
            <w:r>
              <w:rPr>
                <w:sz w:val="24"/>
              </w:rPr>
              <w:t>Delta1</w:t>
            </w:r>
          </w:p>
        </w:tc>
        <w:tc>
          <w:tcPr>
            <w:tcW w:w="720" w:type="dxa"/>
          </w:tcPr>
          <w:p>
            <w:pPr>
              <w:pStyle w:val="TableParagraph"/>
              <w:spacing w:before="13"/>
              <w:ind w:left="203"/>
              <w:rPr>
                <w:sz w:val="24"/>
              </w:rPr>
            </w:pPr>
            <w:r>
              <w:rPr>
                <w:sz w:val="24"/>
              </w:rPr>
              <w:t>RFI</w:t>
            </w:r>
          </w:p>
          <w:p>
            <w:pPr>
              <w:pStyle w:val="TableParagraph"/>
              <w:spacing w:before="139"/>
              <w:ind w:left="138"/>
              <w:rPr>
                <w:sz w:val="24"/>
              </w:rPr>
            </w:pPr>
            <w:r>
              <w:rPr>
                <w:sz w:val="24"/>
              </w:rPr>
              <w:t>rho1</w:t>
            </w:r>
          </w:p>
        </w:tc>
        <w:tc>
          <w:tcPr>
            <w:tcW w:w="919" w:type="dxa"/>
          </w:tcPr>
          <w:p>
            <w:pPr>
              <w:pStyle w:val="TableParagraph"/>
              <w:spacing w:before="13"/>
              <w:ind w:left="486"/>
              <w:rPr>
                <w:sz w:val="24"/>
              </w:rPr>
            </w:pPr>
            <w:r>
              <w:rPr>
                <w:sz w:val="24"/>
              </w:rPr>
              <w:t>IFI</w:t>
            </w:r>
          </w:p>
          <w:p>
            <w:pPr>
              <w:pStyle w:val="TableParagraph"/>
              <w:spacing w:before="139"/>
              <w:ind w:left="138"/>
              <w:rPr>
                <w:sz w:val="24"/>
              </w:rPr>
            </w:pPr>
            <w:r>
              <w:rPr>
                <w:sz w:val="24"/>
              </w:rPr>
              <w:t>Delta2</w:t>
            </w:r>
          </w:p>
        </w:tc>
        <w:tc>
          <w:tcPr>
            <w:tcW w:w="720" w:type="dxa"/>
          </w:tcPr>
          <w:p>
            <w:pPr>
              <w:pStyle w:val="TableParagraph"/>
              <w:spacing w:before="13"/>
              <w:ind w:left="205"/>
              <w:rPr>
                <w:sz w:val="24"/>
              </w:rPr>
            </w:pPr>
            <w:r>
              <w:rPr>
                <w:sz w:val="24"/>
              </w:rPr>
              <w:t>TLI</w:t>
            </w:r>
          </w:p>
          <w:p>
            <w:pPr>
              <w:pStyle w:val="TableParagraph"/>
              <w:spacing w:before="139"/>
              <w:ind w:left="138"/>
              <w:rPr>
                <w:sz w:val="24"/>
              </w:rPr>
            </w:pPr>
            <w:r>
              <w:rPr>
                <w:sz w:val="24"/>
              </w:rPr>
              <w:t>rho2</w:t>
            </w:r>
          </w:p>
        </w:tc>
        <w:tc>
          <w:tcPr>
            <w:tcW w:w="820" w:type="dxa"/>
          </w:tcPr>
          <w:p>
            <w:pPr>
              <w:pStyle w:val="TableParagraph"/>
              <w:spacing w:before="222"/>
              <w:ind w:right="128"/>
              <w:jc w:val="right"/>
              <w:rPr>
                <w:sz w:val="24"/>
              </w:rPr>
            </w:pPr>
            <w:r>
              <w:rPr>
                <w:w w:val="95"/>
                <w:sz w:val="24"/>
              </w:rPr>
              <w:t>CFI</w:t>
            </w:r>
          </w:p>
        </w:tc>
      </w:tr>
      <w:tr>
        <w:trPr>
          <w:trHeight w:val="443" w:hRule="atLeast"/>
        </w:trPr>
        <w:tc>
          <w:tcPr>
            <w:tcW w:w="2273" w:type="dxa"/>
          </w:tcPr>
          <w:p>
            <w:pPr>
              <w:pStyle w:val="TableParagraph"/>
              <w:spacing w:before="13"/>
              <w:ind w:left="139"/>
              <w:rPr>
                <w:sz w:val="24"/>
              </w:rPr>
            </w:pPr>
            <w:r>
              <w:rPr>
                <w:sz w:val="24"/>
              </w:rPr>
              <w:t>Default model</w:t>
            </w:r>
          </w:p>
        </w:tc>
        <w:tc>
          <w:tcPr>
            <w:tcW w:w="920" w:type="dxa"/>
          </w:tcPr>
          <w:p>
            <w:pPr>
              <w:pStyle w:val="TableParagraph"/>
              <w:spacing w:before="13"/>
              <w:ind w:right="127"/>
              <w:jc w:val="right"/>
              <w:rPr>
                <w:sz w:val="24"/>
              </w:rPr>
            </w:pPr>
            <w:r>
              <w:rPr>
                <w:sz w:val="24"/>
              </w:rPr>
              <w:t>.879</w:t>
            </w:r>
          </w:p>
        </w:tc>
        <w:tc>
          <w:tcPr>
            <w:tcW w:w="720" w:type="dxa"/>
          </w:tcPr>
          <w:p>
            <w:pPr>
              <w:pStyle w:val="TableParagraph"/>
              <w:spacing w:before="13"/>
              <w:ind w:right="130"/>
              <w:jc w:val="right"/>
              <w:rPr>
                <w:sz w:val="24"/>
              </w:rPr>
            </w:pPr>
            <w:r>
              <w:rPr>
                <w:sz w:val="24"/>
              </w:rPr>
              <w:t>.866</w:t>
            </w:r>
          </w:p>
        </w:tc>
        <w:tc>
          <w:tcPr>
            <w:tcW w:w="919" w:type="dxa"/>
          </w:tcPr>
          <w:p>
            <w:pPr>
              <w:pStyle w:val="TableParagraph"/>
              <w:spacing w:before="13"/>
              <w:ind w:right="127"/>
              <w:jc w:val="right"/>
              <w:rPr>
                <w:sz w:val="24"/>
              </w:rPr>
            </w:pPr>
            <w:r>
              <w:rPr>
                <w:sz w:val="24"/>
              </w:rPr>
              <w:t>.952</w:t>
            </w:r>
          </w:p>
        </w:tc>
        <w:tc>
          <w:tcPr>
            <w:tcW w:w="720" w:type="dxa"/>
          </w:tcPr>
          <w:p>
            <w:pPr>
              <w:pStyle w:val="TableParagraph"/>
              <w:spacing w:before="13"/>
              <w:ind w:left="137" w:right="112"/>
              <w:jc w:val="center"/>
              <w:rPr>
                <w:sz w:val="24"/>
              </w:rPr>
            </w:pPr>
            <w:r>
              <w:rPr>
                <w:sz w:val="24"/>
              </w:rPr>
              <w:t>.947</w:t>
            </w:r>
          </w:p>
        </w:tc>
        <w:tc>
          <w:tcPr>
            <w:tcW w:w="820" w:type="dxa"/>
          </w:tcPr>
          <w:p>
            <w:pPr>
              <w:pStyle w:val="TableParagraph"/>
              <w:spacing w:before="13"/>
              <w:ind w:right="128"/>
              <w:jc w:val="right"/>
              <w:rPr>
                <w:sz w:val="24"/>
              </w:rPr>
            </w:pPr>
            <w:r>
              <w:rPr>
                <w:sz w:val="24"/>
              </w:rPr>
              <w:t>.952</w:t>
            </w:r>
          </w:p>
        </w:tc>
      </w:tr>
      <w:tr>
        <w:trPr>
          <w:trHeight w:val="443" w:hRule="atLeast"/>
        </w:trPr>
        <w:tc>
          <w:tcPr>
            <w:tcW w:w="2273" w:type="dxa"/>
          </w:tcPr>
          <w:p>
            <w:pPr>
              <w:pStyle w:val="TableParagraph"/>
              <w:spacing w:before="13"/>
              <w:ind w:left="139"/>
              <w:rPr>
                <w:sz w:val="24"/>
              </w:rPr>
            </w:pPr>
            <w:r>
              <w:rPr>
                <w:sz w:val="24"/>
              </w:rPr>
              <w:t>Saturated model</w:t>
            </w:r>
          </w:p>
        </w:tc>
        <w:tc>
          <w:tcPr>
            <w:tcW w:w="920" w:type="dxa"/>
          </w:tcPr>
          <w:p>
            <w:pPr>
              <w:pStyle w:val="TableParagraph"/>
              <w:spacing w:before="13"/>
              <w:ind w:right="127"/>
              <w:jc w:val="right"/>
              <w:rPr>
                <w:sz w:val="24"/>
              </w:rPr>
            </w:pPr>
            <w:r>
              <w:rPr>
                <w:sz w:val="24"/>
              </w:rPr>
              <w:t>1.000</w:t>
            </w:r>
          </w:p>
        </w:tc>
        <w:tc>
          <w:tcPr>
            <w:tcW w:w="720" w:type="dxa"/>
          </w:tcPr>
          <w:p>
            <w:pPr>
              <w:pStyle w:val="TableParagraph"/>
              <w:rPr>
                <w:sz w:val="22"/>
              </w:rPr>
            </w:pPr>
          </w:p>
        </w:tc>
        <w:tc>
          <w:tcPr>
            <w:tcW w:w="919" w:type="dxa"/>
          </w:tcPr>
          <w:p>
            <w:pPr>
              <w:pStyle w:val="TableParagraph"/>
              <w:spacing w:before="13"/>
              <w:ind w:right="127"/>
              <w:jc w:val="right"/>
              <w:rPr>
                <w:sz w:val="24"/>
              </w:rPr>
            </w:pPr>
            <w:r>
              <w:rPr>
                <w:sz w:val="24"/>
              </w:rPr>
              <w:t>1.000</w:t>
            </w:r>
          </w:p>
        </w:tc>
        <w:tc>
          <w:tcPr>
            <w:tcW w:w="720" w:type="dxa"/>
          </w:tcPr>
          <w:p>
            <w:pPr>
              <w:pStyle w:val="TableParagraph"/>
              <w:rPr>
                <w:sz w:val="22"/>
              </w:rPr>
            </w:pPr>
          </w:p>
        </w:tc>
        <w:tc>
          <w:tcPr>
            <w:tcW w:w="820" w:type="dxa"/>
          </w:tcPr>
          <w:p>
            <w:pPr>
              <w:pStyle w:val="TableParagraph"/>
              <w:spacing w:before="13"/>
              <w:ind w:right="128"/>
              <w:jc w:val="right"/>
              <w:rPr>
                <w:sz w:val="24"/>
              </w:rPr>
            </w:pPr>
            <w:r>
              <w:rPr>
                <w:sz w:val="24"/>
              </w:rPr>
              <w:t>1.000</w:t>
            </w:r>
          </w:p>
        </w:tc>
      </w:tr>
      <w:tr>
        <w:trPr>
          <w:trHeight w:val="443" w:hRule="atLeast"/>
        </w:trPr>
        <w:tc>
          <w:tcPr>
            <w:tcW w:w="2273" w:type="dxa"/>
          </w:tcPr>
          <w:p>
            <w:pPr>
              <w:pStyle w:val="TableParagraph"/>
              <w:spacing w:before="13"/>
              <w:ind w:left="139"/>
              <w:rPr>
                <w:sz w:val="24"/>
              </w:rPr>
            </w:pPr>
            <w:r>
              <w:rPr>
                <w:sz w:val="24"/>
              </w:rPr>
              <w:t>Independence model</w:t>
            </w:r>
          </w:p>
        </w:tc>
        <w:tc>
          <w:tcPr>
            <w:tcW w:w="920" w:type="dxa"/>
          </w:tcPr>
          <w:p>
            <w:pPr>
              <w:pStyle w:val="TableParagraph"/>
              <w:spacing w:before="13"/>
              <w:ind w:right="127"/>
              <w:jc w:val="right"/>
              <w:rPr>
                <w:sz w:val="24"/>
              </w:rPr>
            </w:pPr>
            <w:r>
              <w:rPr>
                <w:sz w:val="24"/>
              </w:rPr>
              <w:t>.000</w:t>
            </w:r>
          </w:p>
        </w:tc>
        <w:tc>
          <w:tcPr>
            <w:tcW w:w="720" w:type="dxa"/>
          </w:tcPr>
          <w:p>
            <w:pPr>
              <w:pStyle w:val="TableParagraph"/>
              <w:spacing w:before="13"/>
              <w:ind w:right="130"/>
              <w:jc w:val="right"/>
              <w:rPr>
                <w:sz w:val="24"/>
              </w:rPr>
            </w:pPr>
            <w:r>
              <w:rPr>
                <w:sz w:val="24"/>
              </w:rPr>
              <w:t>.000</w:t>
            </w:r>
          </w:p>
        </w:tc>
        <w:tc>
          <w:tcPr>
            <w:tcW w:w="919" w:type="dxa"/>
          </w:tcPr>
          <w:p>
            <w:pPr>
              <w:pStyle w:val="TableParagraph"/>
              <w:spacing w:before="13"/>
              <w:ind w:right="127"/>
              <w:jc w:val="right"/>
              <w:rPr>
                <w:sz w:val="24"/>
              </w:rPr>
            </w:pPr>
            <w:r>
              <w:rPr>
                <w:sz w:val="24"/>
              </w:rPr>
              <w:t>.000</w:t>
            </w:r>
          </w:p>
        </w:tc>
        <w:tc>
          <w:tcPr>
            <w:tcW w:w="720" w:type="dxa"/>
          </w:tcPr>
          <w:p>
            <w:pPr>
              <w:pStyle w:val="TableParagraph"/>
              <w:spacing w:before="13"/>
              <w:ind w:left="137" w:right="111"/>
              <w:jc w:val="center"/>
              <w:rPr>
                <w:sz w:val="24"/>
              </w:rPr>
            </w:pPr>
            <w:r>
              <w:rPr>
                <w:sz w:val="24"/>
              </w:rPr>
              <w:t>.000</w:t>
            </w:r>
          </w:p>
        </w:tc>
        <w:tc>
          <w:tcPr>
            <w:tcW w:w="820" w:type="dxa"/>
          </w:tcPr>
          <w:p>
            <w:pPr>
              <w:pStyle w:val="TableParagraph"/>
              <w:spacing w:before="13"/>
              <w:ind w:right="128"/>
              <w:jc w:val="right"/>
              <w:rPr>
                <w:sz w:val="24"/>
              </w:rPr>
            </w:pPr>
            <w:r>
              <w:rPr>
                <w:sz w:val="24"/>
              </w:rPr>
              <w:t>.000</w:t>
            </w:r>
          </w:p>
        </w:tc>
      </w:tr>
    </w:tbl>
    <w:p>
      <w:pPr>
        <w:spacing w:before="0"/>
        <w:ind w:left="882" w:right="0" w:firstLine="0"/>
        <w:jc w:val="left"/>
        <w:rPr>
          <w:b/>
          <w:sz w:val="20"/>
        </w:rPr>
      </w:pPr>
      <w:r>
        <w:rPr>
          <w:b/>
          <w:sz w:val="20"/>
        </w:rPr>
        <w:t>Parsimony-Adjusted Measures</w:t>
      </w:r>
    </w:p>
    <w:p>
      <w:pPr>
        <w:spacing w:after="0"/>
        <w:jc w:val="left"/>
        <w:rPr>
          <w:sz w:val="20"/>
        </w:rPr>
        <w:sectPr>
          <w:pgSz w:w="11910" w:h="16850"/>
          <w:pgMar w:header="751" w:footer="0" w:top="960" w:bottom="280" w:left="820" w:right="240"/>
        </w:sectPr>
      </w:pPr>
    </w:p>
    <w:p>
      <w:pPr>
        <w:pStyle w:val="BodyText"/>
        <w:spacing w:before="9"/>
        <w:rPr>
          <w:b/>
          <w:sz w:val="23"/>
        </w:rPr>
      </w:pPr>
    </w:p>
    <w:tbl>
      <w:tblPr>
        <w:tblW w:w="0" w:type="auto"/>
        <w:jc w:val="left"/>
        <w:tblInd w:w="74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2273"/>
        <w:gridCol w:w="1148"/>
        <w:gridCol w:w="799"/>
        <w:gridCol w:w="787"/>
      </w:tblGrid>
      <w:tr>
        <w:trPr>
          <w:trHeight w:val="443" w:hRule="atLeast"/>
        </w:trPr>
        <w:tc>
          <w:tcPr>
            <w:tcW w:w="2273" w:type="dxa"/>
          </w:tcPr>
          <w:p>
            <w:pPr>
              <w:pStyle w:val="TableParagraph"/>
              <w:spacing w:before="15"/>
              <w:ind w:left="139"/>
              <w:rPr>
                <w:sz w:val="24"/>
              </w:rPr>
            </w:pPr>
            <w:r>
              <w:rPr>
                <w:sz w:val="24"/>
              </w:rPr>
              <w:t>Model</w:t>
            </w:r>
          </w:p>
        </w:tc>
        <w:tc>
          <w:tcPr>
            <w:tcW w:w="1148" w:type="dxa"/>
          </w:tcPr>
          <w:p>
            <w:pPr>
              <w:pStyle w:val="TableParagraph"/>
              <w:spacing w:before="15"/>
              <w:ind w:right="132"/>
              <w:jc w:val="right"/>
              <w:rPr>
                <w:sz w:val="24"/>
              </w:rPr>
            </w:pPr>
            <w:r>
              <w:rPr>
                <w:sz w:val="24"/>
              </w:rPr>
              <w:t>PRATIO</w:t>
            </w:r>
          </w:p>
        </w:tc>
        <w:tc>
          <w:tcPr>
            <w:tcW w:w="799" w:type="dxa"/>
          </w:tcPr>
          <w:p>
            <w:pPr>
              <w:pStyle w:val="TableParagraph"/>
              <w:spacing w:before="15"/>
              <w:ind w:right="127"/>
              <w:jc w:val="right"/>
              <w:rPr>
                <w:sz w:val="24"/>
              </w:rPr>
            </w:pPr>
            <w:r>
              <w:rPr>
                <w:w w:val="95"/>
                <w:sz w:val="24"/>
              </w:rPr>
              <w:t>PNFI</w:t>
            </w:r>
          </w:p>
        </w:tc>
        <w:tc>
          <w:tcPr>
            <w:tcW w:w="787" w:type="dxa"/>
          </w:tcPr>
          <w:p>
            <w:pPr>
              <w:pStyle w:val="TableParagraph"/>
              <w:spacing w:before="15"/>
              <w:ind w:left="120" w:right="109"/>
              <w:jc w:val="center"/>
              <w:rPr>
                <w:sz w:val="24"/>
              </w:rPr>
            </w:pPr>
            <w:r>
              <w:rPr>
                <w:sz w:val="24"/>
              </w:rPr>
              <w:t>PCFI</w:t>
            </w:r>
          </w:p>
        </w:tc>
      </w:tr>
      <w:tr>
        <w:trPr>
          <w:trHeight w:val="446" w:hRule="atLeast"/>
        </w:trPr>
        <w:tc>
          <w:tcPr>
            <w:tcW w:w="2273" w:type="dxa"/>
          </w:tcPr>
          <w:p>
            <w:pPr>
              <w:pStyle w:val="TableParagraph"/>
              <w:spacing w:before="16"/>
              <w:ind w:left="139"/>
              <w:rPr>
                <w:sz w:val="24"/>
              </w:rPr>
            </w:pPr>
            <w:r>
              <w:rPr>
                <w:sz w:val="24"/>
              </w:rPr>
              <w:t>Default model</w:t>
            </w:r>
          </w:p>
        </w:tc>
        <w:tc>
          <w:tcPr>
            <w:tcW w:w="1148" w:type="dxa"/>
          </w:tcPr>
          <w:p>
            <w:pPr>
              <w:pStyle w:val="TableParagraph"/>
              <w:spacing w:before="16"/>
              <w:ind w:right="130"/>
              <w:jc w:val="right"/>
              <w:rPr>
                <w:sz w:val="24"/>
              </w:rPr>
            </w:pPr>
            <w:r>
              <w:rPr>
                <w:sz w:val="24"/>
              </w:rPr>
              <w:t>.902</w:t>
            </w:r>
          </w:p>
        </w:tc>
        <w:tc>
          <w:tcPr>
            <w:tcW w:w="799" w:type="dxa"/>
          </w:tcPr>
          <w:p>
            <w:pPr>
              <w:pStyle w:val="TableParagraph"/>
              <w:spacing w:before="16"/>
              <w:ind w:right="127"/>
              <w:jc w:val="right"/>
              <w:rPr>
                <w:sz w:val="24"/>
              </w:rPr>
            </w:pPr>
            <w:r>
              <w:rPr>
                <w:sz w:val="24"/>
              </w:rPr>
              <w:t>.793</w:t>
            </w:r>
          </w:p>
        </w:tc>
        <w:tc>
          <w:tcPr>
            <w:tcW w:w="787" w:type="dxa"/>
          </w:tcPr>
          <w:p>
            <w:pPr>
              <w:pStyle w:val="TableParagraph"/>
              <w:spacing w:before="16"/>
              <w:ind w:left="120" w:right="22"/>
              <w:jc w:val="center"/>
              <w:rPr>
                <w:sz w:val="24"/>
              </w:rPr>
            </w:pPr>
            <w:r>
              <w:rPr>
                <w:sz w:val="24"/>
              </w:rPr>
              <w:t>.859</w:t>
            </w:r>
          </w:p>
        </w:tc>
      </w:tr>
      <w:tr>
        <w:trPr>
          <w:trHeight w:val="443" w:hRule="atLeast"/>
        </w:trPr>
        <w:tc>
          <w:tcPr>
            <w:tcW w:w="2273" w:type="dxa"/>
          </w:tcPr>
          <w:p>
            <w:pPr>
              <w:pStyle w:val="TableParagraph"/>
              <w:spacing w:before="13"/>
              <w:ind w:left="139"/>
              <w:rPr>
                <w:sz w:val="24"/>
              </w:rPr>
            </w:pPr>
            <w:r>
              <w:rPr>
                <w:sz w:val="24"/>
              </w:rPr>
              <w:t>Saturated model</w:t>
            </w:r>
          </w:p>
        </w:tc>
        <w:tc>
          <w:tcPr>
            <w:tcW w:w="1148" w:type="dxa"/>
          </w:tcPr>
          <w:p>
            <w:pPr>
              <w:pStyle w:val="TableParagraph"/>
              <w:spacing w:before="13"/>
              <w:ind w:right="130"/>
              <w:jc w:val="right"/>
              <w:rPr>
                <w:sz w:val="24"/>
              </w:rPr>
            </w:pPr>
            <w:r>
              <w:rPr>
                <w:sz w:val="24"/>
              </w:rPr>
              <w:t>.000</w:t>
            </w:r>
          </w:p>
        </w:tc>
        <w:tc>
          <w:tcPr>
            <w:tcW w:w="799" w:type="dxa"/>
          </w:tcPr>
          <w:p>
            <w:pPr>
              <w:pStyle w:val="TableParagraph"/>
              <w:spacing w:before="13"/>
              <w:ind w:right="127"/>
              <w:jc w:val="right"/>
              <w:rPr>
                <w:sz w:val="24"/>
              </w:rPr>
            </w:pPr>
            <w:r>
              <w:rPr>
                <w:sz w:val="24"/>
              </w:rPr>
              <w:t>.000</w:t>
            </w:r>
          </w:p>
        </w:tc>
        <w:tc>
          <w:tcPr>
            <w:tcW w:w="787" w:type="dxa"/>
          </w:tcPr>
          <w:p>
            <w:pPr>
              <w:pStyle w:val="TableParagraph"/>
              <w:spacing w:before="13"/>
              <w:ind w:left="120" w:right="22"/>
              <w:jc w:val="center"/>
              <w:rPr>
                <w:sz w:val="24"/>
              </w:rPr>
            </w:pPr>
            <w:r>
              <w:rPr>
                <w:sz w:val="24"/>
              </w:rPr>
              <w:t>.000</w:t>
            </w:r>
          </w:p>
        </w:tc>
      </w:tr>
      <w:tr>
        <w:trPr>
          <w:trHeight w:val="443" w:hRule="atLeast"/>
        </w:trPr>
        <w:tc>
          <w:tcPr>
            <w:tcW w:w="2273" w:type="dxa"/>
          </w:tcPr>
          <w:p>
            <w:pPr>
              <w:pStyle w:val="TableParagraph"/>
              <w:spacing w:before="13"/>
              <w:ind w:left="139"/>
              <w:rPr>
                <w:sz w:val="24"/>
              </w:rPr>
            </w:pPr>
            <w:r>
              <w:rPr>
                <w:sz w:val="24"/>
              </w:rPr>
              <w:t>Independence model</w:t>
            </w:r>
          </w:p>
        </w:tc>
        <w:tc>
          <w:tcPr>
            <w:tcW w:w="1148" w:type="dxa"/>
          </w:tcPr>
          <w:p>
            <w:pPr>
              <w:pStyle w:val="TableParagraph"/>
              <w:spacing w:before="13"/>
              <w:ind w:right="130"/>
              <w:jc w:val="right"/>
              <w:rPr>
                <w:sz w:val="24"/>
              </w:rPr>
            </w:pPr>
            <w:r>
              <w:rPr>
                <w:sz w:val="24"/>
              </w:rPr>
              <w:t>1.000</w:t>
            </w:r>
          </w:p>
        </w:tc>
        <w:tc>
          <w:tcPr>
            <w:tcW w:w="799" w:type="dxa"/>
          </w:tcPr>
          <w:p>
            <w:pPr>
              <w:pStyle w:val="TableParagraph"/>
              <w:spacing w:before="13"/>
              <w:ind w:right="127"/>
              <w:jc w:val="right"/>
              <w:rPr>
                <w:sz w:val="24"/>
              </w:rPr>
            </w:pPr>
            <w:r>
              <w:rPr>
                <w:sz w:val="24"/>
              </w:rPr>
              <w:t>.000</w:t>
            </w:r>
          </w:p>
        </w:tc>
        <w:tc>
          <w:tcPr>
            <w:tcW w:w="787" w:type="dxa"/>
          </w:tcPr>
          <w:p>
            <w:pPr>
              <w:pStyle w:val="TableParagraph"/>
              <w:spacing w:before="13"/>
              <w:ind w:left="120" w:right="22"/>
              <w:jc w:val="center"/>
              <w:rPr>
                <w:sz w:val="24"/>
              </w:rPr>
            </w:pPr>
            <w:r>
              <w:rPr>
                <w:sz w:val="24"/>
              </w:rPr>
              <w:t>.000</w:t>
            </w:r>
          </w:p>
        </w:tc>
      </w:tr>
    </w:tbl>
    <w:p>
      <w:pPr>
        <w:spacing w:before="0"/>
        <w:ind w:left="882" w:right="0" w:firstLine="0"/>
        <w:jc w:val="left"/>
        <w:rPr>
          <w:b/>
          <w:sz w:val="20"/>
        </w:rPr>
      </w:pPr>
      <w:r>
        <w:rPr>
          <w:b/>
          <w:sz w:val="20"/>
        </w:rPr>
        <w:t>NCP</w:t>
      </w:r>
    </w:p>
    <w:p>
      <w:pPr>
        <w:pStyle w:val="BodyText"/>
        <w:rPr>
          <w:b/>
          <w:sz w:val="10"/>
        </w:rPr>
      </w:pPr>
    </w:p>
    <w:tbl>
      <w:tblPr>
        <w:tblW w:w="0" w:type="auto"/>
        <w:jc w:val="left"/>
        <w:tblInd w:w="74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2273"/>
        <w:gridCol w:w="1179"/>
        <w:gridCol w:w="1181"/>
        <w:gridCol w:w="1181"/>
      </w:tblGrid>
      <w:tr>
        <w:trPr>
          <w:trHeight w:val="443" w:hRule="atLeast"/>
        </w:trPr>
        <w:tc>
          <w:tcPr>
            <w:tcW w:w="2273" w:type="dxa"/>
          </w:tcPr>
          <w:p>
            <w:pPr>
              <w:pStyle w:val="TableParagraph"/>
              <w:spacing w:before="13"/>
              <w:ind w:left="139"/>
              <w:rPr>
                <w:sz w:val="24"/>
              </w:rPr>
            </w:pPr>
            <w:r>
              <w:rPr>
                <w:sz w:val="24"/>
              </w:rPr>
              <w:t>Model</w:t>
            </w:r>
          </w:p>
        </w:tc>
        <w:tc>
          <w:tcPr>
            <w:tcW w:w="1179" w:type="dxa"/>
          </w:tcPr>
          <w:p>
            <w:pPr>
              <w:pStyle w:val="TableParagraph"/>
              <w:spacing w:before="13"/>
              <w:ind w:right="128"/>
              <w:jc w:val="right"/>
              <w:rPr>
                <w:sz w:val="24"/>
              </w:rPr>
            </w:pPr>
            <w:r>
              <w:rPr>
                <w:sz w:val="24"/>
              </w:rPr>
              <w:t>NCP</w:t>
            </w:r>
          </w:p>
        </w:tc>
        <w:tc>
          <w:tcPr>
            <w:tcW w:w="1181" w:type="dxa"/>
          </w:tcPr>
          <w:p>
            <w:pPr>
              <w:pStyle w:val="TableParagraph"/>
              <w:spacing w:before="13"/>
              <w:ind w:right="130"/>
              <w:jc w:val="right"/>
              <w:rPr>
                <w:sz w:val="24"/>
              </w:rPr>
            </w:pPr>
            <w:r>
              <w:rPr>
                <w:sz w:val="24"/>
              </w:rPr>
              <w:t>LO 90</w:t>
            </w:r>
          </w:p>
        </w:tc>
        <w:tc>
          <w:tcPr>
            <w:tcW w:w="1181" w:type="dxa"/>
          </w:tcPr>
          <w:p>
            <w:pPr>
              <w:pStyle w:val="TableParagraph"/>
              <w:spacing w:before="13"/>
              <w:ind w:right="132"/>
              <w:jc w:val="right"/>
              <w:rPr>
                <w:sz w:val="24"/>
              </w:rPr>
            </w:pPr>
            <w:r>
              <w:rPr>
                <w:sz w:val="24"/>
              </w:rPr>
              <w:t>HI 90</w:t>
            </w:r>
          </w:p>
        </w:tc>
      </w:tr>
      <w:tr>
        <w:trPr>
          <w:trHeight w:val="443" w:hRule="atLeast"/>
        </w:trPr>
        <w:tc>
          <w:tcPr>
            <w:tcW w:w="2273" w:type="dxa"/>
          </w:tcPr>
          <w:p>
            <w:pPr>
              <w:pStyle w:val="TableParagraph"/>
              <w:spacing w:before="13"/>
              <w:ind w:left="139"/>
              <w:rPr>
                <w:sz w:val="24"/>
              </w:rPr>
            </w:pPr>
            <w:r>
              <w:rPr>
                <w:sz w:val="24"/>
              </w:rPr>
              <w:t>Default model</w:t>
            </w:r>
          </w:p>
        </w:tc>
        <w:tc>
          <w:tcPr>
            <w:tcW w:w="1179" w:type="dxa"/>
          </w:tcPr>
          <w:p>
            <w:pPr>
              <w:pStyle w:val="TableParagraph"/>
              <w:spacing w:before="13"/>
              <w:ind w:right="127"/>
              <w:jc w:val="right"/>
              <w:rPr>
                <w:sz w:val="24"/>
              </w:rPr>
            </w:pPr>
            <w:r>
              <w:rPr>
                <w:sz w:val="24"/>
              </w:rPr>
              <w:t>446.990</w:t>
            </w:r>
          </w:p>
        </w:tc>
        <w:tc>
          <w:tcPr>
            <w:tcW w:w="1181" w:type="dxa"/>
          </w:tcPr>
          <w:p>
            <w:pPr>
              <w:pStyle w:val="TableParagraph"/>
              <w:spacing w:before="13"/>
              <w:ind w:right="130"/>
              <w:jc w:val="right"/>
              <w:rPr>
                <w:sz w:val="24"/>
              </w:rPr>
            </w:pPr>
            <w:r>
              <w:rPr>
                <w:sz w:val="24"/>
              </w:rPr>
              <w:t>355.836</w:t>
            </w:r>
          </w:p>
        </w:tc>
        <w:tc>
          <w:tcPr>
            <w:tcW w:w="1181" w:type="dxa"/>
          </w:tcPr>
          <w:p>
            <w:pPr>
              <w:pStyle w:val="TableParagraph"/>
              <w:spacing w:before="13"/>
              <w:ind w:right="130"/>
              <w:jc w:val="right"/>
              <w:rPr>
                <w:sz w:val="24"/>
              </w:rPr>
            </w:pPr>
            <w:r>
              <w:rPr>
                <w:sz w:val="24"/>
              </w:rPr>
              <w:t>546.068</w:t>
            </w:r>
          </w:p>
        </w:tc>
      </w:tr>
      <w:tr>
        <w:trPr>
          <w:trHeight w:val="443" w:hRule="atLeast"/>
        </w:trPr>
        <w:tc>
          <w:tcPr>
            <w:tcW w:w="2273" w:type="dxa"/>
          </w:tcPr>
          <w:p>
            <w:pPr>
              <w:pStyle w:val="TableParagraph"/>
              <w:spacing w:before="13"/>
              <w:ind w:left="139"/>
              <w:rPr>
                <w:sz w:val="24"/>
              </w:rPr>
            </w:pPr>
            <w:r>
              <w:rPr>
                <w:sz w:val="24"/>
              </w:rPr>
              <w:t>Saturated model</w:t>
            </w:r>
          </w:p>
        </w:tc>
        <w:tc>
          <w:tcPr>
            <w:tcW w:w="1179" w:type="dxa"/>
          </w:tcPr>
          <w:p>
            <w:pPr>
              <w:pStyle w:val="TableParagraph"/>
              <w:spacing w:before="13"/>
              <w:ind w:right="127"/>
              <w:jc w:val="right"/>
              <w:rPr>
                <w:sz w:val="24"/>
              </w:rPr>
            </w:pPr>
            <w:r>
              <w:rPr>
                <w:sz w:val="24"/>
              </w:rPr>
              <w:t>.000</w:t>
            </w:r>
          </w:p>
        </w:tc>
        <w:tc>
          <w:tcPr>
            <w:tcW w:w="1181" w:type="dxa"/>
          </w:tcPr>
          <w:p>
            <w:pPr>
              <w:pStyle w:val="TableParagraph"/>
              <w:spacing w:before="13"/>
              <w:ind w:right="130"/>
              <w:jc w:val="right"/>
              <w:rPr>
                <w:sz w:val="24"/>
              </w:rPr>
            </w:pPr>
            <w:r>
              <w:rPr>
                <w:sz w:val="24"/>
              </w:rPr>
              <w:t>.000</w:t>
            </w:r>
          </w:p>
        </w:tc>
        <w:tc>
          <w:tcPr>
            <w:tcW w:w="1181" w:type="dxa"/>
          </w:tcPr>
          <w:p>
            <w:pPr>
              <w:pStyle w:val="TableParagraph"/>
              <w:spacing w:before="13"/>
              <w:ind w:right="130"/>
              <w:jc w:val="right"/>
              <w:rPr>
                <w:sz w:val="24"/>
              </w:rPr>
            </w:pPr>
            <w:r>
              <w:rPr>
                <w:sz w:val="24"/>
              </w:rPr>
              <w:t>.000</w:t>
            </w:r>
          </w:p>
        </w:tc>
      </w:tr>
      <w:tr>
        <w:trPr>
          <w:trHeight w:val="443" w:hRule="atLeast"/>
        </w:trPr>
        <w:tc>
          <w:tcPr>
            <w:tcW w:w="2273" w:type="dxa"/>
          </w:tcPr>
          <w:p>
            <w:pPr>
              <w:pStyle w:val="TableParagraph"/>
              <w:spacing w:before="15"/>
              <w:ind w:left="139"/>
              <w:rPr>
                <w:sz w:val="24"/>
              </w:rPr>
            </w:pPr>
            <w:r>
              <w:rPr>
                <w:sz w:val="24"/>
              </w:rPr>
              <w:t>Independence model</w:t>
            </w:r>
          </w:p>
        </w:tc>
        <w:tc>
          <w:tcPr>
            <w:tcW w:w="1179" w:type="dxa"/>
          </w:tcPr>
          <w:p>
            <w:pPr>
              <w:pStyle w:val="TableParagraph"/>
              <w:spacing w:before="15"/>
              <w:ind w:right="127"/>
              <w:jc w:val="right"/>
              <w:rPr>
                <w:sz w:val="24"/>
              </w:rPr>
            </w:pPr>
            <w:r>
              <w:rPr>
                <w:sz w:val="24"/>
              </w:rPr>
              <w:t>9261.904</w:t>
            </w:r>
          </w:p>
        </w:tc>
        <w:tc>
          <w:tcPr>
            <w:tcW w:w="1181" w:type="dxa"/>
          </w:tcPr>
          <w:p>
            <w:pPr>
              <w:pStyle w:val="TableParagraph"/>
              <w:spacing w:before="15"/>
              <w:ind w:right="130"/>
              <w:jc w:val="right"/>
              <w:rPr>
                <w:sz w:val="24"/>
              </w:rPr>
            </w:pPr>
            <w:r>
              <w:rPr>
                <w:sz w:val="24"/>
              </w:rPr>
              <w:t>8941.275</w:t>
            </w:r>
          </w:p>
        </w:tc>
        <w:tc>
          <w:tcPr>
            <w:tcW w:w="1181" w:type="dxa"/>
          </w:tcPr>
          <w:p>
            <w:pPr>
              <w:pStyle w:val="TableParagraph"/>
              <w:spacing w:before="15"/>
              <w:ind w:right="130"/>
              <w:jc w:val="right"/>
              <w:rPr>
                <w:sz w:val="24"/>
              </w:rPr>
            </w:pPr>
            <w:r>
              <w:rPr>
                <w:sz w:val="24"/>
              </w:rPr>
              <w:t>9589.001</w:t>
            </w:r>
          </w:p>
        </w:tc>
      </w:tr>
    </w:tbl>
    <w:p>
      <w:pPr>
        <w:spacing w:before="1"/>
        <w:ind w:left="882" w:right="0" w:firstLine="0"/>
        <w:jc w:val="left"/>
        <w:rPr>
          <w:b/>
          <w:sz w:val="20"/>
        </w:rPr>
      </w:pPr>
      <w:r>
        <w:rPr>
          <w:b/>
          <w:sz w:val="20"/>
        </w:rPr>
        <w:t>FMIN</w:t>
      </w:r>
    </w:p>
    <w:p>
      <w:pPr>
        <w:pStyle w:val="BodyText"/>
        <w:rPr>
          <w:b/>
          <w:sz w:val="10"/>
        </w:rPr>
      </w:pPr>
    </w:p>
    <w:tbl>
      <w:tblPr>
        <w:tblW w:w="0" w:type="auto"/>
        <w:jc w:val="left"/>
        <w:tblInd w:w="74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2273"/>
        <w:gridCol w:w="939"/>
        <w:gridCol w:w="941"/>
        <w:gridCol w:w="941"/>
        <w:gridCol w:w="938"/>
      </w:tblGrid>
      <w:tr>
        <w:trPr>
          <w:trHeight w:val="443" w:hRule="atLeast"/>
        </w:trPr>
        <w:tc>
          <w:tcPr>
            <w:tcW w:w="2273" w:type="dxa"/>
          </w:tcPr>
          <w:p>
            <w:pPr>
              <w:pStyle w:val="TableParagraph"/>
              <w:spacing w:before="15"/>
              <w:ind w:left="139"/>
              <w:rPr>
                <w:sz w:val="24"/>
              </w:rPr>
            </w:pPr>
            <w:r>
              <w:rPr>
                <w:sz w:val="24"/>
              </w:rPr>
              <w:t>Model</w:t>
            </w:r>
          </w:p>
        </w:tc>
        <w:tc>
          <w:tcPr>
            <w:tcW w:w="939" w:type="dxa"/>
          </w:tcPr>
          <w:p>
            <w:pPr>
              <w:pStyle w:val="TableParagraph"/>
              <w:spacing w:before="15"/>
              <w:ind w:right="129"/>
              <w:jc w:val="right"/>
              <w:rPr>
                <w:sz w:val="24"/>
              </w:rPr>
            </w:pPr>
            <w:r>
              <w:rPr>
                <w:w w:val="95"/>
                <w:sz w:val="24"/>
              </w:rPr>
              <w:t>FMIN</w:t>
            </w:r>
          </w:p>
        </w:tc>
        <w:tc>
          <w:tcPr>
            <w:tcW w:w="941" w:type="dxa"/>
          </w:tcPr>
          <w:p>
            <w:pPr>
              <w:pStyle w:val="TableParagraph"/>
              <w:spacing w:before="15"/>
              <w:ind w:right="134"/>
              <w:jc w:val="right"/>
              <w:rPr>
                <w:sz w:val="24"/>
              </w:rPr>
            </w:pPr>
            <w:r>
              <w:rPr>
                <w:w w:val="95"/>
                <w:sz w:val="24"/>
              </w:rPr>
              <w:t>F0</w:t>
            </w:r>
          </w:p>
        </w:tc>
        <w:tc>
          <w:tcPr>
            <w:tcW w:w="941" w:type="dxa"/>
          </w:tcPr>
          <w:p>
            <w:pPr>
              <w:pStyle w:val="TableParagraph"/>
              <w:spacing w:before="15"/>
              <w:ind w:right="130"/>
              <w:jc w:val="right"/>
              <w:rPr>
                <w:sz w:val="24"/>
              </w:rPr>
            </w:pPr>
            <w:r>
              <w:rPr>
                <w:sz w:val="24"/>
              </w:rPr>
              <w:t>LO 90</w:t>
            </w:r>
          </w:p>
        </w:tc>
        <w:tc>
          <w:tcPr>
            <w:tcW w:w="938" w:type="dxa"/>
          </w:tcPr>
          <w:p>
            <w:pPr>
              <w:pStyle w:val="TableParagraph"/>
              <w:spacing w:before="15"/>
              <w:ind w:right="129"/>
              <w:jc w:val="right"/>
              <w:rPr>
                <w:sz w:val="24"/>
              </w:rPr>
            </w:pPr>
            <w:r>
              <w:rPr>
                <w:sz w:val="24"/>
              </w:rPr>
              <w:t>HI 90</w:t>
            </w:r>
          </w:p>
        </w:tc>
      </w:tr>
      <w:tr>
        <w:trPr>
          <w:trHeight w:val="445" w:hRule="atLeast"/>
        </w:trPr>
        <w:tc>
          <w:tcPr>
            <w:tcW w:w="2273" w:type="dxa"/>
          </w:tcPr>
          <w:p>
            <w:pPr>
              <w:pStyle w:val="TableParagraph"/>
              <w:spacing w:before="15"/>
              <w:ind w:left="139"/>
              <w:rPr>
                <w:sz w:val="24"/>
              </w:rPr>
            </w:pPr>
            <w:r>
              <w:rPr>
                <w:sz w:val="24"/>
              </w:rPr>
              <w:t>Default model</w:t>
            </w:r>
          </w:p>
        </w:tc>
        <w:tc>
          <w:tcPr>
            <w:tcW w:w="939" w:type="dxa"/>
          </w:tcPr>
          <w:p>
            <w:pPr>
              <w:pStyle w:val="TableParagraph"/>
              <w:spacing w:before="15"/>
              <w:ind w:right="127"/>
              <w:jc w:val="right"/>
              <w:rPr>
                <w:sz w:val="24"/>
              </w:rPr>
            </w:pPr>
            <w:r>
              <w:rPr>
                <w:sz w:val="24"/>
              </w:rPr>
              <w:t>2.377</w:t>
            </w:r>
          </w:p>
        </w:tc>
        <w:tc>
          <w:tcPr>
            <w:tcW w:w="941" w:type="dxa"/>
          </w:tcPr>
          <w:p>
            <w:pPr>
              <w:pStyle w:val="TableParagraph"/>
              <w:spacing w:before="15"/>
              <w:ind w:right="130"/>
              <w:jc w:val="right"/>
              <w:rPr>
                <w:sz w:val="24"/>
              </w:rPr>
            </w:pPr>
            <w:r>
              <w:rPr>
                <w:sz w:val="24"/>
              </w:rPr>
              <w:t>.868</w:t>
            </w:r>
          </w:p>
        </w:tc>
        <w:tc>
          <w:tcPr>
            <w:tcW w:w="941" w:type="dxa"/>
          </w:tcPr>
          <w:p>
            <w:pPr>
              <w:pStyle w:val="TableParagraph"/>
              <w:spacing w:before="15"/>
              <w:ind w:right="130"/>
              <w:jc w:val="right"/>
              <w:rPr>
                <w:sz w:val="24"/>
              </w:rPr>
            </w:pPr>
            <w:r>
              <w:rPr>
                <w:sz w:val="24"/>
              </w:rPr>
              <w:t>.691</w:t>
            </w:r>
          </w:p>
        </w:tc>
        <w:tc>
          <w:tcPr>
            <w:tcW w:w="938" w:type="dxa"/>
          </w:tcPr>
          <w:p>
            <w:pPr>
              <w:pStyle w:val="TableParagraph"/>
              <w:spacing w:before="15"/>
              <w:ind w:right="127"/>
              <w:jc w:val="right"/>
              <w:rPr>
                <w:sz w:val="24"/>
              </w:rPr>
            </w:pPr>
            <w:r>
              <w:rPr>
                <w:sz w:val="24"/>
              </w:rPr>
              <w:t>1.060</w:t>
            </w:r>
          </w:p>
        </w:tc>
      </w:tr>
      <w:tr>
        <w:trPr>
          <w:trHeight w:val="443" w:hRule="atLeast"/>
        </w:trPr>
        <w:tc>
          <w:tcPr>
            <w:tcW w:w="2273" w:type="dxa"/>
          </w:tcPr>
          <w:p>
            <w:pPr>
              <w:pStyle w:val="TableParagraph"/>
              <w:spacing w:before="13"/>
              <w:ind w:left="139"/>
              <w:rPr>
                <w:sz w:val="24"/>
              </w:rPr>
            </w:pPr>
            <w:r>
              <w:rPr>
                <w:sz w:val="24"/>
              </w:rPr>
              <w:t>Saturated model</w:t>
            </w:r>
          </w:p>
        </w:tc>
        <w:tc>
          <w:tcPr>
            <w:tcW w:w="939" w:type="dxa"/>
          </w:tcPr>
          <w:p>
            <w:pPr>
              <w:pStyle w:val="TableParagraph"/>
              <w:spacing w:before="13"/>
              <w:ind w:right="127"/>
              <w:jc w:val="right"/>
              <w:rPr>
                <w:sz w:val="24"/>
              </w:rPr>
            </w:pPr>
            <w:r>
              <w:rPr>
                <w:sz w:val="24"/>
              </w:rPr>
              <w:t>.000</w:t>
            </w:r>
          </w:p>
        </w:tc>
        <w:tc>
          <w:tcPr>
            <w:tcW w:w="941" w:type="dxa"/>
          </w:tcPr>
          <w:p>
            <w:pPr>
              <w:pStyle w:val="TableParagraph"/>
              <w:spacing w:before="13"/>
              <w:ind w:right="130"/>
              <w:jc w:val="right"/>
              <w:rPr>
                <w:sz w:val="24"/>
              </w:rPr>
            </w:pPr>
            <w:r>
              <w:rPr>
                <w:sz w:val="24"/>
              </w:rPr>
              <w:t>.000</w:t>
            </w:r>
          </w:p>
        </w:tc>
        <w:tc>
          <w:tcPr>
            <w:tcW w:w="941" w:type="dxa"/>
          </w:tcPr>
          <w:p>
            <w:pPr>
              <w:pStyle w:val="TableParagraph"/>
              <w:spacing w:before="13"/>
              <w:ind w:right="130"/>
              <w:jc w:val="right"/>
              <w:rPr>
                <w:sz w:val="24"/>
              </w:rPr>
            </w:pPr>
            <w:r>
              <w:rPr>
                <w:sz w:val="24"/>
              </w:rPr>
              <w:t>.000</w:t>
            </w:r>
          </w:p>
        </w:tc>
        <w:tc>
          <w:tcPr>
            <w:tcW w:w="938" w:type="dxa"/>
          </w:tcPr>
          <w:p>
            <w:pPr>
              <w:pStyle w:val="TableParagraph"/>
              <w:spacing w:before="13"/>
              <w:ind w:right="127"/>
              <w:jc w:val="right"/>
              <w:rPr>
                <w:sz w:val="24"/>
              </w:rPr>
            </w:pPr>
            <w:r>
              <w:rPr>
                <w:sz w:val="24"/>
              </w:rPr>
              <w:t>.000</w:t>
            </w:r>
          </w:p>
        </w:tc>
      </w:tr>
      <w:tr>
        <w:trPr>
          <w:trHeight w:val="443" w:hRule="atLeast"/>
        </w:trPr>
        <w:tc>
          <w:tcPr>
            <w:tcW w:w="2273" w:type="dxa"/>
          </w:tcPr>
          <w:p>
            <w:pPr>
              <w:pStyle w:val="TableParagraph"/>
              <w:spacing w:before="13"/>
              <w:ind w:left="139"/>
              <w:rPr>
                <w:sz w:val="24"/>
              </w:rPr>
            </w:pPr>
            <w:r>
              <w:rPr>
                <w:sz w:val="24"/>
              </w:rPr>
              <w:t>Independence model</w:t>
            </w:r>
          </w:p>
        </w:tc>
        <w:tc>
          <w:tcPr>
            <w:tcW w:w="939" w:type="dxa"/>
          </w:tcPr>
          <w:p>
            <w:pPr>
              <w:pStyle w:val="TableParagraph"/>
              <w:spacing w:before="13"/>
              <w:ind w:right="127"/>
              <w:jc w:val="right"/>
              <w:rPr>
                <w:sz w:val="24"/>
              </w:rPr>
            </w:pPr>
            <w:r>
              <w:rPr>
                <w:sz w:val="24"/>
              </w:rPr>
              <w:t>19.656</w:t>
            </w:r>
          </w:p>
        </w:tc>
        <w:tc>
          <w:tcPr>
            <w:tcW w:w="941" w:type="dxa"/>
          </w:tcPr>
          <w:p>
            <w:pPr>
              <w:pStyle w:val="TableParagraph"/>
              <w:spacing w:before="13"/>
              <w:ind w:right="130"/>
              <w:jc w:val="right"/>
              <w:rPr>
                <w:sz w:val="24"/>
              </w:rPr>
            </w:pPr>
            <w:r>
              <w:rPr>
                <w:sz w:val="24"/>
              </w:rPr>
              <w:t>17.984</w:t>
            </w:r>
          </w:p>
        </w:tc>
        <w:tc>
          <w:tcPr>
            <w:tcW w:w="941" w:type="dxa"/>
          </w:tcPr>
          <w:p>
            <w:pPr>
              <w:pStyle w:val="TableParagraph"/>
              <w:spacing w:before="13"/>
              <w:ind w:right="130"/>
              <w:jc w:val="right"/>
              <w:rPr>
                <w:sz w:val="24"/>
              </w:rPr>
            </w:pPr>
            <w:r>
              <w:rPr>
                <w:sz w:val="24"/>
              </w:rPr>
              <w:t>17.362</w:t>
            </w:r>
          </w:p>
        </w:tc>
        <w:tc>
          <w:tcPr>
            <w:tcW w:w="938" w:type="dxa"/>
          </w:tcPr>
          <w:p>
            <w:pPr>
              <w:pStyle w:val="TableParagraph"/>
              <w:spacing w:before="13"/>
              <w:ind w:right="127"/>
              <w:jc w:val="right"/>
              <w:rPr>
                <w:sz w:val="24"/>
              </w:rPr>
            </w:pPr>
            <w:r>
              <w:rPr>
                <w:sz w:val="24"/>
              </w:rPr>
              <w:t>18.619</w:t>
            </w:r>
          </w:p>
        </w:tc>
      </w:tr>
    </w:tbl>
    <w:p>
      <w:pPr>
        <w:spacing w:before="0"/>
        <w:ind w:left="882" w:right="0" w:firstLine="0"/>
        <w:jc w:val="left"/>
        <w:rPr>
          <w:b/>
          <w:sz w:val="20"/>
        </w:rPr>
      </w:pPr>
      <w:r>
        <w:rPr>
          <w:b/>
          <w:sz w:val="20"/>
        </w:rPr>
        <w:t>RMSEA</w:t>
      </w:r>
    </w:p>
    <w:p>
      <w:pPr>
        <w:pStyle w:val="BodyText"/>
        <w:rPr>
          <w:b/>
          <w:sz w:val="10"/>
        </w:rPr>
      </w:pPr>
    </w:p>
    <w:tbl>
      <w:tblPr>
        <w:tblW w:w="0" w:type="auto"/>
        <w:jc w:val="left"/>
        <w:tblInd w:w="74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2273"/>
        <w:gridCol w:w="1107"/>
        <w:gridCol w:w="900"/>
        <w:gridCol w:w="836"/>
        <w:gridCol w:w="1174"/>
      </w:tblGrid>
      <w:tr>
        <w:trPr>
          <w:trHeight w:val="443" w:hRule="atLeast"/>
        </w:trPr>
        <w:tc>
          <w:tcPr>
            <w:tcW w:w="2273" w:type="dxa"/>
          </w:tcPr>
          <w:p>
            <w:pPr>
              <w:pStyle w:val="TableParagraph"/>
              <w:spacing w:before="13"/>
              <w:ind w:left="139"/>
              <w:rPr>
                <w:sz w:val="24"/>
              </w:rPr>
            </w:pPr>
            <w:r>
              <w:rPr>
                <w:sz w:val="24"/>
              </w:rPr>
              <w:t>Model</w:t>
            </w:r>
          </w:p>
        </w:tc>
        <w:tc>
          <w:tcPr>
            <w:tcW w:w="1107" w:type="dxa"/>
          </w:tcPr>
          <w:p>
            <w:pPr>
              <w:pStyle w:val="TableParagraph"/>
              <w:spacing w:before="13"/>
              <w:ind w:right="128"/>
              <w:jc w:val="right"/>
              <w:rPr>
                <w:sz w:val="24"/>
              </w:rPr>
            </w:pPr>
            <w:r>
              <w:rPr>
                <w:w w:val="95"/>
                <w:sz w:val="24"/>
              </w:rPr>
              <w:t>RMSEA</w:t>
            </w:r>
          </w:p>
        </w:tc>
        <w:tc>
          <w:tcPr>
            <w:tcW w:w="900" w:type="dxa"/>
          </w:tcPr>
          <w:p>
            <w:pPr>
              <w:pStyle w:val="TableParagraph"/>
              <w:spacing w:before="13"/>
              <w:ind w:right="130"/>
              <w:jc w:val="right"/>
              <w:rPr>
                <w:sz w:val="24"/>
              </w:rPr>
            </w:pPr>
            <w:r>
              <w:rPr>
                <w:sz w:val="24"/>
              </w:rPr>
              <w:t>LO 90</w:t>
            </w:r>
          </w:p>
        </w:tc>
        <w:tc>
          <w:tcPr>
            <w:tcW w:w="836" w:type="dxa"/>
          </w:tcPr>
          <w:p>
            <w:pPr>
              <w:pStyle w:val="TableParagraph"/>
              <w:spacing w:before="13"/>
              <w:ind w:right="133"/>
              <w:jc w:val="right"/>
              <w:rPr>
                <w:sz w:val="24"/>
              </w:rPr>
            </w:pPr>
            <w:r>
              <w:rPr>
                <w:sz w:val="24"/>
              </w:rPr>
              <w:t>HI 90</w:t>
            </w:r>
          </w:p>
        </w:tc>
        <w:tc>
          <w:tcPr>
            <w:tcW w:w="1174" w:type="dxa"/>
          </w:tcPr>
          <w:p>
            <w:pPr>
              <w:pStyle w:val="TableParagraph"/>
              <w:spacing w:before="13"/>
              <w:ind w:right="128"/>
              <w:jc w:val="right"/>
              <w:rPr>
                <w:sz w:val="24"/>
              </w:rPr>
            </w:pPr>
            <w:r>
              <w:rPr>
                <w:sz w:val="24"/>
              </w:rPr>
              <w:t>PCLOSE</w:t>
            </w:r>
          </w:p>
        </w:tc>
      </w:tr>
      <w:tr>
        <w:trPr>
          <w:trHeight w:val="443" w:hRule="atLeast"/>
        </w:trPr>
        <w:tc>
          <w:tcPr>
            <w:tcW w:w="2273" w:type="dxa"/>
          </w:tcPr>
          <w:p>
            <w:pPr>
              <w:pStyle w:val="TableParagraph"/>
              <w:spacing w:before="13"/>
              <w:ind w:left="139"/>
              <w:rPr>
                <w:sz w:val="24"/>
              </w:rPr>
            </w:pPr>
            <w:r>
              <w:rPr>
                <w:sz w:val="24"/>
              </w:rPr>
              <w:t>Default model</w:t>
            </w:r>
          </w:p>
        </w:tc>
        <w:tc>
          <w:tcPr>
            <w:tcW w:w="1107" w:type="dxa"/>
          </w:tcPr>
          <w:p>
            <w:pPr>
              <w:pStyle w:val="TableParagraph"/>
              <w:spacing w:before="13"/>
              <w:ind w:right="127"/>
              <w:jc w:val="right"/>
              <w:rPr>
                <w:sz w:val="24"/>
              </w:rPr>
            </w:pPr>
            <w:r>
              <w:rPr>
                <w:sz w:val="24"/>
              </w:rPr>
              <w:t>.033</w:t>
            </w:r>
          </w:p>
        </w:tc>
        <w:tc>
          <w:tcPr>
            <w:tcW w:w="900" w:type="dxa"/>
          </w:tcPr>
          <w:p>
            <w:pPr>
              <w:pStyle w:val="TableParagraph"/>
              <w:spacing w:before="13"/>
              <w:ind w:right="130"/>
              <w:jc w:val="right"/>
              <w:rPr>
                <w:sz w:val="24"/>
              </w:rPr>
            </w:pPr>
            <w:r>
              <w:rPr>
                <w:sz w:val="24"/>
              </w:rPr>
              <w:t>.030</w:t>
            </w:r>
          </w:p>
        </w:tc>
        <w:tc>
          <w:tcPr>
            <w:tcW w:w="836" w:type="dxa"/>
          </w:tcPr>
          <w:p>
            <w:pPr>
              <w:pStyle w:val="TableParagraph"/>
              <w:spacing w:before="13"/>
              <w:ind w:right="130"/>
              <w:jc w:val="right"/>
              <w:rPr>
                <w:sz w:val="24"/>
              </w:rPr>
            </w:pPr>
            <w:r>
              <w:rPr>
                <w:sz w:val="24"/>
              </w:rPr>
              <w:t>.037</w:t>
            </w:r>
          </w:p>
        </w:tc>
        <w:tc>
          <w:tcPr>
            <w:tcW w:w="1174" w:type="dxa"/>
          </w:tcPr>
          <w:p>
            <w:pPr>
              <w:pStyle w:val="TableParagraph"/>
              <w:spacing w:before="13"/>
              <w:ind w:right="130"/>
              <w:jc w:val="right"/>
              <w:rPr>
                <w:sz w:val="24"/>
              </w:rPr>
            </w:pPr>
            <w:r>
              <w:rPr>
                <w:sz w:val="24"/>
              </w:rPr>
              <w:t>1.000</w:t>
            </w:r>
          </w:p>
        </w:tc>
      </w:tr>
      <w:tr>
        <w:trPr>
          <w:trHeight w:val="443" w:hRule="atLeast"/>
        </w:trPr>
        <w:tc>
          <w:tcPr>
            <w:tcW w:w="2273" w:type="dxa"/>
          </w:tcPr>
          <w:p>
            <w:pPr>
              <w:pStyle w:val="TableParagraph"/>
              <w:spacing w:before="13"/>
              <w:ind w:left="139"/>
              <w:rPr>
                <w:sz w:val="24"/>
              </w:rPr>
            </w:pPr>
            <w:r>
              <w:rPr>
                <w:sz w:val="24"/>
              </w:rPr>
              <w:t>Independence model</w:t>
            </w:r>
          </w:p>
        </w:tc>
        <w:tc>
          <w:tcPr>
            <w:tcW w:w="1107" w:type="dxa"/>
          </w:tcPr>
          <w:p>
            <w:pPr>
              <w:pStyle w:val="TableParagraph"/>
              <w:spacing w:before="13"/>
              <w:ind w:right="127"/>
              <w:jc w:val="right"/>
              <w:rPr>
                <w:sz w:val="24"/>
              </w:rPr>
            </w:pPr>
            <w:r>
              <w:rPr>
                <w:sz w:val="24"/>
              </w:rPr>
              <w:t>.145</w:t>
            </w:r>
          </w:p>
        </w:tc>
        <w:tc>
          <w:tcPr>
            <w:tcW w:w="900" w:type="dxa"/>
          </w:tcPr>
          <w:p>
            <w:pPr>
              <w:pStyle w:val="TableParagraph"/>
              <w:spacing w:before="13"/>
              <w:ind w:right="130"/>
              <w:jc w:val="right"/>
              <w:rPr>
                <w:sz w:val="24"/>
              </w:rPr>
            </w:pPr>
            <w:r>
              <w:rPr>
                <w:sz w:val="24"/>
              </w:rPr>
              <w:t>.142</w:t>
            </w:r>
          </w:p>
        </w:tc>
        <w:tc>
          <w:tcPr>
            <w:tcW w:w="836" w:type="dxa"/>
          </w:tcPr>
          <w:p>
            <w:pPr>
              <w:pStyle w:val="TableParagraph"/>
              <w:spacing w:before="13"/>
              <w:ind w:right="130"/>
              <w:jc w:val="right"/>
              <w:rPr>
                <w:sz w:val="24"/>
              </w:rPr>
            </w:pPr>
            <w:r>
              <w:rPr>
                <w:sz w:val="24"/>
              </w:rPr>
              <w:t>.147</w:t>
            </w:r>
          </w:p>
        </w:tc>
        <w:tc>
          <w:tcPr>
            <w:tcW w:w="1174" w:type="dxa"/>
          </w:tcPr>
          <w:p>
            <w:pPr>
              <w:pStyle w:val="TableParagraph"/>
              <w:spacing w:before="13"/>
              <w:ind w:right="130"/>
              <w:jc w:val="right"/>
              <w:rPr>
                <w:sz w:val="24"/>
              </w:rPr>
            </w:pPr>
            <w:r>
              <w:rPr>
                <w:sz w:val="24"/>
              </w:rPr>
              <w:t>.000</w:t>
            </w:r>
          </w:p>
        </w:tc>
      </w:tr>
    </w:tbl>
    <w:p>
      <w:pPr>
        <w:spacing w:before="0"/>
        <w:ind w:left="882" w:right="0" w:firstLine="0"/>
        <w:jc w:val="left"/>
        <w:rPr>
          <w:b/>
          <w:sz w:val="20"/>
        </w:rPr>
      </w:pPr>
      <w:r>
        <w:rPr>
          <w:b/>
          <w:sz w:val="20"/>
        </w:rPr>
        <w:t>AIC</w:t>
      </w:r>
    </w:p>
    <w:p>
      <w:pPr>
        <w:pStyle w:val="BodyText"/>
        <w:rPr>
          <w:b/>
          <w:sz w:val="10"/>
        </w:rPr>
      </w:pPr>
    </w:p>
    <w:tbl>
      <w:tblPr>
        <w:tblW w:w="0" w:type="auto"/>
        <w:jc w:val="left"/>
        <w:tblInd w:w="74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2273"/>
        <w:gridCol w:w="1299"/>
        <w:gridCol w:w="1301"/>
        <w:gridCol w:w="1301"/>
        <w:gridCol w:w="1298"/>
      </w:tblGrid>
      <w:tr>
        <w:trPr>
          <w:trHeight w:val="443" w:hRule="atLeast"/>
        </w:trPr>
        <w:tc>
          <w:tcPr>
            <w:tcW w:w="2273" w:type="dxa"/>
          </w:tcPr>
          <w:p>
            <w:pPr>
              <w:pStyle w:val="TableParagraph"/>
              <w:spacing w:before="15"/>
              <w:ind w:left="139"/>
              <w:rPr>
                <w:sz w:val="24"/>
              </w:rPr>
            </w:pPr>
            <w:r>
              <w:rPr>
                <w:sz w:val="24"/>
              </w:rPr>
              <w:t>Model</w:t>
            </w:r>
          </w:p>
        </w:tc>
        <w:tc>
          <w:tcPr>
            <w:tcW w:w="1299" w:type="dxa"/>
          </w:tcPr>
          <w:p>
            <w:pPr>
              <w:pStyle w:val="TableParagraph"/>
              <w:spacing w:before="15"/>
              <w:ind w:right="128"/>
              <w:jc w:val="right"/>
              <w:rPr>
                <w:sz w:val="24"/>
              </w:rPr>
            </w:pPr>
            <w:r>
              <w:rPr>
                <w:sz w:val="24"/>
              </w:rPr>
              <w:t>AIC</w:t>
            </w:r>
          </w:p>
        </w:tc>
        <w:tc>
          <w:tcPr>
            <w:tcW w:w="1301" w:type="dxa"/>
          </w:tcPr>
          <w:p>
            <w:pPr>
              <w:pStyle w:val="TableParagraph"/>
              <w:spacing w:before="15"/>
              <w:ind w:right="127"/>
              <w:jc w:val="right"/>
              <w:rPr>
                <w:sz w:val="24"/>
              </w:rPr>
            </w:pPr>
            <w:r>
              <w:rPr>
                <w:sz w:val="24"/>
              </w:rPr>
              <w:t>BCC</w:t>
            </w:r>
          </w:p>
        </w:tc>
        <w:tc>
          <w:tcPr>
            <w:tcW w:w="1301" w:type="dxa"/>
          </w:tcPr>
          <w:p>
            <w:pPr>
              <w:pStyle w:val="TableParagraph"/>
              <w:spacing w:before="15"/>
              <w:ind w:right="133"/>
              <w:jc w:val="right"/>
              <w:rPr>
                <w:sz w:val="24"/>
              </w:rPr>
            </w:pPr>
            <w:r>
              <w:rPr>
                <w:sz w:val="24"/>
              </w:rPr>
              <w:t>BIC</w:t>
            </w:r>
          </w:p>
        </w:tc>
        <w:tc>
          <w:tcPr>
            <w:tcW w:w="1298" w:type="dxa"/>
          </w:tcPr>
          <w:p>
            <w:pPr>
              <w:pStyle w:val="TableParagraph"/>
              <w:spacing w:before="15"/>
              <w:ind w:right="130"/>
              <w:jc w:val="right"/>
              <w:rPr>
                <w:sz w:val="24"/>
              </w:rPr>
            </w:pPr>
            <w:r>
              <w:rPr>
                <w:w w:val="95"/>
                <w:sz w:val="24"/>
              </w:rPr>
              <w:t>CAIC</w:t>
            </w:r>
          </w:p>
        </w:tc>
      </w:tr>
      <w:tr>
        <w:trPr>
          <w:trHeight w:val="443" w:hRule="atLeast"/>
        </w:trPr>
        <w:tc>
          <w:tcPr>
            <w:tcW w:w="2273" w:type="dxa"/>
          </w:tcPr>
          <w:p>
            <w:pPr>
              <w:pStyle w:val="TableParagraph"/>
              <w:spacing w:before="15"/>
              <w:ind w:left="139"/>
              <w:rPr>
                <w:sz w:val="24"/>
              </w:rPr>
            </w:pPr>
            <w:r>
              <w:rPr>
                <w:sz w:val="24"/>
              </w:rPr>
              <w:t>Default model</w:t>
            </w:r>
          </w:p>
        </w:tc>
        <w:tc>
          <w:tcPr>
            <w:tcW w:w="1299" w:type="dxa"/>
          </w:tcPr>
          <w:p>
            <w:pPr>
              <w:pStyle w:val="TableParagraph"/>
              <w:spacing w:before="15"/>
              <w:ind w:right="127"/>
              <w:jc w:val="right"/>
              <w:rPr>
                <w:sz w:val="24"/>
              </w:rPr>
            </w:pPr>
            <w:r>
              <w:rPr>
                <w:sz w:val="24"/>
              </w:rPr>
              <w:t>1475.990</w:t>
            </w:r>
          </w:p>
        </w:tc>
        <w:tc>
          <w:tcPr>
            <w:tcW w:w="1301" w:type="dxa"/>
          </w:tcPr>
          <w:p>
            <w:pPr>
              <w:pStyle w:val="TableParagraph"/>
              <w:spacing w:before="15"/>
              <w:ind w:right="130"/>
              <w:jc w:val="right"/>
              <w:rPr>
                <w:sz w:val="24"/>
              </w:rPr>
            </w:pPr>
            <w:r>
              <w:rPr>
                <w:sz w:val="24"/>
              </w:rPr>
              <w:t>1498.948</w:t>
            </w:r>
          </w:p>
        </w:tc>
        <w:tc>
          <w:tcPr>
            <w:tcW w:w="1301" w:type="dxa"/>
          </w:tcPr>
          <w:p>
            <w:pPr>
              <w:pStyle w:val="TableParagraph"/>
              <w:spacing w:before="15"/>
              <w:ind w:right="130"/>
              <w:jc w:val="right"/>
              <w:rPr>
                <w:sz w:val="24"/>
              </w:rPr>
            </w:pPr>
            <w:r>
              <w:rPr>
                <w:sz w:val="24"/>
              </w:rPr>
              <w:t>2011.000</w:t>
            </w:r>
          </w:p>
        </w:tc>
        <w:tc>
          <w:tcPr>
            <w:tcW w:w="1298" w:type="dxa"/>
          </w:tcPr>
          <w:p>
            <w:pPr>
              <w:pStyle w:val="TableParagraph"/>
              <w:spacing w:before="15"/>
              <w:ind w:right="127"/>
              <w:jc w:val="right"/>
              <w:rPr>
                <w:sz w:val="24"/>
              </w:rPr>
            </w:pPr>
            <w:r>
              <w:rPr>
                <w:sz w:val="24"/>
              </w:rPr>
              <w:t>2137.000</w:t>
            </w:r>
          </w:p>
        </w:tc>
      </w:tr>
      <w:tr>
        <w:trPr>
          <w:trHeight w:val="446" w:hRule="atLeast"/>
        </w:trPr>
        <w:tc>
          <w:tcPr>
            <w:tcW w:w="2273" w:type="dxa"/>
          </w:tcPr>
          <w:p>
            <w:pPr>
              <w:pStyle w:val="TableParagraph"/>
              <w:spacing w:before="15"/>
              <w:ind w:left="139"/>
              <w:rPr>
                <w:sz w:val="24"/>
              </w:rPr>
            </w:pPr>
            <w:r>
              <w:rPr>
                <w:sz w:val="24"/>
              </w:rPr>
              <w:t>Saturated model</w:t>
            </w:r>
          </w:p>
        </w:tc>
        <w:tc>
          <w:tcPr>
            <w:tcW w:w="1299" w:type="dxa"/>
          </w:tcPr>
          <w:p>
            <w:pPr>
              <w:pStyle w:val="TableParagraph"/>
              <w:spacing w:before="15"/>
              <w:ind w:right="127"/>
              <w:jc w:val="right"/>
              <w:rPr>
                <w:sz w:val="24"/>
              </w:rPr>
            </w:pPr>
            <w:r>
              <w:rPr>
                <w:sz w:val="24"/>
              </w:rPr>
              <w:t>1806.000</w:t>
            </w:r>
          </w:p>
        </w:tc>
        <w:tc>
          <w:tcPr>
            <w:tcW w:w="1301" w:type="dxa"/>
          </w:tcPr>
          <w:p>
            <w:pPr>
              <w:pStyle w:val="TableParagraph"/>
              <w:spacing w:before="15"/>
              <w:ind w:right="130"/>
              <w:jc w:val="right"/>
              <w:rPr>
                <w:sz w:val="24"/>
              </w:rPr>
            </w:pPr>
            <w:r>
              <w:rPr>
                <w:sz w:val="24"/>
              </w:rPr>
              <w:t>1970.530</w:t>
            </w:r>
          </w:p>
        </w:tc>
        <w:tc>
          <w:tcPr>
            <w:tcW w:w="1301" w:type="dxa"/>
          </w:tcPr>
          <w:p>
            <w:pPr>
              <w:pStyle w:val="TableParagraph"/>
              <w:spacing w:before="15"/>
              <w:ind w:right="130"/>
              <w:jc w:val="right"/>
              <w:rPr>
                <w:sz w:val="24"/>
              </w:rPr>
            </w:pPr>
            <w:r>
              <w:rPr>
                <w:sz w:val="24"/>
              </w:rPr>
              <w:t>5640.234</w:t>
            </w:r>
          </w:p>
        </w:tc>
        <w:tc>
          <w:tcPr>
            <w:tcW w:w="1298" w:type="dxa"/>
          </w:tcPr>
          <w:p>
            <w:pPr>
              <w:pStyle w:val="TableParagraph"/>
              <w:spacing w:before="15"/>
              <w:ind w:right="127"/>
              <w:jc w:val="right"/>
              <w:rPr>
                <w:sz w:val="24"/>
              </w:rPr>
            </w:pPr>
            <w:r>
              <w:rPr>
                <w:sz w:val="24"/>
              </w:rPr>
              <w:t>6543.234</w:t>
            </w:r>
          </w:p>
        </w:tc>
      </w:tr>
      <w:tr>
        <w:trPr>
          <w:trHeight w:val="443" w:hRule="atLeast"/>
        </w:trPr>
        <w:tc>
          <w:tcPr>
            <w:tcW w:w="2273" w:type="dxa"/>
          </w:tcPr>
          <w:p>
            <w:pPr>
              <w:pStyle w:val="TableParagraph"/>
              <w:spacing w:before="13"/>
              <w:ind w:left="139"/>
              <w:rPr>
                <w:sz w:val="24"/>
              </w:rPr>
            </w:pPr>
            <w:r>
              <w:rPr>
                <w:sz w:val="24"/>
              </w:rPr>
              <w:t>Independence model</w:t>
            </w:r>
          </w:p>
        </w:tc>
        <w:tc>
          <w:tcPr>
            <w:tcW w:w="1299" w:type="dxa"/>
          </w:tcPr>
          <w:p>
            <w:pPr>
              <w:pStyle w:val="TableParagraph"/>
              <w:spacing w:before="13"/>
              <w:ind w:right="127"/>
              <w:jc w:val="right"/>
              <w:rPr>
                <w:sz w:val="24"/>
              </w:rPr>
            </w:pPr>
            <w:r>
              <w:rPr>
                <w:sz w:val="24"/>
              </w:rPr>
              <w:t>10206.904</w:t>
            </w:r>
          </w:p>
        </w:tc>
        <w:tc>
          <w:tcPr>
            <w:tcW w:w="1301" w:type="dxa"/>
          </w:tcPr>
          <w:p>
            <w:pPr>
              <w:pStyle w:val="TableParagraph"/>
              <w:spacing w:before="13"/>
              <w:ind w:right="130"/>
              <w:jc w:val="right"/>
              <w:rPr>
                <w:sz w:val="24"/>
              </w:rPr>
            </w:pPr>
            <w:r>
              <w:rPr>
                <w:sz w:val="24"/>
              </w:rPr>
              <w:t>10214.557</w:t>
            </w:r>
          </w:p>
        </w:tc>
        <w:tc>
          <w:tcPr>
            <w:tcW w:w="1301" w:type="dxa"/>
          </w:tcPr>
          <w:p>
            <w:pPr>
              <w:pStyle w:val="TableParagraph"/>
              <w:spacing w:before="13"/>
              <w:ind w:right="130"/>
              <w:jc w:val="right"/>
              <w:rPr>
                <w:sz w:val="24"/>
              </w:rPr>
            </w:pPr>
            <w:r>
              <w:rPr>
                <w:sz w:val="24"/>
              </w:rPr>
              <w:t>10385.241</w:t>
            </w:r>
          </w:p>
        </w:tc>
        <w:tc>
          <w:tcPr>
            <w:tcW w:w="1298" w:type="dxa"/>
          </w:tcPr>
          <w:p>
            <w:pPr>
              <w:pStyle w:val="TableParagraph"/>
              <w:spacing w:before="13"/>
              <w:ind w:right="127"/>
              <w:jc w:val="right"/>
              <w:rPr>
                <w:sz w:val="24"/>
              </w:rPr>
            </w:pPr>
            <w:r>
              <w:rPr>
                <w:sz w:val="24"/>
              </w:rPr>
              <w:t>10427.241</w:t>
            </w:r>
          </w:p>
        </w:tc>
      </w:tr>
    </w:tbl>
    <w:p>
      <w:pPr>
        <w:spacing w:before="0"/>
        <w:ind w:left="882" w:right="0" w:firstLine="0"/>
        <w:jc w:val="left"/>
        <w:rPr>
          <w:b/>
          <w:sz w:val="20"/>
        </w:rPr>
      </w:pPr>
      <w:r>
        <w:rPr>
          <w:b/>
          <w:sz w:val="20"/>
        </w:rPr>
        <w:t>ECVI</w:t>
      </w:r>
    </w:p>
    <w:p>
      <w:pPr>
        <w:pStyle w:val="BodyText"/>
        <w:rPr>
          <w:b/>
          <w:sz w:val="10"/>
        </w:rPr>
      </w:pPr>
    </w:p>
    <w:tbl>
      <w:tblPr>
        <w:tblW w:w="0" w:type="auto"/>
        <w:jc w:val="left"/>
        <w:tblInd w:w="74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2273"/>
        <w:gridCol w:w="939"/>
        <w:gridCol w:w="941"/>
        <w:gridCol w:w="941"/>
        <w:gridCol w:w="1053"/>
      </w:tblGrid>
      <w:tr>
        <w:trPr>
          <w:trHeight w:val="443" w:hRule="atLeast"/>
        </w:trPr>
        <w:tc>
          <w:tcPr>
            <w:tcW w:w="2273" w:type="dxa"/>
          </w:tcPr>
          <w:p>
            <w:pPr>
              <w:pStyle w:val="TableParagraph"/>
              <w:spacing w:before="13"/>
              <w:ind w:left="139"/>
              <w:rPr>
                <w:sz w:val="24"/>
              </w:rPr>
            </w:pPr>
            <w:r>
              <w:rPr>
                <w:sz w:val="24"/>
              </w:rPr>
              <w:t>Model</w:t>
            </w:r>
          </w:p>
        </w:tc>
        <w:tc>
          <w:tcPr>
            <w:tcW w:w="939" w:type="dxa"/>
          </w:tcPr>
          <w:p>
            <w:pPr>
              <w:pStyle w:val="TableParagraph"/>
              <w:spacing w:before="13"/>
              <w:ind w:left="220" w:right="109"/>
              <w:jc w:val="center"/>
              <w:rPr>
                <w:sz w:val="24"/>
              </w:rPr>
            </w:pPr>
            <w:r>
              <w:rPr>
                <w:sz w:val="24"/>
              </w:rPr>
              <w:t>ECVI</w:t>
            </w:r>
          </w:p>
        </w:tc>
        <w:tc>
          <w:tcPr>
            <w:tcW w:w="941" w:type="dxa"/>
          </w:tcPr>
          <w:p>
            <w:pPr>
              <w:pStyle w:val="TableParagraph"/>
              <w:spacing w:before="13"/>
              <w:ind w:left="159" w:right="112"/>
              <w:jc w:val="center"/>
              <w:rPr>
                <w:sz w:val="24"/>
              </w:rPr>
            </w:pPr>
            <w:r>
              <w:rPr>
                <w:sz w:val="24"/>
              </w:rPr>
              <w:t>LO 90</w:t>
            </w:r>
          </w:p>
        </w:tc>
        <w:tc>
          <w:tcPr>
            <w:tcW w:w="941" w:type="dxa"/>
          </w:tcPr>
          <w:p>
            <w:pPr>
              <w:pStyle w:val="TableParagraph"/>
              <w:spacing w:before="13"/>
              <w:ind w:right="132"/>
              <w:jc w:val="right"/>
              <w:rPr>
                <w:sz w:val="24"/>
              </w:rPr>
            </w:pPr>
            <w:r>
              <w:rPr>
                <w:sz w:val="24"/>
              </w:rPr>
              <w:t>HI 90</w:t>
            </w:r>
          </w:p>
        </w:tc>
        <w:tc>
          <w:tcPr>
            <w:tcW w:w="1053" w:type="dxa"/>
          </w:tcPr>
          <w:p>
            <w:pPr>
              <w:pStyle w:val="TableParagraph"/>
              <w:spacing w:before="13"/>
              <w:ind w:right="128"/>
              <w:jc w:val="right"/>
              <w:rPr>
                <w:sz w:val="24"/>
              </w:rPr>
            </w:pPr>
            <w:r>
              <w:rPr>
                <w:w w:val="95"/>
                <w:sz w:val="24"/>
              </w:rPr>
              <w:t>MECVI</w:t>
            </w:r>
          </w:p>
        </w:tc>
      </w:tr>
      <w:tr>
        <w:trPr>
          <w:trHeight w:val="444" w:hRule="atLeast"/>
        </w:trPr>
        <w:tc>
          <w:tcPr>
            <w:tcW w:w="2273" w:type="dxa"/>
          </w:tcPr>
          <w:p>
            <w:pPr>
              <w:pStyle w:val="TableParagraph"/>
              <w:spacing w:before="13"/>
              <w:ind w:left="139"/>
              <w:rPr>
                <w:sz w:val="24"/>
              </w:rPr>
            </w:pPr>
            <w:r>
              <w:rPr>
                <w:sz w:val="24"/>
              </w:rPr>
              <w:t>Default model</w:t>
            </w:r>
          </w:p>
        </w:tc>
        <w:tc>
          <w:tcPr>
            <w:tcW w:w="939" w:type="dxa"/>
          </w:tcPr>
          <w:p>
            <w:pPr>
              <w:pStyle w:val="TableParagraph"/>
              <w:spacing w:before="13"/>
              <w:ind w:left="220" w:right="91"/>
              <w:jc w:val="center"/>
              <w:rPr>
                <w:sz w:val="24"/>
              </w:rPr>
            </w:pPr>
            <w:r>
              <w:rPr>
                <w:sz w:val="24"/>
              </w:rPr>
              <w:t>2.866</w:t>
            </w:r>
          </w:p>
        </w:tc>
        <w:tc>
          <w:tcPr>
            <w:tcW w:w="941" w:type="dxa"/>
          </w:tcPr>
          <w:p>
            <w:pPr>
              <w:pStyle w:val="TableParagraph"/>
              <w:spacing w:before="13"/>
              <w:ind w:left="159" w:right="33"/>
              <w:jc w:val="center"/>
              <w:rPr>
                <w:sz w:val="24"/>
              </w:rPr>
            </w:pPr>
            <w:r>
              <w:rPr>
                <w:sz w:val="24"/>
              </w:rPr>
              <w:t>2.689</w:t>
            </w:r>
          </w:p>
        </w:tc>
        <w:tc>
          <w:tcPr>
            <w:tcW w:w="941" w:type="dxa"/>
          </w:tcPr>
          <w:p>
            <w:pPr>
              <w:pStyle w:val="TableParagraph"/>
              <w:spacing w:before="13"/>
              <w:ind w:right="130"/>
              <w:jc w:val="right"/>
              <w:rPr>
                <w:sz w:val="24"/>
              </w:rPr>
            </w:pPr>
            <w:r>
              <w:rPr>
                <w:sz w:val="24"/>
              </w:rPr>
              <w:t>3.058</w:t>
            </w:r>
          </w:p>
        </w:tc>
        <w:tc>
          <w:tcPr>
            <w:tcW w:w="1053" w:type="dxa"/>
          </w:tcPr>
          <w:p>
            <w:pPr>
              <w:pStyle w:val="TableParagraph"/>
              <w:spacing w:before="13"/>
              <w:ind w:right="129"/>
              <w:jc w:val="right"/>
              <w:rPr>
                <w:sz w:val="24"/>
              </w:rPr>
            </w:pPr>
            <w:r>
              <w:rPr>
                <w:sz w:val="24"/>
              </w:rPr>
              <w:t>2.911</w:t>
            </w:r>
          </w:p>
        </w:tc>
      </w:tr>
      <w:tr>
        <w:trPr>
          <w:trHeight w:val="443" w:hRule="atLeast"/>
        </w:trPr>
        <w:tc>
          <w:tcPr>
            <w:tcW w:w="2273" w:type="dxa"/>
          </w:tcPr>
          <w:p>
            <w:pPr>
              <w:pStyle w:val="TableParagraph"/>
              <w:spacing w:before="13"/>
              <w:ind w:left="139"/>
              <w:rPr>
                <w:sz w:val="24"/>
              </w:rPr>
            </w:pPr>
            <w:r>
              <w:rPr>
                <w:sz w:val="24"/>
              </w:rPr>
              <w:t>Saturated model</w:t>
            </w:r>
          </w:p>
        </w:tc>
        <w:tc>
          <w:tcPr>
            <w:tcW w:w="939" w:type="dxa"/>
          </w:tcPr>
          <w:p>
            <w:pPr>
              <w:pStyle w:val="TableParagraph"/>
              <w:spacing w:before="13"/>
              <w:ind w:left="220" w:right="91"/>
              <w:jc w:val="center"/>
              <w:rPr>
                <w:sz w:val="24"/>
              </w:rPr>
            </w:pPr>
            <w:r>
              <w:rPr>
                <w:sz w:val="24"/>
              </w:rPr>
              <w:t>3.507</w:t>
            </w:r>
          </w:p>
        </w:tc>
        <w:tc>
          <w:tcPr>
            <w:tcW w:w="941" w:type="dxa"/>
          </w:tcPr>
          <w:p>
            <w:pPr>
              <w:pStyle w:val="TableParagraph"/>
              <w:spacing w:before="13"/>
              <w:ind w:left="159" w:right="33"/>
              <w:jc w:val="center"/>
              <w:rPr>
                <w:sz w:val="24"/>
              </w:rPr>
            </w:pPr>
            <w:r>
              <w:rPr>
                <w:sz w:val="24"/>
              </w:rPr>
              <w:t>3.507</w:t>
            </w:r>
          </w:p>
        </w:tc>
        <w:tc>
          <w:tcPr>
            <w:tcW w:w="941" w:type="dxa"/>
          </w:tcPr>
          <w:p>
            <w:pPr>
              <w:pStyle w:val="TableParagraph"/>
              <w:spacing w:before="13"/>
              <w:ind w:right="130"/>
              <w:jc w:val="right"/>
              <w:rPr>
                <w:sz w:val="24"/>
              </w:rPr>
            </w:pPr>
            <w:r>
              <w:rPr>
                <w:sz w:val="24"/>
              </w:rPr>
              <w:t>3.507</w:t>
            </w:r>
          </w:p>
        </w:tc>
        <w:tc>
          <w:tcPr>
            <w:tcW w:w="1053" w:type="dxa"/>
          </w:tcPr>
          <w:p>
            <w:pPr>
              <w:pStyle w:val="TableParagraph"/>
              <w:spacing w:before="13"/>
              <w:ind w:right="129"/>
              <w:jc w:val="right"/>
              <w:rPr>
                <w:sz w:val="24"/>
              </w:rPr>
            </w:pPr>
            <w:r>
              <w:rPr>
                <w:sz w:val="24"/>
              </w:rPr>
              <w:t>3.826</w:t>
            </w:r>
          </w:p>
        </w:tc>
      </w:tr>
      <w:tr>
        <w:trPr>
          <w:trHeight w:val="443" w:hRule="atLeast"/>
        </w:trPr>
        <w:tc>
          <w:tcPr>
            <w:tcW w:w="2273" w:type="dxa"/>
          </w:tcPr>
          <w:p>
            <w:pPr>
              <w:pStyle w:val="TableParagraph"/>
              <w:spacing w:before="13"/>
              <w:ind w:left="139"/>
              <w:rPr>
                <w:sz w:val="24"/>
              </w:rPr>
            </w:pPr>
            <w:r>
              <w:rPr>
                <w:sz w:val="24"/>
              </w:rPr>
              <w:t>Independence model</w:t>
            </w:r>
          </w:p>
        </w:tc>
        <w:tc>
          <w:tcPr>
            <w:tcW w:w="939" w:type="dxa"/>
          </w:tcPr>
          <w:p>
            <w:pPr>
              <w:pStyle w:val="TableParagraph"/>
              <w:spacing w:before="13"/>
              <w:ind w:left="118" w:right="109"/>
              <w:jc w:val="center"/>
              <w:rPr>
                <w:sz w:val="24"/>
              </w:rPr>
            </w:pPr>
            <w:r>
              <w:rPr>
                <w:sz w:val="24"/>
              </w:rPr>
              <w:t>19.819</w:t>
            </w:r>
          </w:p>
        </w:tc>
        <w:tc>
          <w:tcPr>
            <w:tcW w:w="941" w:type="dxa"/>
          </w:tcPr>
          <w:p>
            <w:pPr>
              <w:pStyle w:val="TableParagraph"/>
              <w:spacing w:before="13"/>
              <w:ind w:left="118" w:right="112"/>
              <w:jc w:val="center"/>
              <w:rPr>
                <w:sz w:val="24"/>
              </w:rPr>
            </w:pPr>
            <w:r>
              <w:rPr>
                <w:sz w:val="24"/>
              </w:rPr>
              <w:t>19.197</w:t>
            </w:r>
          </w:p>
        </w:tc>
        <w:tc>
          <w:tcPr>
            <w:tcW w:w="941" w:type="dxa"/>
          </w:tcPr>
          <w:p>
            <w:pPr>
              <w:pStyle w:val="TableParagraph"/>
              <w:spacing w:before="13"/>
              <w:ind w:right="130"/>
              <w:jc w:val="right"/>
              <w:rPr>
                <w:sz w:val="24"/>
              </w:rPr>
            </w:pPr>
            <w:r>
              <w:rPr>
                <w:sz w:val="24"/>
              </w:rPr>
              <w:t>20.454</w:t>
            </w:r>
          </w:p>
        </w:tc>
        <w:tc>
          <w:tcPr>
            <w:tcW w:w="1053" w:type="dxa"/>
          </w:tcPr>
          <w:p>
            <w:pPr>
              <w:pStyle w:val="TableParagraph"/>
              <w:spacing w:before="13"/>
              <w:ind w:right="129"/>
              <w:jc w:val="right"/>
              <w:rPr>
                <w:sz w:val="24"/>
              </w:rPr>
            </w:pPr>
            <w:r>
              <w:rPr>
                <w:sz w:val="24"/>
              </w:rPr>
              <w:t>19.834</w:t>
            </w:r>
          </w:p>
        </w:tc>
      </w:tr>
    </w:tbl>
    <w:p>
      <w:pPr>
        <w:spacing w:before="0"/>
        <w:ind w:left="882" w:right="0" w:firstLine="0"/>
        <w:jc w:val="left"/>
        <w:rPr>
          <w:b/>
          <w:sz w:val="20"/>
        </w:rPr>
      </w:pPr>
      <w:r>
        <w:rPr>
          <w:b/>
          <w:sz w:val="20"/>
        </w:rPr>
        <w:t>HOELTER</w:t>
      </w:r>
    </w:p>
    <w:p>
      <w:pPr>
        <w:pStyle w:val="BodyText"/>
        <w:rPr>
          <w:b/>
          <w:sz w:val="10"/>
        </w:rPr>
      </w:pPr>
    </w:p>
    <w:tbl>
      <w:tblPr>
        <w:tblW w:w="0" w:type="auto"/>
        <w:jc w:val="left"/>
        <w:tblInd w:w="74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2273"/>
        <w:gridCol w:w="1374"/>
        <w:gridCol w:w="1376"/>
      </w:tblGrid>
      <w:tr>
        <w:trPr>
          <w:trHeight w:val="858" w:hRule="atLeast"/>
        </w:trPr>
        <w:tc>
          <w:tcPr>
            <w:tcW w:w="2273" w:type="dxa"/>
          </w:tcPr>
          <w:p>
            <w:pPr>
              <w:pStyle w:val="TableParagraph"/>
              <w:spacing w:before="222"/>
              <w:ind w:left="139"/>
              <w:rPr>
                <w:sz w:val="24"/>
              </w:rPr>
            </w:pPr>
            <w:r>
              <w:rPr>
                <w:sz w:val="24"/>
              </w:rPr>
              <w:t>Model</w:t>
            </w:r>
          </w:p>
        </w:tc>
        <w:tc>
          <w:tcPr>
            <w:tcW w:w="1374" w:type="dxa"/>
          </w:tcPr>
          <w:p>
            <w:pPr>
              <w:pStyle w:val="TableParagraph"/>
              <w:spacing w:before="15"/>
              <w:ind w:left="138"/>
              <w:rPr>
                <w:sz w:val="24"/>
              </w:rPr>
            </w:pPr>
            <w:r>
              <w:rPr>
                <w:sz w:val="24"/>
              </w:rPr>
              <w:t>HOELTER</w:t>
            </w:r>
          </w:p>
          <w:p>
            <w:pPr>
              <w:pStyle w:val="TableParagraph"/>
              <w:spacing w:before="137"/>
              <w:ind w:right="128"/>
              <w:jc w:val="right"/>
              <w:rPr>
                <w:sz w:val="24"/>
              </w:rPr>
            </w:pPr>
            <w:r>
              <w:rPr>
                <w:sz w:val="24"/>
              </w:rPr>
              <w:t>.05</w:t>
            </w:r>
          </w:p>
        </w:tc>
        <w:tc>
          <w:tcPr>
            <w:tcW w:w="1376" w:type="dxa"/>
          </w:tcPr>
          <w:p>
            <w:pPr>
              <w:pStyle w:val="TableParagraph"/>
              <w:spacing w:before="15"/>
              <w:ind w:left="138"/>
              <w:rPr>
                <w:sz w:val="24"/>
              </w:rPr>
            </w:pPr>
            <w:r>
              <w:rPr>
                <w:sz w:val="24"/>
              </w:rPr>
              <w:t>HOELTER</w:t>
            </w:r>
          </w:p>
          <w:p>
            <w:pPr>
              <w:pStyle w:val="TableParagraph"/>
              <w:spacing w:before="137"/>
              <w:ind w:right="131"/>
              <w:jc w:val="right"/>
              <w:rPr>
                <w:sz w:val="24"/>
              </w:rPr>
            </w:pPr>
            <w:r>
              <w:rPr>
                <w:sz w:val="24"/>
              </w:rPr>
              <w:t>.01</w:t>
            </w:r>
          </w:p>
        </w:tc>
      </w:tr>
      <w:tr>
        <w:trPr>
          <w:trHeight w:val="443" w:hRule="atLeast"/>
        </w:trPr>
        <w:tc>
          <w:tcPr>
            <w:tcW w:w="2273" w:type="dxa"/>
          </w:tcPr>
          <w:p>
            <w:pPr>
              <w:pStyle w:val="TableParagraph"/>
              <w:spacing w:before="13"/>
              <w:ind w:left="139"/>
              <w:rPr>
                <w:sz w:val="24"/>
              </w:rPr>
            </w:pPr>
            <w:r>
              <w:rPr>
                <w:sz w:val="24"/>
              </w:rPr>
              <w:t>Default model</w:t>
            </w:r>
          </w:p>
        </w:tc>
        <w:tc>
          <w:tcPr>
            <w:tcW w:w="1374" w:type="dxa"/>
          </w:tcPr>
          <w:p>
            <w:pPr>
              <w:pStyle w:val="TableParagraph"/>
              <w:spacing w:before="13"/>
              <w:ind w:right="128"/>
              <w:jc w:val="right"/>
              <w:rPr>
                <w:sz w:val="24"/>
              </w:rPr>
            </w:pPr>
            <w:r>
              <w:rPr>
                <w:sz w:val="24"/>
              </w:rPr>
              <w:t>355</w:t>
            </w:r>
          </w:p>
        </w:tc>
        <w:tc>
          <w:tcPr>
            <w:tcW w:w="1376" w:type="dxa"/>
          </w:tcPr>
          <w:p>
            <w:pPr>
              <w:pStyle w:val="TableParagraph"/>
              <w:spacing w:before="13"/>
              <w:ind w:right="131"/>
              <w:jc w:val="right"/>
              <w:rPr>
                <w:sz w:val="24"/>
              </w:rPr>
            </w:pPr>
            <w:r>
              <w:rPr>
                <w:sz w:val="24"/>
              </w:rPr>
              <w:t>367</w:t>
            </w:r>
          </w:p>
        </w:tc>
      </w:tr>
      <w:tr>
        <w:trPr>
          <w:trHeight w:val="443" w:hRule="atLeast"/>
        </w:trPr>
        <w:tc>
          <w:tcPr>
            <w:tcW w:w="2273" w:type="dxa"/>
          </w:tcPr>
          <w:p>
            <w:pPr>
              <w:pStyle w:val="TableParagraph"/>
              <w:spacing w:before="13"/>
              <w:ind w:left="139"/>
              <w:rPr>
                <w:sz w:val="24"/>
              </w:rPr>
            </w:pPr>
            <w:r>
              <w:rPr>
                <w:sz w:val="24"/>
              </w:rPr>
              <w:t>Independence model</w:t>
            </w:r>
          </w:p>
        </w:tc>
        <w:tc>
          <w:tcPr>
            <w:tcW w:w="1374" w:type="dxa"/>
          </w:tcPr>
          <w:p>
            <w:pPr>
              <w:pStyle w:val="TableParagraph"/>
              <w:spacing w:before="13"/>
              <w:ind w:right="128"/>
              <w:jc w:val="right"/>
              <w:rPr>
                <w:sz w:val="24"/>
              </w:rPr>
            </w:pPr>
            <w:r>
              <w:rPr>
                <w:sz w:val="24"/>
              </w:rPr>
              <w:t>48</w:t>
            </w:r>
          </w:p>
        </w:tc>
        <w:tc>
          <w:tcPr>
            <w:tcW w:w="1376" w:type="dxa"/>
          </w:tcPr>
          <w:p>
            <w:pPr>
              <w:pStyle w:val="TableParagraph"/>
              <w:spacing w:before="13"/>
              <w:ind w:right="131"/>
              <w:jc w:val="right"/>
              <w:rPr>
                <w:sz w:val="24"/>
              </w:rPr>
            </w:pPr>
            <w:r>
              <w:rPr>
                <w:sz w:val="24"/>
              </w:rPr>
              <w:t>49</w:t>
            </w:r>
          </w:p>
        </w:tc>
      </w:tr>
    </w:tbl>
    <w:p>
      <w:pPr>
        <w:spacing w:after="0"/>
        <w:jc w:val="right"/>
        <w:rPr>
          <w:sz w:val="24"/>
        </w:rPr>
        <w:sectPr>
          <w:pgSz w:w="11910" w:h="16850"/>
          <w:pgMar w:header="751" w:footer="0" w:top="960" w:bottom="280" w:left="820" w:right="240"/>
        </w:sectPr>
      </w:pPr>
    </w:p>
    <w:p>
      <w:pPr>
        <w:pStyle w:val="BodyText"/>
        <w:rPr>
          <w:b/>
          <w:sz w:val="20"/>
        </w:rPr>
      </w:pPr>
    </w:p>
    <w:p>
      <w:pPr>
        <w:pStyle w:val="BodyText"/>
        <w:rPr>
          <w:b/>
          <w:sz w:val="20"/>
        </w:rPr>
      </w:pPr>
    </w:p>
    <w:p>
      <w:pPr>
        <w:spacing w:before="228"/>
        <w:ind w:left="882" w:right="0" w:firstLine="0"/>
        <w:jc w:val="left"/>
        <w:rPr>
          <w:b/>
          <w:i/>
          <w:sz w:val="24"/>
        </w:rPr>
      </w:pPr>
      <w:r>
        <w:rPr>
          <w:b/>
          <w:i/>
          <w:sz w:val="24"/>
          <w:u w:val="thick"/>
        </w:rPr>
        <w:t>V Phân tích SEM</w:t>
      </w:r>
    </w:p>
    <w:p>
      <w:pPr>
        <w:spacing w:before="138"/>
        <w:ind w:left="882" w:right="0" w:firstLine="0"/>
        <w:jc w:val="left"/>
        <w:rPr>
          <w:b/>
          <w:sz w:val="20"/>
        </w:rPr>
      </w:pPr>
      <w:r>
        <w:rPr>
          <w:b/>
          <w:sz w:val="20"/>
        </w:rPr>
        <w:t>Regression Weights: (Group number 1 - Default model)</w:t>
      </w:r>
    </w:p>
    <w:p>
      <w:pPr>
        <w:pStyle w:val="BodyText"/>
        <w:rPr>
          <w:b/>
          <w:sz w:val="10"/>
        </w:rPr>
      </w:pPr>
    </w:p>
    <w:tbl>
      <w:tblPr>
        <w:tblW w:w="0" w:type="auto"/>
        <w:jc w:val="left"/>
        <w:tblInd w:w="74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1008"/>
        <w:gridCol w:w="490"/>
        <w:gridCol w:w="935"/>
        <w:gridCol w:w="1122"/>
        <w:gridCol w:w="700"/>
        <w:gridCol w:w="943"/>
        <w:gridCol w:w="643"/>
        <w:gridCol w:w="828"/>
      </w:tblGrid>
      <w:tr>
        <w:trPr>
          <w:trHeight w:val="443" w:hRule="atLeast"/>
        </w:trPr>
        <w:tc>
          <w:tcPr>
            <w:tcW w:w="1008" w:type="dxa"/>
          </w:tcPr>
          <w:p>
            <w:pPr>
              <w:pStyle w:val="TableParagraph"/>
              <w:rPr>
                <w:sz w:val="22"/>
              </w:rPr>
            </w:pPr>
          </w:p>
        </w:tc>
        <w:tc>
          <w:tcPr>
            <w:tcW w:w="490" w:type="dxa"/>
          </w:tcPr>
          <w:p>
            <w:pPr>
              <w:pStyle w:val="TableParagraph"/>
              <w:rPr>
                <w:sz w:val="22"/>
              </w:rPr>
            </w:pPr>
          </w:p>
        </w:tc>
        <w:tc>
          <w:tcPr>
            <w:tcW w:w="935" w:type="dxa"/>
          </w:tcPr>
          <w:p>
            <w:pPr>
              <w:pStyle w:val="TableParagraph"/>
              <w:rPr>
                <w:sz w:val="22"/>
              </w:rPr>
            </w:pPr>
          </w:p>
        </w:tc>
        <w:tc>
          <w:tcPr>
            <w:tcW w:w="1122" w:type="dxa"/>
          </w:tcPr>
          <w:p>
            <w:pPr>
              <w:pStyle w:val="TableParagraph"/>
              <w:spacing w:before="13"/>
              <w:ind w:right="131"/>
              <w:jc w:val="right"/>
              <w:rPr>
                <w:sz w:val="24"/>
              </w:rPr>
            </w:pPr>
            <w:r>
              <w:rPr>
                <w:w w:val="95"/>
                <w:sz w:val="24"/>
              </w:rPr>
              <w:t>Estimate</w:t>
            </w:r>
          </w:p>
        </w:tc>
        <w:tc>
          <w:tcPr>
            <w:tcW w:w="700" w:type="dxa"/>
          </w:tcPr>
          <w:p>
            <w:pPr>
              <w:pStyle w:val="TableParagraph"/>
              <w:spacing w:before="13"/>
              <w:ind w:left="116" w:right="94"/>
              <w:jc w:val="center"/>
              <w:rPr>
                <w:sz w:val="24"/>
              </w:rPr>
            </w:pPr>
            <w:r>
              <w:rPr>
                <w:sz w:val="24"/>
              </w:rPr>
              <w:t>S.E.</w:t>
            </w:r>
          </w:p>
        </w:tc>
        <w:tc>
          <w:tcPr>
            <w:tcW w:w="943" w:type="dxa"/>
          </w:tcPr>
          <w:p>
            <w:pPr>
              <w:pStyle w:val="TableParagraph"/>
              <w:spacing w:before="13"/>
              <w:ind w:left="234" w:right="14"/>
              <w:jc w:val="center"/>
              <w:rPr>
                <w:sz w:val="24"/>
              </w:rPr>
            </w:pPr>
            <w:r>
              <w:rPr>
                <w:sz w:val="24"/>
              </w:rPr>
              <w:t>C.R.</w:t>
            </w:r>
          </w:p>
        </w:tc>
        <w:tc>
          <w:tcPr>
            <w:tcW w:w="643" w:type="dxa"/>
          </w:tcPr>
          <w:p>
            <w:pPr>
              <w:pStyle w:val="TableParagraph"/>
              <w:spacing w:before="13"/>
              <w:ind w:right="138"/>
              <w:jc w:val="right"/>
              <w:rPr>
                <w:sz w:val="24"/>
              </w:rPr>
            </w:pPr>
            <w:r>
              <w:rPr>
                <w:w w:val="99"/>
                <w:sz w:val="24"/>
              </w:rPr>
              <w:t>P</w:t>
            </w:r>
          </w:p>
        </w:tc>
        <w:tc>
          <w:tcPr>
            <w:tcW w:w="828" w:type="dxa"/>
          </w:tcPr>
          <w:p>
            <w:pPr>
              <w:pStyle w:val="TableParagraph"/>
              <w:spacing w:before="13"/>
              <w:ind w:left="130"/>
              <w:rPr>
                <w:sz w:val="24"/>
              </w:rPr>
            </w:pPr>
            <w:r>
              <w:rPr>
                <w:sz w:val="24"/>
              </w:rPr>
              <w:t>Label</w:t>
            </w:r>
          </w:p>
        </w:tc>
      </w:tr>
      <w:tr>
        <w:trPr>
          <w:trHeight w:val="443" w:hRule="atLeast"/>
        </w:trPr>
        <w:tc>
          <w:tcPr>
            <w:tcW w:w="1008" w:type="dxa"/>
          </w:tcPr>
          <w:p>
            <w:pPr>
              <w:pStyle w:val="TableParagraph"/>
              <w:spacing w:before="13"/>
              <w:ind w:left="55"/>
              <w:rPr>
                <w:sz w:val="24"/>
              </w:rPr>
            </w:pPr>
            <w:r>
              <w:rPr>
                <w:sz w:val="24"/>
              </w:rPr>
              <w:t>CLDV</w:t>
            </w:r>
          </w:p>
        </w:tc>
        <w:tc>
          <w:tcPr>
            <w:tcW w:w="490" w:type="dxa"/>
          </w:tcPr>
          <w:p>
            <w:pPr>
              <w:pStyle w:val="TableParagraph"/>
              <w:spacing w:before="13"/>
              <w:ind w:left="32" w:right="30"/>
              <w:jc w:val="center"/>
              <w:rPr>
                <w:sz w:val="24"/>
              </w:rPr>
            </w:pPr>
            <w:r>
              <w:rPr>
                <w:sz w:val="24"/>
              </w:rPr>
              <w:t>&lt;---</w:t>
            </w:r>
          </w:p>
        </w:tc>
        <w:tc>
          <w:tcPr>
            <w:tcW w:w="935" w:type="dxa"/>
          </w:tcPr>
          <w:p>
            <w:pPr>
              <w:pStyle w:val="TableParagraph"/>
              <w:spacing w:before="13"/>
              <w:ind w:left="138"/>
              <w:rPr>
                <w:sz w:val="24"/>
              </w:rPr>
            </w:pPr>
            <w:r>
              <w:rPr>
                <w:sz w:val="24"/>
              </w:rPr>
              <w:t>LTCT</w:t>
            </w:r>
          </w:p>
        </w:tc>
        <w:tc>
          <w:tcPr>
            <w:tcW w:w="1122" w:type="dxa"/>
          </w:tcPr>
          <w:p>
            <w:pPr>
              <w:pStyle w:val="TableParagraph"/>
              <w:spacing w:before="13"/>
              <w:ind w:right="132"/>
              <w:jc w:val="right"/>
              <w:rPr>
                <w:sz w:val="24"/>
              </w:rPr>
            </w:pPr>
            <w:r>
              <w:rPr>
                <w:sz w:val="24"/>
              </w:rPr>
              <w:t>.500</w:t>
            </w:r>
          </w:p>
        </w:tc>
        <w:tc>
          <w:tcPr>
            <w:tcW w:w="700" w:type="dxa"/>
          </w:tcPr>
          <w:p>
            <w:pPr>
              <w:pStyle w:val="TableParagraph"/>
              <w:rPr>
                <w:sz w:val="22"/>
              </w:rPr>
            </w:pPr>
          </w:p>
        </w:tc>
        <w:tc>
          <w:tcPr>
            <w:tcW w:w="943" w:type="dxa"/>
          </w:tcPr>
          <w:p>
            <w:pPr>
              <w:pStyle w:val="TableParagraph"/>
              <w:rPr>
                <w:sz w:val="22"/>
              </w:rPr>
            </w:pPr>
          </w:p>
        </w:tc>
        <w:tc>
          <w:tcPr>
            <w:tcW w:w="643" w:type="dxa"/>
          </w:tcPr>
          <w:p>
            <w:pPr>
              <w:pStyle w:val="TableParagraph"/>
              <w:rPr>
                <w:sz w:val="22"/>
              </w:rPr>
            </w:pPr>
          </w:p>
        </w:tc>
        <w:tc>
          <w:tcPr>
            <w:tcW w:w="828" w:type="dxa"/>
          </w:tcPr>
          <w:p>
            <w:pPr>
              <w:pStyle w:val="TableParagraph"/>
              <w:rPr>
                <w:sz w:val="22"/>
              </w:rPr>
            </w:pPr>
          </w:p>
        </w:tc>
      </w:tr>
      <w:tr>
        <w:trPr>
          <w:trHeight w:val="443" w:hRule="atLeast"/>
        </w:trPr>
        <w:tc>
          <w:tcPr>
            <w:tcW w:w="1008" w:type="dxa"/>
          </w:tcPr>
          <w:p>
            <w:pPr>
              <w:pStyle w:val="TableParagraph"/>
              <w:spacing w:before="15"/>
              <w:ind w:left="55"/>
              <w:rPr>
                <w:sz w:val="24"/>
              </w:rPr>
            </w:pPr>
            <w:r>
              <w:rPr>
                <w:sz w:val="24"/>
              </w:rPr>
              <w:t>CP</w:t>
            </w:r>
          </w:p>
        </w:tc>
        <w:tc>
          <w:tcPr>
            <w:tcW w:w="490" w:type="dxa"/>
          </w:tcPr>
          <w:p>
            <w:pPr>
              <w:pStyle w:val="TableParagraph"/>
              <w:spacing w:before="15"/>
              <w:ind w:left="32" w:right="30"/>
              <w:jc w:val="center"/>
              <w:rPr>
                <w:sz w:val="24"/>
              </w:rPr>
            </w:pPr>
            <w:r>
              <w:rPr>
                <w:sz w:val="24"/>
              </w:rPr>
              <w:t>&lt;---</w:t>
            </w:r>
          </w:p>
        </w:tc>
        <w:tc>
          <w:tcPr>
            <w:tcW w:w="935" w:type="dxa"/>
          </w:tcPr>
          <w:p>
            <w:pPr>
              <w:pStyle w:val="TableParagraph"/>
              <w:spacing w:before="15"/>
              <w:ind w:left="138"/>
              <w:rPr>
                <w:sz w:val="24"/>
              </w:rPr>
            </w:pPr>
            <w:r>
              <w:rPr>
                <w:sz w:val="24"/>
              </w:rPr>
              <w:t>LTCT</w:t>
            </w:r>
          </w:p>
        </w:tc>
        <w:tc>
          <w:tcPr>
            <w:tcW w:w="1122" w:type="dxa"/>
          </w:tcPr>
          <w:p>
            <w:pPr>
              <w:pStyle w:val="TableParagraph"/>
              <w:spacing w:before="15"/>
              <w:ind w:right="132"/>
              <w:jc w:val="right"/>
              <w:rPr>
                <w:sz w:val="24"/>
              </w:rPr>
            </w:pPr>
            <w:r>
              <w:rPr>
                <w:sz w:val="24"/>
              </w:rPr>
              <w:t>.418</w:t>
            </w:r>
          </w:p>
        </w:tc>
        <w:tc>
          <w:tcPr>
            <w:tcW w:w="700" w:type="dxa"/>
          </w:tcPr>
          <w:p>
            <w:pPr>
              <w:pStyle w:val="TableParagraph"/>
              <w:spacing w:before="15"/>
              <w:ind w:left="116" w:right="113"/>
              <w:jc w:val="center"/>
              <w:rPr>
                <w:sz w:val="24"/>
              </w:rPr>
            </w:pPr>
            <w:r>
              <w:rPr>
                <w:sz w:val="24"/>
              </w:rPr>
              <w:t>.075</w:t>
            </w:r>
          </w:p>
        </w:tc>
        <w:tc>
          <w:tcPr>
            <w:tcW w:w="943" w:type="dxa"/>
          </w:tcPr>
          <w:p>
            <w:pPr>
              <w:pStyle w:val="TableParagraph"/>
              <w:spacing w:before="15"/>
              <w:ind w:left="232" w:right="116"/>
              <w:jc w:val="center"/>
              <w:rPr>
                <w:sz w:val="24"/>
              </w:rPr>
            </w:pPr>
            <w:r>
              <w:rPr>
                <w:sz w:val="24"/>
              </w:rPr>
              <w:t>5.579</w:t>
            </w:r>
          </w:p>
        </w:tc>
        <w:tc>
          <w:tcPr>
            <w:tcW w:w="643" w:type="dxa"/>
          </w:tcPr>
          <w:p>
            <w:pPr>
              <w:pStyle w:val="TableParagraph"/>
              <w:spacing w:before="15"/>
              <w:ind w:right="137"/>
              <w:jc w:val="right"/>
              <w:rPr>
                <w:sz w:val="24"/>
              </w:rPr>
            </w:pPr>
            <w:r>
              <w:rPr>
                <w:sz w:val="24"/>
              </w:rPr>
              <w:t>***</w:t>
            </w:r>
          </w:p>
        </w:tc>
        <w:tc>
          <w:tcPr>
            <w:tcW w:w="828" w:type="dxa"/>
          </w:tcPr>
          <w:p>
            <w:pPr>
              <w:pStyle w:val="TableParagraph"/>
              <w:rPr>
                <w:sz w:val="22"/>
              </w:rPr>
            </w:pPr>
          </w:p>
        </w:tc>
      </w:tr>
      <w:tr>
        <w:trPr>
          <w:trHeight w:val="445" w:hRule="atLeast"/>
        </w:trPr>
        <w:tc>
          <w:tcPr>
            <w:tcW w:w="1008" w:type="dxa"/>
          </w:tcPr>
          <w:p>
            <w:pPr>
              <w:pStyle w:val="TableParagraph"/>
              <w:spacing w:before="15"/>
              <w:ind w:left="55"/>
              <w:rPr>
                <w:sz w:val="24"/>
              </w:rPr>
            </w:pPr>
            <w:r>
              <w:rPr>
                <w:sz w:val="24"/>
              </w:rPr>
              <w:t>VT</w:t>
            </w:r>
          </w:p>
        </w:tc>
        <w:tc>
          <w:tcPr>
            <w:tcW w:w="490" w:type="dxa"/>
          </w:tcPr>
          <w:p>
            <w:pPr>
              <w:pStyle w:val="TableParagraph"/>
              <w:spacing w:before="15"/>
              <w:ind w:left="32" w:right="30"/>
              <w:jc w:val="center"/>
              <w:rPr>
                <w:sz w:val="24"/>
              </w:rPr>
            </w:pPr>
            <w:r>
              <w:rPr>
                <w:sz w:val="24"/>
              </w:rPr>
              <w:t>&lt;---</w:t>
            </w:r>
          </w:p>
        </w:tc>
        <w:tc>
          <w:tcPr>
            <w:tcW w:w="935" w:type="dxa"/>
          </w:tcPr>
          <w:p>
            <w:pPr>
              <w:pStyle w:val="TableParagraph"/>
              <w:spacing w:before="15"/>
              <w:ind w:left="138"/>
              <w:rPr>
                <w:sz w:val="24"/>
              </w:rPr>
            </w:pPr>
            <w:r>
              <w:rPr>
                <w:sz w:val="24"/>
              </w:rPr>
              <w:t>LTCT</w:t>
            </w:r>
          </w:p>
        </w:tc>
        <w:tc>
          <w:tcPr>
            <w:tcW w:w="1122" w:type="dxa"/>
          </w:tcPr>
          <w:p>
            <w:pPr>
              <w:pStyle w:val="TableParagraph"/>
              <w:spacing w:before="15"/>
              <w:ind w:right="132"/>
              <w:jc w:val="right"/>
              <w:rPr>
                <w:sz w:val="24"/>
              </w:rPr>
            </w:pPr>
            <w:r>
              <w:rPr>
                <w:sz w:val="24"/>
              </w:rPr>
              <w:t>.383</w:t>
            </w:r>
          </w:p>
        </w:tc>
        <w:tc>
          <w:tcPr>
            <w:tcW w:w="700" w:type="dxa"/>
          </w:tcPr>
          <w:p>
            <w:pPr>
              <w:pStyle w:val="TableParagraph"/>
              <w:spacing w:before="15"/>
              <w:ind w:left="116" w:right="113"/>
              <w:jc w:val="center"/>
              <w:rPr>
                <w:sz w:val="24"/>
              </w:rPr>
            </w:pPr>
            <w:r>
              <w:rPr>
                <w:sz w:val="24"/>
              </w:rPr>
              <w:t>.087</w:t>
            </w:r>
          </w:p>
        </w:tc>
        <w:tc>
          <w:tcPr>
            <w:tcW w:w="943" w:type="dxa"/>
          </w:tcPr>
          <w:p>
            <w:pPr>
              <w:pStyle w:val="TableParagraph"/>
              <w:spacing w:before="15"/>
              <w:ind w:left="232" w:right="116"/>
              <w:jc w:val="center"/>
              <w:rPr>
                <w:sz w:val="24"/>
              </w:rPr>
            </w:pPr>
            <w:r>
              <w:rPr>
                <w:sz w:val="24"/>
              </w:rPr>
              <w:t>4.394</w:t>
            </w:r>
          </w:p>
        </w:tc>
        <w:tc>
          <w:tcPr>
            <w:tcW w:w="643" w:type="dxa"/>
          </w:tcPr>
          <w:p>
            <w:pPr>
              <w:pStyle w:val="TableParagraph"/>
              <w:spacing w:before="15"/>
              <w:ind w:right="137"/>
              <w:jc w:val="right"/>
              <w:rPr>
                <w:sz w:val="24"/>
              </w:rPr>
            </w:pPr>
            <w:r>
              <w:rPr>
                <w:sz w:val="24"/>
              </w:rPr>
              <w:t>***</w:t>
            </w:r>
          </w:p>
        </w:tc>
        <w:tc>
          <w:tcPr>
            <w:tcW w:w="828" w:type="dxa"/>
          </w:tcPr>
          <w:p>
            <w:pPr>
              <w:pStyle w:val="TableParagraph"/>
              <w:rPr>
                <w:sz w:val="22"/>
              </w:rPr>
            </w:pPr>
          </w:p>
        </w:tc>
      </w:tr>
      <w:tr>
        <w:trPr>
          <w:trHeight w:val="443" w:hRule="atLeast"/>
        </w:trPr>
        <w:tc>
          <w:tcPr>
            <w:tcW w:w="1008" w:type="dxa"/>
          </w:tcPr>
          <w:p>
            <w:pPr>
              <w:pStyle w:val="TableParagraph"/>
              <w:spacing w:before="13"/>
              <w:ind w:left="55"/>
              <w:rPr>
                <w:sz w:val="24"/>
              </w:rPr>
            </w:pPr>
            <w:r>
              <w:rPr>
                <w:sz w:val="24"/>
              </w:rPr>
              <w:t>HT</w:t>
            </w:r>
          </w:p>
        </w:tc>
        <w:tc>
          <w:tcPr>
            <w:tcW w:w="490" w:type="dxa"/>
          </w:tcPr>
          <w:p>
            <w:pPr>
              <w:pStyle w:val="TableParagraph"/>
              <w:spacing w:before="13"/>
              <w:ind w:left="32" w:right="30"/>
              <w:jc w:val="center"/>
              <w:rPr>
                <w:sz w:val="24"/>
              </w:rPr>
            </w:pPr>
            <w:r>
              <w:rPr>
                <w:sz w:val="24"/>
              </w:rPr>
              <w:t>&lt;---</w:t>
            </w:r>
          </w:p>
        </w:tc>
        <w:tc>
          <w:tcPr>
            <w:tcW w:w="935" w:type="dxa"/>
          </w:tcPr>
          <w:p>
            <w:pPr>
              <w:pStyle w:val="TableParagraph"/>
              <w:spacing w:before="13"/>
              <w:ind w:left="138"/>
              <w:rPr>
                <w:sz w:val="24"/>
              </w:rPr>
            </w:pPr>
            <w:r>
              <w:rPr>
                <w:sz w:val="24"/>
              </w:rPr>
              <w:t>LTCT</w:t>
            </w:r>
          </w:p>
        </w:tc>
        <w:tc>
          <w:tcPr>
            <w:tcW w:w="1122" w:type="dxa"/>
          </w:tcPr>
          <w:p>
            <w:pPr>
              <w:pStyle w:val="TableParagraph"/>
              <w:spacing w:before="13"/>
              <w:ind w:right="132"/>
              <w:jc w:val="right"/>
              <w:rPr>
                <w:sz w:val="24"/>
              </w:rPr>
            </w:pPr>
            <w:r>
              <w:rPr>
                <w:sz w:val="24"/>
              </w:rPr>
              <w:t>.307</w:t>
            </w:r>
          </w:p>
        </w:tc>
        <w:tc>
          <w:tcPr>
            <w:tcW w:w="700" w:type="dxa"/>
          </w:tcPr>
          <w:p>
            <w:pPr>
              <w:pStyle w:val="TableParagraph"/>
              <w:spacing w:before="13"/>
              <w:ind w:left="116" w:right="113"/>
              <w:jc w:val="center"/>
              <w:rPr>
                <w:sz w:val="24"/>
              </w:rPr>
            </w:pPr>
            <w:r>
              <w:rPr>
                <w:sz w:val="24"/>
              </w:rPr>
              <w:t>.080</w:t>
            </w:r>
          </w:p>
        </w:tc>
        <w:tc>
          <w:tcPr>
            <w:tcW w:w="943" w:type="dxa"/>
          </w:tcPr>
          <w:p>
            <w:pPr>
              <w:pStyle w:val="TableParagraph"/>
              <w:spacing w:before="13"/>
              <w:ind w:left="232" w:right="116"/>
              <w:jc w:val="center"/>
              <w:rPr>
                <w:sz w:val="24"/>
              </w:rPr>
            </w:pPr>
            <w:r>
              <w:rPr>
                <w:sz w:val="24"/>
              </w:rPr>
              <w:t>3.828</w:t>
            </w:r>
          </w:p>
        </w:tc>
        <w:tc>
          <w:tcPr>
            <w:tcW w:w="643" w:type="dxa"/>
          </w:tcPr>
          <w:p>
            <w:pPr>
              <w:pStyle w:val="TableParagraph"/>
              <w:spacing w:before="13"/>
              <w:ind w:right="137"/>
              <w:jc w:val="right"/>
              <w:rPr>
                <w:sz w:val="24"/>
              </w:rPr>
            </w:pPr>
            <w:r>
              <w:rPr>
                <w:sz w:val="24"/>
              </w:rPr>
              <w:t>***</w:t>
            </w:r>
          </w:p>
        </w:tc>
        <w:tc>
          <w:tcPr>
            <w:tcW w:w="828" w:type="dxa"/>
          </w:tcPr>
          <w:p>
            <w:pPr>
              <w:pStyle w:val="TableParagraph"/>
              <w:rPr>
                <w:sz w:val="22"/>
              </w:rPr>
            </w:pPr>
          </w:p>
        </w:tc>
      </w:tr>
      <w:tr>
        <w:trPr>
          <w:trHeight w:val="443" w:hRule="atLeast"/>
        </w:trPr>
        <w:tc>
          <w:tcPr>
            <w:tcW w:w="1008" w:type="dxa"/>
          </w:tcPr>
          <w:p>
            <w:pPr>
              <w:pStyle w:val="TableParagraph"/>
              <w:spacing w:before="13"/>
              <w:ind w:left="55"/>
              <w:rPr>
                <w:sz w:val="24"/>
              </w:rPr>
            </w:pPr>
            <w:r>
              <w:rPr>
                <w:sz w:val="24"/>
              </w:rPr>
              <w:t>ND</w:t>
            </w:r>
          </w:p>
        </w:tc>
        <w:tc>
          <w:tcPr>
            <w:tcW w:w="490" w:type="dxa"/>
          </w:tcPr>
          <w:p>
            <w:pPr>
              <w:pStyle w:val="TableParagraph"/>
              <w:spacing w:before="13"/>
              <w:ind w:left="32" w:right="31"/>
              <w:jc w:val="center"/>
              <w:rPr>
                <w:sz w:val="24"/>
              </w:rPr>
            </w:pPr>
            <w:r>
              <w:rPr>
                <w:sz w:val="24"/>
              </w:rPr>
              <w:t>&lt;---</w:t>
            </w:r>
          </w:p>
        </w:tc>
        <w:tc>
          <w:tcPr>
            <w:tcW w:w="935" w:type="dxa"/>
          </w:tcPr>
          <w:p>
            <w:pPr>
              <w:pStyle w:val="TableParagraph"/>
              <w:spacing w:before="13"/>
              <w:ind w:left="138"/>
              <w:rPr>
                <w:sz w:val="24"/>
              </w:rPr>
            </w:pPr>
            <w:r>
              <w:rPr>
                <w:sz w:val="24"/>
              </w:rPr>
              <w:t>LTCT</w:t>
            </w:r>
          </w:p>
        </w:tc>
        <w:tc>
          <w:tcPr>
            <w:tcW w:w="1122" w:type="dxa"/>
          </w:tcPr>
          <w:p>
            <w:pPr>
              <w:pStyle w:val="TableParagraph"/>
              <w:spacing w:before="13"/>
              <w:ind w:right="132"/>
              <w:jc w:val="right"/>
              <w:rPr>
                <w:sz w:val="24"/>
              </w:rPr>
            </w:pPr>
            <w:r>
              <w:rPr>
                <w:sz w:val="24"/>
              </w:rPr>
              <w:t>.293</w:t>
            </w:r>
          </w:p>
        </w:tc>
        <w:tc>
          <w:tcPr>
            <w:tcW w:w="700" w:type="dxa"/>
          </w:tcPr>
          <w:p>
            <w:pPr>
              <w:pStyle w:val="TableParagraph"/>
              <w:spacing w:before="13"/>
              <w:ind w:left="116" w:right="113"/>
              <w:jc w:val="center"/>
              <w:rPr>
                <w:sz w:val="24"/>
              </w:rPr>
            </w:pPr>
            <w:r>
              <w:rPr>
                <w:sz w:val="24"/>
              </w:rPr>
              <w:t>.075</w:t>
            </w:r>
          </w:p>
        </w:tc>
        <w:tc>
          <w:tcPr>
            <w:tcW w:w="943" w:type="dxa"/>
          </w:tcPr>
          <w:p>
            <w:pPr>
              <w:pStyle w:val="TableParagraph"/>
              <w:spacing w:before="13"/>
              <w:ind w:left="232" w:right="116"/>
              <w:jc w:val="center"/>
              <w:rPr>
                <w:sz w:val="24"/>
              </w:rPr>
            </w:pPr>
            <w:r>
              <w:rPr>
                <w:sz w:val="24"/>
              </w:rPr>
              <w:t>3.884</w:t>
            </w:r>
          </w:p>
        </w:tc>
        <w:tc>
          <w:tcPr>
            <w:tcW w:w="643" w:type="dxa"/>
          </w:tcPr>
          <w:p>
            <w:pPr>
              <w:pStyle w:val="TableParagraph"/>
              <w:spacing w:before="13"/>
              <w:ind w:right="137"/>
              <w:jc w:val="right"/>
              <w:rPr>
                <w:sz w:val="24"/>
              </w:rPr>
            </w:pPr>
            <w:r>
              <w:rPr>
                <w:sz w:val="24"/>
              </w:rPr>
              <w:t>***</w:t>
            </w:r>
          </w:p>
        </w:tc>
        <w:tc>
          <w:tcPr>
            <w:tcW w:w="828" w:type="dxa"/>
          </w:tcPr>
          <w:p>
            <w:pPr>
              <w:pStyle w:val="TableParagraph"/>
              <w:rPr>
                <w:sz w:val="22"/>
              </w:rPr>
            </w:pPr>
          </w:p>
        </w:tc>
      </w:tr>
      <w:tr>
        <w:trPr>
          <w:trHeight w:val="444" w:hRule="atLeast"/>
        </w:trPr>
        <w:tc>
          <w:tcPr>
            <w:tcW w:w="1008" w:type="dxa"/>
          </w:tcPr>
          <w:p>
            <w:pPr>
              <w:pStyle w:val="TableParagraph"/>
              <w:spacing w:before="14"/>
              <w:ind w:left="55"/>
              <w:rPr>
                <w:sz w:val="24"/>
              </w:rPr>
            </w:pPr>
            <w:r>
              <w:rPr>
                <w:sz w:val="24"/>
              </w:rPr>
              <w:t>TC</w:t>
            </w:r>
          </w:p>
        </w:tc>
        <w:tc>
          <w:tcPr>
            <w:tcW w:w="490" w:type="dxa"/>
          </w:tcPr>
          <w:p>
            <w:pPr>
              <w:pStyle w:val="TableParagraph"/>
              <w:spacing w:before="14"/>
              <w:ind w:left="32" w:right="31"/>
              <w:jc w:val="center"/>
              <w:rPr>
                <w:sz w:val="24"/>
              </w:rPr>
            </w:pPr>
            <w:r>
              <w:rPr>
                <w:sz w:val="24"/>
              </w:rPr>
              <w:t>&lt;---</w:t>
            </w:r>
          </w:p>
        </w:tc>
        <w:tc>
          <w:tcPr>
            <w:tcW w:w="935" w:type="dxa"/>
          </w:tcPr>
          <w:p>
            <w:pPr>
              <w:pStyle w:val="TableParagraph"/>
              <w:spacing w:before="14"/>
              <w:ind w:left="138"/>
              <w:rPr>
                <w:sz w:val="24"/>
              </w:rPr>
            </w:pPr>
            <w:r>
              <w:rPr>
                <w:sz w:val="24"/>
              </w:rPr>
              <w:t>LTCT</w:t>
            </w:r>
          </w:p>
        </w:tc>
        <w:tc>
          <w:tcPr>
            <w:tcW w:w="1122" w:type="dxa"/>
          </w:tcPr>
          <w:p>
            <w:pPr>
              <w:pStyle w:val="TableParagraph"/>
              <w:spacing w:before="14"/>
              <w:ind w:right="132"/>
              <w:jc w:val="right"/>
              <w:rPr>
                <w:sz w:val="24"/>
              </w:rPr>
            </w:pPr>
            <w:r>
              <w:rPr>
                <w:sz w:val="24"/>
              </w:rPr>
              <w:t>.529</w:t>
            </w:r>
          </w:p>
        </w:tc>
        <w:tc>
          <w:tcPr>
            <w:tcW w:w="700" w:type="dxa"/>
          </w:tcPr>
          <w:p>
            <w:pPr>
              <w:pStyle w:val="TableParagraph"/>
              <w:spacing w:before="14"/>
              <w:ind w:left="116" w:right="113"/>
              <w:jc w:val="center"/>
              <w:rPr>
                <w:sz w:val="24"/>
              </w:rPr>
            </w:pPr>
            <w:r>
              <w:rPr>
                <w:sz w:val="24"/>
              </w:rPr>
              <w:t>.093</w:t>
            </w:r>
          </w:p>
        </w:tc>
        <w:tc>
          <w:tcPr>
            <w:tcW w:w="943" w:type="dxa"/>
          </w:tcPr>
          <w:p>
            <w:pPr>
              <w:pStyle w:val="TableParagraph"/>
              <w:spacing w:before="14"/>
              <w:ind w:left="232" w:right="116"/>
              <w:jc w:val="center"/>
              <w:rPr>
                <w:sz w:val="24"/>
              </w:rPr>
            </w:pPr>
            <w:r>
              <w:rPr>
                <w:sz w:val="24"/>
              </w:rPr>
              <w:t>5.693</w:t>
            </w:r>
          </w:p>
        </w:tc>
        <w:tc>
          <w:tcPr>
            <w:tcW w:w="643" w:type="dxa"/>
          </w:tcPr>
          <w:p>
            <w:pPr>
              <w:pStyle w:val="TableParagraph"/>
              <w:spacing w:before="14"/>
              <w:ind w:right="137"/>
              <w:jc w:val="right"/>
              <w:rPr>
                <w:sz w:val="24"/>
              </w:rPr>
            </w:pPr>
            <w:r>
              <w:rPr>
                <w:sz w:val="24"/>
              </w:rPr>
              <w:t>***</w:t>
            </w:r>
          </w:p>
        </w:tc>
        <w:tc>
          <w:tcPr>
            <w:tcW w:w="828" w:type="dxa"/>
          </w:tcPr>
          <w:p>
            <w:pPr>
              <w:pStyle w:val="TableParagraph"/>
              <w:rPr>
                <w:sz w:val="22"/>
              </w:rPr>
            </w:pPr>
          </w:p>
        </w:tc>
      </w:tr>
      <w:tr>
        <w:trPr>
          <w:trHeight w:val="443" w:hRule="atLeast"/>
        </w:trPr>
        <w:tc>
          <w:tcPr>
            <w:tcW w:w="1008" w:type="dxa"/>
          </w:tcPr>
          <w:p>
            <w:pPr>
              <w:pStyle w:val="TableParagraph"/>
              <w:spacing w:before="13"/>
              <w:ind w:left="55"/>
              <w:rPr>
                <w:sz w:val="24"/>
              </w:rPr>
            </w:pPr>
            <w:r>
              <w:rPr>
                <w:sz w:val="24"/>
              </w:rPr>
              <w:t>HL</w:t>
            </w:r>
          </w:p>
        </w:tc>
        <w:tc>
          <w:tcPr>
            <w:tcW w:w="490" w:type="dxa"/>
          </w:tcPr>
          <w:p>
            <w:pPr>
              <w:pStyle w:val="TableParagraph"/>
              <w:spacing w:before="13"/>
              <w:ind w:left="32" w:right="31"/>
              <w:jc w:val="center"/>
              <w:rPr>
                <w:sz w:val="24"/>
              </w:rPr>
            </w:pPr>
            <w:r>
              <w:rPr>
                <w:sz w:val="24"/>
              </w:rPr>
              <w:t>&lt;---</w:t>
            </w:r>
          </w:p>
        </w:tc>
        <w:tc>
          <w:tcPr>
            <w:tcW w:w="935" w:type="dxa"/>
          </w:tcPr>
          <w:p>
            <w:pPr>
              <w:pStyle w:val="TableParagraph"/>
              <w:spacing w:before="13"/>
              <w:ind w:left="138"/>
              <w:rPr>
                <w:sz w:val="24"/>
              </w:rPr>
            </w:pPr>
            <w:r>
              <w:rPr>
                <w:sz w:val="24"/>
              </w:rPr>
              <w:t>LTCT</w:t>
            </w:r>
          </w:p>
        </w:tc>
        <w:tc>
          <w:tcPr>
            <w:tcW w:w="1122" w:type="dxa"/>
          </w:tcPr>
          <w:p>
            <w:pPr>
              <w:pStyle w:val="TableParagraph"/>
              <w:spacing w:before="13"/>
              <w:ind w:right="132"/>
              <w:jc w:val="right"/>
              <w:rPr>
                <w:sz w:val="24"/>
              </w:rPr>
            </w:pPr>
            <w:r>
              <w:rPr>
                <w:sz w:val="24"/>
              </w:rPr>
              <w:t>.500</w:t>
            </w:r>
          </w:p>
        </w:tc>
        <w:tc>
          <w:tcPr>
            <w:tcW w:w="700" w:type="dxa"/>
          </w:tcPr>
          <w:p>
            <w:pPr>
              <w:pStyle w:val="TableParagraph"/>
              <w:rPr>
                <w:sz w:val="22"/>
              </w:rPr>
            </w:pPr>
          </w:p>
        </w:tc>
        <w:tc>
          <w:tcPr>
            <w:tcW w:w="943" w:type="dxa"/>
          </w:tcPr>
          <w:p>
            <w:pPr>
              <w:pStyle w:val="TableParagraph"/>
              <w:rPr>
                <w:sz w:val="22"/>
              </w:rPr>
            </w:pPr>
          </w:p>
        </w:tc>
        <w:tc>
          <w:tcPr>
            <w:tcW w:w="643" w:type="dxa"/>
          </w:tcPr>
          <w:p>
            <w:pPr>
              <w:pStyle w:val="TableParagraph"/>
              <w:rPr>
                <w:sz w:val="22"/>
              </w:rPr>
            </w:pPr>
          </w:p>
        </w:tc>
        <w:tc>
          <w:tcPr>
            <w:tcW w:w="828" w:type="dxa"/>
          </w:tcPr>
          <w:p>
            <w:pPr>
              <w:pStyle w:val="TableParagraph"/>
              <w:rPr>
                <w:sz w:val="22"/>
              </w:rPr>
            </w:pPr>
          </w:p>
        </w:tc>
      </w:tr>
      <w:tr>
        <w:trPr>
          <w:trHeight w:val="443" w:hRule="atLeast"/>
        </w:trPr>
        <w:tc>
          <w:tcPr>
            <w:tcW w:w="1008" w:type="dxa"/>
          </w:tcPr>
          <w:p>
            <w:pPr>
              <w:pStyle w:val="TableParagraph"/>
              <w:spacing w:before="15"/>
              <w:ind w:left="55"/>
              <w:rPr>
                <w:sz w:val="24"/>
              </w:rPr>
            </w:pPr>
            <w:r>
              <w:rPr>
                <w:sz w:val="24"/>
              </w:rPr>
              <w:t>LI</w:t>
            </w:r>
          </w:p>
        </w:tc>
        <w:tc>
          <w:tcPr>
            <w:tcW w:w="490" w:type="dxa"/>
          </w:tcPr>
          <w:p>
            <w:pPr>
              <w:pStyle w:val="TableParagraph"/>
              <w:spacing w:before="15"/>
              <w:ind w:left="32" w:right="31"/>
              <w:jc w:val="center"/>
              <w:rPr>
                <w:sz w:val="24"/>
              </w:rPr>
            </w:pPr>
            <w:r>
              <w:rPr>
                <w:sz w:val="24"/>
              </w:rPr>
              <w:t>&lt;---</w:t>
            </w:r>
          </w:p>
        </w:tc>
        <w:tc>
          <w:tcPr>
            <w:tcW w:w="935" w:type="dxa"/>
          </w:tcPr>
          <w:p>
            <w:pPr>
              <w:pStyle w:val="TableParagraph"/>
              <w:spacing w:before="15"/>
              <w:ind w:left="138"/>
              <w:rPr>
                <w:sz w:val="24"/>
              </w:rPr>
            </w:pPr>
            <w:r>
              <w:rPr>
                <w:sz w:val="24"/>
              </w:rPr>
              <w:t>LTCT</w:t>
            </w:r>
          </w:p>
        </w:tc>
        <w:tc>
          <w:tcPr>
            <w:tcW w:w="1122" w:type="dxa"/>
          </w:tcPr>
          <w:p>
            <w:pPr>
              <w:pStyle w:val="TableParagraph"/>
              <w:spacing w:before="15"/>
              <w:ind w:right="132"/>
              <w:jc w:val="right"/>
              <w:rPr>
                <w:sz w:val="24"/>
              </w:rPr>
            </w:pPr>
            <w:r>
              <w:rPr>
                <w:sz w:val="24"/>
              </w:rPr>
              <w:t>.261</w:t>
            </w:r>
          </w:p>
        </w:tc>
        <w:tc>
          <w:tcPr>
            <w:tcW w:w="700" w:type="dxa"/>
          </w:tcPr>
          <w:p>
            <w:pPr>
              <w:pStyle w:val="TableParagraph"/>
              <w:spacing w:before="15"/>
              <w:ind w:left="116" w:right="113"/>
              <w:jc w:val="center"/>
              <w:rPr>
                <w:sz w:val="24"/>
              </w:rPr>
            </w:pPr>
            <w:r>
              <w:rPr>
                <w:sz w:val="24"/>
              </w:rPr>
              <w:t>.055</w:t>
            </w:r>
          </w:p>
        </w:tc>
        <w:tc>
          <w:tcPr>
            <w:tcW w:w="943" w:type="dxa"/>
          </w:tcPr>
          <w:p>
            <w:pPr>
              <w:pStyle w:val="TableParagraph"/>
              <w:spacing w:before="15"/>
              <w:ind w:left="232" w:right="116"/>
              <w:jc w:val="center"/>
              <w:rPr>
                <w:sz w:val="24"/>
              </w:rPr>
            </w:pPr>
            <w:r>
              <w:rPr>
                <w:sz w:val="24"/>
              </w:rPr>
              <w:t>4.757</w:t>
            </w:r>
          </w:p>
        </w:tc>
        <w:tc>
          <w:tcPr>
            <w:tcW w:w="643" w:type="dxa"/>
          </w:tcPr>
          <w:p>
            <w:pPr>
              <w:pStyle w:val="TableParagraph"/>
              <w:spacing w:before="15"/>
              <w:ind w:right="137"/>
              <w:jc w:val="right"/>
              <w:rPr>
                <w:sz w:val="24"/>
              </w:rPr>
            </w:pPr>
            <w:r>
              <w:rPr>
                <w:sz w:val="24"/>
              </w:rPr>
              <w:t>***</w:t>
            </w:r>
          </w:p>
        </w:tc>
        <w:tc>
          <w:tcPr>
            <w:tcW w:w="828" w:type="dxa"/>
          </w:tcPr>
          <w:p>
            <w:pPr>
              <w:pStyle w:val="TableParagraph"/>
              <w:rPr>
                <w:sz w:val="22"/>
              </w:rPr>
            </w:pPr>
          </w:p>
        </w:tc>
      </w:tr>
      <w:tr>
        <w:trPr>
          <w:trHeight w:val="443" w:hRule="atLeast"/>
        </w:trPr>
        <w:tc>
          <w:tcPr>
            <w:tcW w:w="1008" w:type="dxa"/>
          </w:tcPr>
          <w:p>
            <w:pPr>
              <w:pStyle w:val="TableParagraph"/>
              <w:spacing w:before="15"/>
              <w:ind w:left="55"/>
              <w:rPr>
                <w:sz w:val="24"/>
              </w:rPr>
            </w:pPr>
            <w:r>
              <w:rPr>
                <w:sz w:val="24"/>
              </w:rPr>
              <w:t>CLDV1</w:t>
            </w:r>
          </w:p>
        </w:tc>
        <w:tc>
          <w:tcPr>
            <w:tcW w:w="490" w:type="dxa"/>
          </w:tcPr>
          <w:p>
            <w:pPr>
              <w:pStyle w:val="TableParagraph"/>
              <w:spacing w:before="15"/>
              <w:ind w:left="32" w:right="31"/>
              <w:jc w:val="center"/>
              <w:rPr>
                <w:sz w:val="24"/>
              </w:rPr>
            </w:pPr>
            <w:r>
              <w:rPr>
                <w:sz w:val="24"/>
              </w:rPr>
              <w:t>&lt;---</w:t>
            </w:r>
          </w:p>
        </w:tc>
        <w:tc>
          <w:tcPr>
            <w:tcW w:w="935" w:type="dxa"/>
          </w:tcPr>
          <w:p>
            <w:pPr>
              <w:pStyle w:val="TableParagraph"/>
              <w:spacing w:before="15"/>
              <w:ind w:left="138"/>
              <w:rPr>
                <w:sz w:val="24"/>
              </w:rPr>
            </w:pPr>
            <w:r>
              <w:rPr>
                <w:sz w:val="24"/>
              </w:rPr>
              <w:t>CLDV</w:t>
            </w:r>
          </w:p>
        </w:tc>
        <w:tc>
          <w:tcPr>
            <w:tcW w:w="1122" w:type="dxa"/>
          </w:tcPr>
          <w:p>
            <w:pPr>
              <w:pStyle w:val="TableParagraph"/>
              <w:spacing w:before="15"/>
              <w:ind w:right="132"/>
              <w:jc w:val="right"/>
              <w:rPr>
                <w:sz w:val="24"/>
              </w:rPr>
            </w:pPr>
            <w:r>
              <w:rPr>
                <w:sz w:val="24"/>
              </w:rPr>
              <w:t>1.000</w:t>
            </w:r>
          </w:p>
        </w:tc>
        <w:tc>
          <w:tcPr>
            <w:tcW w:w="700" w:type="dxa"/>
          </w:tcPr>
          <w:p>
            <w:pPr>
              <w:pStyle w:val="TableParagraph"/>
              <w:rPr>
                <w:sz w:val="22"/>
              </w:rPr>
            </w:pPr>
          </w:p>
        </w:tc>
        <w:tc>
          <w:tcPr>
            <w:tcW w:w="943" w:type="dxa"/>
          </w:tcPr>
          <w:p>
            <w:pPr>
              <w:pStyle w:val="TableParagraph"/>
              <w:rPr>
                <w:sz w:val="22"/>
              </w:rPr>
            </w:pPr>
          </w:p>
        </w:tc>
        <w:tc>
          <w:tcPr>
            <w:tcW w:w="643" w:type="dxa"/>
          </w:tcPr>
          <w:p>
            <w:pPr>
              <w:pStyle w:val="TableParagraph"/>
              <w:rPr>
                <w:sz w:val="22"/>
              </w:rPr>
            </w:pPr>
          </w:p>
        </w:tc>
        <w:tc>
          <w:tcPr>
            <w:tcW w:w="828" w:type="dxa"/>
          </w:tcPr>
          <w:p>
            <w:pPr>
              <w:pStyle w:val="TableParagraph"/>
              <w:rPr>
                <w:sz w:val="22"/>
              </w:rPr>
            </w:pPr>
          </w:p>
        </w:tc>
      </w:tr>
      <w:tr>
        <w:trPr>
          <w:trHeight w:val="445" w:hRule="atLeast"/>
        </w:trPr>
        <w:tc>
          <w:tcPr>
            <w:tcW w:w="1008" w:type="dxa"/>
          </w:tcPr>
          <w:p>
            <w:pPr>
              <w:pStyle w:val="TableParagraph"/>
              <w:spacing w:before="15"/>
              <w:ind w:left="55"/>
              <w:rPr>
                <w:sz w:val="24"/>
              </w:rPr>
            </w:pPr>
            <w:r>
              <w:rPr>
                <w:sz w:val="24"/>
              </w:rPr>
              <w:t>CLDV7</w:t>
            </w:r>
          </w:p>
        </w:tc>
        <w:tc>
          <w:tcPr>
            <w:tcW w:w="490" w:type="dxa"/>
          </w:tcPr>
          <w:p>
            <w:pPr>
              <w:pStyle w:val="TableParagraph"/>
              <w:spacing w:before="15"/>
              <w:ind w:left="32" w:right="30"/>
              <w:jc w:val="center"/>
              <w:rPr>
                <w:sz w:val="24"/>
              </w:rPr>
            </w:pPr>
            <w:r>
              <w:rPr>
                <w:sz w:val="24"/>
              </w:rPr>
              <w:t>&lt;---</w:t>
            </w:r>
          </w:p>
        </w:tc>
        <w:tc>
          <w:tcPr>
            <w:tcW w:w="935" w:type="dxa"/>
          </w:tcPr>
          <w:p>
            <w:pPr>
              <w:pStyle w:val="TableParagraph"/>
              <w:spacing w:before="15"/>
              <w:ind w:left="138"/>
              <w:rPr>
                <w:sz w:val="24"/>
              </w:rPr>
            </w:pPr>
            <w:r>
              <w:rPr>
                <w:sz w:val="24"/>
              </w:rPr>
              <w:t>CLDV</w:t>
            </w:r>
          </w:p>
        </w:tc>
        <w:tc>
          <w:tcPr>
            <w:tcW w:w="1122" w:type="dxa"/>
          </w:tcPr>
          <w:p>
            <w:pPr>
              <w:pStyle w:val="TableParagraph"/>
              <w:spacing w:before="15"/>
              <w:ind w:right="132"/>
              <w:jc w:val="right"/>
              <w:rPr>
                <w:sz w:val="24"/>
              </w:rPr>
            </w:pPr>
            <w:r>
              <w:rPr>
                <w:sz w:val="24"/>
              </w:rPr>
              <w:t>.999</w:t>
            </w:r>
          </w:p>
        </w:tc>
        <w:tc>
          <w:tcPr>
            <w:tcW w:w="700" w:type="dxa"/>
          </w:tcPr>
          <w:p>
            <w:pPr>
              <w:pStyle w:val="TableParagraph"/>
              <w:spacing w:before="15"/>
              <w:ind w:left="116" w:right="113"/>
              <w:jc w:val="center"/>
              <w:rPr>
                <w:sz w:val="24"/>
              </w:rPr>
            </w:pPr>
            <w:r>
              <w:rPr>
                <w:sz w:val="24"/>
              </w:rPr>
              <w:t>.061</w:t>
            </w:r>
          </w:p>
        </w:tc>
        <w:tc>
          <w:tcPr>
            <w:tcW w:w="943" w:type="dxa"/>
          </w:tcPr>
          <w:p>
            <w:pPr>
              <w:pStyle w:val="TableParagraph"/>
              <w:spacing w:before="15"/>
              <w:ind w:left="115" w:right="116"/>
              <w:jc w:val="center"/>
              <w:rPr>
                <w:sz w:val="24"/>
              </w:rPr>
            </w:pPr>
            <w:r>
              <w:rPr>
                <w:sz w:val="24"/>
              </w:rPr>
              <w:t>16.501</w:t>
            </w:r>
          </w:p>
        </w:tc>
        <w:tc>
          <w:tcPr>
            <w:tcW w:w="643" w:type="dxa"/>
          </w:tcPr>
          <w:p>
            <w:pPr>
              <w:pStyle w:val="TableParagraph"/>
              <w:spacing w:before="15"/>
              <w:ind w:right="137"/>
              <w:jc w:val="right"/>
              <w:rPr>
                <w:sz w:val="24"/>
              </w:rPr>
            </w:pPr>
            <w:r>
              <w:rPr>
                <w:sz w:val="24"/>
              </w:rPr>
              <w:t>***</w:t>
            </w:r>
          </w:p>
        </w:tc>
        <w:tc>
          <w:tcPr>
            <w:tcW w:w="828" w:type="dxa"/>
          </w:tcPr>
          <w:p>
            <w:pPr>
              <w:pStyle w:val="TableParagraph"/>
              <w:rPr>
                <w:sz w:val="22"/>
              </w:rPr>
            </w:pPr>
          </w:p>
        </w:tc>
      </w:tr>
      <w:tr>
        <w:trPr>
          <w:trHeight w:val="443" w:hRule="atLeast"/>
        </w:trPr>
        <w:tc>
          <w:tcPr>
            <w:tcW w:w="1008" w:type="dxa"/>
          </w:tcPr>
          <w:p>
            <w:pPr>
              <w:pStyle w:val="TableParagraph"/>
              <w:spacing w:before="13"/>
              <w:ind w:left="55"/>
              <w:rPr>
                <w:sz w:val="24"/>
              </w:rPr>
            </w:pPr>
            <w:r>
              <w:rPr>
                <w:sz w:val="24"/>
              </w:rPr>
              <w:t>CLDV8</w:t>
            </w:r>
          </w:p>
        </w:tc>
        <w:tc>
          <w:tcPr>
            <w:tcW w:w="490" w:type="dxa"/>
          </w:tcPr>
          <w:p>
            <w:pPr>
              <w:pStyle w:val="TableParagraph"/>
              <w:spacing w:before="13"/>
              <w:ind w:left="32" w:right="30"/>
              <w:jc w:val="center"/>
              <w:rPr>
                <w:sz w:val="24"/>
              </w:rPr>
            </w:pPr>
            <w:r>
              <w:rPr>
                <w:sz w:val="24"/>
              </w:rPr>
              <w:t>&lt;---</w:t>
            </w:r>
          </w:p>
        </w:tc>
        <w:tc>
          <w:tcPr>
            <w:tcW w:w="935" w:type="dxa"/>
          </w:tcPr>
          <w:p>
            <w:pPr>
              <w:pStyle w:val="TableParagraph"/>
              <w:spacing w:before="13"/>
              <w:ind w:left="138"/>
              <w:rPr>
                <w:sz w:val="24"/>
              </w:rPr>
            </w:pPr>
            <w:r>
              <w:rPr>
                <w:sz w:val="24"/>
              </w:rPr>
              <w:t>CLDV</w:t>
            </w:r>
          </w:p>
        </w:tc>
        <w:tc>
          <w:tcPr>
            <w:tcW w:w="1122" w:type="dxa"/>
          </w:tcPr>
          <w:p>
            <w:pPr>
              <w:pStyle w:val="TableParagraph"/>
              <w:spacing w:before="13"/>
              <w:ind w:right="132"/>
              <w:jc w:val="right"/>
              <w:rPr>
                <w:sz w:val="24"/>
              </w:rPr>
            </w:pPr>
            <w:r>
              <w:rPr>
                <w:sz w:val="24"/>
              </w:rPr>
              <w:t>.972</w:t>
            </w:r>
          </w:p>
        </w:tc>
        <w:tc>
          <w:tcPr>
            <w:tcW w:w="700" w:type="dxa"/>
          </w:tcPr>
          <w:p>
            <w:pPr>
              <w:pStyle w:val="TableParagraph"/>
              <w:spacing w:before="13"/>
              <w:ind w:left="116" w:right="113"/>
              <w:jc w:val="center"/>
              <w:rPr>
                <w:sz w:val="24"/>
              </w:rPr>
            </w:pPr>
            <w:r>
              <w:rPr>
                <w:sz w:val="24"/>
              </w:rPr>
              <w:t>.054</w:t>
            </w:r>
          </w:p>
        </w:tc>
        <w:tc>
          <w:tcPr>
            <w:tcW w:w="943" w:type="dxa"/>
          </w:tcPr>
          <w:p>
            <w:pPr>
              <w:pStyle w:val="TableParagraph"/>
              <w:spacing w:before="13"/>
              <w:ind w:left="115" w:right="116"/>
              <w:jc w:val="center"/>
              <w:rPr>
                <w:sz w:val="24"/>
              </w:rPr>
            </w:pPr>
            <w:r>
              <w:rPr>
                <w:sz w:val="24"/>
              </w:rPr>
              <w:t>18.104</w:t>
            </w:r>
          </w:p>
        </w:tc>
        <w:tc>
          <w:tcPr>
            <w:tcW w:w="643" w:type="dxa"/>
          </w:tcPr>
          <w:p>
            <w:pPr>
              <w:pStyle w:val="TableParagraph"/>
              <w:spacing w:before="13"/>
              <w:ind w:right="137"/>
              <w:jc w:val="right"/>
              <w:rPr>
                <w:sz w:val="24"/>
              </w:rPr>
            </w:pPr>
            <w:r>
              <w:rPr>
                <w:sz w:val="24"/>
              </w:rPr>
              <w:t>***</w:t>
            </w:r>
          </w:p>
        </w:tc>
        <w:tc>
          <w:tcPr>
            <w:tcW w:w="828" w:type="dxa"/>
          </w:tcPr>
          <w:p>
            <w:pPr>
              <w:pStyle w:val="TableParagraph"/>
              <w:rPr>
                <w:sz w:val="22"/>
              </w:rPr>
            </w:pPr>
          </w:p>
        </w:tc>
      </w:tr>
      <w:tr>
        <w:trPr>
          <w:trHeight w:val="443" w:hRule="atLeast"/>
        </w:trPr>
        <w:tc>
          <w:tcPr>
            <w:tcW w:w="1008" w:type="dxa"/>
          </w:tcPr>
          <w:p>
            <w:pPr>
              <w:pStyle w:val="TableParagraph"/>
              <w:spacing w:before="13"/>
              <w:ind w:left="55"/>
              <w:rPr>
                <w:sz w:val="24"/>
              </w:rPr>
            </w:pPr>
            <w:r>
              <w:rPr>
                <w:sz w:val="24"/>
              </w:rPr>
              <w:t>CLDV4</w:t>
            </w:r>
          </w:p>
        </w:tc>
        <w:tc>
          <w:tcPr>
            <w:tcW w:w="490" w:type="dxa"/>
          </w:tcPr>
          <w:p>
            <w:pPr>
              <w:pStyle w:val="TableParagraph"/>
              <w:spacing w:before="13"/>
              <w:ind w:left="32" w:right="31"/>
              <w:jc w:val="center"/>
              <w:rPr>
                <w:sz w:val="24"/>
              </w:rPr>
            </w:pPr>
            <w:r>
              <w:rPr>
                <w:sz w:val="24"/>
              </w:rPr>
              <w:t>&lt;---</w:t>
            </w:r>
          </w:p>
        </w:tc>
        <w:tc>
          <w:tcPr>
            <w:tcW w:w="935" w:type="dxa"/>
          </w:tcPr>
          <w:p>
            <w:pPr>
              <w:pStyle w:val="TableParagraph"/>
              <w:spacing w:before="13"/>
              <w:ind w:left="138"/>
              <w:rPr>
                <w:sz w:val="24"/>
              </w:rPr>
            </w:pPr>
            <w:r>
              <w:rPr>
                <w:sz w:val="24"/>
              </w:rPr>
              <w:t>CLDV</w:t>
            </w:r>
          </w:p>
        </w:tc>
        <w:tc>
          <w:tcPr>
            <w:tcW w:w="1122" w:type="dxa"/>
          </w:tcPr>
          <w:p>
            <w:pPr>
              <w:pStyle w:val="TableParagraph"/>
              <w:spacing w:before="13"/>
              <w:ind w:right="132"/>
              <w:jc w:val="right"/>
              <w:rPr>
                <w:sz w:val="24"/>
              </w:rPr>
            </w:pPr>
            <w:r>
              <w:rPr>
                <w:sz w:val="24"/>
              </w:rPr>
              <w:t>.995</w:t>
            </w:r>
          </w:p>
        </w:tc>
        <w:tc>
          <w:tcPr>
            <w:tcW w:w="700" w:type="dxa"/>
          </w:tcPr>
          <w:p>
            <w:pPr>
              <w:pStyle w:val="TableParagraph"/>
              <w:spacing w:before="13"/>
              <w:ind w:left="116" w:right="113"/>
              <w:jc w:val="center"/>
              <w:rPr>
                <w:sz w:val="24"/>
              </w:rPr>
            </w:pPr>
            <w:r>
              <w:rPr>
                <w:sz w:val="24"/>
              </w:rPr>
              <w:t>.055</w:t>
            </w:r>
          </w:p>
        </w:tc>
        <w:tc>
          <w:tcPr>
            <w:tcW w:w="943" w:type="dxa"/>
          </w:tcPr>
          <w:p>
            <w:pPr>
              <w:pStyle w:val="TableParagraph"/>
              <w:spacing w:before="13"/>
              <w:ind w:left="115" w:right="116"/>
              <w:jc w:val="center"/>
              <w:rPr>
                <w:sz w:val="24"/>
              </w:rPr>
            </w:pPr>
            <w:r>
              <w:rPr>
                <w:sz w:val="24"/>
              </w:rPr>
              <w:t>18.210</w:t>
            </w:r>
          </w:p>
        </w:tc>
        <w:tc>
          <w:tcPr>
            <w:tcW w:w="643" w:type="dxa"/>
          </w:tcPr>
          <w:p>
            <w:pPr>
              <w:pStyle w:val="TableParagraph"/>
              <w:spacing w:before="13"/>
              <w:ind w:right="137"/>
              <w:jc w:val="right"/>
              <w:rPr>
                <w:sz w:val="24"/>
              </w:rPr>
            </w:pPr>
            <w:r>
              <w:rPr>
                <w:sz w:val="24"/>
              </w:rPr>
              <w:t>***</w:t>
            </w:r>
          </w:p>
        </w:tc>
        <w:tc>
          <w:tcPr>
            <w:tcW w:w="828" w:type="dxa"/>
          </w:tcPr>
          <w:p>
            <w:pPr>
              <w:pStyle w:val="TableParagraph"/>
              <w:rPr>
                <w:sz w:val="22"/>
              </w:rPr>
            </w:pPr>
          </w:p>
        </w:tc>
      </w:tr>
      <w:tr>
        <w:trPr>
          <w:trHeight w:val="443" w:hRule="atLeast"/>
        </w:trPr>
        <w:tc>
          <w:tcPr>
            <w:tcW w:w="1008" w:type="dxa"/>
          </w:tcPr>
          <w:p>
            <w:pPr>
              <w:pStyle w:val="TableParagraph"/>
              <w:spacing w:before="13"/>
              <w:ind w:left="55"/>
              <w:rPr>
                <w:sz w:val="24"/>
              </w:rPr>
            </w:pPr>
            <w:r>
              <w:rPr>
                <w:sz w:val="24"/>
              </w:rPr>
              <w:t>CLDV3</w:t>
            </w:r>
          </w:p>
        </w:tc>
        <w:tc>
          <w:tcPr>
            <w:tcW w:w="490" w:type="dxa"/>
          </w:tcPr>
          <w:p>
            <w:pPr>
              <w:pStyle w:val="TableParagraph"/>
              <w:spacing w:before="13"/>
              <w:ind w:left="32" w:right="31"/>
              <w:jc w:val="center"/>
              <w:rPr>
                <w:sz w:val="24"/>
              </w:rPr>
            </w:pPr>
            <w:r>
              <w:rPr>
                <w:sz w:val="24"/>
              </w:rPr>
              <w:t>&lt;---</w:t>
            </w:r>
          </w:p>
        </w:tc>
        <w:tc>
          <w:tcPr>
            <w:tcW w:w="935" w:type="dxa"/>
          </w:tcPr>
          <w:p>
            <w:pPr>
              <w:pStyle w:val="TableParagraph"/>
              <w:spacing w:before="13"/>
              <w:ind w:left="138"/>
              <w:rPr>
                <w:sz w:val="24"/>
              </w:rPr>
            </w:pPr>
            <w:r>
              <w:rPr>
                <w:sz w:val="24"/>
              </w:rPr>
              <w:t>CLDV</w:t>
            </w:r>
          </w:p>
        </w:tc>
        <w:tc>
          <w:tcPr>
            <w:tcW w:w="1122" w:type="dxa"/>
          </w:tcPr>
          <w:p>
            <w:pPr>
              <w:pStyle w:val="TableParagraph"/>
              <w:spacing w:before="13"/>
              <w:ind w:right="132"/>
              <w:jc w:val="right"/>
              <w:rPr>
                <w:sz w:val="24"/>
              </w:rPr>
            </w:pPr>
            <w:r>
              <w:rPr>
                <w:sz w:val="24"/>
              </w:rPr>
              <w:t>.943</w:t>
            </w:r>
          </w:p>
        </w:tc>
        <w:tc>
          <w:tcPr>
            <w:tcW w:w="700" w:type="dxa"/>
          </w:tcPr>
          <w:p>
            <w:pPr>
              <w:pStyle w:val="TableParagraph"/>
              <w:spacing w:before="13"/>
              <w:ind w:left="116" w:right="113"/>
              <w:jc w:val="center"/>
              <w:rPr>
                <w:sz w:val="24"/>
              </w:rPr>
            </w:pPr>
            <w:r>
              <w:rPr>
                <w:sz w:val="24"/>
              </w:rPr>
              <w:t>.053</w:t>
            </w:r>
          </w:p>
        </w:tc>
        <w:tc>
          <w:tcPr>
            <w:tcW w:w="943" w:type="dxa"/>
          </w:tcPr>
          <w:p>
            <w:pPr>
              <w:pStyle w:val="TableParagraph"/>
              <w:spacing w:before="13"/>
              <w:ind w:left="115" w:right="116"/>
              <w:jc w:val="center"/>
              <w:rPr>
                <w:sz w:val="24"/>
              </w:rPr>
            </w:pPr>
            <w:r>
              <w:rPr>
                <w:sz w:val="24"/>
              </w:rPr>
              <w:t>17.665</w:t>
            </w:r>
          </w:p>
        </w:tc>
        <w:tc>
          <w:tcPr>
            <w:tcW w:w="643" w:type="dxa"/>
          </w:tcPr>
          <w:p>
            <w:pPr>
              <w:pStyle w:val="TableParagraph"/>
              <w:spacing w:before="13"/>
              <w:ind w:right="137"/>
              <w:jc w:val="right"/>
              <w:rPr>
                <w:sz w:val="24"/>
              </w:rPr>
            </w:pPr>
            <w:r>
              <w:rPr>
                <w:sz w:val="24"/>
              </w:rPr>
              <w:t>***</w:t>
            </w:r>
          </w:p>
        </w:tc>
        <w:tc>
          <w:tcPr>
            <w:tcW w:w="828" w:type="dxa"/>
          </w:tcPr>
          <w:p>
            <w:pPr>
              <w:pStyle w:val="TableParagraph"/>
              <w:rPr>
                <w:sz w:val="22"/>
              </w:rPr>
            </w:pPr>
          </w:p>
        </w:tc>
      </w:tr>
      <w:tr>
        <w:trPr>
          <w:trHeight w:val="444" w:hRule="atLeast"/>
        </w:trPr>
        <w:tc>
          <w:tcPr>
            <w:tcW w:w="1008" w:type="dxa"/>
          </w:tcPr>
          <w:p>
            <w:pPr>
              <w:pStyle w:val="TableParagraph"/>
              <w:spacing w:before="13"/>
              <w:ind w:left="55"/>
              <w:rPr>
                <w:sz w:val="24"/>
              </w:rPr>
            </w:pPr>
            <w:r>
              <w:rPr>
                <w:sz w:val="24"/>
              </w:rPr>
              <w:t>CLDV6</w:t>
            </w:r>
          </w:p>
        </w:tc>
        <w:tc>
          <w:tcPr>
            <w:tcW w:w="490" w:type="dxa"/>
          </w:tcPr>
          <w:p>
            <w:pPr>
              <w:pStyle w:val="TableParagraph"/>
              <w:spacing w:before="13"/>
              <w:ind w:left="32" w:right="31"/>
              <w:jc w:val="center"/>
              <w:rPr>
                <w:sz w:val="24"/>
              </w:rPr>
            </w:pPr>
            <w:r>
              <w:rPr>
                <w:sz w:val="24"/>
              </w:rPr>
              <w:t>&lt;---</w:t>
            </w:r>
          </w:p>
        </w:tc>
        <w:tc>
          <w:tcPr>
            <w:tcW w:w="935" w:type="dxa"/>
          </w:tcPr>
          <w:p>
            <w:pPr>
              <w:pStyle w:val="TableParagraph"/>
              <w:spacing w:before="13"/>
              <w:ind w:left="138"/>
              <w:rPr>
                <w:sz w:val="24"/>
              </w:rPr>
            </w:pPr>
            <w:r>
              <w:rPr>
                <w:sz w:val="24"/>
              </w:rPr>
              <w:t>CLDV</w:t>
            </w:r>
          </w:p>
        </w:tc>
        <w:tc>
          <w:tcPr>
            <w:tcW w:w="1122" w:type="dxa"/>
          </w:tcPr>
          <w:p>
            <w:pPr>
              <w:pStyle w:val="TableParagraph"/>
              <w:spacing w:before="13"/>
              <w:ind w:right="132"/>
              <w:jc w:val="right"/>
              <w:rPr>
                <w:sz w:val="24"/>
              </w:rPr>
            </w:pPr>
            <w:r>
              <w:rPr>
                <w:sz w:val="24"/>
              </w:rPr>
              <w:t>.915</w:t>
            </w:r>
          </w:p>
        </w:tc>
        <w:tc>
          <w:tcPr>
            <w:tcW w:w="700" w:type="dxa"/>
          </w:tcPr>
          <w:p>
            <w:pPr>
              <w:pStyle w:val="TableParagraph"/>
              <w:spacing w:before="13"/>
              <w:ind w:left="116" w:right="113"/>
              <w:jc w:val="center"/>
              <w:rPr>
                <w:sz w:val="24"/>
              </w:rPr>
            </w:pPr>
            <w:r>
              <w:rPr>
                <w:sz w:val="24"/>
              </w:rPr>
              <w:t>.067</w:t>
            </w:r>
          </w:p>
        </w:tc>
        <w:tc>
          <w:tcPr>
            <w:tcW w:w="943" w:type="dxa"/>
          </w:tcPr>
          <w:p>
            <w:pPr>
              <w:pStyle w:val="TableParagraph"/>
              <w:spacing w:before="13"/>
              <w:ind w:left="115" w:right="116"/>
              <w:jc w:val="center"/>
              <w:rPr>
                <w:sz w:val="24"/>
              </w:rPr>
            </w:pPr>
            <w:r>
              <w:rPr>
                <w:sz w:val="24"/>
              </w:rPr>
              <w:t>13.593</w:t>
            </w:r>
          </w:p>
        </w:tc>
        <w:tc>
          <w:tcPr>
            <w:tcW w:w="643" w:type="dxa"/>
          </w:tcPr>
          <w:p>
            <w:pPr>
              <w:pStyle w:val="TableParagraph"/>
              <w:spacing w:before="13"/>
              <w:ind w:right="137"/>
              <w:jc w:val="right"/>
              <w:rPr>
                <w:sz w:val="24"/>
              </w:rPr>
            </w:pPr>
            <w:r>
              <w:rPr>
                <w:sz w:val="24"/>
              </w:rPr>
              <w:t>***</w:t>
            </w:r>
          </w:p>
        </w:tc>
        <w:tc>
          <w:tcPr>
            <w:tcW w:w="828" w:type="dxa"/>
          </w:tcPr>
          <w:p>
            <w:pPr>
              <w:pStyle w:val="TableParagraph"/>
              <w:rPr>
                <w:sz w:val="22"/>
              </w:rPr>
            </w:pPr>
          </w:p>
        </w:tc>
      </w:tr>
      <w:tr>
        <w:trPr>
          <w:trHeight w:val="443" w:hRule="atLeast"/>
        </w:trPr>
        <w:tc>
          <w:tcPr>
            <w:tcW w:w="1008" w:type="dxa"/>
          </w:tcPr>
          <w:p>
            <w:pPr>
              <w:pStyle w:val="TableParagraph"/>
              <w:spacing w:before="15"/>
              <w:ind w:left="55"/>
              <w:rPr>
                <w:sz w:val="24"/>
              </w:rPr>
            </w:pPr>
            <w:r>
              <w:rPr>
                <w:sz w:val="24"/>
              </w:rPr>
              <w:t>CLDV10</w:t>
            </w:r>
          </w:p>
        </w:tc>
        <w:tc>
          <w:tcPr>
            <w:tcW w:w="490" w:type="dxa"/>
          </w:tcPr>
          <w:p>
            <w:pPr>
              <w:pStyle w:val="TableParagraph"/>
              <w:spacing w:before="15"/>
              <w:ind w:left="32" w:right="31"/>
              <w:jc w:val="center"/>
              <w:rPr>
                <w:sz w:val="24"/>
              </w:rPr>
            </w:pPr>
            <w:r>
              <w:rPr>
                <w:sz w:val="24"/>
              </w:rPr>
              <w:t>&lt;---</w:t>
            </w:r>
          </w:p>
        </w:tc>
        <w:tc>
          <w:tcPr>
            <w:tcW w:w="935" w:type="dxa"/>
          </w:tcPr>
          <w:p>
            <w:pPr>
              <w:pStyle w:val="TableParagraph"/>
              <w:spacing w:before="15"/>
              <w:ind w:left="138"/>
              <w:rPr>
                <w:sz w:val="24"/>
              </w:rPr>
            </w:pPr>
            <w:r>
              <w:rPr>
                <w:sz w:val="24"/>
              </w:rPr>
              <w:t>CLDV</w:t>
            </w:r>
          </w:p>
        </w:tc>
        <w:tc>
          <w:tcPr>
            <w:tcW w:w="1122" w:type="dxa"/>
          </w:tcPr>
          <w:p>
            <w:pPr>
              <w:pStyle w:val="TableParagraph"/>
              <w:spacing w:before="15"/>
              <w:ind w:right="132"/>
              <w:jc w:val="right"/>
              <w:rPr>
                <w:sz w:val="24"/>
              </w:rPr>
            </w:pPr>
            <w:r>
              <w:rPr>
                <w:sz w:val="24"/>
              </w:rPr>
              <w:t>.694</w:t>
            </w:r>
          </w:p>
        </w:tc>
        <w:tc>
          <w:tcPr>
            <w:tcW w:w="700" w:type="dxa"/>
          </w:tcPr>
          <w:p>
            <w:pPr>
              <w:pStyle w:val="TableParagraph"/>
              <w:spacing w:before="15"/>
              <w:ind w:left="116" w:right="113"/>
              <w:jc w:val="center"/>
              <w:rPr>
                <w:sz w:val="24"/>
              </w:rPr>
            </w:pPr>
            <w:r>
              <w:rPr>
                <w:sz w:val="24"/>
              </w:rPr>
              <w:t>.063</w:t>
            </w:r>
          </w:p>
        </w:tc>
        <w:tc>
          <w:tcPr>
            <w:tcW w:w="943" w:type="dxa"/>
          </w:tcPr>
          <w:p>
            <w:pPr>
              <w:pStyle w:val="TableParagraph"/>
              <w:spacing w:before="15"/>
              <w:ind w:left="115" w:right="116"/>
              <w:jc w:val="center"/>
              <w:rPr>
                <w:sz w:val="24"/>
              </w:rPr>
            </w:pPr>
            <w:r>
              <w:rPr>
                <w:sz w:val="24"/>
              </w:rPr>
              <w:t>11.069</w:t>
            </w:r>
          </w:p>
        </w:tc>
        <w:tc>
          <w:tcPr>
            <w:tcW w:w="643" w:type="dxa"/>
          </w:tcPr>
          <w:p>
            <w:pPr>
              <w:pStyle w:val="TableParagraph"/>
              <w:spacing w:before="15"/>
              <w:ind w:right="137"/>
              <w:jc w:val="right"/>
              <w:rPr>
                <w:sz w:val="24"/>
              </w:rPr>
            </w:pPr>
            <w:r>
              <w:rPr>
                <w:sz w:val="24"/>
              </w:rPr>
              <w:t>***</w:t>
            </w:r>
          </w:p>
        </w:tc>
        <w:tc>
          <w:tcPr>
            <w:tcW w:w="828" w:type="dxa"/>
          </w:tcPr>
          <w:p>
            <w:pPr>
              <w:pStyle w:val="TableParagraph"/>
              <w:rPr>
                <w:sz w:val="22"/>
              </w:rPr>
            </w:pPr>
          </w:p>
        </w:tc>
      </w:tr>
      <w:tr>
        <w:trPr>
          <w:trHeight w:val="446" w:hRule="atLeast"/>
        </w:trPr>
        <w:tc>
          <w:tcPr>
            <w:tcW w:w="1008" w:type="dxa"/>
          </w:tcPr>
          <w:p>
            <w:pPr>
              <w:pStyle w:val="TableParagraph"/>
              <w:spacing w:before="15"/>
              <w:ind w:left="55"/>
              <w:rPr>
                <w:sz w:val="24"/>
              </w:rPr>
            </w:pPr>
            <w:r>
              <w:rPr>
                <w:sz w:val="24"/>
              </w:rPr>
              <w:t>CP3</w:t>
            </w:r>
          </w:p>
        </w:tc>
        <w:tc>
          <w:tcPr>
            <w:tcW w:w="490" w:type="dxa"/>
          </w:tcPr>
          <w:p>
            <w:pPr>
              <w:pStyle w:val="TableParagraph"/>
              <w:spacing w:before="15"/>
              <w:ind w:left="32" w:right="31"/>
              <w:jc w:val="center"/>
              <w:rPr>
                <w:sz w:val="24"/>
              </w:rPr>
            </w:pPr>
            <w:r>
              <w:rPr>
                <w:sz w:val="24"/>
              </w:rPr>
              <w:t>&lt;---</w:t>
            </w:r>
          </w:p>
        </w:tc>
        <w:tc>
          <w:tcPr>
            <w:tcW w:w="935" w:type="dxa"/>
          </w:tcPr>
          <w:p>
            <w:pPr>
              <w:pStyle w:val="TableParagraph"/>
              <w:spacing w:before="15"/>
              <w:ind w:left="138"/>
              <w:rPr>
                <w:sz w:val="24"/>
              </w:rPr>
            </w:pPr>
            <w:r>
              <w:rPr>
                <w:sz w:val="24"/>
              </w:rPr>
              <w:t>CP</w:t>
            </w:r>
          </w:p>
        </w:tc>
        <w:tc>
          <w:tcPr>
            <w:tcW w:w="1122" w:type="dxa"/>
          </w:tcPr>
          <w:p>
            <w:pPr>
              <w:pStyle w:val="TableParagraph"/>
              <w:spacing w:before="15"/>
              <w:ind w:right="132"/>
              <w:jc w:val="right"/>
              <w:rPr>
                <w:sz w:val="24"/>
              </w:rPr>
            </w:pPr>
            <w:r>
              <w:rPr>
                <w:sz w:val="24"/>
              </w:rPr>
              <w:t>1.000</w:t>
            </w:r>
          </w:p>
        </w:tc>
        <w:tc>
          <w:tcPr>
            <w:tcW w:w="700" w:type="dxa"/>
          </w:tcPr>
          <w:p>
            <w:pPr>
              <w:pStyle w:val="TableParagraph"/>
              <w:rPr>
                <w:sz w:val="22"/>
              </w:rPr>
            </w:pPr>
          </w:p>
        </w:tc>
        <w:tc>
          <w:tcPr>
            <w:tcW w:w="943" w:type="dxa"/>
          </w:tcPr>
          <w:p>
            <w:pPr>
              <w:pStyle w:val="TableParagraph"/>
              <w:rPr>
                <w:sz w:val="22"/>
              </w:rPr>
            </w:pPr>
          </w:p>
        </w:tc>
        <w:tc>
          <w:tcPr>
            <w:tcW w:w="643" w:type="dxa"/>
          </w:tcPr>
          <w:p>
            <w:pPr>
              <w:pStyle w:val="TableParagraph"/>
              <w:rPr>
                <w:sz w:val="22"/>
              </w:rPr>
            </w:pPr>
          </w:p>
        </w:tc>
        <w:tc>
          <w:tcPr>
            <w:tcW w:w="828" w:type="dxa"/>
          </w:tcPr>
          <w:p>
            <w:pPr>
              <w:pStyle w:val="TableParagraph"/>
              <w:rPr>
                <w:sz w:val="22"/>
              </w:rPr>
            </w:pPr>
          </w:p>
        </w:tc>
      </w:tr>
      <w:tr>
        <w:trPr>
          <w:trHeight w:val="443" w:hRule="atLeast"/>
        </w:trPr>
        <w:tc>
          <w:tcPr>
            <w:tcW w:w="1008" w:type="dxa"/>
          </w:tcPr>
          <w:p>
            <w:pPr>
              <w:pStyle w:val="TableParagraph"/>
              <w:spacing w:before="13"/>
              <w:ind w:left="55"/>
              <w:rPr>
                <w:sz w:val="24"/>
              </w:rPr>
            </w:pPr>
            <w:r>
              <w:rPr>
                <w:sz w:val="24"/>
              </w:rPr>
              <w:t>CP4</w:t>
            </w:r>
          </w:p>
        </w:tc>
        <w:tc>
          <w:tcPr>
            <w:tcW w:w="490" w:type="dxa"/>
          </w:tcPr>
          <w:p>
            <w:pPr>
              <w:pStyle w:val="TableParagraph"/>
              <w:spacing w:before="13"/>
              <w:ind w:left="32" w:right="31"/>
              <w:jc w:val="center"/>
              <w:rPr>
                <w:sz w:val="24"/>
              </w:rPr>
            </w:pPr>
            <w:r>
              <w:rPr>
                <w:sz w:val="24"/>
              </w:rPr>
              <w:t>&lt;---</w:t>
            </w:r>
          </w:p>
        </w:tc>
        <w:tc>
          <w:tcPr>
            <w:tcW w:w="935" w:type="dxa"/>
          </w:tcPr>
          <w:p>
            <w:pPr>
              <w:pStyle w:val="TableParagraph"/>
              <w:spacing w:before="13"/>
              <w:ind w:left="138"/>
              <w:rPr>
                <w:sz w:val="24"/>
              </w:rPr>
            </w:pPr>
            <w:r>
              <w:rPr>
                <w:sz w:val="24"/>
              </w:rPr>
              <w:t>CP</w:t>
            </w:r>
          </w:p>
        </w:tc>
        <w:tc>
          <w:tcPr>
            <w:tcW w:w="1122" w:type="dxa"/>
          </w:tcPr>
          <w:p>
            <w:pPr>
              <w:pStyle w:val="TableParagraph"/>
              <w:spacing w:before="13"/>
              <w:ind w:right="132"/>
              <w:jc w:val="right"/>
              <w:rPr>
                <w:sz w:val="24"/>
              </w:rPr>
            </w:pPr>
            <w:r>
              <w:rPr>
                <w:sz w:val="24"/>
              </w:rPr>
              <w:t>1.075</w:t>
            </w:r>
          </w:p>
        </w:tc>
        <w:tc>
          <w:tcPr>
            <w:tcW w:w="700" w:type="dxa"/>
          </w:tcPr>
          <w:p>
            <w:pPr>
              <w:pStyle w:val="TableParagraph"/>
              <w:spacing w:before="13"/>
              <w:ind w:left="116" w:right="113"/>
              <w:jc w:val="center"/>
              <w:rPr>
                <w:sz w:val="24"/>
              </w:rPr>
            </w:pPr>
            <w:r>
              <w:rPr>
                <w:sz w:val="24"/>
              </w:rPr>
              <w:t>.071</w:t>
            </w:r>
          </w:p>
        </w:tc>
        <w:tc>
          <w:tcPr>
            <w:tcW w:w="943" w:type="dxa"/>
          </w:tcPr>
          <w:p>
            <w:pPr>
              <w:pStyle w:val="TableParagraph"/>
              <w:spacing w:before="13"/>
              <w:ind w:left="115" w:right="116"/>
              <w:jc w:val="center"/>
              <w:rPr>
                <w:sz w:val="24"/>
              </w:rPr>
            </w:pPr>
            <w:r>
              <w:rPr>
                <w:sz w:val="24"/>
              </w:rPr>
              <w:t>15.061</w:t>
            </w:r>
          </w:p>
        </w:tc>
        <w:tc>
          <w:tcPr>
            <w:tcW w:w="643" w:type="dxa"/>
          </w:tcPr>
          <w:p>
            <w:pPr>
              <w:pStyle w:val="TableParagraph"/>
              <w:spacing w:before="13"/>
              <w:ind w:right="137"/>
              <w:jc w:val="right"/>
              <w:rPr>
                <w:sz w:val="24"/>
              </w:rPr>
            </w:pPr>
            <w:r>
              <w:rPr>
                <w:sz w:val="24"/>
              </w:rPr>
              <w:t>***</w:t>
            </w:r>
          </w:p>
        </w:tc>
        <w:tc>
          <w:tcPr>
            <w:tcW w:w="828" w:type="dxa"/>
          </w:tcPr>
          <w:p>
            <w:pPr>
              <w:pStyle w:val="TableParagraph"/>
              <w:rPr>
                <w:sz w:val="22"/>
              </w:rPr>
            </w:pPr>
          </w:p>
        </w:tc>
      </w:tr>
      <w:tr>
        <w:trPr>
          <w:trHeight w:val="443" w:hRule="atLeast"/>
        </w:trPr>
        <w:tc>
          <w:tcPr>
            <w:tcW w:w="1008" w:type="dxa"/>
          </w:tcPr>
          <w:p>
            <w:pPr>
              <w:pStyle w:val="TableParagraph"/>
              <w:spacing w:before="13"/>
              <w:ind w:left="55"/>
              <w:rPr>
                <w:sz w:val="24"/>
              </w:rPr>
            </w:pPr>
            <w:r>
              <w:rPr>
                <w:sz w:val="24"/>
              </w:rPr>
              <w:t>CP6</w:t>
            </w:r>
          </w:p>
        </w:tc>
        <w:tc>
          <w:tcPr>
            <w:tcW w:w="490" w:type="dxa"/>
          </w:tcPr>
          <w:p>
            <w:pPr>
              <w:pStyle w:val="TableParagraph"/>
              <w:spacing w:before="13"/>
              <w:ind w:left="32" w:right="31"/>
              <w:jc w:val="center"/>
              <w:rPr>
                <w:sz w:val="24"/>
              </w:rPr>
            </w:pPr>
            <w:r>
              <w:rPr>
                <w:sz w:val="24"/>
              </w:rPr>
              <w:t>&lt;---</w:t>
            </w:r>
          </w:p>
        </w:tc>
        <w:tc>
          <w:tcPr>
            <w:tcW w:w="935" w:type="dxa"/>
          </w:tcPr>
          <w:p>
            <w:pPr>
              <w:pStyle w:val="TableParagraph"/>
              <w:spacing w:before="13"/>
              <w:ind w:left="138"/>
              <w:rPr>
                <w:sz w:val="24"/>
              </w:rPr>
            </w:pPr>
            <w:r>
              <w:rPr>
                <w:sz w:val="24"/>
              </w:rPr>
              <w:t>CP</w:t>
            </w:r>
          </w:p>
        </w:tc>
        <w:tc>
          <w:tcPr>
            <w:tcW w:w="1122" w:type="dxa"/>
          </w:tcPr>
          <w:p>
            <w:pPr>
              <w:pStyle w:val="TableParagraph"/>
              <w:spacing w:before="13"/>
              <w:ind w:right="132"/>
              <w:jc w:val="right"/>
              <w:rPr>
                <w:sz w:val="24"/>
              </w:rPr>
            </w:pPr>
            <w:r>
              <w:rPr>
                <w:sz w:val="24"/>
              </w:rPr>
              <w:t>.998</w:t>
            </w:r>
          </w:p>
        </w:tc>
        <w:tc>
          <w:tcPr>
            <w:tcW w:w="700" w:type="dxa"/>
          </w:tcPr>
          <w:p>
            <w:pPr>
              <w:pStyle w:val="TableParagraph"/>
              <w:spacing w:before="13"/>
              <w:ind w:left="116" w:right="113"/>
              <w:jc w:val="center"/>
              <w:rPr>
                <w:sz w:val="24"/>
              </w:rPr>
            </w:pPr>
            <w:r>
              <w:rPr>
                <w:sz w:val="24"/>
              </w:rPr>
              <w:t>.068</w:t>
            </w:r>
          </w:p>
        </w:tc>
        <w:tc>
          <w:tcPr>
            <w:tcW w:w="943" w:type="dxa"/>
          </w:tcPr>
          <w:p>
            <w:pPr>
              <w:pStyle w:val="TableParagraph"/>
              <w:spacing w:before="13"/>
              <w:ind w:left="115" w:right="116"/>
              <w:jc w:val="center"/>
              <w:rPr>
                <w:sz w:val="24"/>
              </w:rPr>
            </w:pPr>
            <w:r>
              <w:rPr>
                <w:sz w:val="24"/>
              </w:rPr>
              <w:t>14.632</w:t>
            </w:r>
          </w:p>
        </w:tc>
        <w:tc>
          <w:tcPr>
            <w:tcW w:w="643" w:type="dxa"/>
          </w:tcPr>
          <w:p>
            <w:pPr>
              <w:pStyle w:val="TableParagraph"/>
              <w:spacing w:before="13"/>
              <w:ind w:right="137"/>
              <w:jc w:val="right"/>
              <w:rPr>
                <w:sz w:val="24"/>
              </w:rPr>
            </w:pPr>
            <w:r>
              <w:rPr>
                <w:sz w:val="24"/>
              </w:rPr>
              <w:t>***</w:t>
            </w:r>
          </w:p>
        </w:tc>
        <w:tc>
          <w:tcPr>
            <w:tcW w:w="828" w:type="dxa"/>
          </w:tcPr>
          <w:p>
            <w:pPr>
              <w:pStyle w:val="TableParagraph"/>
              <w:rPr>
                <w:sz w:val="22"/>
              </w:rPr>
            </w:pPr>
          </w:p>
        </w:tc>
      </w:tr>
      <w:tr>
        <w:trPr>
          <w:trHeight w:val="443" w:hRule="atLeast"/>
        </w:trPr>
        <w:tc>
          <w:tcPr>
            <w:tcW w:w="1008" w:type="dxa"/>
          </w:tcPr>
          <w:p>
            <w:pPr>
              <w:pStyle w:val="TableParagraph"/>
              <w:spacing w:before="13"/>
              <w:ind w:left="55"/>
              <w:rPr>
                <w:sz w:val="24"/>
              </w:rPr>
            </w:pPr>
            <w:r>
              <w:rPr>
                <w:sz w:val="24"/>
              </w:rPr>
              <w:t>CP2</w:t>
            </w:r>
          </w:p>
        </w:tc>
        <w:tc>
          <w:tcPr>
            <w:tcW w:w="490" w:type="dxa"/>
          </w:tcPr>
          <w:p>
            <w:pPr>
              <w:pStyle w:val="TableParagraph"/>
              <w:spacing w:before="13"/>
              <w:ind w:left="32" w:right="31"/>
              <w:jc w:val="center"/>
              <w:rPr>
                <w:sz w:val="24"/>
              </w:rPr>
            </w:pPr>
            <w:r>
              <w:rPr>
                <w:sz w:val="24"/>
              </w:rPr>
              <w:t>&lt;---</w:t>
            </w:r>
          </w:p>
        </w:tc>
        <w:tc>
          <w:tcPr>
            <w:tcW w:w="935" w:type="dxa"/>
          </w:tcPr>
          <w:p>
            <w:pPr>
              <w:pStyle w:val="TableParagraph"/>
              <w:spacing w:before="13"/>
              <w:ind w:left="138"/>
              <w:rPr>
                <w:sz w:val="24"/>
              </w:rPr>
            </w:pPr>
            <w:r>
              <w:rPr>
                <w:sz w:val="24"/>
              </w:rPr>
              <w:t>CP</w:t>
            </w:r>
          </w:p>
        </w:tc>
        <w:tc>
          <w:tcPr>
            <w:tcW w:w="1122" w:type="dxa"/>
          </w:tcPr>
          <w:p>
            <w:pPr>
              <w:pStyle w:val="TableParagraph"/>
              <w:spacing w:before="13"/>
              <w:ind w:right="132"/>
              <w:jc w:val="right"/>
              <w:rPr>
                <w:sz w:val="24"/>
              </w:rPr>
            </w:pPr>
            <w:r>
              <w:rPr>
                <w:sz w:val="24"/>
              </w:rPr>
              <w:t>.963</w:t>
            </w:r>
          </w:p>
        </w:tc>
        <w:tc>
          <w:tcPr>
            <w:tcW w:w="700" w:type="dxa"/>
          </w:tcPr>
          <w:p>
            <w:pPr>
              <w:pStyle w:val="TableParagraph"/>
              <w:spacing w:before="13"/>
              <w:ind w:left="116" w:right="113"/>
              <w:jc w:val="center"/>
              <w:rPr>
                <w:sz w:val="24"/>
              </w:rPr>
            </w:pPr>
            <w:r>
              <w:rPr>
                <w:sz w:val="24"/>
              </w:rPr>
              <w:t>.057</w:t>
            </w:r>
          </w:p>
        </w:tc>
        <w:tc>
          <w:tcPr>
            <w:tcW w:w="943" w:type="dxa"/>
          </w:tcPr>
          <w:p>
            <w:pPr>
              <w:pStyle w:val="TableParagraph"/>
              <w:spacing w:before="13"/>
              <w:ind w:left="115" w:right="116"/>
              <w:jc w:val="center"/>
              <w:rPr>
                <w:sz w:val="24"/>
              </w:rPr>
            </w:pPr>
            <w:r>
              <w:rPr>
                <w:sz w:val="24"/>
              </w:rPr>
              <w:t>16.905</w:t>
            </w:r>
          </w:p>
        </w:tc>
        <w:tc>
          <w:tcPr>
            <w:tcW w:w="643" w:type="dxa"/>
          </w:tcPr>
          <w:p>
            <w:pPr>
              <w:pStyle w:val="TableParagraph"/>
              <w:spacing w:before="13"/>
              <w:ind w:right="137"/>
              <w:jc w:val="right"/>
              <w:rPr>
                <w:sz w:val="24"/>
              </w:rPr>
            </w:pPr>
            <w:r>
              <w:rPr>
                <w:sz w:val="24"/>
              </w:rPr>
              <w:t>***</w:t>
            </w:r>
          </w:p>
        </w:tc>
        <w:tc>
          <w:tcPr>
            <w:tcW w:w="828" w:type="dxa"/>
          </w:tcPr>
          <w:p>
            <w:pPr>
              <w:pStyle w:val="TableParagraph"/>
              <w:rPr>
                <w:sz w:val="22"/>
              </w:rPr>
            </w:pPr>
          </w:p>
        </w:tc>
      </w:tr>
      <w:tr>
        <w:trPr>
          <w:trHeight w:val="443" w:hRule="atLeast"/>
        </w:trPr>
        <w:tc>
          <w:tcPr>
            <w:tcW w:w="1008" w:type="dxa"/>
          </w:tcPr>
          <w:p>
            <w:pPr>
              <w:pStyle w:val="TableParagraph"/>
              <w:spacing w:before="13"/>
              <w:ind w:left="55"/>
              <w:rPr>
                <w:sz w:val="24"/>
              </w:rPr>
            </w:pPr>
            <w:r>
              <w:rPr>
                <w:sz w:val="24"/>
              </w:rPr>
              <w:t>CP1</w:t>
            </w:r>
          </w:p>
        </w:tc>
        <w:tc>
          <w:tcPr>
            <w:tcW w:w="490" w:type="dxa"/>
          </w:tcPr>
          <w:p>
            <w:pPr>
              <w:pStyle w:val="TableParagraph"/>
              <w:spacing w:before="13"/>
              <w:ind w:left="32" w:right="30"/>
              <w:jc w:val="center"/>
              <w:rPr>
                <w:sz w:val="24"/>
              </w:rPr>
            </w:pPr>
            <w:r>
              <w:rPr>
                <w:sz w:val="24"/>
              </w:rPr>
              <w:t>&lt;---</w:t>
            </w:r>
          </w:p>
        </w:tc>
        <w:tc>
          <w:tcPr>
            <w:tcW w:w="935" w:type="dxa"/>
          </w:tcPr>
          <w:p>
            <w:pPr>
              <w:pStyle w:val="TableParagraph"/>
              <w:spacing w:before="13"/>
              <w:ind w:left="138"/>
              <w:rPr>
                <w:sz w:val="24"/>
              </w:rPr>
            </w:pPr>
            <w:r>
              <w:rPr>
                <w:sz w:val="24"/>
              </w:rPr>
              <w:t>CP</w:t>
            </w:r>
          </w:p>
        </w:tc>
        <w:tc>
          <w:tcPr>
            <w:tcW w:w="1122" w:type="dxa"/>
          </w:tcPr>
          <w:p>
            <w:pPr>
              <w:pStyle w:val="TableParagraph"/>
              <w:spacing w:before="13"/>
              <w:ind w:right="132"/>
              <w:jc w:val="right"/>
              <w:rPr>
                <w:sz w:val="24"/>
              </w:rPr>
            </w:pPr>
            <w:r>
              <w:rPr>
                <w:sz w:val="24"/>
              </w:rPr>
              <w:t>.851</w:t>
            </w:r>
          </w:p>
        </w:tc>
        <w:tc>
          <w:tcPr>
            <w:tcW w:w="700" w:type="dxa"/>
          </w:tcPr>
          <w:p>
            <w:pPr>
              <w:pStyle w:val="TableParagraph"/>
              <w:spacing w:before="13"/>
              <w:ind w:left="116" w:right="113"/>
              <w:jc w:val="center"/>
              <w:rPr>
                <w:sz w:val="24"/>
              </w:rPr>
            </w:pPr>
            <w:r>
              <w:rPr>
                <w:sz w:val="24"/>
              </w:rPr>
              <w:t>.061</w:t>
            </w:r>
          </w:p>
        </w:tc>
        <w:tc>
          <w:tcPr>
            <w:tcW w:w="943" w:type="dxa"/>
          </w:tcPr>
          <w:p>
            <w:pPr>
              <w:pStyle w:val="TableParagraph"/>
              <w:spacing w:before="13"/>
              <w:ind w:left="115" w:right="116"/>
              <w:jc w:val="center"/>
              <w:rPr>
                <w:sz w:val="24"/>
              </w:rPr>
            </w:pPr>
            <w:r>
              <w:rPr>
                <w:sz w:val="24"/>
              </w:rPr>
              <w:t>13.997</w:t>
            </w:r>
          </w:p>
        </w:tc>
        <w:tc>
          <w:tcPr>
            <w:tcW w:w="643" w:type="dxa"/>
          </w:tcPr>
          <w:p>
            <w:pPr>
              <w:pStyle w:val="TableParagraph"/>
              <w:spacing w:before="13"/>
              <w:ind w:right="137"/>
              <w:jc w:val="right"/>
              <w:rPr>
                <w:sz w:val="24"/>
              </w:rPr>
            </w:pPr>
            <w:r>
              <w:rPr>
                <w:sz w:val="24"/>
              </w:rPr>
              <w:t>***</w:t>
            </w:r>
          </w:p>
        </w:tc>
        <w:tc>
          <w:tcPr>
            <w:tcW w:w="828" w:type="dxa"/>
          </w:tcPr>
          <w:p>
            <w:pPr>
              <w:pStyle w:val="TableParagraph"/>
              <w:rPr>
                <w:sz w:val="22"/>
              </w:rPr>
            </w:pPr>
          </w:p>
        </w:tc>
      </w:tr>
      <w:tr>
        <w:trPr>
          <w:trHeight w:val="443" w:hRule="atLeast"/>
        </w:trPr>
        <w:tc>
          <w:tcPr>
            <w:tcW w:w="1008" w:type="dxa"/>
          </w:tcPr>
          <w:p>
            <w:pPr>
              <w:pStyle w:val="TableParagraph"/>
              <w:spacing w:before="15"/>
              <w:ind w:left="55"/>
              <w:rPr>
                <w:sz w:val="24"/>
              </w:rPr>
            </w:pPr>
            <w:r>
              <w:rPr>
                <w:sz w:val="24"/>
              </w:rPr>
              <w:t>CP5</w:t>
            </w:r>
          </w:p>
        </w:tc>
        <w:tc>
          <w:tcPr>
            <w:tcW w:w="490" w:type="dxa"/>
          </w:tcPr>
          <w:p>
            <w:pPr>
              <w:pStyle w:val="TableParagraph"/>
              <w:spacing w:before="15"/>
              <w:ind w:left="32" w:right="30"/>
              <w:jc w:val="center"/>
              <w:rPr>
                <w:sz w:val="24"/>
              </w:rPr>
            </w:pPr>
            <w:r>
              <w:rPr>
                <w:sz w:val="24"/>
              </w:rPr>
              <w:t>&lt;---</w:t>
            </w:r>
          </w:p>
        </w:tc>
        <w:tc>
          <w:tcPr>
            <w:tcW w:w="935" w:type="dxa"/>
          </w:tcPr>
          <w:p>
            <w:pPr>
              <w:pStyle w:val="TableParagraph"/>
              <w:spacing w:before="15"/>
              <w:ind w:left="138"/>
              <w:rPr>
                <w:sz w:val="24"/>
              </w:rPr>
            </w:pPr>
            <w:r>
              <w:rPr>
                <w:sz w:val="24"/>
              </w:rPr>
              <w:t>CP</w:t>
            </w:r>
          </w:p>
        </w:tc>
        <w:tc>
          <w:tcPr>
            <w:tcW w:w="1122" w:type="dxa"/>
          </w:tcPr>
          <w:p>
            <w:pPr>
              <w:pStyle w:val="TableParagraph"/>
              <w:spacing w:before="15"/>
              <w:ind w:right="132"/>
              <w:jc w:val="right"/>
              <w:rPr>
                <w:sz w:val="24"/>
              </w:rPr>
            </w:pPr>
            <w:r>
              <w:rPr>
                <w:sz w:val="24"/>
              </w:rPr>
              <w:t>1.095</w:t>
            </w:r>
          </w:p>
        </w:tc>
        <w:tc>
          <w:tcPr>
            <w:tcW w:w="700" w:type="dxa"/>
          </w:tcPr>
          <w:p>
            <w:pPr>
              <w:pStyle w:val="TableParagraph"/>
              <w:spacing w:before="15"/>
              <w:ind w:left="116" w:right="113"/>
              <w:jc w:val="center"/>
              <w:rPr>
                <w:sz w:val="24"/>
              </w:rPr>
            </w:pPr>
            <w:r>
              <w:rPr>
                <w:sz w:val="24"/>
              </w:rPr>
              <w:t>.070</w:t>
            </w:r>
          </w:p>
        </w:tc>
        <w:tc>
          <w:tcPr>
            <w:tcW w:w="943" w:type="dxa"/>
          </w:tcPr>
          <w:p>
            <w:pPr>
              <w:pStyle w:val="TableParagraph"/>
              <w:spacing w:before="15"/>
              <w:ind w:left="115" w:right="116"/>
              <w:jc w:val="center"/>
              <w:rPr>
                <w:sz w:val="24"/>
              </w:rPr>
            </w:pPr>
            <w:r>
              <w:rPr>
                <w:sz w:val="24"/>
              </w:rPr>
              <w:t>15.569</w:t>
            </w:r>
          </w:p>
        </w:tc>
        <w:tc>
          <w:tcPr>
            <w:tcW w:w="643" w:type="dxa"/>
          </w:tcPr>
          <w:p>
            <w:pPr>
              <w:pStyle w:val="TableParagraph"/>
              <w:spacing w:before="15"/>
              <w:ind w:right="137"/>
              <w:jc w:val="right"/>
              <w:rPr>
                <w:sz w:val="24"/>
              </w:rPr>
            </w:pPr>
            <w:r>
              <w:rPr>
                <w:sz w:val="24"/>
              </w:rPr>
              <w:t>***</w:t>
            </w:r>
          </w:p>
        </w:tc>
        <w:tc>
          <w:tcPr>
            <w:tcW w:w="828" w:type="dxa"/>
          </w:tcPr>
          <w:p>
            <w:pPr>
              <w:pStyle w:val="TableParagraph"/>
              <w:rPr>
                <w:sz w:val="22"/>
              </w:rPr>
            </w:pPr>
          </w:p>
        </w:tc>
      </w:tr>
      <w:tr>
        <w:trPr>
          <w:trHeight w:val="444" w:hRule="atLeast"/>
        </w:trPr>
        <w:tc>
          <w:tcPr>
            <w:tcW w:w="1008" w:type="dxa"/>
          </w:tcPr>
          <w:p>
            <w:pPr>
              <w:pStyle w:val="TableParagraph"/>
              <w:spacing w:before="16"/>
              <w:ind w:left="55"/>
              <w:rPr>
                <w:sz w:val="24"/>
              </w:rPr>
            </w:pPr>
            <w:r>
              <w:rPr>
                <w:sz w:val="24"/>
              </w:rPr>
              <w:t>VT7</w:t>
            </w:r>
          </w:p>
        </w:tc>
        <w:tc>
          <w:tcPr>
            <w:tcW w:w="490" w:type="dxa"/>
          </w:tcPr>
          <w:p>
            <w:pPr>
              <w:pStyle w:val="TableParagraph"/>
              <w:spacing w:before="16"/>
              <w:ind w:left="32" w:right="31"/>
              <w:jc w:val="center"/>
              <w:rPr>
                <w:sz w:val="24"/>
              </w:rPr>
            </w:pPr>
            <w:r>
              <w:rPr>
                <w:sz w:val="24"/>
              </w:rPr>
              <w:t>&lt;---</w:t>
            </w:r>
          </w:p>
        </w:tc>
        <w:tc>
          <w:tcPr>
            <w:tcW w:w="935" w:type="dxa"/>
          </w:tcPr>
          <w:p>
            <w:pPr>
              <w:pStyle w:val="TableParagraph"/>
              <w:spacing w:before="16"/>
              <w:ind w:left="138"/>
              <w:rPr>
                <w:sz w:val="24"/>
              </w:rPr>
            </w:pPr>
            <w:r>
              <w:rPr>
                <w:sz w:val="24"/>
              </w:rPr>
              <w:t>VT</w:t>
            </w:r>
          </w:p>
        </w:tc>
        <w:tc>
          <w:tcPr>
            <w:tcW w:w="1122" w:type="dxa"/>
          </w:tcPr>
          <w:p>
            <w:pPr>
              <w:pStyle w:val="TableParagraph"/>
              <w:spacing w:before="16"/>
              <w:ind w:right="132"/>
              <w:jc w:val="right"/>
              <w:rPr>
                <w:sz w:val="24"/>
              </w:rPr>
            </w:pPr>
            <w:r>
              <w:rPr>
                <w:sz w:val="24"/>
              </w:rPr>
              <w:t>1.000</w:t>
            </w:r>
          </w:p>
        </w:tc>
        <w:tc>
          <w:tcPr>
            <w:tcW w:w="700" w:type="dxa"/>
          </w:tcPr>
          <w:p>
            <w:pPr>
              <w:pStyle w:val="TableParagraph"/>
              <w:rPr>
                <w:sz w:val="22"/>
              </w:rPr>
            </w:pPr>
          </w:p>
        </w:tc>
        <w:tc>
          <w:tcPr>
            <w:tcW w:w="943" w:type="dxa"/>
          </w:tcPr>
          <w:p>
            <w:pPr>
              <w:pStyle w:val="TableParagraph"/>
              <w:rPr>
                <w:sz w:val="22"/>
              </w:rPr>
            </w:pPr>
          </w:p>
        </w:tc>
        <w:tc>
          <w:tcPr>
            <w:tcW w:w="643" w:type="dxa"/>
          </w:tcPr>
          <w:p>
            <w:pPr>
              <w:pStyle w:val="TableParagraph"/>
              <w:rPr>
                <w:sz w:val="22"/>
              </w:rPr>
            </w:pPr>
          </w:p>
        </w:tc>
        <w:tc>
          <w:tcPr>
            <w:tcW w:w="828" w:type="dxa"/>
          </w:tcPr>
          <w:p>
            <w:pPr>
              <w:pStyle w:val="TableParagraph"/>
              <w:rPr>
                <w:sz w:val="22"/>
              </w:rPr>
            </w:pPr>
          </w:p>
        </w:tc>
      </w:tr>
      <w:tr>
        <w:trPr>
          <w:trHeight w:val="446" w:hRule="atLeast"/>
        </w:trPr>
        <w:tc>
          <w:tcPr>
            <w:tcW w:w="1008" w:type="dxa"/>
          </w:tcPr>
          <w:p>
            <w:pPr>
              <w:pStyle w:val="TableParagraph"/>
              <w:spacing w:before="15"/>
              <w:ind w:left="55"/>
              <w:rPr>
                <w:sz w:val="24"/>
              </w:rPr>
            </w:pPr>
            <w:r>
              <w:rPr>
                <w:sz w:val="24"/>
              </w:rPr>
              <w:t>VT2</w:t>
            </w:r>
          </w:p>
        </w:tc>
        <w:tc>
          <w:tcPr>
            <w:tcW w:w="490" w:type="dxa"/>
          </w:tcPr>
          <w:p>
            <w:pPr>
              <w:pStyle w:val="TableParagraph"/>
              <w:spacing w:before="15"/>
              <w:ind w:left="32" w:right="30"/>
              <w:jc w:val="center"/>
              <w:rPr>
                <w:sz w:val="24"/>
              </w:rPr>
            </w:pPr>
            <w:r>
              <w:rPr>
                <w:sz w:val="24"/>
              </w:rPr>
              <w:t>&lt;---</w:t>
            </w:r>
          </w:p>
        </w:tc>
        <w:tc>
          <w:tcPr>
            <w:tcW w:w="935" w:type="dxa"/>
          </w:tcPr>
          <w:p>
            <w:pPr>
              <w:pStyle w:val="TableParagraph"/>
              <w:spacing w:before="15"/>
              <w:ind w:left="138"/>
              <w:rPr>
                <w:sz w:val="24"/>
              </w:rPr>
            </w:pPr>
            <w:r>
              <w:rPr>
                <w:sz w:val="24"/>
              </w:rPr>
              <w:t>VT</w:t>
            </w:r>
          </w:p>
        </w:tc>
        <w:tc>
          <w:tcPr>
            <w:tcW w:w="1122" w:type="dxa"/>
          </w:tcPr>
          <w:p>
            <w:pPr>
              <w:pStyle w:val="TableParagraph"/>
              <w:spacing w:before="15"/>
              <w:ind w:right="132"/>
              <w:jc w:val="right"/>
              <w:rPr>
                <w:sz w:val="24"/>
              </w:rPr>
            </w:pPr>
            <w:r>
              <w:rPr>
                <w:sz w:val="24"/>
              </w:rPr>
              <w:t>.814</w:t>
            </w:r>
          </w:p>
        </w:tc>
        <w:tc>
          <w:tcPr>
            <w:tcW w:w="700" w:type="dxa"/>
          </w:tcPr>
          <w:p>
            <w:pPr>
              <w:pStyle w:val="TableParagraph"/>
              <w:spacing w:before="15"/>
              <w:ind w:left="116" w:right="113"/>
              <w:jc w:val="center"/>
              <w:rPr>
                <w:sz w:val="24"/>
              </w:rPr>
            </w:pPr>
            <w:r>
              <w:rPr>
                <w:sz w:val="24"/>
              </w:rPr>
              <w:t>.050</w:t>
            </w:r>
          </w:p>
        </w:tc>
        <w:tc>
          <w:tcPr>
            <w:tcW w:w="943" w:type="dxa"/>
          </w:tcPr>
          <w:p>
            <w:pPr>
              <w:pStyle w:val="TableParagraph"/>
              <w:spacing w:before="15"/>
              <w:ind w:left="115" w:right="116"/>
              <w:jc w:val="center"/>
              <w:rPr>
                <w:sz w:val="24"/>
              </w:rPr>
            </w:pPr>
            <w:r>
              <w:rPr>
                <w:sz w:val="24"/>
              </w:rPr>
              <w:t>16.380</w:t>
            </w:r>
          </w:p>
        </w:tc>
        <w:tc>
          <w:tcPr>
            <w:tcW w:w="643" w:type="dxa"/>
          </w:tcPr>
          <w:p>
            <w:pPr>
              <w:pStyle w:val="TableParagraph"/>
              <w:spacing w:before="15"/>
              <w:ind w:right="137"/>
              <w:jc w:val="right"/>
              <w:rPr>
                <w:sz w:val="24"/>
              </w:rPr>
            </w:pPr>
            <w:r>
              <w:rPr>
                <w:sz w:val="24"/>
              </w:rPr>
              <w:t>***</w:t>
            </w:r>
          </w:p>
        </w:tc>
        <w:tc>
          <w:tcPr>
            <w:tcW w:w="828" w:type="dxa"/>
          </w:tcPr>
          <w:p>
            <w:pPr>
              <w:pStyle w:val="TableParagraph"/>
              <w:rPr>
                <w:sz w:val="22"/>
              </w:rPr>
            </w:pPr>
          </w:p>
        </w:tc>
      </w:tr>
      <w:tr>
        <w:trPr>
          <w:trHeight w:val="443" w:hRule="atLeast"/>
        </w:trPr>
        <w:tc>
          <w:tcPr>
            <w:tcW w:w="1008" w:type="dxa"/>
          </w:tcPr>
          <w:p>
            <w:pPr>
              <w:pStyle w:val="TableParagraph"/>
              <w:spacing w:before="13"/>
              <w:ind w:left="55"/>
              <w:rPr>
                <w:sz w:val="24"/>
              </w:rPr>
            </w:pPr>
            <w:r>
              <w:rPr>
                <w:sz w:val="24"/>
              </w:rPr>
              <w:t>VT6</w:t>
            </w:r>
          </w:p>
        </w:tc>
        <w:tc>
          <w:tcPr>
            <w:tcW w:w="490" w:type="dxa"/>
          </w:tcPr>
          <w:p>
            <w:pPr>
              <w:pStyle w:val="TableParagraph"/>
              <w:spacing w:before="13"/>
              <w:ind w:left="32" w:right="30"/>
              <w:jc w:val="center"/>
              <w:rPr>
                <w:sz w:val="24"/>
              </w:rPr>
            </w:pPr>
            <w:r>
              <w:rPr>
                <w:sz w:val="24"/>
              </w:rPr>
              <w:t>&lt;---</w:t>
            </w:r>
          </w:p>
        </w:tc>
        <w:tc>
          <w:tcPr>
            <w:tcW w:w="935" w:type="dxa"/>
          </w:tcPr>
          <w:p>
            <w:pPr>
              <w:pStyle w:val="TableParagraph"/>
              <w:spacing w:before="13"/>
              <w:ind w:left="138"/>
              <w:rPr>
                <w:sz w:val="24"/>
              </w:rPr>
            </w:pPr>
            <w:r>
              <w:rPr>
                <w:sz w:val="24"/>
              </w:rPr>
              <w:t>VT</w:t>
            </w:r>
          </w:p>
        </w:tc>
        <w:tc>
          <w:tcPr>
            <w:tcW w:w="1122" w:type="dxa"/>
          </w:tcPr>
          <w:p>
            <w:pPr>
              <w:pStyle w:val="TableParagraph"/>
              <w:spacing w:before="13"/>
              <w:ind w:right="132"/>
              <w:jc w:val="right"/>
              <w:rPr>
                <w:sz w:val="24"/>
              </w:rPr>
            </w:pPr>
            <w:r>
              <w:rPr>
                <w:sz w:val="24"/>
              </w:rPr>
              <w:t>.761</w:t>
            </w:r>
          </w:p>
        </w:tc>
        <w:tc>
          <w:tcPr>
            <w:tcW w:w="700" w:type="dxa"/>
          </w:tcPr>
          <w:p>
            <w:pPr>
              <w:pStyle w:val="TableParagraph"/>
              <w:spacing w:before="13"/>
              <w:ind w:left="116" w:right="113"/>
              <w:jc w:val="center"/>
              <w:rPr>
                <w:sz w:val="24"/>
              </w:rPr>
            </w:pPr>
            <w:r>
              <w:rPr>
                <w:sz w:val="24"/>
              </w:rPr>
              <w:t>.049</w:t>
            </w:r>
          </w:p>
        </w:tc>
        <w:tc>
          <w:tcPr>
            <w:tcW w:w="943" w:type="dxa"/>
          </w:tcPr>
          <w:p>
            <w:pPr>
              <w:pStyle w:val="TableParagraph"/>
              <w:spacing w:before="13"/>
              <w:ind w:left="115" w:right="116"/>
              <w:jc w:val="center"/>
              <w:rPr>
                <w:sz w:val="24"/>
              </w:rPr>
            </w:pPr>
            <w:r>
              <w:rPr>
                <w:sz w:val="24"/>
              </w:rPr>
              <w:t>15.679</w:t>
            </w:r>
          </w:p>
        </w:tc>
        <w:tc>
          <w:tcPr>
            <w:tcW w:w="643" w:type="dxa"/>
          </w:tcPr>
          <w:p>
            <w:pPr>
              <w:pStyle w:val="TableParagraph"/>
              <w:spacing w:before="13"/>
              <w:ind w:right="137"/>
              <w:jc w:val="right"/>
              <w:rPr>
                <w:sz w:val="24"/>
              </w:rPr>
            </w:pPr>
            <w:r>
              <w:rPr>
                <w:sz w:val="24"/>
              </w:rPr>
              <w:t>***</w:t>
            </w:r>
          </w:p>
        </w:tc>
        <w:tc>
          <w:tcPr>
            <w:tcW w:w="828" w:type="dxa"/>
          </w:tcPr>
          <w:p>
            <w:pPr>
              <w:pStyle w:val="TableParagraph"/>
              <w:rPr>
                <w:sz w:val="22"/>
              </w:rPr>
            </w:pPr>
          </w:p>
        </w:tc>
      </w:tr>
      <w:tr>
        <w:trPr>
          <w:trHeight w:val="443" w:hRule="atLeast"/>
        </w:trPr>
        <w:tc>
          <w:tcPr>
            <w:tcW w:w="1008" w:type="dxa"/>
          </w:tcPr>
          <w:p>
            <w:pPr>
              <w:pStyle w:val="TableParagraph"/>
              <w:spacing w:before="13"/>
              <w:ind w:left="55"/>
              <w:rPr>
                <w:sz w:val="24"/>
              </w:rPr>
            </w:pPr>
            <w:r>
              <w:rPr>
                <w:sz w:val="24"/>
              </w:rPr>
              <w:t>VT5</w:t>
            </w:r>
          </w:p>
        </w:tc>
        <w:tc>
          <w:tcPr>
            <w:tcW w:w="490" w:type="dxa"/>
          </w:tcPr>
          <w:p>
            <w:pPr>
              <w:pStyle w:val="TableParagraph"/>
              <w:spacing w:before="13"/>
              <w:ind w:left="32" w:right="30"/>
              <w:jc w:val="center"/>
              <w:rPr>
                <w:sz w:val="24"/>
              </w:rPr>
            </w:pPr>
            <w:r>
              <w:rPr>
                <w:sz w:val="24"/>
              </w:rPr>
              <w:t>&lt;---</w:t>
            </w:r>
          </w:p>
        </w:tc>
        <w:tc>
          <w:tcPr>
            <w:tcW w:w="935" w:type="dxa"/>
          </w:tcPr>
          <w:p>
            <w:pPr>
              <w:pStyle w:val="TableParagraph"/>
              <w:spacing w:before="13"/>
              <w:ind w:left="138"/>
              <w:rPr>
                <w:sz w:val="24"/>
              </w:rPr>
            </w:pPr>
            <w:r>
              <w:rPr>
                <w:sz w:val="24"/>
              </w:rPr>
              <w:t>VT</w:t>
            </w:r>
          </w:p>
        </w:tc>
        <w:tc>
          <w:tcPr>
            <w:tcW w:w="1122" w:type="dxa"/>
          </w:tcPr>
          <w:p>
            <w:pPr>
              <w:pStyle w:val="TableParagraph"/>
              <w:spacing w:before="13"/>
              <w:ind w:right="132"/>
              <w:jc w:val="right"/>
              <w:rPr>
                <w:sz w:val="24"/>
              </w:rPr>
            </w:pPr>
            <w:r>
              <w:rPr>
                <w:sz w:val="24"/>
              </w:rPr>
              <w:t>.948</w:t>
            </w:r>
          </w:p>
        </w:tc>
        <w:tc>
          <w:tcPr>
            <w:tcW w:w="700" w:type="dxa"/>
          </w:tcPr>
          <w:p>
            <w:pPr>
              <w:pStyle w:val="TableParagraph"/>
              <w:spacing w:before="13"/>
              <w:ind w:left="116" w:right="113"/>
              <w:jc w:val="center"/>
              <w:rPr>
                <w:sz w:val="24"/>
              </w:rPr>
            </w:pPr>
            <w:r>
              <w:rPr>
                <w:sz w:val="24"/>
              </w:rPr>
              <w:t>.049</w:t>
            </w:r>
          </w:p>
        </w:tc>
        <w:tc>
          <w:tcPr>
            <w:tcW w:w="943" w:type="dxa"/>
          </w:tcPr>
          <w:p>
            <w:pPr>
              <w:pStyle w:val="TableParagraph"/>
              <w:spacing w:before="13"/>
              <w:ind w:left="115" w:right="116"/>
              <w:jc w:val="center"/>
              <w:rPr>
                <w:sz w:val="24"/>
              </w:rPr>
            </w:pPr>
            <w:r>
              <w:rPr>
                <w:sz w:val="24"/>
              </w:rPr>
              <w:t>19.271</w:t>
            </w:r>
          </w:p>
        </w:tc>
        <w:tc>
          <w:tcPr>
            <w:tcW w:w="643" w:type="dxa"/>
          </w:tcPr>
          <w:p>
            <w:pPr>
              <w:pStyle w:val="TableParagraph"/>
              <w:spacing w:before="13"/>
              <w:ind w:right="137"/>
              <w:jc w:val="right"/>
              <w:rPr>
                <w:sz w:val="24"/>
              </w:rPr>
            </w:pPr>
            <w:r>
              <w:rPr>
                <w:sz w:val="24"/>
              </w:rPr>
              <w:t>***</w:t>
            </w:r>
          </w:p>
        </w:tc>
        <w:tc>
          <w:tcPr>
            <w:tcW w:w="828" w:type="dxa"/>
          </w:tcPr>
          <w:p>
            <w:pPr>
              <w:pStyle w:val="TableParagraph"/>
              <w:rPr>
                <w:sz w:val="22"/>
              </w:rPr>
            </w:pPr>
          </w:p>
        </w:tc>
      </w:tr>
      <w:tr>
        <w:trPr>
          <w:trHeight w:val="443" w:hRule="atLeast"/>
        </w:trPr>
        <w:tc>
          <w:tcPr>
            <w:tcW w:w="1008" w:type="dxa"/>
          </w:tcPr>
          <w:p>
            <w:pPr>
              <w:pStyle w:val="TableParagraph"/>
              <w:spacing w:before="13"/>
              <w:ind w:left="55"/>
              <w:rPr>
                <w:sz w:val="24"/>
              </w:rPr>
            </w:pPr>
            <w:r>
              <w:rPr>
                <w:sz w:val="24"/>
              </w:rPr>
              <w:t>VT9</w:t>
            </w:r>
          </w:p>
        </w:tc>
        <w:tc>
          <w:tcPr>
            <w:tcW w:w="490" w:type="dxa"/>
          </w:tcPr>
          <w:p>
            <w:pPr>
              <w:pStyle w:val="TableParagraph"/>
              <w:spacing w:before="13"/>
              <w:ind w:left="32" w:right="31"/>
              <w:jc w:val="center"/>
              <w:rPr>
                <w:sz w:val="24"/>
              </w:rPr>
            </w:pPr>
            <w:r>
              <w:rPr>
                <w:sz w:val="24"/>
              </w:rPr>
              <w:t>&lt;---</w:t>
            </w:r>
          </w:p>
        </w:tc>
        <w:tc>
          <w:tcPr>
            <w:tcW w:w="935" w:type="dxa"/>
          </w:tcPr>
          <w:p>
            <w:pPr>
              <w:pStyle w:val="TableParagraph"/>
              <w:spacing w:before="13"/>
              <w:ind w:left="138"/>
              <w:rPr>
                <w:sz w:val="24"/>
              </w:rPr>
            </w:pPr>
            <w:r>
              <w:rPr>
                <w:sz w:val="24"/>
              </w:rPr>
              <w:t>VT</w:t>
            </w:r>
          </w:p>
        </w:tc>
        <w:tc>
          <w:tcPr>
            <w:tcW w:w="1122" w:type="dxa"/>
          </w:tcPr>
          <w:p>
            <w:pPr>
              <w:pStyle w:val="TableParagraph"/>
              <w:spacing w:before="13"/>
              <w:ind w:right="132"/>
              <w:jc w:val="right"/>
              <w:rPr>
                <w:sz w:val="24"/>
              </w:rPr>
            </w:pPr>
            <w:r>
              <w:rPr>
                <w:sz w:val="24"/>
              </w:rPr>
              <w:t>.886</w:t>
            </w:r>
          </w:p>
        </w:tc>
        <w:tc>
          <w:tcPr>
            <w:tcW w:w="700" w:type="dxa"/>
          </w:tcPr>
          <w:p>
            <w:pPr>
              <w:pStyle w:val="TableParagraph"/>
              <w:spacing w:before="13"/>
              <w:ind w:left="116" w:right="113"/>
              <w:jc w:val="center"/>
              <w:rPr>
                <w:sz w:val="24"/>
              </w:rPr>
            </w:pPr>
            <w:r>
              <w:rPr>
                <w:sz w:val="24"/>
              </w:rPr>
              <w:t>.051</w:t>
            </w:r>
          </w:p>
        </w:tc>
        <w:tc>
          <w:tcPr>
            <w:tcW w:w="943" w:type="dxa"/>
          </w:tcPr>
          <w:p>
            <w:pPr>
              <w:pStyle w:val="TableParagraph"/>
              <w:spacing w:before="13"/>
              <w:ind w:left="115" w:right="116"/>
              <w:jc w:val="center"/>
              <w:rPr>
                <w:sz w:val="24"/>
              </w:rPr>
            </w:pPr>
            <w:r>
              <w:rPr>
                <w:sz w:val="24"/>
              </w:rPr>
              <w:t>17.255</w:t>
            </w:r>
          </w:p>
        </w:tc>
        <w:tc>
          <w:tcPr>
            <w:tcW w:w="643" w:type="dxa"/>
          </w:tcPr>
          <w:p>
            <w:pPr>
              <w:pStyle w:val="TableParagraph"/>
              <w:spacing w:before="13"/>
              <w:ind w:right="137"/>
              <w:jc w:val="right"/>
              <w:rPr>
                <w:sz w:val="24"/>
              </w:rPr>
            </w:pPr>
            <w:r>
              <w:rPr>
                <w:sz w:val="24"/>
              </w:rPr>
              <w:t>***</w:t>
            </w:r>
          </w:p>
        </w:tc>
        <w:tc>
          <w:tcPr>
            <w:tcW w:w="828" w:type="dxa"/>
          </w:tcPr>
          <w:p>
            <w:pPr>
              <w:pStyle w:val="TableParagraph"/>
              <w:rPr>
                <w:sz w:val="22"/>
              </w:rPr>
            </w:pPr>
          </w:p>
        </w:tc>
      </w:tr>
      <w:tr>
        <w:trPr>
          <w:trHeight w:val="443" w:hRule="atLeast"/>
        </w:trPr>
        <w:tc>
          <w:tcPr>
            <w:tcW w:w="1008" w:type="dxa"/>
          </w:tcPr>
          <w:p>
            <w:pPr>
              <w:pStyle w:val="TableParagraph"/>
              <w:spacing w:before="13"/>
              <w:ind w:left="55"/>
              <w:rPr>
                <w:sz w:val="24"/>
              </w:rPr>
            </w:pPr>
            <w:r>
              <w:rPr>
                <w:sz w:val="24"/>
              </w:rPr>
              <w:t>VT3</w:t>
            </w:r>
          </w:p>
        </w:tc>
        <w:tc>
          <w:tcPr>
            <w:tcW w:w="490" w:type="dxa"/>
          </w:tcPr>
          <w:p>
            <w:pPr>
              <w:pStyle w:val="TableParagraph"/>
              <w:spacing w:before="13"/>
              <w:ind w:left="32" w:right="31"/>
              <w:jc w:val="center"/>
              <w:rPr>
                <w:sz w:val="24"/>
              </w:rPr>
            </w:pPr>
            <w:r>
              <w:rPr>
                <w:sz w:val="24"/>
              </w:rPr>
              <w:t>&lt;---</w:t>
            </w:r>
          </w:p>
        </w:tc>
        <w:tc>
          <w:tcPr>
            <w:tcW w:w="935" w:type="dxa"/>
          </w:tcPr>
          <w:p>
            <w:pPr>
              <w:pStyle w:val="TableParagraph"/>
              <w:spacing w:before="13"/>
              <w:ind w:left="138"/>
              <w:rPr>
                <w:sz w:val="24"/>
              </w:rPr>
            </w:pPr>
            <w:r>
              <w:rPr>
                <w:sz w:val="24"/>
              </w:rPr>
              <w:t>VT</w:t>
            </w:r>
          </w:p>
        </w:tc>
        <w:tc>
          <w:tcPr>
            <w:tcW w:w="1122" w:type="dxa"/>
          </w:tcPr>
          <w:p>
            <w:pPr>
              <w:pStyle w:val="TableParagraph"/>
              <w:spacing w:before="13"/>
              <w:ind w:right="132"/>
              <w:jc w:val="right"/>
              <w:rPr>
                <w:sz w:val="24"/>
              </w:rPr>
            </w:pPr>
            <w:r>
              <w:rPr>
                <w:sz w:val="24"/>
              </w:rPr>
              <w:t>.832</w:t>
            </w:r>
          </w:p>
        </w:tc>
        <w:tc>
          <w:tcPr>
            <w:tcW w:w="700" w:type="dxa"/>
          </w:tcPr>
          <w:p>
            <w:pPr>
              <w:pStyle w:val="TableParagraph"/>
              <w:spacing w:before="13"/>
              <w:ind w:left="116" w:right="113"/>
              <w:jc w:val="center"/>
              <w:rPr>
                <w:sz w:val="24"/>
              </w:rPr>
            </w:pPr>
            <w:r>
              <w:rPr>
                <w:sz w:val="24"/>
              </w:rPr>
              <w:t>.050</w:t>
            </w:r>
          </w:p>
        </w:tc>
        <w:tc>
          <w:tcPr>
            <w:tcW w:w="943" w:type="dxa"/>
          </w:tcPr>
          <w:p>
            <w:pPr>
              <w:pStyle w:val="TableParagraph"/>
              <w:spacing w:before="13"/>
              <w:ind w:left="115" w:right="116"/>
              <w:jc w:val="center"/>
              <w:rPr>
                <w:sz w:val="24"/>
              </w:rPr>
            </w:pPr>
            <w:r>
              <w:rPr>
                <w:sz w:val="24"/>
              </w:rPr>
              <w:t>16.616</w:t>
            </w:r>
          </w:p>
        </w:tc>
        <w:tc>
          <w:tcPr>
            <w:tcW w:w="643" w:type="dxa"/>
          </w:tcPr>
          <w:p>
            <w:pPr>
              <w:pStyle w:val="TableParagraph"/>
              <w:spacing w:before="13"/>
              <w:ind w:right="137"/>
              <w:jc w:val="right"/>
              <w:rPr>
                <w:sz w:val="24"/>
              </w:rPr>
            </w:pPr>
            <w:r>
              <w:rPr>
                <w:sz w:val="24"/>
              </w:rPr>
              <w:t>***</w:t>
            </w:r>
          </w:p>
        </w:tc>
        <w:tc>
          <w:tcPr>
            <w:tcW w:w="828" w:type="dxa"/>
          </w:tcPr>
          <w:p>
            <w:pPr>
              <w:pStyle w:val="TableParagraph"/>
              <w:rPr>
                <w:sz w:val="22"/>
              </w:rPr>
            </w:pPr>
          </w:p>
        </w:tc>
      </w:tr>
      <w:tr>
        <w:trPr>
          <w:trHeight w:val="443" w:hRule="atLeast"/>
        </w:trPr>
        <w:tc>
          <w:tcPr>
            <w:tcW w:w="1008" w:type="dxa"/>
          </w:tcPr>
          <w:p>
            <w:pPr>
              <w:pStyle w:val="TableParagraph"/>
              <w:spacing w:before="15"/>
              <w:ind w:left="55"/>
              <w:rPr>
                <w:sz w:val="24"/>
              </w:rPr>
            </w:pPr>
            <w:r>
              <w:rPr>
                <w:sz w:val="24"/>
              </w:rPr>
              <w:t>HT5</w:t>
            </w:r>
          </w:p>
        </w:tc>
        <w:tc>
          <w:tcPr>
            <w:tcW w:w="490" w:type="dxa"/>
          </w:tcPr>
          <w:p>
            <w:pPr>
              <w:pStyle w:val="TableParagraph"/>
              <w:spacing w:before="15"/>
              <w:ind w:left="32" w:right="31"/>
              <w:jc w:val="center"/>
              <w:rPr>
                <w:sz w:val="24"/>
              </w:rPr>
            </w:pPr>
            <w:r>
              <w:rPr>
                <w:sz w:val="24"/>
              </w:rPr>
              <w:t>&lt;---</w:t>
            </w:r>
          </w:p>
        </w:tc>
        <w:tc>
          <w:tcPr>
            <w:tcW w:w="935" w:type="dxa"/>
          </w:tcPr>
          <w:p>
            <w:pPr>
              <w:pStyle w:val="TableParagraph"/>
              <w:spacing w:before="15"/>
              <w:ind w:left="138"/>
              <w:rPr>
                <w:sz w:val="24"/>
              </w:rPr>
            </w:pPr>
            <w:r>
              <w:rPr>
                <w:sz w:val="24"/>
              </w:rPr>
              <w:t>HT</w:t>
            </w:r>
          </w:p>
        </w:tc>
        <w:tc>
          <w:tcPr>
            <w:tcW w:w="1122" w:type="dxa"/>
          </w:tcPr>
          <w:p>
            <w:pPr>
              <w:pStyle w:val="TableParagraph"/>
              <w:spacing w:before="15"/>
              <w:ind w:right="132"/>
              <w:jc w:val="right"/>
              <w:rPr>
                <w:sz w:val="24"/>
              </w:rPr>
            </w:pPr>
            <w:r>
              <w:rPr>
                <w:sz w:val="24"/>
              </w:rPr>
              <w:t>1.000</w:t>
            </w:r>
          </w:p>
        </w:tc>
        <w:tc>
          <w:tcPr>
            <w:tcW w:w="700" w:type="dxa"/>
          </w:tcPr>
          <w:p>
            <w:pPr>
              <w:pStyle w:val="TableParagraph"/>
              <w:rPr>
                <w:sz w:val="22"/>
              </w:rPr>
            </w:pPr>
          </w:p>
        </w:tc>
        <w:tc>
          <w:tcPr>
            <w:tcW w:w="943" w:type="dxa"/>
          </w:tcPr>
          <w:p>
            <w:pPr>
              <w:pStyle w:val="TableParagraph"/>
              <w:rPr>
                <w:sz w:val="22"/>
              </w:rPr>
            </w:pPr>
          </w:p>
        </w:tc>
        <w:tc>
          <w:tcPr>
            <w:tcW w:w="643" w:type="dxa"/>
          </w:tcPr>
          <w:p>
            <w:pPr>
              <w:pStyle w:val="TableParagraph"/>
              <w:rPr>
                <w:sz w:val="22"/>
              </w:rPr>
            </w:pPr>
          </w:p>
        </w:tc>
        <w:tc>
          <w:tcPr>
            <w:tcW w:w="828" w:type="dxa"/>
          </w:tcPr>
          <w:p>
            <w:pPr>
              <w:pStyle w:val="TableParagraph"/>
              <w:rPr>
                <w:sz w:val="22"/>
              </w:rPr>
            </w:pPr>
          </w:p>
        </w:tc>
      </w:tr>
    </w:tbl>
    <w:p>
      <w:pPr>
        <w:spacing w:after="0"/>
        <w:rPr>
          <w:sz w:val="22"/>
        </w:rPr>
        <w:sectPr>
          <w:pgSz w:w="11910" w:h="16850"/>
          <w:pgMar w:header="751" w:footer="0" w:top="960" w:bottom="280" w:left="820" w:right="240"/>
        </w:sectPr>
      </w:pPr>
    </w:p>
    <w:p>
      <w:pPr>
        <w:pStyle w:val="BodyText"/>
        <w:spacing w:before="9"/>
        <w:rPr>
          <w:b/>
          <w:sz w:val="23"/>
        </w:rPr>
      </w:pPr>
    </w:p>
    <w:tbl>
      <w:tblPr>
        <w:tblW w:w="0" w:type="auto"/>
        <w:jc w:val="left"/>
        <w:tblInd w:w="74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1008"/>
        <w:gridCol w:w="490"/>
        <w:gridCol w:w="935"/>
        <w:gridCol w:w="1122"/>
        <w:gridCol w:w="700"/>
        <w:gridCol w:w="943"/>
        <w:gridCol w:w="643"/>
        <w:gridCol w:w="828"/>
      </w:tblGrid>
      <w:tr>
        <w:trPr>
          <w:trHeight w:val="443" w:hRule="atLeast"/>
        </w:trPr>
        <w:tc>
          <w:tcPr>
            <w:tcW w:w="1008" w:type="dxa"/>
          </w:tcPr>
          <w:p>
            <w:pPr>
              <w:pStyle w:val="TableParagraph"/>
              <w:rPr>
                <w:sz w:val="22"/>
              </w:rPr>
            </w:pPr>
          </w:p>
        </w:tc>
        <w:tc>
          <w:tcPr>
            <w:tcW w:w="490" w:type="dxa"/>
          </w:tcPr>
          <w:p>
            <w:pPr>
              <w:pStyle w:val="TableParagraph"/>
              <w:rPr>
                <w:sz w:val="22"/>
              </w:rPr>
            </w:pPr>
          </w:p>
        </w:tc>
        <w:tc>
          <w:tcPr>
            <w:tcW w:w="935" w:type="dxa"/>
          </w:tcPr>
          <w:p>
            <w:pPr>
              <w:pStyle w:val="TableParagraph"/>
              <w:rPr>
                <w:sz w:val="22"/>
              </w:rPr>
            </w:pPr>
          </w:p>
        </w:tc>
        <w:tc>
          <w:tcPr>
            <w:tcW w:w="1122" w:type="dxa"/>
          </w:tcPr>
          <w:p>
            <w:pPr>
              <w:pStyle w:val="TableParagraph"/>
              <w:spacing w:before="15"/>
              <w:ind w:right="131"/>
              <w:jc w:val="right"/>
              <w:rPr>
                <w:sz w:val="24"/>
              </w:rPr>
            </w:pPr>
            <w:r>
              <w:rPr>
                <w:w w:val="95"/>
                <w:sz w:val="24"/>
              </w:rPr>
              <w:t>Estimate</w:t>
            </w:r>
          </w:p>
        </w:tc>
        <w:tc>
          <w:tcPr>
            <w:tcW w:w="700" w:type="dxa"/>
          </w:tcPr>
          <w:p>
            <w:pPr>
              <w:pStyle w:val="TableParagraph"/>
              <w:spacing w:before="15"/>
              <w:ind w:left="116" w:right="94"/>
              <w:jc w:val="center"/>
              <w:rPr>
                <w:sz w:val="24"/>
              </w:rPr>
            </w:pPr>
            <w:r>
              <w:rPr>
                <w:sz w:val="24"/>
              </w:rPr>
              <w:t>S.E.</w:t>
            </w:r>
          </w:p>
        </w:tc>
        <w:tc>
          <w:tcPr>
            <w:tcW w:w="943" w:type="dxa"/>
          </w:tcPr>
          <w:p>
            <w:pPr>
              <w:pStyle w:val="TableParagraph"/>
              <w:spacing w:before="15"/>
              <w:ind w:right="132"/>
              <w:jc w:val="right"/>
              <w:rPr>
                <w:sz w:val="24"/>
              </w:rPr>
            </w:pPr>
            <w:r>
              <w:rPr>
                <w:sz w:val="24"/>
              </w:rPr>
              <w:t>C.R.</w:t>
            </w:r>
          </w:p>
        </w:tc>
        <w:tc>
          <w:tcPr>
            <w:tcW w:w="643" w:type="dxa"/>
          </w:tcPr>
          <w:p>
            <w:pPr>
              <w:pStyle w:val="TableParagraph"/>
              <w:spacing w:before="15"/>
              <w:ind w:right="138"/>
              <w:jc w:val="right"/>
              <w:rPr>
                <w:sz w:val="24"/>
              </w:rPr>
            </w:pPr>
            <w:r>
              <w:rPr>
                <w:w w:val="99"/>
                <w:sz w:val="24"/>
              </w:rPr>
              <w:t>P</w:t>
            </w:r>
          </w:p>
        </w:tc>
        <w:tc>
          <w:tcPr>
            <w:tcW w:w="828" w:type="dxa"/>
          </w:tcPr>
          <w:p>
            <w:pPr>
              <w:pStyle w:val="TableParagraph"/>
              <w:spacing w:before="15"/>
              <w:ind w:left="130"/>
              <w:rPr>
                <w:sz w:val="24"/>
              </w:rPr>
            </w:pPr>
            <w:r>
              <w:rPr>
                <w:sz w:val="24"/>
              </w:rPr>
              <w:t>Label</w:t>
            </w:r>
          </w:p>
        </w:tc>
      </w:tr>
      <w:tr>
        <w:trPr>
          <w:trHeight w:val="446" w:hRule="atLeast"/>
        </w:trPr>
        <w:tc>
          <w:tcPr>
            <w:tcW w:w="1008" w:type="dxa"/>
          </w:tcPr>
          <w:p>
            <w:pPr>
              <w:pStyle w:val="TableParagraph"/>
              <w:spacing w:before="16"/>
              <w:ind w:left="55"/>
              <w:rPr>
                <w:sz w:val="24"/>
              </w:rPr>
            </w:pPr>
            <w:r>
              <w:rPr>
                <w:sz w:val="24"/>
              </w:rPr>
              <w:t>HT4</w:t>
            </w:r>
          </w:p>
        </w:tc>
        <w:tc>
          <w:tcPr>
            <w:tcW w:w="490" w:type="dxa"/>
          </w:tcPr>
          <w:p>
            <w:pPr>
              <w:pStyle w:val="TableParagraph"/>
              <w:spacing w:before="16"/>
              <w:ind w:left="32" w:right="31"/>
              <w:jc w:val="center"/>
              <w:rPr>
                <w:sz w:val="24"/>
              </w:rPr>
            </w:pPr>
            <w:r>
              <w:rPr>
                <w:sz w:val="24"/>
              </w:rPr>
              <w:t>&lt;---</w:t>
            </w:r>
          </w:p>
        </w:tc>
        <w:tc>
          <w:tcPr>
            <w:tcW w:w="935" w:type="dxa"/>
          </w:tcPr>
          <w:p>
            <w:pPr>
              <w:pStyle w:val="TableParagraph"/>
              <w:spacing w:before="16"/>
              <w:ind w:left="138"/>
              <w:rPr>
                <w:sz w:val="24"/>
              </w:rPr>
            </w:pPr>
            <w:r>
              <w:rPr>
                <w:sz w:val="24"/>
              </w:rPr>
              <w:t>HT</w:t>
            </w:r>
          </w:p>
        </w:tc>
        <w:tc>
          <w:tcPr>
            <w:tcW w:w="1122" w:type="dxa"/>
          </w:tcPr>
          <w:p>
            <w:pPr>
              <w:pStyle w:val="TableParagraph"/>
              <w:spacing w:before="16"/>
              <w:ind w:right="132"/>
              <w:jc w:val="right"/>
              <w:rPr>
                <w:sz w:val="24"/>
              </w:rPr>
            </w:pPr>
            <w:r>
              <w:rPr>
                <w:sz w:val="24"/>
              </w:rPr>
              <w:t>.998</w:t>
            </w:r>
          </w:p>
        </w:tc>
        <w:tc>
          <w:tcPr>
            <w:tcW w:w="700" w:type="dxa"/>
          </w:tcPr>
          <w:p>
            <w:pPr>
              <w:pStyle w:val="TableParagraph"/>
              <w:spacing w:before="16"/>
              <w:ind w:left="116" w:right="113"/>
              <w:jc w:val="center"/>
              <w:rPr>
                <w:sz w:val="24"/>
              </w:rPr>
            </w:pPr>
            <w:r>
              <w:rPr>
                <w:sz w:val="24"/>
              </w:rPr>
              <w:t>.046</w:t>
            </w:r>
          </w:p>
        </w:tc>
        <w:tc>
          <w:tcPr>
            <w:tcW w:w="943" w:type="dxa"/>
          </w:tcPr>
          <w:p>
            <w:pPr>
              <w:pStyle w:val="TableParagraph"/>
              <w:spacing w:before="16"/>
              <w:ind w:right="136"/>
              <w:jc w:val="right"/>
              <w:rPr>
                <w:sz w:val="24"/>
              </w:rPr>
            </w:pPr>
            <w:r>
              <w:rPr>
                <w:sz w:val="24"/>
              </w:rPr>
              <w:t>21.723</w:t>
            </w:r>
          </w:p>
        </w:tc>
        <w:tc>
          <w:tcPr>
            <w:tcW w:w="643" w:type="dxa"/>
          </w:tcPr>
          <w:p>
            <w:pPr>
              <w:pStyle w:val="TableParagraph"/>
              <w:spacing w:before="16"/>
              <w:ind w:right="137"/>
              <w:jc w:val="right"/>
              <w:rPr>
                <w:sz w:val="24"/>
              </w:rPr>
            </w:pPr>
            <w:r>
              <w:rPr>
                <w:sz w:val="24"/>
              </w:rPr>
              <w:t>***</w:t>
            </w:r>
          </w:p>
        </w:tc>
        <w:tc>
          <w:tcPr>
            <w:tcW w:w="828" w:type="dxa"/>
          </w:tcPr>
          <w:p>
            <w:pPr>
              <w:pStyle w:val="TableParagraph"/>
              <w:rPr>
                <w:sz w:val="22"/>
              </w:rPr>
            </w:pPr>
          </w:p>
        </w:tc>
      </w:tr>
      <w:tr>
        <w:trPr>
          <w:trHeight w:val="443" w:hRule="atLeast"/>
        </w:trPr>
        <w:tc>
          <w:tcPr>
            <w:tcW w:w="1008" w:type="dxa"/>
          </w:tcPr>
          <w:p>
            <w:pPr>
              <w:pStyle w:val="TableParagraph"/>
              <w:spacing w:before="13"/>
              <w:ind w:left="55"/>
              <w:rPr>
                <w:sz w:val="24"/>
              </w:rPr>
            </w:pPr>
            <w:r>
              <w:rPr>
                <w:sz w:val="24"/>
              </w:rPr>
              <w:t>HT6</w:t>
            </w:r>
          </w:p>
        </w:tc>
        <w:tc>
          <w:tcPr>
            <w:tcW w:w="490" w:type="dxa"/>
          </w:tcPr>
          <w:p>
            <w:pPr>
              <w:pStyle w:val="TableParagraph"/>
              <w:spacing w:before="13"/>
              <w:ind w:left="32" w:right="31"/>
              <w:jc w:val="center"/>
              <w:rPr>
                <w:sz w:val="24"/>
              </w:rPr>
            </w:pPr>
            <w:r>
              <w:rPr>
                <w:sz w:val="24"/>
              </w:rPr>
              <w:t>&lt;---</w:t>
            </w:r>
          </w:p>
        </w:tc>
        <w:tc>
          <w:tcPr>
            <w:tcW w:w="935" w:type="dxa"/>
          </w:tcPr>
          <w:p>
            <w:pPr>
              <w:pStyle w:val="TableParagraph"/>
              <w:spacing w:before="13"/>
              <w:ind w:left="138"/>
              <w:rPr>
                <w:sz w:val="24"/>
              </w:rPr>
            </w:pPr>
            <w:r>
              <w:rPr>
                <w:sz w:val="24"/>
              </w:rPr>
              <w:t>HT</w:t>
            </w:r>
          </w:p>
        </w:tc>
        <w:tc>
          <w:tcPr>
            <w:tcW w:w="1122" w:type="dxa"/>
          </w:tcPr>
          <w:p>
            <w:pPr>
              <w:pStyle w:val="TableParagraph"/>
              <w:spacing w:before="13"/>
              <w:ind w:right="132"/>
              <w:jc w:val="right"/>
              <w:rPr>
                <w:sz w:val="24"/>
              </w:rPr>
            </w:pPr>
            <w:r>
              <w:rPr>
                <w:sz w:val="24"/>
              </w:rPr>
              <w:t>.829</w:t>
            </w:r>
          </w:p>
        </w:tc>
        <w:tc>
          <w:tcPr>
            <w:tcW w:w="700" w:type="dxa"/>
          </w:tcPr>
          <w:p>
            <w:pPr>
              <w:pStyle w:val="TableParagraph"/>
              <w:spacing w:before="13"/>
              <w:ind w:left="116" w:right="113"/>
              <w:jc w:val="center"/>
              <w:rPr>
                <w:sz w:val="24"/>
              </w:rPr>
            </w:pPr>
            <w:r>
              <w:rPr>
                <w:sz w:val="24"/>
              </w:rPr>
              <w:t>.044</w:t>
            </w:r>
          </w:p>
        </w:tc>
        <w:tc>
          <w:tcPr>
            <w:tcW w:w="943" w:type="dxa"/>
          </w:tcPr>
          <w:p>
            <w:pPr>
              <w:pStyle w:val="TableParagraph"/>
              <w:spacing w:before="13"/>
              <w:ind w:right="136"/>
              <w:jc w:val="right"/>
              <w:rPr>
                <w:sz w:val="24"/>
              </w:rPr>
            </w:pPr>
            <w:r>
              <w:rPr>
                <w:sz w:val="24"/>
              </w:rPr>
              <w:t>18.865</w:t>
            </w:r>
          </w:p>
        </w:tc>
        <w:tc>
          <w:tcPr>
            <w:tcW w:w="643" w:type="dxa"/>
          </w:tcPr>
          <w:p>
            <w:pPr>
              <w:pStyle w:val="TableParagraph"/>
              <w:spacing w:before="13"/>
              <w:ind w:right="137"/>
              <w:jc w:val="right"/>
              <w:rPr>
                <w:sz w:val="24"/>
              </w:rPr>
            </w:pPr>
            <w:r>
              <w:rPr>
                <w:sz w:val="24"/>
              </w:rPr>
              <w:t>***</w:t>
            </w:r>
          </w:p>
        </w:tc>
        <w:tc>
          <w:tcPr>
            <w:tcW w:w="828" w:type="dxa"/>
          </w:tcPr>
          <w:p>
            <w:pPr>
              <w:pStyle w:val="TableParagraph"/>
              <w:rPr>
                <w:sz w:val="22"/>
              </w:rPr>
            </w:pPr>
          </w:p>
        </w:tc>
      </w:tr>
      <w:tr>
        <w:trPr>
          <w:trHeight w:val="443" w:hRule="atLeast"/>
        </w:trPr>
        <w:tc>
          <w:tcPr>
            <w:tcW w:w="1008" w:type="dxa"/>
          </w:tcPr>
          <w:p>
            <w:pPr>
              <w:pStyle w:val="TableParagraph"/>
              <w:spacing w:before="13"/>
              <w:ind w:left="55"/>
              <w:rPr>
                <w:sz w:val="24"/>
              </w:rPr>
            </w:pPr>
            <w:r>
              <w:rPr>
                <w:sz w:val="24"/>
              </w:rPr>
              <w:t>HT2</w:t>
            </w:r>
          </w:p>
        </w:tc>
        <w:tc>
          <w:tcPr>
            <w:tcW w:w="490" w:type="dxa"/>
          </w:tcPr>
          <w:p>
            <w:pPr>
              <w:pStyle w:val="TableParagraph"/>
              <w:spacing w:before="13"/>
              <w:ind w:left="32" w:right="31"/>
              <w:jc w:val="center"/>
              <w:rPr>
                <w:sz w:val="24"/>
              </w:rPr>
            </w:pPr>
            <w:r>
              <w:rPr>
                <w:sz w:val="24"/>
              </w:rPr>
              <w:t>&lt;---</w:t>
            </w:r>
          </w:p>
        </w:tc>
        <w:tc>
          <w:tcPr>
            <w:tcW w:w="935" w:type="dxa"/>
          </w:tcPr>
          <w:p>
            <w:pPr>
              <w:pStyle w:val="TableParagraph"/>
              <w:spacing w:before="13"/>
              <w:ind w:left="138"/>
              <w:rPr>
                <w:sz w:val="24"/>
              </w:rPr>
            </w:pPr>
            <w:r>
              <w:rPr>
                <w:sz w:val="24"/>
              </w:rPr>
              <w:t>HT</w:t>
            </w:r>
          </w:p>
        </w:tc>
        <w:tc>
          <w:tcPr>
            <w:tcW w:w="1122" w:type="dxa"/>
          </w:tcPr>
          <w:p>
            <w:pPr>
              <w:pStyle w:val="TableParagraph"/>
              <w:spacing w:before="13"/>
              <w:ind w:right="132"/>
              <w:jc w:val="right"/>
              <w:rPr>
                <w:sz w:val="24"/>
              </w:rPr>
            </w:pPr>
            <w:r>
              <w:rPr>
                <w:sz w:val="24"/>
              </w:rPr>
              <w:t>.632</w:t>
            </w:r>
          </w:p>
        </w:tc>
        <w:tc>
          <w:tcPr>
            <w:tcW w:w="700" w:type="dxa"/>
          </w:tcPr>
          <w:p>
            <w:pPr>
              <w:pStyle w:val="TableParagraph"/>
              <w:spacing w:before="13"/>
              <w:ind w:left="116" w:right="113"/>
              <w:jc w:val="center"/>
              <w:rPr>
                <w:sz w:val="24"/>
              </w:rPr>
            </w:pPr>
            <w:r>
              <w:rPr>
                <w:sz w:val="24"/>
              </w:rPr>
              <w:t>.051</w:t>
            </w:r>
          </w:p>
        </w:tc>
        <w:tc>
          <w:tcPr>
            <w:tcW w:w="943" w:type="dxa"/>
          </w:tcPr>
          <w:p>
            <w:pPr>
              <w:pStyle w:val="TableParagraph"/>
              <w:spacing w:before="13"/>
              <w:ind w:right="136"/>
              <w:jc w:val="right"/>
              <w:rPr>
                <w:sz w:val="24"/>
              </w:rPr>
            </w:pPr>
            <w:r>
              <w:rPr>
                <w:sz w:val="24"/>
              </w:rPr>
              <w:t>12.343</w:t>
            </w:r>
          </w:p>
        </w:tc>
        <w:tc>
          <w:tcPr>
            <w:tcW w:w="643" w:type="dxa"/>
          </w:tcPr>
          <w:p>
            <w:pPr>
              <w:pStyle w:val="TableParagraph"/>
              <w:spacing w:before="13"/>
              <w:ind w:right="137"/>
              <w:jc w:val="right"/>
              <w:rPr>
                <w:sz w:val="24"/>
              </w:rPr>
            </w:pPr>
            <w:r>
              <w:rPr>
                <w:sz w:val="24"/>
              </w:rPr>
              <w:t>***</w:t>
            </w:r>
          </w:p>
        </w:tc>
        <w:tc>
          <w:tcPr>
            <w:tcW w:w="828" w:type="dxa"/>
          </w:tcPr>
          <w:p>
            <w:pPr>
              <w:pStyle w:val="TableParagraph"/>
              <w:rPr>
                <w:sz w:val="22"/>
              </w:rPr>
            </w:pPr>
          </w:p>
        </w:tc>
      </w:tr>
      <w:tr>
        <w:trPr>
          <w:trHeight w:val="443" w:hRule="atLeast"/>
        </w:trPr>
        <w:tc>
          <w:tcPr>
            <w:tcW w:w="1008" w:type="dxa"/>
          </w:tcPr>
          <w:p>
            <w:pPr>
              <w:pStyle w:val="TableParagraph"/>
              <w:spacing w:before="13"/>
              <w:ind w:left="55"/>
              <w:rPr>
                <w:sz w:val="24"/>
              </w:rPr>
            </w:pPr>
            <w:r>
              <w:rPr>
                <w:sz w:val="24"/>
              </w:rPr>
              <w:t>HT1</w:t>
            </w:r>
          </w:p>
        </w:tc>
        <w:tc>
          <w:tcPr>
            <w:tcW w:w="490" w:type="dxa"/>
          </w:tcPr>
          <w:p>
            <w:pPr>
              <w:pStyle w:val="TableParagraph"/>
              <w:spacing w:before="13"/>
              <w:ind w:left="32" w:right="31"/>
              <w:jc w:val="center"/>
              <w:rPr>
                <w:sz w:val="24"/>
              </w:rPr>
            </w:pPr>
            <w:r>
              <w:rPr>
                <w:sz w:val="24"/>
              </w:rPr>
              <w:t>&lt;---</w:t>
            </w:r>
          </w:p>
        </w:tc>
        <w:tc>
          <w:tcPr>
            <w:tcW w:w="935" w:type="dxa"/>
          </w:tcPr>
          <w:p>
            <w:pPr>
              <w:pStyle w:val="TableParagraph"/>
              <w:spacing w:before="13"/>
              <w:ind w:left="138"/>
              <w:rPr>
                <w:sz w:val="24"/>
              </w:rPr>
            </w:pPr>
            <w:r>
              <w:rPr>
                <w:sz w:val="24"/>
              </w:rPr>
              <w:t>HT</w:t>
            </w:r>
          </w:p>
        </w:tc>
        <w:tc>
          <w:tcPr>
            <w:tcW w:w="1122" w:type="dxa"/>
          </w:tcPr>
          <w:p>
            <w:pPr>
              <w:pStyle w:val="TableParagraph"/>
              <w:spacing w:before="13"/>
              <w:ind w:right="132"/>
              <w:jc w:val="right"/>
              <w:rPr>
                <w:sz w:val="24"/>
              </w:rPr>
            </w:pPr>
            <w:r>
              <w:rPr>
                <w:sz w:val="24"/>
              </w:rPr>
              <w:t>.638</w:t>
            </w:r>
          </w:p>
        </w:tc>
        <w:tc>
          <w:tcPr>
            <w:tcW w:w="700" w:type="dxa"/>
          </w:tcPr>
          <w:p>
            <w:pPr>
              <w:pStyle w:val="TableParagraph"/>
              <w:spacing w:before="13"/>
              <w:ind w:left="116" w:right="113"/>
              <w:jc w:val="center"/>
              <w:rPr>
                <w:sz w:val="24"/>
              </w:rPr>
            </w:pPr>
            <w:r>
              <w:rPr>
                <w:sz w:val="24"/>
              </w:rPr>
              <w:t>.048</w:t>
            </w:r>
          </w:p>
        </w:tc>
        <w:tc>
          <w:tcPr>
            <w:tcW w:w="943" w:type="dxa"/>
          </w:tcPr>
          <w:p>
            <w:pPr>
              <w:pStyle w:val="TableParagraph"/>
              <w:spacing w:before="13"/>
              <w:ind w:right="136"/>
              <w:jc w:val="right"/>
              <w:rPr>
                <w:sz w:val="24"/>
              </w:rPr>
            </w:pPr>
            <w:r>
              <w:rPr>
                <w:sz w:val="24"/>
              </w:rPr>
              <w:t>13.166</w:t>
            </w:r>
          </w:p>
        </w:tc>
        <w:tc>
          <w:tcPr>
            <w:tcW w:w="643" w:type="dxa"/>
          </w:tcPr>
          <w:p>
            <w:pPr>
              <w:pStyle w:val="TableParagraph"/>
              <w:spacing w:before="13"/>
              <w:ind w:right="137"/>
              <w:jc w:val="right"/>
              <w:rPr>
                <w:sz w:val="24"/>
              </w:rPr>
            </w:pPr>
            <w:r>
              <w:rPr>
                <w:sz w:val="24"/>
              </w:rPr>
              <w:t>***</w:t>
            </w:r>
          </w:p>
        </w:tc>
        <w:tc>
          <w:tcPr>
            <w:tcW w:w="828" w:type="dxa"/>
          </w:tcPr>
          <w:p>
            <w:pPr>
              <w:pStyle w:val="TableParagraph"/>
              <w:rPr>
                <w:sz w:val="22"/>
              </w:rPr>
            </w:pPr>
          </w:p>
        </w:tc>
      </w:tr>
      <w:tr>
        <w:trPr>
          <w:trHeight w:val="443" w:hRule="atLeast"/>
        </w:trPr>
        <w:tc>
          <w:tcPr>
            <w:tcW w:w="1008" w:type="dxa"/>
          </w:tcPr>
          <w:p>
            <w:pPr>
              <w:pStyle w:val="TableParagraph"/>
              <w:spacing w:before="13"/>
              <w:ind w:left="55"/>
              <w:rPr>
                <w:sz w:val="24"/>
              </w:rPr>
            </w:pPr>
            <w:r>
              <w:rPr>
                <w:sz w:val="24"/>
              </w:rPr>
              <w:t>HT7</w:t>
            </w:r>
          </w:p>
        </w:tc>
        <w:tc>
          <w:tcPr>
            <w:tcW w:w="490" w:type="dxa"/>
          </w:tcPr>
          <w:p>
            <w:pPr>
              <w:pStyle w:val="TableParagraph"/>
              <w:spacing w:before="13"/>
              <w:ind w:left="32" w:right="31"/>
              <w:jc w:val="center"/>
              <w:rPr>
                <w:sz w:val="24"/>
              </w:rPr>
            </w:pPr>
            <w:r>
              <w:rPr>
                <w:sz w:val="24"/>
              </w:rPr>
              <w:t>&lt;---</w:t>
            </w:r>
          </w:p>
        </w:tc>
        <w:tc>
          <w:tcPr>
            <w:tcW w:w="935" w:type="dxa"/>
          </w:tcPr>
          <w:p>
            <w:pPr>
              <w:pStyle w:val="TableParagraph"/>
              <w:spacing w:before="13"/>
              <w:ind w:left="138"/>
              <w:rPr>
                <w:sz w:val="24"/>
              </w:rPr>
            </w:pPr>
            <w:r>
              <w:rPr>
                <w:sz w:val="24"/>
              </w:rPr>
              <w:t>HT</w:t>
            </w:r>
          </w:p>
        </w:tc>
        <w:tc>
          <w:tcPr>
            <w:tcW w:w="1122" w:type="dxa"/>
          </w:tcPr>
          <w:p>
            <w:pPr>
              <w:pStyle w:val="TableParagraph"/>
              <w:spacing w:before="13"/>
              <w:ind w:right="132"/>
              <w:jc w:val="right"/>
              <w:rPr>
                <w:sz w:val="24"/>
              </w:rPr>
            </w:pPr>
            <w:r>
              <w:rPr>
                <w:sz w:val="24"/>
              </w:rPr>
              <w:t>.537</w:t>
            </w:r>
          </w:p>
        </w:tc>
        <w:tc>
          <w:tcPr>
            <w:tcW w:w="700" w:type="dxa"/>
          </w:tcPr>
          <w:p>
            <w:pPr>
              <w:pStyle w:val="TableParagraph"/>
              <w:spacing w:before="13"/>
              <w:ind w:left="116" w:right="113"/>
              <w:jc w:val="center"/>
              <w:rPr>
                <w:sz w:val="24"/>
              </w:rPr>
            </w:pPr>
            <w:r>
              <w:rPr>
                <w:sz w:val="24"/>
              </w:rPr>
              <w:t>.051</w:t>
            </w:r>
          </w:p>
        </w:tc>
        <w:tc>
          <w:tcPr>
            <w:tcW w:w="943" w:type="dxa"/>
          </w:tcPr>
          <w:p>
            <w:pPr>
              <w:pStyle w:val="TableParagraph"/>
              <w:spacing w:before="13"/>
              <w:ind w:right="136"/>
              <w:jc w:val="right"/>
              <w:rPr>
                <w:sz w:val="24"/>
              </w:rPr>
            </w:pPr>
            <w:r>
              <w:rPr>
                <w:sz w:val="24"/>
              </w:rPr>
              <w:t>10.421</w:t>
            </w:r>
          </w:p>
        </w:tc>
        <w:tc>
          <w:tcPr>
            <w:tcW w:w="643" w:type="dxa"/>
          </w:tcPr>
          <w:p>
            <w:pPr>
              <w:pStyle w:val="TableParagraph"/>
              <w:spacing w:before="13"/>
              <w:ind w:right="137"/>
              <w:jc w:val="right"/>
              <w:rPr>
                <w:sz w:val="24"/>
              </w:rPr>
            </w:pPr>
            <w:r>
              <w:rPr>
                <w:sz w:val="24"/>
              </w:rPr>
              <w:t>***</w:t>
            </w:r>
          </w:p>
        </w:tc>
        <w:tc>
          <w:tcPr>
            <w:tcW w:w="828" w:type="dxa"/>
          </w:tcPr>
          <w:p>
            <w:pPr>
              <w:pStyle w:val="TableParagraph"/>
              <w:rPr>
                <w:sz w:val="22"/>
              </w:rPr>
            </w:pPr>
          </w:p>
        </w:tc>
      </w:tr>
      <w:tr>
        <w:trPr>
          <w:trHeight w:val="443" w:hRule="atLeast"/>
        </w:trPr>
        <w:tc>
          <w:tcPr>
            <w:tcW w:w="1008" w:type="dxa"/>
          </w:tcPr>
          <w:p>
            <w:pPr>
              <w:pStyle w:val="TableParagraph"/>
              <w:spacing w:before="15"/>
              <w:ind w:left="55"/>
              <w:rPr>
                <w:sz w:val="24"/>
              </w:rPr>
            </w:pPr>
            <w:r>
              <w:rPr>
                <w:sz w:val="24"/>
              </w:rPr>
              <w:t>ND1</w:t>
            </w:r>
          </w:p>
        </w:tc>
        <w:tc>
          <w:tcPr>
            <w:tcW w:w="490" w:type="dxa"/>
          </w:tcPr>
          <w:p>
            <w:pPr>
              <w:pStyle w:val="TableParagraph"/>
              <w:spacing w:before="15"/>
              <w:ind w:left="32" w:right="30"/>
              <w:jc w:val="center"/>
              <w:rPr>
                <w:sz w:val="24"/>
              </w:rPr>
            </w:pPr>
            <w:r>
              <w:rPr>
                <w:sz w:val="24"/>
              </w:rPr>
              <w:t>&lt;---</w:t>
            </w:r>
          </w:p>
        </w:tc>
        <w:tc>
          <w:tcPr>
            <w:tcW w:w="935" w:type="dxa"/>
          </w:tcPr>
          <w:p>
            <w:pPr>
              <w:pStyle w:val="TableParagraph"/>
              <w:spacing w:before="15"/>
              <w:ind w:left="138"/>
              <w:rPr>
                <w:sz w:val="24"/>
              </w:rPr>
            </w:pPr>
            <w:r>
              <w:rPr>
                <w:sz w:val="24"/>
              </w:rPr>
              <w:t>ND</w:t>
            </w:r>
          </w:p>
        </w:tc>
        <w:tc>
          <w:tcPr>
            <w:tcW w:w="1122" w:type="dxa"/>
          </w:tcPr>
          <w:p>
            <w:pPr>
              <w:pStyle w:val="TableParagraph"/>
              <w:spacing w:before="15"/>
              <w:ind w:right="132"/>
              <w:jc w:val="right"/>
              <w:rPr>
                <w:sz w:val="24"/>
              </w:rPr>
            </w:pPr>
            <w:r>
              <w:rPr>
                <w:sz w:val="24"/>
              </w:rPr>
              <w:t>1.000</w:t>
            </w:r>
          </w:p>
        </w:tc>
        <w:tc>
          <w:tcPr>
            <w:tcW w:w="700" w:type="dxa"/>
          </w:tcPr>
          <w:p>
            <w:pPr>
              <w:pStyle w:val="TableParagraph"/>
              <w:rPr>
                <w:sz w:val="22"/>
              </w:rPr>
            </w:pPr>
          </w:p>
        </w:tc>
        <w:tc>
          <w:tcPr>
            <w:tcW w:w="943" w:type="dxa"/>
          </w:tcPr>
          <w:p>
            <w:pPr>
              <w:pStyle w:val="TableParagraph"/>
              <w:rPr>
                <w:sz w:val="22"/>
              </w:rPr>
            </w:pPr>
          </w:p>
        </w:tc>
        <w:tc>
          <w:tcPr>
            <w:tcW w:w="643" w:type="dxa"/>
          </w:tcPr>
          <w:p>
            <w:pPr>
              <w:pStyle w:val="TableParagraph"/>
              <w:rPr>
                <w:sz w:val="22"/>
              </w:rPr>
            </w:pPr>
          </w:p>
        </w:tc>
        <w:tc>
          <w:tcPr>
            <w:tcW w:w="828" w:type="dxa"/>
          </w:tcPr>
          <w:p>
            <w:pPr>
              <w:pStyle w:val="TableParagraph"/>
              <w:rPr>
                <w:sz w:val="22"/>
              </w:rPr>
            </w:pPr>
          </w:p>
        </w:tc>
      </w:tr>
      <w:tr>
        <w:trPr>
          <w:trHeight w:val="443" w:hRule="atLeast"/>
        </w:trPr>
        <w:tc>
          <w:tcPr>
            <w:tcW w:w="1008" w:type="dxa"/>
          </w:tcPr>
          <w:p>
            <w:pPr>
              <w:pStyle w:val="TableParagraph"/>
              <w:spacing w:before="15"/>
              <w:ind w:left="55"/>
              <w:rPr>
                <w:sz w:val="24"/>
              </w:rPr>
            </w:pPr>
            <w:r>
              <w:rPr>
                <w:sz w:val="24"/>
              </w:rPr>
              <w:t>ND2</w:t>
            </w:r>
          </w:p>
        </w:tc>
        <w:tc>
          <w:tcPr>
            <w:tcW w:w="490" w:type="dxa"/>
          </w:tcPr>
          <w:p>
            <w:pPr>
              <w:pStyle w:val="TableParagraph"/>
              <w:spacing w:before="15"/>
              <w:ind w:left="32" w:right="31"/>
              <w:jc w:val="center"/>
              <w:rPr>
                <w:sz w:val="24"/>
              </w:rPr>
            </w:pPr>
            <w:r>
              <w:rPr>
                <w:sz w:val="24"/>
              </w:rPr>
              <w:t>&lt;---</w:t>
            </w:r>
          </w:p>
        </w:tc>
        <w:tc>
          <w:tcPr>
            <w:tcW w:w="935" w:type="dxa"/>
          </w:tcPr>
          <w:p>
            <w:pPr>
              <w:pStyle w:val="TableParagraph"/>
              <w:spacing w:before="15"/>
              <w:ind w:left="138"/>
              <w:rPr>
                <w:sz w:val="24"/>
              </w:rPr>
            </w:pPr>
            <w:r>
              <w:rPr>
                <w:sz w:val="24"/>
              </w:rPr>
              <w:t>ND</w:t>
            </w:r>
          </w:p>
        </w:tc>
        <w:tc>
          <w:tcPr>
            <w:tcW w:w="1122" w:type="dxa"/>
          </w:tcPr>
          <w:p>
            <w:pPr>
              <w:pStyle w:val="TableParagraph"/>
              <w:spacing w:before="15"/>
              <w:ind w:right="132"/>
              <w:jc w:val="right"/>
              <w:rPr>
                <w:sz w:val="24"/>
              </w:rPr>
            </w:pPr>
            <w:r>
              <w:rPr>
                <w:sz w:val="24"/>
              </w:rPr>
              <w:t>.883</w:t>
            </w:r>
          </w:p>
        </w:tc>
        <w:tc>
          <w:tcPr>
            <w:tcW w:w="700" w:type="dxa"/>
          </w:tcPr>
          <w:p>
            <w:pPr>
              <w:pStyle w:val="TableParagraph"/>
              <w:spacing w:before="15"/>
              <w:ind w:left="116" w:right="113"/>
              <w:jc w:val="center"/>
              <w:rPr>
                <w:sz w:val="24"/>
              </w:rPr>
            </w:pPr>
            <w:r>
              <w:rPr>
                <w:sz w:val="24"/>
              </w:rPr>
              <w:t>.057</w:t>
            </w:r>
          </w:p>
        </w:tc>
        <w:tc>
          <w:tcPr>
            <w:tcW w:w="943" w:type="dxa"/>
          </w:tcPr>
          <w:p>
            <w:pPr>
              <w:pStyle w:val="TableParagraph"/>
              <w:spacing w:before="15"/>
              <w:ind w:right="136"/>
              <w:jc w:val="right"/>
              <w:rPr>
                <w:sz w:val="24"/>
              </w:rPr>
            </w:pPr>
            <w:r>
              <w:rPr>
                <w:sz w:val="24"/>
              </w:rPr>
              <w:t>15.444</w:t>
            </w:r>
          </w:p>
        </w:tc>
        <w:tc>
          <w:tcPr>
            <w:tcW w:w="643" w:type="dxa"/>
          </w:tcPr>
          <w:p>
            <w:pPr>
              <w:pStyle w:val="TableParagraph"/>
              <w:spacing w:before="15"/>
              <w:ind w:right="137"/>
              <w:jc w:val="right"/>
              <w:rPr>
                <w:sz w:val="24"/>
              </w:rPr>
            </w:pPr>
            <w:r>
              <w:rPr>
                <w:sz w:val="24"/>
              </w:rPr>
              <w:t>***</w:t>
            </w:r>
          </w:p>
        </w:tc>
        <w:tc>
          <w:tcPr>
            <w:tcW w:w="828" w:type="dxa"/>
          </w:tcPr>
          <w:p>
            <w:pPr>
              <w:pStyle w:val="TableParagraph"/>
              <w:rPr>
                <w:sz w:val="22"/>
              </w:rPr>
            </w:pPr>
          </w:p>
        </w:tc>
      </w:tr>
      <w:tr>
        <w:trPr>
          <w:trHeight w:val="443" w:hRule="atLeast"/>
        </w:trPr>
        <w:tc>
          <w:tcPr>
            <w:tcW w:w="1008" w:type="dxa"/>
            <w:tcBorders>
              <w:bottom w:val="single" w:sz="6" w:space="0" w:color="000000"/>
            </w:tcBorders>
          </w:tcPr>
          <w:p>
            <w:pPr>
              <w:pStyle w:val="TableParagraph"/>
              <w:spacing w:before="15"/>
              <w:ind w:left="55"/>
              <w:rPr>
                <w:sz w:val="24"/>
              </w:rPr>
            </w:pPr>
            <w:r>
              <w:rPr>
                <w:sz w:val="24"/>
              </w:rPr>
              <w:t>ND5</w:t>
            </w:r>
          </w:p>
        </w:tc>
        <w:tc>
          <w:tcPr>
            <w:tcW w:w="490" w:type="dxa"/>
            <w:tcBorders>
              <w:bottom w:val="single" w:sz="6" w:space="0" w:color="000000"/>
            </w:tcBorders>
          </w:tcPr>
          <w:p>
            <w:pPr>
              <w:pStyle w:val="TableParagraph"/>
              <w:spacing w:before="15"/>
              <w:ind w:left="32" w:right="30"/>
              <w:jc w:val="center"/>
              <w:rPr>
                <w:sz w:val="24"/>
              </w:rPr>
            </w:pPr>
            <w:r>
              <w:rPr>
                <w:sz w:val="24"/>
              </w:rPr>
              <w:t>&lt;---</w:t>
            </w:r>
          </w:p>
        </w:tc>
        <w:tc>
          <w:tcPr>
            <w:tcW w:w="935" w:type="dxa"/>
            <w:tcBorders>
              <w:bottom w:val="single" w:sz="6" w:space="0" w:color="000000"/>
            </w:tcBorders>
          </w:tcPr>
          <w:p>
            <w:pPr>
              <w:pStyle w:val="TableParagraph"/>
              <w:spacing w:before="15"/>
              <w:ind w:left="138"/>
              <w:rPr>
                <w:sz w:val="24"/>
              </w:rPr>
            </w:pPr>
            <w:r>
              <w:rPr>
                <w:sz w:val="24"/>
              </w:rPr>
              <w:t>ND</w:t>
            </w:r>
          </w:p>
        </w:tc>
        <w:tc>
          <w:tcPr>
            <w:tcW w:w="1122" w:type="dxa"/>
            <w:tcBorders>
              <w:bottom w:val="single" w:sz="6" w:space="0" w:color="000000"/>
            </w:tcBorders>
          </w:tcPr>
          <w:p>
            <w:pPr>
              <w:pStyle w:val="TableParagraph"/>
              <w:spacing w:before="15"/>
              <w:ind w:right="132"/>
              <w:jc w:val="right"/>
              <w:rPr>
                <w:sz w:val="24"/>
              </w:rPr>
            </w:pPr>
            <w:r>
              <w:rPr>
                <w:sz w:val="24"/>
              </w:rPr>
              <w:t>.984</w:t>
            </w:r>
          </w:p>
        </w:tc>
        <w:tc>
          <w:tcPr>
            <w:tcW w:w="700" w:type="dxa"/>
            <w:tcBorders>
              <w:bottom w:val="single" w:sz="6" w:space="0" w:color="000000"/>
            </w:tcBorders>
          </w:tcPr>
          <w:p>
            <w:pPr>
              <w:pStyle w:val="TableParagraph"/>
              <w:spacing w:before="15"/>
              <w:ind w:left="116" w:right="113"/>
              <w:jc w:val="center"/>
              <w:rPr>
                <w:sz w:val="24"/>
              </w:rPr>
            </w:pPr>
            <w:r>
              <w:rPr>
                <w:sz w:val="24"/>
              </w:rPr>
              <w:t>.068</w:t>
            </w:r>
          </w:p>
        </w:tc>
        <w:tc>
          <w:tcPr>
            <w:tcW w:w="943" w:type="dxa"/>
            <w:tcBorders>
              <w:bottom w:val="single" w:sz="6" w:space="0" w:color="000000"/>
            </w:tcBorders>
          </w:tcPr>
          <w:p>
            <w:pPr>
              <w:pStyle w:val="TableParagraph"/>
              <w:spacing w:before="15"/>
              <w:ind w:right="136"/>
              <w:jc w:val="right"/>
              <w:rPr>
                <w:sz w:val="24"/>
              </w:rPr>
            </w:pPr>
            <w:r>
              <w:rPr>
                <w:sz w:val="24"/>
              </w:rPr>
              <w:t>14.487</w:t>
            </w:r>
          </w:p>
        </w:tc>
        <w:tc>
          <w:tcPr>
            <w:tcW w:w="643" w:type="dxa"/>
            <w:tcBorders>
              <w:bottom w:val="single" w:sz="6" w:space="0" w:color="000000"/>
            </w:tcBorders>
          </w:tcPr>
          <w:p>
            <w:pPr>
              <w:pStyle w:val="TableParagraph"/>
              <w:spacing w:before="15"/>
              <w:ind w:right="137"/>
              <w:jc w:val="right"/>
              <w:rPr>
                <w:sz w:val="24"/>
              </w:rPr>
            </w:pPr>
            <w:r>
              <w:rPr>
                <w:sz w:val="24"/>
              </w:rPr>
              <w:t>***</w:t>
            </w:r>
          </w:p>
        </w:tc>
        <w:tc>
          <w:tcPr>
            <w:tcW w:w="828" w:type="dxa"/>
            <w:tcBorders>
              <w:bottom w:val="single" w:sz="6" w:space="0" w:color="000000"/>
            </w:tcBorders>
          </w:tcPr>
          <w:p>
            <w:pPr>
              <w:pStyle w:val="TableParagraph"/>
              <w:rPr>
                <w:sz w:val="22"/>
              </w:rPr>
            </w:pPr>
          </w:p>
        </w:tc>
      </w:tr>
      <w:tr>
        <w:trPr>
          <w:trHeight w:val="441" w:hRule="atLeast"/>
        </w:trPr>
        <w:tc>
          <w:tcPr>
            <w:tcW w:w="1008" w:type="dxa"/>
            <w:tcBorders>
              <w:top w:val="single" w:sz="6" w:space="0" w:color="000000"/>
            </w:tcBorders>
          </w:tcPr>
          <w:p>
            <w:pPr>
              <w:pStyle w:val="TableParagraph"/>
              <w:spacing w:before="11"/>
              <w:ind w:left="55"/>
              <w:rPr>
                <w:sz w:val="24"/>
              </w:rPr>
            </w:pPr>
            <w:r>
              <w:rPr>
                <w:sz w:val="24"/>
              </w:rPr>
              <w:t>ND4</w:t>
            </w:r>
          </w:p>
        </w:tc>
        <w:tc>
          <w:tcPr>
            <w:tcW w:w="490" w:type="dxa"/>
            <w:tcBorders>
              <w:top w:val="single" w:sz="6" w:space="0" w:color="000000"/>
            </w:tcBorders>
          </w:tcPr>
          <w:p>
            <w:pPr>
              <w:pStyle w:val="TableParagraph"/>
              <w:spacing w:before="11"/>
              <w:ind w:left="32" w:right="31"/>
              <w:jc w:val="center"/>
              <w:rPr>
                <w:sz w:val="24"/>
              </w:rPr>
            </w:pPr>
            <w:r>
              <w:rPr>
                <w:sz w:val="24"/>
              </w:rPr>
              <w:t>&lt;---</w:t>
            </w:r>
          </w:p>
        </w:tc>
        <w:tc>
          <w:tcPr>
            <w:tcW w:w="935" w:type="dxa"/>
            <w:tcBorders>
              <w:top w:val="single" w:sz="6" w:space="0" w:color="000000"/>
            </w:tcBorders>
          </w:tcPr>
          <w:p>
            <w:pPr>
              <w:pStyle w:val="TableParagraph"/>
              <w:spacing w:before="11"/>
              <w:ind w:left="138"/>
              <w:rPr>
                <w:sz w:val="24"/>
              </w:rPr>
            </w:pPr>
            <w:r>
              <w:rPr>
                <w:sz w:val="24"/>
              </w:rPr>
              <w:t>ND</w:t>
            </w:r>
          </w:p>
        </w:tc>
        <w:tc>
          <w:tcPr>
            <w:tcW w:w="1122" w:type="dxa"/>
            <w:tcBorders>
              <w:top w:val="single" w:sz="6" w:space="0" w:color="000000"/>
            </w:tcBorders>
          </w:tcPr>
          <w:p>
            <w:pPr>
              <w:pStyle w:val="TableParagraph"/>
              <w:spacing w:before="11"/>
              <w:ind w:right="132"/>
              <w:jc w:val="right"/>
              <w:rPr>
                <w:sz w:val="24"/>
              </w:rPr>
            </w:pPr>
            <w:r>
              <w:rPr>
                <w:sz w:val="24"/>
              </w:rPr>
              <w:t>1.012</w:t>
            </w:r>
          </w:p>
        </w:tc>
        <w:tc>
          <w:tcPr>
            <w:tcW w:w="700" w:type="dxa"/>
            <w:tcBorders>
              <w:top w:val="single" w:sz="6" w:space="0" w:color="000000"/>
            </w:tcBorders>
          </w:tcPr>
          <w:p>
            <w:pPr>
              <w:pStyle w:val="TableParagraph"/>
              <w:spacing w:before="11"/>
              <w:ind w:left="116" w:right="113"/>
              <w:jc w:val="center"/>
              <w:rPr>
                <w:sz w:val="24"/>
              </w:rPr>
            </w:pPr>
            <w:r>
              <w:rPr>
                <w:sz w:val="24"/>
              </w:rPr>
              <w:t>.058</w:t>
            </w:r>
          </w:p>
        </w:tc>
        <w:tc>
          <w:tcPr>
            <w:tcW w:w="943" w:type="dxa"/>
            <w:tcBorders>
              <w:top w:val="single" w:sz="6" w:space="0" w:color="000000"/>
            </w:tcBorders>
          </w:tcPr>
          <w:p>
            <w:pPr>
              <w:pStyle w:val="TableParagraph"/>
              <w:spacing w:before="11"/>
              <w:ind w:right="136"/>
              <w:jc w:val="right"/>
              <w:rPr>
                <w:sz w:val="24"/>
              </w:rPr>
            </w:pPr>
            <w:r>
              <w:rPr>
                <w:sz w:val="24"/>
              </w:rPr>
              <w:t>17.380</w:t>
            </w:r>
          </w:p>
        </w:tc>
        <w:tc>
          <w:tcPr>
            <w:tcW w:w="643" w:type="dxa"/>
            <w:tcBorders>
              <w:top w:val="single" w:sz="6" w:space="0" w:color="000000"/>
            </w:tcBorders>
          </w:tcPr>
          <w:p>
            <w:pPr>
              <w:pStyle w:val="TableParagraph"/>
              <w:spacing w:before="11"/>
              <w:ind w:right="137"/>
              <w:jc w:val="right"/>
              <w:rPr>
                <w:sz w:val="24"/>
              </w:rPr>
            </w:pPr>
            <w:r>
              <w:rPr>
                <w:sz w:val="24"/>
              </w:rPr>
              <w:t>***</w:t>
            </w:r>
          </w:p>
        </w:tc>
        <w:tc>
          <w:tcPr>
            <w:tcW w:w="828" w:type="dxa"/>
            <w:tcBorders>
              <w:top w:val="single" w:sz="6" w:space="0" w:color="000000"/>
            </w:tcBorders>
          </w:tcPr>
          <w:p>
            <w:pPr>
              <w:pStyle w:val="TableParagraph"/>
              <w:rPr>
                <w:sz w:val="22"/>
              </w:rPr>
            </w:pPr>
          </w:p>
        </w:tc>
      </w:tr>
      <w:tr>
        <w:trPr>
          <w:trHeight w:val="443" w:hRule="atLeast"/>
        </w:trPr>
        <w:tc>
          <w:tcPr>
            <w:tcW w:w="1008" w:type="dxa"/>
          </w:tcPr>
          <w:p>
            <w:pPr>
              <w:pStyle w:val="TableParagraph"/>
              <w:spacing w:before="13"/>
              <w:ind w:left="55"/>
              <w:rPr>
                <w:sz w:val="24"/>
              </w:rPr>
            </w:pPr>
            <w:r>
              <w:rPr>
                <w:sz w:val="24"/>
              </w:rPr>
              <w:t>ND3</w:t>
            </w:r>
          </w:p>
        </w:tc>
        <w:tc>
          <w:tcPr>
            <w:tcW w:w="490" w:type="dxa"/>
          </w:tcPr>
          <w:p>
            <w:pPr>
              <w:pStyle w:val="TableParagraph"/>
              <w:spacing w:before="13"/>
              <w:ind w:left="32" w:right="31"/>
              <w:jc w:val="center"/>
              <w:rPr>
                <w:sz w:val="24"/>
              </w:rPr>
            </w:pPr>
            <w:r>
              <w:rPr>
                <w:sz w:val="24"/>
              </w:rPr>
              <w:t>&lt;---</w:t>
            </w:r>
          </w:p>
        </w:tc>
        <w:tc>
          <w:tcPr>
            <w:tcW w:w="935" w:type="dxa"/>
          </w:tcPr>
          <w:p>
            <w:pPr>
              <w:pStyle w:val="TableParagraph"/>
              <w:spacing w:before="13"/>
              <w:ind w:left="138"/>
              <w:rPr>
                <w:sz w:val="24"/>
              </w:rPr>
            </w:pPr>
            <w:r>
              <w:rPr>
                <w:sz w:val="24"/>
              </w:rPr>
              <w:t>ND</w:t>
            </w:r>
          </w:p>
        </w:tc>
        <w:tc>
          <w:tcPr>
            <w:tcW w:w="1122" w:type="dxa"/>
          </w:tcPr>
          <w:p>
            <w:pPr>
              <w:pStyle w:val="TableParagraph"/>
              <w:spacing w:before="13"/>
              <w:ind w:right="132"/>
              <w:jc w:val="right"/>
              <w:rPr>
                <w:sz w:val="24"/>
              </w:rPr>
            </w:pPr>
            <w:r>
              <w:rPr>
                <w:sz w:val="24"/>
              </w:rPr>
              <w:t>.798</w:t>
            </w:r>
          </w:p>
        </w:tc>
        <w:tc>
          <w:tcPr>
            <w:tcW w:w="700" w:type="dxa"/>
          </w:tcPr>
          <w:p>
            <w:pPr>
              <w:pStyle w:val="TableParagraph"/>
              <w:spacing w:before="13"/>
              <w:ind w:left="116" w:right="113"/>
              <w:jc w:val="center"/>
              <w:rPr>
                <w:sz w:val="24"/>
              </w:rPr>
            </w:pPr>
            <w:r>
              <w:rPr>
                <w:sz w:val="24"/>
              </w:rPr>
              <w:t>.052</w:t>
            </w:r>
          </w:p>
        </w:tc>
        <w:tc>
          <w:tcPr>
            <w:tcW w:w="943" w:type="dxa"/>
          </w:tcPr>
          <w:p>
            <w:pPr>
              <w:pStyle w:val="TableParagraph"/>
              <w:spacing w:before="13"/>
              <w:ind w:right="136"/>
              <w:jc w:val="right"/>
              <w:rPr>
                <w:sz w:val="24"/>
              </w:rPr>
            </w:pPr>
            <w:r>
              <w:rPr>
                <w:sz w:val="24"/>
              </w:rPr>
              <w:t>15.389</w:t>
            </w:r>
          </w:p>
        </w:tc>
        <w:tc>
          <w:tcPr>
            <w:tcW w:w="643" w:type="dxa"/>
          </w:tcPr>
          <w:p>
            <w:pPr>
              <w:pStyle w:val="TableParagraph"/>
              <w:spacing w:before="13"/>
              <w:ind w:right="137"/>
              <w:jc w:val="right"/>
              <w:rPr>
                <w:sz w:val="24"/>
              </w:rPr>
            </w:pPr>
            <w:r>
              <w:rPr>
                <w:sz w:val="24"/>
              </w:rPr>
              <w:t>***</w:t>
            </w:r>
          </w:p>
        </w:tc>
        <w:tc>
          <w:tcPr>
            <w:tcW w:w="828" w:type="dxa"/>
          </w:tcPr>
          <w:p>
            <w:pPr>
              <w:pStyle w:val="TableParagraph"/>
              <w:rPr>
                <w:sz w:val="22"/>
              </w:rPr>
            </w:pPr>
          </w:p>
        </w:tc>
      </w:tr>
      <w:tr>
        <w:trPr>
          <w:trHeight w:val="443" w:hRule="atLeast"/>
        </w:trPr>
        <w:tc>
          <w:tcPr>
            <w:tcW w:w="1008" w:type="dxa"/>
          </w:tcPr>
          <w:p>
            <w:pPr>
              <w:pStyle w:val="TableParagraph"/>
              <w:spacing w:before="13"/>
              <w:ind w:left="55"/>
              <w:rPr>
                <w:sz w:val="24"/>
              </w:rPr>
            </w:pPr>
            <w:r>
              <w:rPr>
                <w:sz w:val="24"/>
              </w:rPr>
              <w:t>TC1</w:t>
            </w:r>
          </w:p>
        </w:tc>
        <w:tc>
          <w:tcPr>
            <w:tcW w:w="490" w:type="dxa"/>
          </w:tcPr>
          <w:p>
            <w:pPr>
              <w:pStyle w:val="TableParagraph"/>
              <w:spacing w:before="13"/>
              <w:ind w:left="32" w:right="31"/>
              <w:jc w:val="center"/>
              <w:rPr>
                <w:sz w:val="24"/>
              </w:rPr>
            </w:pPr>
            <w:r>
              <w:rPr>
                <w:sz w:val="24"/>
              </w:rPr>
              <w:t>&lt;---</w:t>
            </w:r>
          </w:p>
        </w:tc>
        <w:tc>
          <w:tcPr>
            <w:tcW w:w="935" w:type="dxa"/>
          </w:tcPr>
          <w:p>
            <w:pPr>
              <w:pStyle w:val="TableParagraph"/>
              <w:spacing w:before="13"/>
              <w:ind w:left="138"/>
              <w:rPr>
                <w:sz w:val="24"/>
              </w:rPr>
            </w:pPr>
            <w:r>
              <w:rPr>
                <w:sz w:val="24"/>
              </w:rPr>
              <w:t>TC</w:t>
            </w:r>
          </w:p>
        </w:tc>
        <w:tc>
          <w:tcPr>
            <w:tcW w:w="1122" w:type="dxa"/>
          </w:tcPr>
          <w:p>
            <w:pPr>
              <w:pStyle w:val="TableParagraph"/>
              <w:spacing w:before="13"/>
              <w:ind w:right="132"/>
              <w:jc w:val="right"/>
              <w:rPr>
                <w:sz w:val="24"/>
              </w:rPr>
            </w:pPr>
            <w:r>
              <w:rPr>
                <w:sz w:val="24"/>
              </w:rPr>
              <w:t>1.000</w:t>
            </w:r>
          </w:p>
        </w:tc>
        <w:tc>
          <w:tcPr>
            <w:tcW w:w="700" w:type="dxa"/>
          </w:tcPr>
          <w:p>
            <w:pPr>
              <w:pStyle w:val="TableParagraph"/>
              <w:rPr>
                <w:sz w:val="22"/>
              </w:rPr>
            </w:pPr>
          </w:p>
        </w:tc>
        <w:tc>
          <w:tcPr>
            <w:tcW w:w="943" w:type="dxa"/>
          </w:tcPr>
          <w:p>
            <w:pPr>
              <w:pStyle w:val="TableParagraph"/>
              <w:rPr>
                <w:sz w:val="22"/>
              </w:rPr>
            </w:pPr>
          </w:p>
        </w:tc>
        <w:tc>
          <w:tcPr>
            <w:tcW w:w="643" w:type="dxa"/>
          </w:tcPr>
          <w:p>
            <w:pPr>
              <w:pStyle w:val="TableParagraph"/>
              <w:rPr>
                <w:sz w:val="22"/>
              </w:rPr>
            </w:pPr>
          </w:p>
        </w:tc>
        <w:tc>
          <w:tcPr>
            <w:tcW w:w="828" w:type="dxa"/>
          </w:tcPr>
          <w:p>
            <w:pPr>
              <w:pStyle w:val="TableParagraph"/>
              <w:rPr>
                <w:sz w:val="22"/>
              </w:rPr>
            </w:pPr>
          </w:p>
        </w:tc>
      </w:tr>
      <w:tr>
        <w:trPr>
          <w:trHeight w:val="443" w:hRule="atLeast"/>
        </w:trPr>
        <w:tc>
          <w:tcPr>
            <w:tcW w:w="1008" w:type="dxa"/>
          </w:tcPr>
          <w:p>
            <w:pPr>
              <w:pStyle w:val="TableParagraph"/>
              <w:spacing w:before="13"/>
              <w:ind w:left="55"/>
              <w:rPr>
                <w:sz w:val="24"/>
              </w:rPr>
            </w:pPr>
            <w:r>
              <w:rPr>
                <w:sz w:val="24"/>
              </w:rPr>
              <w:t>TC4</w:t>
            </w:r>
          </w:p>
        </w:tc>
        <w:tc>
          <w:tcPr>
            <w:tcW w:w="490" w:type="dxa"/>
          </w:tcPr>
          <w:p>
            <w:pPr>
              <w:pStyle w:val="TableParagraph"/>
              <w:spacing w:before="13"/>
              <w:ind w:left="32" w:right="31"/>
              <w:jc w:val="center"/>
              <w:rPr>
                <w:sz w:val="24"/>
              </w:rPr>
            </w:pPr>
            <w:r>
              <w:rPr>
                <w:sz w:val="24"/>
              </w:rPr>
              <w:t>&lt;---</w:t>
            </w:r>
          </w:p>
        </w:tc>
        <w:tc>
          <w:tcPr>
            <w:tcW w:w="935" w:type="dxa"/>
          </w:tcPr>
          <w:p>
            <w:pPr>
              <w:pStyle w:val="TableParagraph"/>
              <w:spacing w:before="13"/>
              <w:ind w:left="138"/>
              <w:rPr>
                <w:sz w:val="24"/>
              </w:rPr>
            </w:pPr>
            <w:r>
              <w:rPr>
                <w:sz w:val="24"/>
              </w:rPr>
              <w:t>TC</w:t>
            </w:r>
          </w:p>
        </w:tc>
        <w:tc>
          <w:tcPr>
            <w:tcW w:w="1122" w:type="dxa"/>
          </w:tcPr>
          <w:p>
            <w:pPr>
              <w:pStyle w:val="TableParagraph"/>
              <w:spacing w:before="13"/>
              <w:ind w:right="132"/>
              <w:jc w:val="right"/>
              <w:rPr>
                <w:sz w:val="24"/>
              </w:rPr>
            </w:pPr>
            <w:r>
              <w:rPr>
                <w:sz w:val="24"/>
              </w:rPr>
              <w:t>1.001</w:t>
            </w:r>
          </w:p>
        </w:tc>
        <w:tc>
          <w:tcPr>
            <w:tcW w:w="700" w:type="dxa"/>
          </w:tcPr>
          <w:p>
            <w:pPr>
              <w:pStyle w:val="TableParagraph"/>
              <w:spacing w:before="13"/>
              <w:ind w:left="116" w:right="113"/>
              <w:jc w:val="center"/>
              <w:rPr>
                <w:sz w:val="24"/>
              </w:rPr>
            </w:pPr>
            <w:r>
              <w:rPr>
                <w:sz w:val="24"/>
              </w:rPr>
              <w:t>.053</w:t>
            </w:r>
          </w:p>
        </w:tc>
        <w:tc>
          <w:tcPr>
            <w:tcW w:w="943" w:type="dxa"/>
          </w:tcPr>
          <w:p>
            <w:pPr>
              <w:pStyle w:val="TableParagraph"/>
              <w:spacing w:before="13"/>
              <w:ind w:right="136"/>
              <w:jc w:val="right"/>
              <w:rPr>
                <w:sz w:val="24"/>
              </w:rPr>
            </w:pPr>
            <w:r>
              <w:rPr>
                <w:sz w:val="24"/>
              </w:rPr>
              <w:t>19.042</w:t>
            </w:r>
          </w:p>
        </w:tc>
        <w:tc>
          <w:tcPr>
            <w:tcW w:w="643" w:type="dxa"/>
          </w:tcPr>
          <w:p>
            <w:pPr>
              <w:pStyle w:val="TableParagraph"/>
              <w:spacing w:before="13"/>
              <w:ind w:right="137"/>
              <w:jc w:val="right"/>
              <w:rPr>
                <w:sz w:val="24"/>
              </w:rPr>
            </w:pPr>
            <w:r>
              <w:rPr>
                <w:sz w:val="24"/>
              </w:rPr>
              <w:t>***</w:t>
            </w:r>
          </w:p>
        </w:tc>
        <w:tc>
          <w:tcPr>
            <w:tcW w:w="828" w:type="dxa"/>
          </w:tcPr>
          <w:p>
            <w:pPr>
              <w:pStyle w:val="TableParagraph"/>
              <w:rPr>
                <w:sz w:val="22"/>
              </w:rPr>
            </w:pPr>
          </w:p>
        </w:tc>
      </w:tr>
      <w:tr>
        <w:trPr>
          <w:trHeight w:val="443" w:hRule="atLeast"/>
        </w:trPr>
        <w:tc>
          <w:tcPr>
            <w:tcW w:w="1008" w:type="dxa"/>
          </w:tcPr>
          <w:p>
            <w:pPr>
              <w:pStyle w:val="TableParagraph"/>
              <w:spacing w:before="15"/>
              <w:ind w:left="55"/>
              <w:rPr>
                <w:sz w:val="24"/>
              </w:rPr>
            </w:pPr>
            <w:r>
              <w:rPr>
                <w:sz w:val="24"/>
              </w:rPr>
              <w:t>TC3</w:t>
            </w:r>
          </w:p>
        </w:tc>
        <w:tc>
          <w:tcPr>
            <w:tcW w:w="490" w:type="dxa"/>
          </w:tcPr>
          <w:p>
            <w:pPr>
              <w:pStyle w:val="TableParagraph"/>
              <w:spacing w:before="15"/>
              <w:ind w:left="32" w:right="31"/>
              <w:jc w:val="center"/>
              <w:rPr>
                <w:sz w:val="24"/>
              </w:rPr>
            </w:pPr>
            <w:r>
              <w:rPr>
                <w:sz w:val="24"/>
              </w:rPr>
              <w:t>&lt;---</w:t>
            </w:r>
          </w:p>
        </w:tc>
        <w:tc>
          <w:tcPr>
            <w:tcW w:w="935" w:type="dxa"/>
          </w:tcPr>
          <w:p>
            <w:pPr>
              <w:pStyle w:val="TableParagraph"/>
              <w:spacing w:before="15"/>
              <w:ind w:left="138"/>
              <w:rPr>
                <w:sz w:val="24"/>
              </w:rPr>
            </w:pPr>
            <w:r>
              <w:rPr>
                <w:sz w:val="24"/>
              </w:rPr>
              <w:t>TC</w:t>
            </w:r>
          </w:p>
        </w:tc>
        <w:tc>
          <w:tcPr>
            <w:tcW w:w="1122" w:type="dxa"/>
          </w:tcPr>
          <w:p>
            <w:pPr>
              <w:pStyle w:val="TableParagraph"/>
              <w:spacing w:before="15"/>
              <w:ind w:right="132"/>
              <w:jc w:val="right"/>
              <w:rPr>
                <w:sz w:val="24"/>
              </w:rPr>
            </w:pPr>
            <w:r>
              <w:rPr>
                <w:sz w:val="24"/>
              </w:rPr>
              <w:t>.895</w:t>
            </w:r>
          </w:p>
        </w:tc>
        <w:tc>
          <w:tcPr>
            <w:tcW w:w="700" w:type="dxa"/>
          </w:tcPr>
          <w:p>
            <w:pPr>
              <w:pStyle w:val="TableParagraph"/>
              <w:spacing w:before="15"/>
              <w:ind w:left="116" w:right="113"/>
              <w:jc w:val="center"/>
              <w:rPr>
                <w:sz w:val="24"/>
              </w:rPr>
            </w:pPr>
            <w:r>
              <w:rPr>
                <w:sz w:val="24"/>
              </w:rPr>
              <w:t>.056</w:t>
            </w:r>
          </w:p>
        </w:tc>
        <w:tc>
          <w:tcPr>
            <w:tcW w:w="943" w:type="dxa"/>
          </w:tcPr>
          <w:p>
            <w:pPr>
              <w:pStyle w:val="TableParagraph"/>
              <w:spacing w:before="15"/>
              <w:ind w:right="136"/>
              <w:jc w:val="right"/>
              <w:rPr>
                <w:sz w:val="24"/>
              </w:rPr>
            </w:pPr>
            <w:r>
              <w:rPr>
                <w:sz w:val="24"/>
              </w:rPr>
              <w:t>15.964</w:t>
            </w:r>
          </w:p>
        </w:tc>
        <w:tc>
          <w:tcPr>
            <w:tcW w:w="643" w:type="dxa"/>
          </w:tcPr>
          <w:p>
            <w:pPr>
              <w:pStyle w:val="TableParagraph"/>
              <w:spacing w:before="15"/>
              <w:ind w:right="137"/>
              <w:jc w:val="right"/>
              <w:rPr>
                <w:sz w:val="24"/>
              </w:rPr>
            </w:pPr>
            <w:r>
              <w:rPr>
                <w:sz w:val="24"/>
              </w:rPr>
              <w:t>***</w:t>
            </w:r>
          </w:p>
        </w:tc>
        <w:tc>
          <w:tcPr>
            <w:tcW w:w="828" w:type="dxa"/>
          </w:tcPr>
          <w:p>
            <w:pPr>
              <w:pStyle w:val="TableParagraph"/>
              <w:rPr>
                <w:sz w:val="22"/>
              </w:rPr>
            </w:pPr>
          </w:p>
        </w:tc>
      </w:tr>
      <w:tr>
        <w:trPr>
          <w:trHeight w:val="443" w:hRule="atLeast"/>
        </w:trPr>
        <w:tc>
          <w:tcPr>
            <w:tcW w:w="1008" w:type="dxa"/>
          </w:tcPr>
          <w:p>
            <w:pPr>
              <w:pStyle w:val="TableParagraph"/>
              <w:spacing w:before="15"/>
              <w:ind w:left="55"/>
              <w:rPr>
                <w:sz w:val="24"/>
              </w:rPr>
            </w:pPr>
            <w:r>
              <w:rPr>
                <w:sz w:val="24"/>
              </w:rPr>
              <w:t>TC2</w:t>
            </w:r>
          </w:p>
        </w:tc>
        <w:tc>
          <w:tcPr>
            <w:tcW w:w="490" w:type="dxa"/>
          </w:tcPr>
          <w:p>
            <w:pPr>
              <w:pStyle w:val="TableParagraph"/>
              <w:spacing w:before="15"/>
              <w:ind w:left="32" w:right="31"/>
              <w:jc w:val="center"/>
              <w:rPr>
                <w:sz w:val="24"/>
              </w:rPr>
            </w:pPr>
            <w:r>
              <w:rPr>
                <w:sz w:val="24"/>
              </w:rPr>
              <w:t>&lt;---</w:t>
            </w:r>
          </w:p>
        </w:tc>
        <w:tc>
          <w:tcPr>
            <w:tcW w:w="935" w:type="dxa"/>
          </w:tcPr>
          <w:p>
            <w:pPr>
              <w:pStyle w:val="TableParagraph"/>
              <w:spacing w:before="15"/>
              <w:ind w:left="138"/>
              <w:rPr>
                <w:sz w:val="24"/>
              </w:rPr>
            </w:pPr>
            <w:r>
              <w:rPr>
                <w:sz w:val="24"/>
              </w:rPr>
              <w:t>TC</w:t>
            </w:r>
          </w:p>
        </w:tc>
        <w:tc>
          <w:tcPr>
            <w:tcW w:w="1122" w:type="dxa"/>
          </w:tcPr>
          <w:p>
            <w:pPr>
              <w:pStyle w:val="TableParagraph"/>
              <w:spacing w:before="15"/>
              <w:ind w:right="132"/>
              <w:jc w:val="right"/>
              <w:rPr>
                <w:sz w:val="24"/>
              </w:rPr>
            </w:pPr>
            <w:r>
              <w:rPr>
                <w:sz w:val="24"/>
              </w:rPr>
              <w:t>.943</w:t>
            </w:r>
          </w:p>
        </w:tc>
        <w:tc>
          <w:tcPr>
            <w:tcW w:w="700" w:type="dxa"/>
          </w:tcPr>
          <w:p>
            <w:pPr>
              <w:pStyle w:val="TableParagraph"/>
              <w:spacing w:before="15"/>
              <w:ind w:left="116" w:right="113"/>
              <w:jc w:val="center"/>
              <w:rPr>
                <w:sz w:val="24"/>
              </w:rPr>
            </w:pPr>
            <w:r>
              <w:rPr>
                <w:sz w:val="24"/>
              </w:rPr>
              <w:t>.057</w:t>
            </w:r>
          </w:p>
        </w:tc>
        <w:tc>
          <w:tcPr>
            <w:tcW w:w="943" w:type="dxa"/>
          </w:tcPr>
          <w:p>
            <w:pPr>
              <w:pStyle w:val="TableParagraph"/>
              <w:spacing w:before="15"/>
              <w:ind w:right="136"/>
              <w:jc w:val="right"/>
              <w:rPr>
                <w:sz w:val="24"/>
              </w:rPr>
            </w:pPr>
            <w:r>
              <w:rPr>
                <w:sz w:val="24"/>
              </w:rPr>
              <w:t>16.612</w:t>
            </w:r>
          </w:p>
        </w:tc>
        <w:tc>
          <w:tcPr>
            <w:tcW w:w="643" w:type="dxa"/>
          </w:tcPr>
          <w:p>
            <w:pPr>
              <w:pStyle w:val="TableParagraph"/>
              <w:spacing w:before="15"/>
              <w:ind w:right="137"/>
              <w:jc w:val="right"/>
              <w:rPr>
                <w:sz w:val="24"/>
              </w:rPr>
            </w:pPr>
            <w:r>
              <w:rPr>
                <w:sz w:val="24"/>
              </w:rPr>
              <w:t>***</w:t>
            </w:r>
          </w:p>
        </w:tc>
        <w:tc>
          <w:tcPr>
            <w:tcW w:w="828" w:type="dxa"/>
          </w:tcPr>
          <w:p>
            <w:pPr>
              <w:pStyle w:val="TableParagraph"/>
              <w:rPr>
                <w:sz w:val="22"/>
              </w:rPr>
            </w:pPr>
          </w:p>
        </w:tc>
      </w:tr>
      <w:tr>
        <w:trPr>
          <w:trHeight w:val="446" w:hRule="atLeast"/>
        </w:trPr>
        <w:tc>
          <w:tcPr>
            <w:tcW w:w="1008" w:type="dxa"/>
          </w:tcPr>
          <w:p>
            <w:pPr>
              <w:pStyle w:val="TableParagraph"/>
              <w:spacing w:before="15"/>
              <w:ind w:left="55"/>
              <w:rPr>
                <w:sz w:val="24"/>
              </w:rPr>
            </w:pPr>
            <w:r>
              <w:rPr>
                <w:sz w:val="24"/>
              </w:rPr>
              <w:t>HL1</w:t>
            </w:r>
          </w:p>
        </w:tc>
        <w:tc>
          <w:tcPr>
            <w:tcW w:w="490" w:type="dxa"/>
          </w:tcPr>
          <w:p>
            <w:pPr>
              <w:pStyle w:val="TableParagraph"/>
              <w:spacing w:before="15"/>
              <w:ind w:left="32" w:right="31"/>
              <w:jc w:val="center"/>
              <w:rPr>
                <w:sz w:val="24"/>
              </w:rPr>
            </w:pPr>
            <w:r>
              <w:rPr>
                <w:sz w:val="24"/>
              </w:rPr>
              <w:t>&lt;---</w:t>
            </w:r>
          </w:p>
        </w:tc>
        <w:tc>
          <w:tcPr>
            <w:tcW w:w="935" w:type="dxa"/>
          </w:tcPr>
          <w:p>
            <w:pPr>
              <w:pStyle w:val="TableParagraph"/>
              <w:spacing w:before="15"/>
              <w:ind w:left="138"/>
              <w:rPr>
                <w:sz w:val="24"/>
              </w:rPr>
            </w:pPr>
            <w:r>
              <w:rPr>
                <w:sz w:val="24"/>
              </w:rPr>
              <w:t>HL</w:t>
            </w:r>
          </w:p>
        </w:tc>
        <w:tc>
          <w:tcPr>
            <w:tcW w:w="1122" w:type="dxa"/>
          </w:tcPr>
          <w:p>
            <w:pPr>
              <w:pStyle w:val="TableParagraph"/>
              <w:spacing w:before="15"/>
              <w:ind w:right="132"/>
              <w:jc w:val="right"/>
              <w:rPr>
                <w:sz w:val="24"/>
              </w:rPr>
            </w:pPr>
            <w:r>
              <w:rPr>
                <w:sz w:val="24"/>
              </w:rPr>
              <w:t>1.000</w:t>
            </w:r>
          </w:p>
        </w:tc>
        <w:tc>
          <w:tcPr>
            <w:tcW w:w="700" w:type="dxa"/>
          </w:tcPr>
          <w:p>
            <w:pPr>
              <w:pStyle w:val="TableParagraph"/>
              <w:rPr>
                <w:sz w:val="22"/>
              </w:rPr>
            </w:pPr>
          </w:p>
        </w:tc>
        <w:tc>
          <w:tcPr>
            <w:tcW w:w="943" w:type="dxa"/>
          </w:tcPr>
          <w:p>
            <w:pPr>
              <w:pStyle w:val="TableParagraph"/>
              <w:rPr>
                <w:sz w:val="22"/>
              </w:rPr>
            </w:pPr>
          </w:p>
        </w:tc>
        <w:tc>
          <w:tcPr>
            <w:tcW w:w="643" w:type="dxa"/>
          </w:tcPr>
          <w:p>
            <w:pPr>
              <w:pStyle w:val="TableParagraph"/>
              <w:rPr>
                <w:sz w:val="22"/>
              </w:rPr>
            </w:pPr>
          </w:p>
        </w:tc>
        <w:tc>
          <w:tcPr>
            <w:tcW w:w="828" w:type="dxa"/>
          </w:tcPr>
          <w:p>
            <w:pPr>
              <w:pStyle w:val="TableParagraph"/>
              <w:rPr>
                <w:sz w:val="22"/>
              </w:rPr>
            </w:pPr>
          </w:p>
        </w:tc>
      </w:tr>
      <w:tr>
        <w:trPr>
          <w:trHeight w:val="443" w:hRule="atLeast"/>
        </w:trPr>
        <w:tc>
          <w:tcPr>
            <w:tcW w:w="1008" w:type="dxa"/>
          </w:tcPr>
          <w:p>
            <w:pPr>
              <w:pStyle w:val="TableParagraph"/>
              <w:spacing w:before="13"/>
              <w:ind w:left="55"/>
              <w:rPr>
                <w:sz w:val="24"/>
              </w:rPr>
            </w:pPr>
            <w:r>
              <w:rPr>
                <w:sz w:val="24"/>
              </w:rPr>
              <w:t>HL3</w:t>
            </w:r>
          </w:p>
        </w:tc>
        <w:tc>
          <w:tcPr>
            <w:tcW w:w="490" w:type="dxa"/>
          </w:tcPr>
          <w:p>
            <w:pPr>
              <w:pStyle w:val="TableParagraph"/>
              <w:spacing w:before="13"/>
              <w:ind w:left="32" w:right="30"/>
              <w:jc w:val="center"/>
              <w:rPr>
                <w:sz w:val="24"/>
              </w:rPr>
            </w:pPr>
            <w:r>
              <w:rPr>
                <w:sz w:val="24"/>
              </w:rPr>
              <w:t>&lt;---</w:t>
            </w:r>
          </w:p>
        </w:tc>
        <w:tc>
          <w:tcPr>
            <w:tcW w:w="935" w:type="dxa"/>
          </w:tcPr>
          <w:p>
            <w:pPr>
              <w:pStyle w:val="TableParagraph"/>
              <w:spacing w:before="13"/>
              <w:ind w:left="138"/>
              <w:rPr>
                <w:sz w:val="24"/>
              </w:rPr>
            </w:pPr>
            <w:r>
              <w:rPr>
                <w:sz w:val="24"/>
              </w:rPr>
              <w:t>HL</w:t>
            </w:r>
          </w:p>
        </w:tc>
        <w:tc>
          <w:tcPr>
            <w:tcW w:w="1122" w:type="dxa"/>
          </w:tcPr>
          <w:p>
            <w:pPr>
              <w:pStyle w:val="TableParagraph"/>
              <w:spacing w:before="13"/>
              <w:ind w:right="132"/>
              <w:jc w:val="right"/>
              <w:rPr>
                <w:sz w:val="24"/>
              </w:rPr>
            </w:pPr>
            <w:r>
              <w:rPr>
                <w:sz w:val="24"/>
              </w:rPr>
              <w:t>1.015</w:t>
            </w:r>
          </w:p>
        </w:tc>
        <w:tc>
          <w:tcPr>
            <w:tcW w:w="700" w:type="dxa"/>
          </w:tcPr>
          <w:p>
            <w:pPr>
              <w:pStyle w:val="TableParagraph"/>
              <w:spacing w:before="13"/>
              <w:ind w:left="116" w:right="113"/>
              <w:jc w:val="center"/>
              <w:rPr>
                <w:sz w:val="24"/>
              </w:rPr>
            </w:pPr>
            <w:r>
              <w:rPr>
                <w:sz w:val="24"/>
              </w:rPr>
              <w:t>.081</w:t>
            </w:r>
          </w:p>
        </w:tc>
        <w:tc>
          <w:tcPr>
            <w:tcW w:w="943" w:type="dxa"/>
          </w:tcPr>
          <w:p>
            <w:pPr>
              <w:pStyle w:val="TableParagraph"/>
              <w:spacing w:before="13"/>
              <w:ind w:right="136"/>
              <w:jc w:val="right"/>
              <w:rPr>
                <w:sz w:val="24"/>
              </w:rPr>
            </w:pPr>
            <w:r>
              <w:rPr>
                <w:sz w:val="24"/>
              </w:rPr>
              <w:t>12.581</w:t>
            </w:r>
          </w:p>
        </w:tc>
        <w:tc>
          <w:tcPr>
            <w:tcW w:w="643" w:type="dxa"/>
          </w:tcPr>
          <w:p>
            <w:pPr>
              <w:pStyle w:val="TableParagraph"/>
              <w:spacing w:before="13"/>
              <w:ind w:right="137"/>
              <w:jc w:val="right"/>
              <w:rPr>
                <w:sz w:val="24"/>
              </w:rPr>
            </w:pPr>
            <w:r>
              <w:rPr>
                <w:sz w:val="24"/>
              </w:rPr>
              <w:t>***</w:t>
            </w:r>
          </w:p>
        </w:tc>
        <w:tc>
          <w:tcPr>
            <w:tcW w:w="828" w:type="dxa"/>
          </w:tcPr>
          <w:p>
            <w:pPr>
              <w:pStyle w:val="TableParagraph"/>
              <w:rPr>
                <w:sz w:val="22"/>
              </w:rPr>
            </w:pPr>
          </w:p>
        </w:tc>
      </w:tr>
      <w:tr>
        <w:trPr>
          <w:trHeight w:val="443" w:hRule="atLeast"/>
        </w:trPr>
        <w:tc>
          <w:tcPr>
            <w:tcW w:w="1008" w:type="dxa"/>
          </w:tcPr>
          <w:p>
            <w:pPr>
              <w:pStyle w:val="TableParagraph"/>
              <w:spacing w:before="13"/>
              <w:ind w:left="55"/>
              <w:rPr>
                <w:sz w:val="24"/>
              </w:rPr>
            </w:pPr>
            <w:r>
              <w:rPr>
                <w:sz w:val="24"/>
              </w:rPr>
              <w:t>HL2</w:t>
            </w:r>
          </w:p>
        </w:tc>
        <w:tc>
          <w:tcPr>
            <w:tcW w:w="490" w:type="dxa"/>
          </w:tcPr>
          <w:p>
            <w:pPr>
              <w:pStyle w:val="TableParagraph"/>
              <w:spacing w:before="13"/>
              <w:ind w:left="32" w:right="31"/>
              <w:jc w:val="center"/>
              <w:rPr>
                <w:sz w:val="24"/>
              </w:rPr>
            </w:pPr>
            <w:r>
              <w:rPr>
                <w:sz w:val="24"/>
              </w:rPr>
              <w:t>&lt;---</w:t>
            </w:r>
          </w:p>
        </w:tc>
        <w:tc>
          <w:tcPr>
            <w:tcW w:w="935" w:type="dxa"/>
          </w:tcPr>
          <w:p>
            <w:pPr>
              <w:pStyle w:val="TableParagraph"/>
              <w:spacing w:before="13"/>
              <w:ind w:left="138"/>
              <w:rPr>
                <w:sz w:val="24"/>
              </w:rPr>
            </w:pPr>
            <w:r>
              <w:rPr>
                <w:sz w:val="24"/>
              </w:rPr>
              <w:t>HL</w:t>
            </w:r>
          </w:p>
        </w:tc>
        <w:tc>
          <w:tcPr>
            <w:tcW w:w="1122" w:type="dxa"/>
          </w:tcPr>
          <w:p>
            <w:pPr>
              <w:pStyle w:val="TableParagraph"/>
              <w:spacing w:before="13"/>
              <w:ind w:right="132"/>
              <w:jc w:val="right"/>
              <w:rPr>
                <w:sz w:val="24"/>
              </w:rPr>
            </w:pPr>
            <w:r>
              <w:rPr>
                <w:sz w:val="24"/>
              </w:rPr>
              <w:t>.966</w:t>
            </w:r>
          </w:p>
        </w:tc>
        <w:tc>
          <w:tcPr>
            <w:tcW w:w="700" w:type="dxa"/>
          </w:tcPr>
          <w:p>
            <w:pPr>
              <w:pStyle w:val="TableParagraph"/>
              <w:spacing w:before="13"/>
              <w:ind w:left="116" w:right="113"/>
              <w:jc w:val="center"/>
              <w:rPr>
                <w:sz w:val="24"/>
              </w:rPr>
            </w:pPr>
            <w:r>
              <w:rPr>
                <w:sz w:val="24"/>
              </w:rPr>
              <w:t>.080</w:t>
            </w:r>
          </w:p>
        </w:tc>
        <w:tc>
          <w:tcPr>
            <w:tcW w:w="943" w:type="dxa"/>
          </w:tcPr>
          <w:p>
            <w:pPr>
              <w:pStyle w:val="TableParagraph"/>
              <w:spacing w:before="13"/>
              <w:ind w:right="136"/>
              <w:jc w:val="right"/>
              <w:rPr>
                <w:sz w:val="24"/>
              </w:rPr>
            </w:pPr>
            <w:r>
              <w:rPr>
                <w:sz w:val="24"/>
              </w:rPr>
              <w:t>12.141</w:t>
            </w:r>
          </w:p>
        </w:tc>
        <w:tc>
          <w:tcPr>
            <w:tcW w:w="643" w:type="dxa"/>
          </w:tcPr>
          <w:p>
            <w:pPr>
              <w:pStyle w:val="TableParagraph"/>
              <w:spacing w:before="13"/>
              <w:ind w:right="137"/>
              <w:jc w:val="right"/>
              <w:rPr>
                <w:sz w:val="24"/>
              </w:rPr>
            </w:pPr>
            <w:r>
              <w:rPr>
                <w:sz w:val="24"/>
              </w:rPr>
              <w:t>***</w:t>
            </w:r>
          </w:p>
        </w:tc>
        <w:tc>
          <w:tcPr>
            <w:tcW w:w="828" w:type="dxa"/>
          </w:tcPr>
          <w:p>
            <w:pPr>
              <w:pStyle w:val="TableParagraph"/>
              <w:rPr>
                <w:sz w:val="22"/>
              </w:rPr>
            </w:pPr>
          </w:p>
        </w:tc>
      </w:tr>
      <w:tr>
        <w:trPr>
          <w:trHeight w:val="443" w:hRule="atLeast"/>
        </w:trPr>
        <w:tc>
          <w:tcPr>
            <w:tcW w:w="1008" w:type="dxa"/>
          </w:tcPr>
          <w:p>
            <w:pPr>
              <w:pStyle w:val="TableParagraph"/>
              <w:spacing w:before="13"/>
              <w:ind w:left="55"/>
              <w:rPr>
                <w:sz w:val="24"/>
              </w:rPr>
            </w:pPr>
            <w:r>
              <w:rPr>
                <w:sz w:val="24"/>
              </w:rPr>
              <w:t>LI3</w:t>
            </w:r>
          </w:p>
        </w:tc>
        <w:tc>
          <w:tcPr>
            <w:tcW w:w="490" w:type="dxa"/>
          </w:tcPr>
          <w:p>
            <w:pPr>
              <w:pStyle w:val="TableParagraph"/>
              <w:spacing w:before="13"/>
              <w:ind w:left="32" w:right="30"/>
              <w:jc w:val="center"/>
              <w:rPr>
                <w:sz w:val="24"/>
              </w:rPr>
            </w:pPr>
            <w:r>
              <w:rPr>
                <w:sz w:val="24"/>
              </w:rPr>
              <w:t>&lt;---</w:t>
            </w:r>
          </w:p>
        </w:tc>
        <w:tc>
          <w:tcPr>
            <w:tcW w:w="935" w:type="dxa"/>
          </w:tcPr>
          <w:p>
            <w:pPr>
              <w:pStyle w:val="TableParagraph"/>
              <w:spacing w:before="13"/>
              <w:ind w:left="138"/>
              <w:rPr>
                <w:sz w:val="24"/>
              </w:rPr>
            </w:pPr>
            <w:r>
              <w:rPr>
                <w:sz w:val="24"/>
              </w:rPr>
              <w:t>LI</w:t>
            </w:r>
          </w:p>
        </w:tc>
        <w:tc>
          <w:tcPr>
            <w:tcW w:w="1122" w:type="dxa"/>
          </w:tcPr>
          <w:p>
            <w:pPr>
              <w:pStyle w:val="TableParagraph"/>
              <w:spacing w:before="13"/>
              <w:ind w:right="132"/>
              <w:jc w:val="right"/>
              <w:rPr>
                <w:sz w:val="24"/>
              </w:rPr>
            </w:pPr>
            <w:r>
              <w:rPr>
                <w:sz w:val="24"/>
              </w:rPr>
              <w:t>1.000</w:t>
            </w:r>
          </w:p>
        </w:tc>
        <w:tc>
          <w:tcPr>
            <w:tcW w:w="700" w:type="dxa"/>
          </w:tcPr>
          <w:p>
            <w:pPr>
              <w:pStyle w:val="TableParagraph"/>
              <w:rPr>
                <w:sz w:val="22"/>
              </w:rPr>
            </w:pPr>
          </w:p>
        </w:tc>
        <w:tc>
          <w:tcPr>
            <w:tcW w:w="943" w:type="dxa"/>
          </w:tcPr>
          <w:p>
            <w:pPr>
              <w:pStyle w:val="TableParagraph"/>
              <w:rPr>
                <w:sz w:val="22"/>
              </w:rPr>
            </w:pPr>
          </w:p>
        </w:tc>
        <w:tc>
          <w:tcPr>
            <w:tcW w:w="643" w:type="dxa"/>
          </w:tcPr>
          <w:p>
            <w:pPr>
              <w:pStyle w:val="TableParagraph"/>
              <w:rPr>
                <w:sz w:val="22"/>
              </w:rPr>
            </w:pPr>
          </w:p>
        </w:tc>
        <w:tc>
          <w:tcPr>
            <w:tcW w:w="828" w:type="dxa"/>
          </w:tcPr>
          <w:p>
            <w:pPr>
              <w:pStyle w:val="TableParagraph"/>
              <w:rPr>
                <w:sz w:val="22"/>
              </w:rPr>
            </w:pPr>
          </w:p>
        </w:tc>
      </w:tr>
      <w:tr>
        <w:trPr>
          <w:trHeight w:val="443" w:hRule="atLeast"/>
        </w:trPr>
        <w:tc>
          <w:tcPr>
            <w:tcW w:w="1008" w:type="dxa"/>
          </w:tcPr>
          <w:p>
            <w:pPr>
              <w:pStyle w:val="TableParagraph"/>
              <w:spacing w:before="15"/>
              <w:ind w:left="55"/>
              <w:rPr>
                <w:sz w:val="24"/>
              </w:rPr>
            </w:pPr>
            <w:r>
              <w:rPr>
                <w:sz w:val="24"/>
              </w:rPr>
              <w:t>LI1</w:t>
            </w:r>
          </w:p>
        </w:tc>
        <w:tc>
          <w:tcPr>
            <w:tcW w:w="490" w:type="dxa"/>
          </w:tcPr>
          <w:p>
            <w:pPr>
              <w:pStyle w:val="TableParagraph"/>
              <w:spacing w:before="15"/>
              <w:ind w:left="32" w:right="31"/>
              <w:jc w:val="center"/>
              <w:rPr>
                <w:sz w:val="24"/>
              </w:rPr>
            </w:pPr>
            <w:r>
              <w:rPr>
                <w:sz w:val="24"/>
              </w:rPr>
              <w:t>&lt;---</w:t>
            </w:r>
          </w:p>
        </w:tc>
        <w:tc>
          <w:tcPr>
            <w:tcW w:w="935" w:type="dxa"/>
          </w:tcPr>
          <w:p>
            <w:pPr>
              <w:pStyle w:val="TableParagraph"/>
              <w:spacing w:before="15"/>
              <w:ind w:left="138"/>
              <w:rPr>
                <w:sz w:val="24"/>
              </w:rPr>
            </w:pPr>
            <w:r>
              <w:rPr>
                <w:sz w:val="24"/>
              </w:rPr>
              <w:t>LI</w:t>
            </w:r>
          </w:p>
        </w:tc>
        <w:tc>
          <w:tcPr>
            <w:tcW w:w="1122" w:type="dxa"/>
          </w:tcPr>
          <w:p>
            <w:pPr>
              <w:pStyle w:val="TableParagraph"/>
              <w:spacing w:before="15"/>
              <w:ind w:right="132"/>
              <w:jc w:val="right"/>
              <w:rPr>
                <w:sz w:val="24"/>
              </w:rPr>
            </w:pPr>
            <w:r>
              <w:rPr>
                <w:sz w:val="24"/>
              </w:rPr>
              <w:t>.919</w:t>
            </w:r>
          </w:p>
        </w:tc>
        <w:tc>
          <w:tcPr>
            <w:tcW w:w="700" w:type="dxa"/>
          </w:tcPr>
          <w:p>
            <w:pPr>
              <w:pStyle w:val="TableParagraph"/>
              <w:spacing w:before="15"/>
              <w:ind w:left="116" w:right="113"/>
              <w:jc w:val="center"/>
              <w:rPr>
                <w:sz w:val="24"/>
              </w:rPr>
            </w:pPr>
            <w:r>
              <w:rPr>
                <w:sz w:val="24"/>
              </w:rPr>
              <w:t>.084</w:t>
            </w:r>
          </w:p>
        </w:tc>
        <w:tc>
          <w:tcPr>
            <w:tcW w:w="943" w:type="dxa"/>
          </w:tcPr>
          <w:p>
            <w:pPr>
              <w:pStyle w:val="TableParagraph"/>
              <w:spacing w:before="15"/>
              <w:ind w:right="136"/>
              <w:jc w:val="right"/>
              <w:rPr>
                <w:sz w:val="24"/>
              </w:rPr>
            </w:pPr>
            <w:r>
              <w:rPr>
                <w:sz w:val="24"/>
              </w:rPr>
              <w:t>10.903</w:t>
            </w:r>
          </w:p>
        </w:tc>
        <w:tc>
          <w:tcPr>
            <w:tcW w:w="643" w:type="dxa"/>
          </w:tcPr>
          <w:p>
            <w:pPr>
              <w:pStyle w:val="TableParagraph"/>
              <w:spacing w:before="15"/>
              <w:ind w:right="137"/>
              <w:jc w:val="right"/>
              <w:rPr>
                <w:sz w:val="24"/>
              </w:rPr>
            </w:pPr>
            <w:r>
              <w:rPr>
                <w:sz w:val="24"/>
              </w:rPr>
              <w:t>***</w:t>
            </w:r>
          </w:p>
        </w:tc>
        <w:tc>
          <w:tcPr>
            <w:tcW w:w="828" w:type="dxa"/>
          </w:tcPr>
          <w:p>
            <w:pPr>
              <w:pStyle w:val="TableParagraph"/>
              <w:rPr>
                <w:sz w:val="22"/>
              </w:rPr>
            </w:pPr>
          </w:p>
        </w:tc>
      </w:tr>
      <w:tr>
        <w:trPr>
          <w:trHeight w:val="446" w:hRule="atLeast"/>
        </w:trPr>
        <w:tc>
          <w:tcPr>
            <w:tcW w:w="1008" w:type="dxa"/>
          </w:tcPr>
          <w:p>
            <w:pPr>
              <w:pStyle w:val="TableParagraph"/>
              <w:spacing w:before="15"/>
              <w:ind w:left="55"/>
              <w:rPr>
                <w:sz w:val="24"/>
              </w:rPr>
            </w:pPr>
            <w:r>
              <w:rPr>
                <w:sz w:val="24"/>
              </w:rPr>
              <w:t>LI2</w:t>
            </w:r>
          </w:p>
        </w:tc>
        <w:tc>
          <w:tcPr>
            <w:tcW w:w="490" w:type="dxa"/>
          </w:tcPr>
          <w:p>
            <w:pPr>
              <w:pStyle w:val="TableParagraph"/>
              <w:spacing w:before="15"/>
              <w:ind w:left="32" w:right="31"/>
              <w:jc w:val="center"/>
              <w:rPr>
                <w:sz w:val="24"/>
              </w:rPr>
            </w:pPr>
            <w:r>
              <w:rPr>
                <w:sz w:val="24"/>
              </w:rPr>
              <w:t>&lt;---</w:t>
            </w:r>
          </w:p>
        </w:tc>
        <w:tc>
          <w:tcPr>
            <w:tcW w:w="935" w:type="dxa"/>
          </w:tcPr>
          <w:p>
            <w:pPr>
              <w:pStyle w:val="TableParagraph"/>
              <w:spacing w:before="15"/>
              <w:ind w:left="138"/>
              <w:rPr>
                <w:sz w:val="24"/>
              </w:rPr>
            </w:pPr>
            <w:r>
              <w:rPr>
                <w:sz w:val="24"/>
              </w:rPr>
              <w:t>LI</w:t>
            </w:r>
          </w:p>
        </w:tc>
        <w:tc>
          <w:tcPr>
            <w:tcW w:w="1122" w:type="dxa"/>
          </w:tcPr>
          <w:p>
            <w:pPr>
              <w:pStyle w:val="TableParagraph"/>
              <w:spacing w:before="15"/>
              <w:ind w:right="132"/>
              <w:jc w:val="right"/>
              <w:rPr>
                <w:sz w:val="24"/>
              </w:rPr>
            </w:pPr>
            <w:r>
              <w:rPr>
                <w:sz w:val="24"/>
              </w:rPr>
              <w:t>.831</w:t>
            </w:r>
          </w:p>
        </w:tc>
        <w:tc>
          <w:tcPr>
            <w:tcW w:w="700" w:type="dxa"/>
          </w:tcPr>
          <w:p>
            <w:pPr>
              <w:pStyle w:val="TableParagraph"/>
              <w:spacing w:before="15"/>
              <w:ind w:left="116" w:right="113"/>
              <w:jc w:val="center"/>
              <w:rPr>
                <w:sz w:val="24"/>
              </w:rPr>
            </w:pPr>
            <w:r>
              <w:rPr>
                <w:sz w:val="24"/>
              </w:rPr>
              <w:t>.079</w:t>
            </w:r>
          </w:p>
        </w:tc>
        <w:tc>
          <w:tcPr>
            <w:tcW w:w="943" w:type="dxa"/>
          </w:tcPr>
          <w:p>
            <w:pPr>
              <w:pStyle w:val="TableParagraph"/>
              <w:spacing w:before="15"/>
              <w:ind w:right="136"/>
              <w:jc w:val="right"/>
              <w:rPr>
                <w:sz w:val="24"/>
              </w:rPr>
            </w:pPr>
            <w:r>
              <w:rPr>
                <w:sz w:val="24"/>
              </w:rPr>
              <w:t>10.560</w:t>
            </w:r>
          </w:p>
        </w:tc>
        <w:tc>
          <w:tcPr>
            <w:tcW w:w="643" w:type="dxa"/>
          </w:tcPr>
          <w:p>
            <w:pPr>
              <w:pStyle w:val="TableParagraph"/>
              <w:spacing w:before="15"/>
              <w:ind w:right="137"/>
              <w:jc w:val="right"/>
              <w:rPr>
                <w:sz w:val="24"/>
              </w:rPr>
            </w:pPr>
            <w:r>
              <w:rPr>
                <w:sz w:val="24"/>
              </w:rPr>
              <w:t>***</w:t>
            </w:r>
          </w:p>
        </w:tc>
        <w:tc>
          <w:tcPr>
            <w:tcW w:w="828" w:type="dxa"/>
          </w:tcPr>
          <w:p>
            <w:pPr>
              <w:pStyle w:val="TableParagraph"/>
              <w:rPr>
                <w:sz w:val="22"/>
              </w:rPr>
            </w:pPr>
          </w:p>
        </w:tc>
      </w:tr>
    </w:tbl>
    <w:p>
      <w:pPr>
        <w:pStyle w:val="BodyText"/>
        <w:spacing w:before="11"/>
        <w:rPr>
          <w:b/>
          <w:sz w:val="21"/>
        </w:rPr>
      </w:pPr>
    </w:p>
    <w:p>
      <w:pPr>
        <w:spacing w:before="91"/>
        <w:ind w:left="882" w:right="0" w:firstLine="0"/>
        <w:jc w:val="left"/>
        <w:rPr>
          <w:b/>
          <w:sz w:val="20"/>
        </w:rPr>
      </w:pPr>
      <w:r>
        <w:rPr>
          <w:b/>
          <w:sz w:val="20"/>
        </w:rPr>
        <w:t>Covariances: (Group number 1 - Default model)</w:t>
      </w:r>
    </w:p>
    <w:p>
      <w:pPr>
        <w:pStyle w:val="BodyText"/>
        <w:rPr>
          <w:b/>
          <w:sz w:val="10"/>
        </w:rPr>
      </w:pPr>
    </w:p>
    <w:tbl>
      <w:tblPr>
        <w:tblW w:w="0" w:type="auto"/>
        <w:jc w:val="left"/>
        <w:tblInd w:w="74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461"/>
        <w:gridCol w:w="545"/>
        <w:gridCol w:w="627"/>
        <w:gridCol w:w="1122"/>
        <w:gridCol w:w="699"/>
        <w:gridCol w:w="901"/>
        <w:gridCol w:w="702"/>
        <w:gridCol w:w="830"/>
      </w:tblGrid>
      <w:tr>
        <w:trPr>
          <w:trHeight w:val="443" w:hRule="atLeast"/>
        </w:trPr>
        <w:tc>
          <w:tcPr>
            <w:tcW w:w="461" w:type="dxa"/>
          </w:tcPr>
          <w:p>
            <w:pPr>
              <w:pStyle w:val="TableParagraph"/>
              <w:rPr>
                <w:sz w:val="22"/>
              </w:rPr>
            </w:pPr>
          </w:p>
        </w:tc>
        <w:tc>
          <w:tcPr>
            <w:tcW w:w="545" w:type="dxa"/>
          </w:tcPr>
          <w:p>
            <w:pPr>
              <w:pStyle w:val="TableParagraph"/>
              <w:rPr>
                <w:sz w:val="22"/>
              </w:rPr>
            </w:pPr>
          </w:p>
        </w:tc>
        <w:tc>
          <w:tcPr>
            <w:tcW w:w="627" w:type="dxa"/>
          </w:tcPr>
          <w:p>
            <w:pPr>
              <w:pStyle w:val="TableParagraph"/>
              <w:rPr>
                <w:sz w:val="22"/>
              </w:rPr>
            </w:pPr>
          </w:p>
        </w:tc>
        <w:tc>
          <w:tcPr>
            <w:tcW w:w="1122" w:type="dxa"/>
          </w:tcPr>
          <w:p>
            <w:pPr>
              <w:pStyle w:val="TableParagraph"/>
              <w:spacing w:before="13"/>
              <w:ind w:right="130"/>
              <w:jc w:val="right"/>
              <w:rPr>
                <w:sz w:val="24"/>
              </w:rPr>
            </w:pPr>
            <w:r>
              <w:rPr>
                <w:sz w:val="24"/>
              </w:rPr>
              <w:t>Estimate</w:t>
            </w:r>
          </w:p>
        </w:tc>
        <w:tc>
          <w:tcPr>
            <w:tcW w:w="699" w:type="dxa"/>
          </w:tcPr>
          <w:p>
            <w:pPr>
              <w:pStyle w:val="TableParagraph"/>
              <w:spacing w:before="13"/>
              <w:ind w:left="117" w:right="93"/>
              <w:jc w:val="center"/>
              <w:rPr>
                <w:sz w:val="24"/>
              </w:rPr>
            </w:pPr>
            <w:r>
              <w:rPr>
                <w:sz w:val="24"/>
              </w:rPr>
              <w:t>S.E.</w:t>
            </w:r>
          </w:p>
        </w:tc>
        <w:tc>
          <w:tcPr>
            <w:tcW w:w="901" w:type="dxa"/>
          </w:tcPr>
          <w:p>
            <w:pPr>
              <w:pStyle w:val="TableParagraph"/>
              <w:spacing w:before="13"/>
              <w:ind w:right="129"/>
              <w:jc w:val="right"/>
              <w:rPr>
                <w:sz w:val="24"/>
              </w:rPr>
            </w:pPr>
            <w:r>
              <w:rPr>
                <w:sz w:val="24"/>
              </w:rPr>
              <w:t>C.R.</w:t>
            </w:r>
          </w:p>
        </w:tc>
        <w:tc>
          <w:tcPr>
            <w:tcW w:w="702" w:type="dxa"/>
          </w:tcPr>
          <w:p>
            <w:pPr>
              <w:pStyle w:val="TableParagraph"/>
              <w:spacing w:before="13"/>
              <w:ind w:right="135"/>
              <w:jc w:val="right"/>
              <w:rPr>
                <w:sz w:val="24"/>
              </w:rPr>
            </w:pPr>
            <w:r>
              <w:rPr>
                <w:w w:val="99"/>
                <w:sz w:val="24"/>
              </w:rPr>
              <w:t>P</w:t>
            </w:r>
          </w:p>
        </w:tc>
        <w:tc>
          <w:tcPr>
            <w:tcW w:w="830" w:type="dxa"/>
          </w:tcPr>
          <w:p>
            <w:pPr>
              <w:pStyle w:val="TableParagraph"/>
              <w:spacing w:before="13"/>
              <w:ind w:left="134"/>
              <w:rPr>
                <w:sz w:val="24"/>
              </w:rPr>
            </w:pPr>
            <w:r>
              <w:rPr>
                <w:sz w:val="24"/>
              </w:rPr>
              <w:t>Label</w:t>
            </w:r>
          </w:p>
        </w:tc>
      </w:tr>
      <w:tr>
        <w:trPr>
          <w:trHeight w:val="443" w:hRule="atLeast"/>
        </w:trPr>
        <w:tc>
          <w:tcPr>
            <w:tcW w:w="461" w:type="dxa"/>
          </w:tcPr>
          <w:p>
            <w:pPr>
              <w:pStyle w:val="TableParagraph"/>
              <w:spacing w:before="15"/>
              <w:ind w:left="34" w:right="147"/>
              <w:jc w:val="center"/>
              <w:rPr>
                <w:sz w:val="24"/>
              </w:rPr>
            </w:pPr>
            <w:r>
              <w:rPr>
                <w:sz w:val="24"/>
              </w:rPr>
              <w:t>e8</w:t>
            </w:r>
          </w:p>
        </w:tc>
        <w:tc>
          <w:tcPr>
            <w:tcW w:w="545" w:type="dxa"/>
          </w:tcPr>
          <w:p>
            <w:pPr>
              <w:pStyle w:val="TableParagraph"/>
              <w:spacing w:before="15"/>
              <w:ind w:left="33" w:right="31"/>
              <w:jc w:val="center"/>
              <w:rPr>
                <w:sz w:val="24"/>
              </w:rPr>
            </w:pPr>
            <w:r>
              <w:rPr>
                <w:sz w:val="24"/>
              </w:rPr>
              <w:t>&lt;--&gt;</w:t>
            </w:r>
          </w:p>
        </w:tc>
        <w:tc>
          <w:tcPr>
            <w:tcW w:w="627" w:type="dxa"/>
          </w:tcPr>
          <w:p>
            <w:pPr>
              <w:pStyle w:val="TableParagraph"/>
              <w:spacing w:before="15"/>
              <w:ind w:left="117" w:right="112"/>
              <w:jc w:val="center"/>
              <w:rPr>
                <w:sz w:val="24"/>
              </w:rPr>
            </w:pPr>
            <w:r>
              <w:rPr>
                <w:sz w:val="24"/>
              </w:rPr>
              <w:t>e12</w:t>
            </w:r>
          </w:p>
        </w:tc>
        <w:tc>
          <w:tcPr>
            <w:tcW w:w="1122" w:type="dxa"/>
          </w:tcPr>
          <w:p>
            <w:pPr>
              <w:pStyle w:val="TableParagraph"/>
              <w:spacing w:before="15"/>
              <w:ind w:right="132"/>
              <w:jc w:val="right"/>
              <w:rPr>
                <w:sz w:val="24"/>
              </w:rPr>
            </w:pPr>
            <w:r>
              <w:rPr>
                <w:sz w:val="24"/>
              </w:rPr>
              <w:t>.268</w:t>
            </w:r>
          </w:p>
        </w:tc>
        <w:tc>
          <w:tcPr>
            <w:tcW w:w="699" w:type="dxa"/>
          </w:tcPr>
          <w:p>
            <w:pPr>
              <w:pStyle w:val="TableParagraph"/>
              <w:spacing w:before="15"/>
              <w:ind w:left="116" w:right="111"/>
              <w:jc w:val="center"/>
              <w:rPr>
                <w:sz w:val="24"/>
              </w:rPr>
            </w:pPr>
            <w:r>
              <w:rPr>
                <w:sz w:val="24"/>
              </w:rPr>
              <w:t>.039</w:t>
            </w:r>
          </w:p>
        </w:tc>
        <w:tc>
          <w:tcPr>
            <w:tcW w:w="901" w:type="dxa"/>
          </w:tcPr>
          <w:p>
            <w:pPr>
              <w:pStyle w:val="TableParagraph"/>
              <w:spacing w:before="15"/>
              <w:ind w:right="133"/>
              <w:jc w:val="right"/>
              <w:rPr>
                <w:sz w:val="24"/>
              </w:rPr>
            </w:pPr>
            <w:r>
              <w:rPr>
                <w:sz w:val="24"/>
              </w:rPr>
              <w:t>6.866</w:t>
            </w:r>
          </w:p>
        </w:tc>
        <w:tc>
          <w:tcPr>
            <w:tcW w:w="702" w:type="dxa"/>
          </w:tcPr>
          <w:p>
            <w:pPr>
              <w:pStyle w:val="TableParagraph"/>
              <w:spacing w:before="15"/>
              <w:ind w:right="134"/>
              <w:jc w:val="right"/>
              <w:rPr>
                <w:sz w:val="24"/>
              </w:rPr>
            </w:pPr>
            <w:r>
              <w:rPr>
                <w:sz w:val="24"/>
              </w:rPr>
              <w:t>***</w:t>
            </w:r>
          </w:p>
        </w:tc>
        <w:tc>
          <w:tcPr>
            <w:tcW w:w="830" w:type="dxa"/>
          </w:tcPr>
          <w:p>
            <w:pPr>
              <w:pStyle w:val="TableParagraph"/>
              <w:rPr>
                <w:sz w:val="22"/>
              </w:rPr>
            </w:pPr>
          </w:p>
        </w:tc>
      </w:tr>
      <w:tr>
        <w:trPr>
          <w:trHeight w:val="446" w:hRule="atLeast"/>
        </w:trPr>
        <w:tc>
          <w:tcPr>
            <w:tcW w:w="461" w:type="dxa"/>
          </w:tcPr>
          <w:p>
            <w:pPr>
              <w:pStyle w:val="TableParagraph"/>
              <w:spacing w:before="16"/>
              <w:ind w:left="34" w:right="30"/>
              <w:jc w:val="center"/>
              <w:rPr>
                <w:sz w:val="24"/>
              </w:rPr>
            </w:pPr>
            <w:r>
              <w:rPr>
                <w:sz w:val="24"/>
              </w:rPr>
              <w:t>e27</w:t>
            </w:r>
          </w:p>
        </w:tc>
        <w:tc>
          <w:tcPr>
            <w:tcW w:w="545" w:type="dxa"/>
          </w:tcPr>
          <w:p>
            <w:pPr>
              <w:pStyle w:val="TableParagraph"/>
              <w:spacing w:before="16"/>
              <w:ind w:left="33" w:right="31"/>
              <w:jc w:val="center"/>
              <w:rPr>
                <w:sz w:val="24"/>
              </w:rPr>
            </w:pPr>
            <w:r>
              <w:rPr>
                <w:sz w:val="24"/>
              </w:rPr>
              <w:t>&lt;--&gt;</w:t>
            </w:r>
          </w:p>
        </w:tc>
        <w:tc>
          <w:tcPr>
            <w:tcW w:w="627" w:type="dxa"/>
          </w:tcPr>
          <w:p>
            <w:pPr>
              <w:pStyle w:val="TableParagraph"/>
              <w:spacing w:before="16"/>
              <w:ind w:left="117" w:right="112"/>
              <w:jc w:val="center"/>
              <w:rPr>
                <w:sz w:val="24"/>
              </w:rPr>
            </w:pPr>
            <w:r>
              <w:rPr>
                <w:sz w:val="24"/>
              </w:rPr>
              <w:t>e28</w:t>
            </w:r>
          </w:p>
        </w:tc>
        <w:tc>
          <w:tcPr>
            <w:tcW w:w="1122" w:type="dxa"/>
          </w:tcPr>
          <w:p>
            <w:pPr>
              <w:pStyle w:val="TableParagraph"/>
              <w:spacing w:before="16"/>
              <w:ind w:right="131"/>
              <w:jc w:val="right"/>
              <w:rPr>
                <w:sz w:val="24"/>
              </w:rPr>
            </w:pPr>
            <w:r>
              <w:rPr>
                <w:sz w:val="24"/>
              </w:rPr>
              <w:t>.105</w:t>
            </w:r>
          </w:p>
        </w:tc>
        <w:tc>
          <w:tcPr>
            <w:tcW w:w="699" w:type="dxa"/>
          </w:tcPr>
          <w:p>
            <w:pPr>
              <w:pStyle w:val="TableParagraph"/>
              <w:spacing w:before="16"/>
              <w:ind w:left="116" w:right="111"/>
              <w:jc w:val="center"/>
              <w:rPr>
                <w:sz w:val="24"/>
              </w:rPr>
            </w:pPr>
            <w:r>
              <w:rPr>
                <w:sz w:val="24"/>
              </w:rPr>
              <w:t>.050</w:t>
            </w:r>
          </w:p>
        </w:tc>
        <w:tc>
          <w:tcPr>
            <w:tcW w:w="901" w:type="dxa"/>
          </w:tcPr>
          <w:p>
            <w:pPr>
              <w:pStyle w:val="TableParagraph"/>
              <w:spacing w:before="16"/>
              <w:ind w:right="133"/>
              <w:jc w:val="right"/>
              <w:rPr>
                <w:sz w:val="24"/>
              </w:rPr>
            </w:pPr>
            <w:r>
              <w:rPr>
                <w:sz w:val="24"/>
              </w:rPr>
              <w:t>2.095</w:t>
            </w:r>
          </w:p>
        </w:tc>
        <w:tc>
          <w:tcPr>
            <w:tcW w:w="702" w:type="dxa"/>
          </w:tcPr>
          <w:p>
            <w:pPr>
              <w:pStyle w:val="TableParagraph"/>
              <w:spacing w:before="16"/>
              <w:ind w:right="134"/>
              <w:jc w:val="right"/>
              <w:rPr>
                <w:sz w:val="24"/>
              </w:rPr>
            </w:pPr>
            <w:r>
              <w:rPr>
                <w:sz w:val="24"/>
              </w:rPr>
              <w:t>.036</w:t>
            </w:r>
          </w:p>
        </w:tc>
        <w:tc>
          <w:tcPr>
            <w:tcW w:w="830" w:type="dxa"/>
          </w:tcPr>
          <w:p>
            <w:pPr>
              <w:pStyle w:val="TableParagraph"/>
              <w:rPr>
                <w:sz w:val="22"/>
              </w:rPr>
            </w:pPr>
          </w:p>
        </w:tc>
      </w:tr>
      <w:tr>
        <w:trPr>
          <w:trHeight w:val="443" w:hRule="atLeast"/>
        </w:trPr>
        <w:tc>
          <w:tcPr>
            <w:tcW w:w="461" w:type="dxa"/>
          </w:tcPr>
          <w:p>
            <w:pPr>
              <w:pStyle w:val="TableParagraph"/>
              <w:spacing w:before="13"/>
              <w:ind w:left="34" w:right="30"/>
              <w:jc w:val="center"/>
              <w:rPr>
                <w:sz w:val="24"/>
              </w:rPr>
            </w:pPr>
            <w:r>
              <w:rPr>
                <w:sz w:val="24"/>
              </w:rPr>
              <w:t>e28</w:t>
            </w:r>
          </w:p>
        </w:tc>
        <w:tc>
          <w:tcPr>
            <w:tcW w:w="545" w:type="dxa"/>
          </w:tcPr>
          <w:p>
            <w:pPr>
              <w:pStyle w:val="TableParagraph"/>
              <w:spacing w:before="13"/>
              <w:ind w:left="33" w:right="31"/>
              <w:jc w:val="center"/>
              <w:rPr>
                <w:sz w:val="24"/>
              </w:rPr>
            </w:pPr>
            <w:r>
              <w:rPr>
                <w:sz w:val="24"/>
              </w:rPr>
              <w:t>&lt;--&gt;</w:t>
            </w:r>
          </w:p>
        </w:tc>
        <w:tc>
          <w:tcPr>
            <w:tcW w:w="627" w:type="dxa"/>
          </w:tcPr>
          <w:p>
            <w:pPr>
              <w:pStyle w:val="TableParagraph"/>
              <w:spacing w:before="13"/>
              <w:ind w:left="117" w:right="112"/>
              <w:jc w:val="center"/>
              <w:rPr>
                <w:sz w:val="24"/>
              </w:rPr>
            </w:pPr>
            <w:r>
              <w:rPr>
                <w:sz w:val="24"/>
              </w:rPr>
              <w:t>e29</w:t>
            </w:r>
          </w:p>
        </w:tc>
        <w:tc>
          <w:tcPr>
            <w:tcW w:w="1122" w:type="dxa"/>
          </w:tcPr>
          <w:p>
            <w:pPr>
              <w:pStyle w:val="TableParagraph"/>
              <w:spacing w:before="13"/>
              <w:ind w:right="132"/>
              <w:jc w:val="right"/>
              <w:rPr>
                <w:sz w:val="24"/>
              </w:rPr>
            </w:pPr>
            <w:r>
              <w:rPr>
                <w:sz w:val="24"/>
              </w:rPr>
              <w:t>-.126</w:t>
            </w:r>
          </w:p>
        </w:tc>
        <w:tc>
          <w:tcPr>
            <w:tcW w:w="699" w:type="dxa"/>
          </w:tcPr>
          <w:p>
            <w:pPr>
              <w:pStyle w:val="TableParagraph"/>
              <w:spacing w:before="13"/>
              <w:ind w:left="116" w:right="111"/>
              <w:jc w:val="center"/>
              <w:rPr>
                <w:sz w:val="24"/>
              </w:rPr>
            </w:pPr>
            <w:r>
              <w:rPr>
                <w:sz w:val="24"/>
              </w:rPr>
              <w:t>.043</w:t>
            </w:r>
          </w:p>
        </w:tc>
        <w:tc>
          <w:tcPr>
            <w:tcW w:w="901" w:type="dxa"/>
          </w:tcPr>
          <w:p>
            <w:pPr>
              <w:pStyle w:val="TableParagraph"/>
              <w:spacing w:before="13"/>
              <w:ind w:right="133"/>
              <w:jc w:val="right"/>
              <w:rPr>
                <w:sz w:val="24"/>
              </w:rPr>
            </w:pPr>
            <w:r>
              <w:rPr>
                <w:sz w:val="24"/>
              </w:rPr>
              <w:t>-2.904</w:t>
            </w:r>
          </w:p>
        </w:tc>
        <w:tc>
          <w:tcPr>
            <w:tcW w:w="702" w:type="dxa"/>
          </w:tcPr>
          <w:p>
            <w:pPr>
              <w:pStyle w:val="TableParagraph"/>
              <w:spacing w:before="13"/>
              <w:ind w:right="134"/>
              <w:jc w:val="right"/>
              <w:rPr>
                <w:sz w:val="24"/>
              </w:rPr>
            </w:pPr>
            <w:r>
              <w:rPr>
                <w:sz w:val="24"/>
              </w:rPr>
              <w:t>.004</w:t>
            </w:r>
          </w:p>
        </w:tc>
        <w:tc>
          <w:tcPr>
            <w:tcW w:w="830" w:type="dxa"/>
          </w:tcPr>
          <w:p>
            <w:pPr>
              <w:pStyle w:val="TableParagraph"/>
              <w:rPr>
                <w:sz w:val="22"/>
              </w:rPr>
            </w:pPr>
          </w:p>
        </w:tc>
      </w:tr>
      <w:tr>
        <w:trPr>
          <w:trHeight w:val="443" w:hRule="atLeast"/>
        </w:trPr>
        <w:tc>
          <w:tcPr>
            <w:tcW w:w="461" w:type="dxa"/>
          </w:tcPr>
          <w:p>
            <w:pPr>
              <w:pStyle w:val="TableParagraph"/>
              <w:spacing w:before="13"/>
              <w:ind w:left="34" w:right="30"/>
              <w:jc w:val="center"/>
              <w:rPr>
                <w:sz w:val="24"/>
              </w:rPr>
            </w:pPr>
            <w:r>
              <w:rPr>
                <w:sz w:val="24"/>
              </w:rPr>
              <w:t>e15</w:t>
            </w:r>
          </w:p>
        </w:tc>
        <w:tc>
          <w:tcPr>
            <w:tcW w:w="545" w:type="dxa"/>
          </w:tcPr>
          <w:p>
            <w:pPr>
              <w:pStyle w:val="TableParagraph"/>
              <w:spacing w:before="13"/>
              <w:ind w:left="33" w:right="31"/>
              <w:jc w:val="center"/>
              <w:rPr>
                <w:sz w:val="24"/>
              </w:rPr>
            </w:pPr>
            <w:r>
              <w:rPr>
                <w:sz w:val="24"/>
              </w:rPr>
              <w:t>&lt;--&gt;</w:t>
            </w:r>
          </w:p>
        </w:tc>
        <w:tc>
          <w:tcPr>
            <w:tcW w:w="627" w:type="dxa"/>
          </w:tcPr>
          <w:p>
            <w:pPr>
              <w:pStyle w:val="TableParagraph"/>
              <w:spacing w:before="13"/>
              <w:ind w:left="117" w:right="112"/>
              <w:jc w:val="center"/>
              <w:rPr>
                <w:sz w:val="24"/>
              </w:rPr>
            </w:pPr>
            <w:r>
              <w:rPr>
                <w:sz w:val="24"/>
              </w:rPr>
              <w:t>e16</w:t>
            </w:r>
          </w:p>
        </w:tc>
        <w:tc>
          <w:tcPr>
            <w:tcW w:w="1122" w:type="dxa"/>
          </w:tcPr>
          <w:p>
            <w:pPr>
              <w:pStyle w:val="TableParagraph"/>
              <w:spacing w:before="13"/>
              <w:ind w:right="132"/>
              <w:jc w:val="right"/>
              <w:rPr>
                <w:sz w:val="24"/>
              </w:rPr>
            </w:pPr>
            <w:r>
              <w:rPr>
                <w:sz w:val="24"/>
              </w:rPr>
              <w:t>.361</w:t>
            </w:r>
          </w:p>
        </w:tc>
        <w:tc>
          <w:tcPr>
            <w:tcW w:w="699" w:type="dxa"/>
          </w:tcPr>
          <w:p>
            <w:pPr>
              <w:pStyle w:val="TableParagraph"/>
              <w:spacing w:before="13"/>
              <w:ind w:left="116" w:right="111"/>
              <w:jc w:val="center"/>
              <w:rPr>
                <w:sz w:val="24"/>
              </w:rPr>
            </w:pPr>
            <w:r>
              <w:rPr>
                <w:sz w:val="24"/>
              </w:rPr>
              <w:t>.052</w:t>
            </w:r>
          </w:p>
        </w:tc>
        <w:tc>
          <w:tcPr>
            <w:tcW w:w="901" w:type="dxa"/>
          </w:tcPr>
          <w:p>
            <w:pPr>
              <w:pStyle w:val="TableParagraph"/>
              <w:spacing w:before="13"/>
              <w:ind w:right="133"/>
              <w:jc w:val="right"/>
              <w:rPr>
                <w:sz w:val="24"/>
              </w:rPr>
            </w:pPr>
            <w:r>
              <w:rPr>
                <w:sz w:val="24"/>
              </w:rPr>
              <w:t>6.887</w:t>
            </w:r>
          </w:p>
        </w:tc>
        <w:tc>
          <w:tcPr>
            <w:tcW w:w="702" w:type="dxa"/>
          </w:tcPr>
          <w:p>
            <w:pPr>
              <w:pStyle w:val="TableParagraph"/>
              <w:spacing w:before="13"/>
              <w:ind w:right="134"/>
              <w:jc w:val="right"/>
              <w:rPr>
                <w:sz w:val="24"/>
              </w:rPr>
            </w:pPr>
            <w:r>
              <w:rPr>
                <w:sz w:val="24"/>
              </w:rPr>
              <w:t>***</w:t>
            </w:r>
          </w:p>
        </w:tc>
        <w:tc>
          <w:tcPr>
            <w:tcW w:w="830" w:type="dxa"/>
          </w:tcPr>
          <w:p>
            <w:pPr>
              <w:pStyle w:val="TableParagraph"/>
              <w:rPr>
                <w:sz w:val="22"/>
              </w:rPr>
            </w:pPr>
          </w:p>
        </w:tc>
      </w:tr>
      <w:tr>
        <w:trPr>
          <w:trHeight w:val="443" w:hRule="atLeast"/>
        </w:trPr>
        <w:tc>
          <w:tcPr>
            <w:tcW w:w="461" w:type="dxa"/>
          </w:tcPr>
          <w:p>
            <w:pPr>
              <w:pStyle w:val="TableParagraph"/>
              <w:spacing w:before="13"/>
              <w:ind w:left="34" w:right="148"/>
              <w:jc w:val="center"/>
              <w:rPr>
                <w:sz w:val="24"/>
              </w:rPr>
            </w:pPr>
            <w:r>
              <w:rPr>
                <w:sz w:val="24"/>
              </w:rPr>
              <w:t>e8</w:t>
            </w:r>
          </w:p>
        </w:tc>
        <w:tc>
          <w:tcPr>
            <w:tcW w:w="545" w:type="dxa"/>
          </w:tcPr>
          <w:p>
            <w:pPr>
              <w:pStyle w:val="TableParagraph"/>
              <w:spacing w:before="13"/>
              <w:ind w:left="33" w:right="31"/>
              <w:jc w:val="center"/>
              <w:rPr>
                <w:sz w:val="24"/>
              </w:rPr>
            </w:pPr>
            <w:r>
              <w:rPr>
                <w:sz w:val="24"/>
              </w:rPr>
              <w:t>&lt;--&gt;</w:t>
            </w:r>
          </w:p>
        </w:tc>
        <w:tc>
          <w:tcPr>
            <w:tcW w:w="627" w:type="dxa"/>
          </w:tcPr>
          <w:p>
            <w:pPr>
              <w:pStyle w:val="TableParagraph"/>
              <w:spacing w:before="13"/>
              <w:ind w:left="117" w:right="112"/>
              <w:jc w:val="center"/>
              <w:rPr>
                <w:sz w:val="24"/>
              </w:rPr>
            </w:pPr>
            <w:r>
              <w:rPr>
                <w:sz w:val="24"/>
              </w:rPr>
              <w:t>e11</w:t>
            </w:r>
          </w:p>
        </w:tc>
        <w:tc>
          <w:tcPr>
            <w:tcW w:w="1122" w:type="dxa"/>
          </w:tcPr>
          <w:p>
            <w:pPr>
              <w:pStyle w:val="TableParagraph"/>
              <w:spacing w:before="13"/>
              <w:ind w:right="132"/>
              <w:jc w:val="right"/>
              <w:rPr>
                <w:sz w:val="24"/>
              </w:rPr>
            </w:pPr>
            <w:r>
              <w:rPr>
                <w:sz w:val="24"/>
              </w:rPr>
              <w:t>.211</w:t>
            </w:r>
          </w:p>
        </w:tc>
        <w:tc>
          <w:tcPr>
            <w:tcW w:w="699" w:type="dxa"/>
          </w:tcPr>
          <w:p>
            <w:pPr>
              <w:pStyle w:val="TableParagraph"/>
              <w:spacing w:before="13"/>
              <w:ind w:left="116" w:right="111"/>
              <w:jc w:val="center"/>
              <w:rPr>
                <w:sz w:val="24"/>
              </w:rPr>
            </w:pPr>
            <w:r>
              <w:rPr>
                <w:sz w:val="24"/>
              </w:rPr>
              <w:t>.035</w:t>
            </w:r>
          </w:p>
        </w:tc>
        <w:tc>
          <w:tcPr>
            <w:tcW w:w="901" w:type="dxa"/>
          </w:tcPr>
          <w:p>
            <w:pPr>
              <w:pStyle w:val="TableParagraph"/>
              <w:spacing w:before="13"/>
              <w:ind w:right="133"/>
              <w:jc w:val="right"/>
              <w:rPr>
                <w:sz w:val="24"/>
              </w:rPr>
            </w:pPr>
            <w:r>
              <w:rPr>
                <w:sz w:val="24"/>
              </w:rPr>
              <w:t>6.103</w:t>
            </w:r>
          </w:p>
        </w:tc>
        <w:tc>
          <w:tcPr>
            <w:tcW w:w="702" w:type="dxa"/>
          </w:tcPr>
          <w:p>
            <w:pPr>
              <w:pStyle w:val="TableParagraph"/>
              <w:spacing w:before="13"/>
              <w:ind w:right="134"/>
              <w:jc w:val="right"/>
              <w:rPr>
                <w:sz w:val="24"/>
              </w:rPr>
            </w:pPr>
            <w:r>
              <w:rPr>
                <w:sz w:val="24"/>
              </w:rPr>
              <w:t>***</w:t>
            </w:r>
          </w:p>
        </w:tc>
        <w:tc>
          <w:tcPr>
            <w:tcW w:w="830" w:type="dxa"/>
          </w:tcPr>
          <w:p>
            <w:pPr>
              <w:pStyle w:val="TableParagraph"/>
              <w:rPr>
                <w:sz w:val="22"/>
              </w:rPr>
            </w:pPr>
          </w:p>
        </w:tc>
      </w:tr>
      <w:tr>
        <w:trPr>
          <w:trHeight w:val="443" w:hRule="atLeast"/>
        </w:trPr>
        <w:tc>
          <w:tcPr>
            <w:tcW w:w="461" w:type="dxa"/>
          </w:tcPr>
          <w:p>
            <w:pPr>
              <w:pStyle w:val="TableParagraph"/>
              <w:spacing w:before="13"/>
              <w:ind w:left="34" w:right="148"/>
              <w:jc w:val="center"/>
              <w:rPr>
                <w:sz w:val="24"/>
              </w:rPr>
            </w:pPr>
            <w:r>
              <w:rPr>
                <w:sz w:val="24"/>
              </w:rPr>
              <w:t>e9</w:t>
            </w:r>
          </w:p>
        </w:tc>
        <w:tc>
          <w:tcPr>
            <w:tcW w:w="545" w:type="dxa"/>
          </w:tcPr>
          <w:p>
            <w:pPr>
              <w:pStyle w:val="TableParagraph"/>
              <w:spacing w:before="13"/>
              <w:ind w:left="33" w:right="31"/>
              <w:jc w:val="center"/>
              <w:rPr>
                <w:sz w:val="24"/>
              </w:rPr>
            </w:pPr>
            <w:r>
              <w:rPr>
                <w:sz w:val="24"/>
              </w:rPr>
              <w:t>&lt;--&gt;</w:t>
            </w:r>
          </w:p>
        </w:tc>
        <w:tc>
          <w:tcPr>
            <w:tcW w:w="627" w:type="dxa"/>
          </w:tcPr>
          <w:p>
            <w:pPr>
              <w:pStyle w:val="TableParagraph"/>
              <w:spacing w:before="13"/>
              <w:ind w:left="117" w:right="112"/>
              <w:jc w:val="center"/>
              <w:rPr>
                <w:sz w:val="24"/>
              </w:rPr>
            </w:pPr>
            <w:r>
              <w:rPr>
                <w:sz w:val="24"/>
              </w:rPr>
              <w:t>e10</w:t>
            </w:r>
          </w:p>
        </w:tc>
        <w:tc>
          <w:tcPr>
            <w:tcW w:w="1122" w:type="dxa"/>
          </w:tcPr>
          <w:p>
            <w:pPr>
              <w:pStyle w:val="TableParagraph"/>
              <w:spacing w:before="13"/>
              <w:ind w:right="132"/>
              <w:jc w:val="right"/>
              <w:rPr>
                <w:sz w:val="24"/>
              </w:rPr>
            </w:pPr>
            <w:r>
              <w:rPr>
                <w:sz w:val="24"/>
              </w:rPr>
              <w:t>.134</w:t>
            </w:r>
          </w:p>
        </w:tc>
        <w:tc>
          <w:tcPr>
            <w:tcW w:w="699" w:type="dxa"/>
          </w:tcPr>
          <w:p>
            <w:pPr>
              <w:pStyle w:val="TableParagraph"/>
              <w:spacing w:before="13"/>
              <w:ind w:left="116" w:right="111"/>
              <w:jc w:val="center"/>
              <w:rPr>
                <w:sz w:val="24"/>
              </w:rPr>
            </w:pPr>
            <w:r>
              <w:rPr>
                <w:sz w:val="24"/>
              </w:rPr>
              <w:t>.034</w:t>
            </w:r>
          </w:p>
        </w:tc>
        <w:tc>
          <w:tcPr>
            <w:tcW w:w="901" w:type="dxa"/>
          </w:tcPr>
          <w:p>
            <w:pPr>
              <w:pStyle w:val="TableParagraph"/>
              <w:spacing w:before="13"/>
              <w:ind w:right="133"/>
              <w:jc w:val="right"/>
              <w:rPr>
                <w:sz w:val="24"/>
              </w:rPr>
            </w:pPr>
            <w:r>
              <w:rPr>
                <w:sz w:val="24"/>
              </w:rPr>
              <w:t>3.995</w:t>
            </w:r>
          </w:p>
        </w:tc>
        <w:tc>
          <w:tcPr>
            <w:tcW w:w="702" w:type="dxa"/>
          </w:tcPr>
          <w:p>
            <w:pPr>
              <w:pStyle w:val="TableParagraph"/>
              <w:spacing w:before="13"/>
              <w:ind w:right="134"/>
              <w:jc w:val="right"/>
              <w:rPr>
                <w:sz w:val="24"/>
              </w:rPr>
            </w:pPr>
            <w:r>
              <w:rPr>
                <w:sz w:val="24"/>
              </w:rPr>
              <w:t>***</w:t>
            </w:r>
          </w:p>
        </w:tc>
        <w:tc>
          <w:tcPr>
            <w:tcW w:w="830" w:type="dxa"/>
          </w:tcPr>
          <w:p>
            <w:pPr>
              <w:pStyle w:val="TableParagraph"/>
              <w:rPr>
                <w:sz w:val="22"/>
              </w:rPr>
            </w:pPr>
          </w:p>
        </w:tc>
      </w:tr>
    </w:tbl>
    <w:p>
      <w:pPr>
        <w:spacing w:line="360" w:lineRule="auto" w:before="0"/>
        <w:ind w:left="882" w:right="5198" w:firstLine="0"/>
        <w:jc w:val="left"/>
        <w:rPr>
          <w:b/>
          <w:sz w:val="20"/>
        </w:rPr>
      </w:pPr>
      <w:r>
        <w:rPr>
          <w:b/>
          <w:sz w:val="20"/>
        </w:rPr>
        <w:t>Regression Weights: (Group number 1 - Default model) Model Fit Summary</w:t>
      </w:r>
    </w:p>
    <w:p>
      <w:pPr>
        <w:spacing w:before="1"/>
        <w:ind w:left="882" w:right="0" w:firstLine="0"/>
        <w:jc w:val="left"/>
        <w:rPr>
          <w:b/>
          <w:sz w:val="20"/>
        </w:rPr>
      </w:pPr>
      <w:r>
        <w:rPr>
          <w:b/>
          <w:sz w:val="20"/>
        </w:rPr>
        <w:t>CMIN</w:t>
      </w:r>
    </w:p>
    <w:p>
      <w:pPr>
        <w:spacing w:after="0"/>
        <w:jc w:val="left"/>
        <w:rPr>
          <w:sz w:val="20"/>
        </w:rPr>
        <w:sectPr>
          <w:pgSz w:w="11910" w:h="16850"/>
          <w:pgMar w:header="751" w:footer="0" w:top="960" w:bottom="280" w:left="820" w:right="240"/>
        </w:sectPr>
      </w:pPr>
    </w:p>
    <w:p>
      <w:pPr>
        <w:pStyle w:val="BodyText"/>
        <w:spacing w:before="9"/>
        <w:rPr>
          <w:b/>
          <w:sz w:val="23"/>
        </w:rPr>
      </w:pPr>
    </w:p>
    <w:tbl>
      <w:tblPr>
        <w:tblW w:w="0" w:type="auto"/>
        <w:jc w:val="left"/>
        <w:tblInd w:w="75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
      <w:tblGrid>
        <w:gridCol w:w="2273"/>
        <w:gridCol w:w="921"/>
        <w:gridCol w:w="1300"/>
        <w:gridCol w:w="640"/>
        <w:gridCol w:w="701"/>
        <w:gridCol w:w="1280"/>
      </w:tblGrid>
      <w:tr>
        <w:trPr>
          <w:trHeight w:val="443" w:hRule="atLeast"/>
        </w:trPr>
        <w:tc>
          <w:tcPr>
            <w:tcW w:w="2273" w:type="dxa"/>
            <w:tcBorders>
              <w:bottom w:val="single" w:sz="6" w:space="0" w:color="000000"/>
              <w:right w:val="single" w:sz="6" w:space="0" w:color="000000"/>
            </w:tcBorders>
          </w:tcPr>
          <w:p>
            <w:pPr>
              <w:pStyle w:val="TableParagraph"/>
              <w:spacing w:before="13"/>
              <w:ind w:left="139"/>
              <w:rPr>
                <w:sz w:val="24"/>
              </w:rPr>
            </w:pPr>
            <w:r>
              <w:rPr>
                <w:sz w:val="24"/>
              </w:rPr>
              <w:t>Model</w:t>
            </w:r>
          </w:p>
        </w:tc>
        <w:tc>
          <w:tcPr>
            <w:tcW w:w="921" w:type="dxa"/>
            <w:tcBorders>
              <w:left w:val="single" w:sz="6" w:space="0" w:color="000000"/>
              <w:bottom w:val="single" w:sz="6" w:space="0" w:color="000000"/>
            </w:tcBorders>
          </w:tcPr>
          <w:p>
            <w:pPr>
              <w:pStyle w:val="TableParagraph"/>
              <w:spacing w:before="13"/>
              <w:ind w:right="140"/>
              <w:jc w:val="right"/>
              <w:rPr>
                <w:sz w:val="24"/>
              </w:rPr>
            </w:pPr>
            <w:r>
              <w:rPr>
                <w:w w:val="95"/>
                <w:sz w:val="24"/>
              </w:rPr>
              <w:t>NPAR</w:t>
            </w:r>
          </w:p>
        </w:tc>
        <w:tc>
          <w:tcPr>
            <w:tcW w:w="1300" w:type="dxa"/>
            <w:tcBorders>
              <w:bottom w:val="single" w:sz="6" w:space="0" w:color="000000"/>
            </w:tcBorders>
          </w:tcPr>
          <w:p>
            <w:pPr>
              <w:pStyle w:val="TableParagraph"/>
              <w:spacing w:before="13"/>
              <w:ind w:right="140"/>
              <w:jc w:val="right"/>
              <w:rPr>
                <w:sz w:val="24"/>
              </w:rPr>
            </w:pPr>
            <w:r>
              <w:rPr>
                <w:sz w:val="24"/>
              </w:rPr>
              <w:t>CMIN</w:t>
            </w:r>
          </w:p>
        </w:tc>
        <w:tc>
          <w:tcPr>
            <w:tcW w:w="640" w:type="dxa"/>
            <w:tcBorders>
              <w:bottom w:val="single" w:sz="6" w:space="0" w:color="000000"/>
            </w:tcBorders>
          </w:tcPr>
          <w:p>
            <w:pPr>
              <w:pStyle w:val="TableParagraph"/>
              <w:spacing w:before="13"/>
              <w:ind w:right="140"/>
              <w:jc w:val="right"/>
              <w:rPr>
                <w:sz w:val="24"/>
              </w:rPr>
            </w:pPr>
            <w:r>
              <w:rPr>
                <w:w w:val="95"/>
                <w:sz w:val="24"/>
              </w:rPr>
              <w:t>DF</w:t>
            </w:r>
          </w:p>
        </w:tc>
        <w:tc>
          <w:tcPr>
            <w:tcW w:w="701" w:type="dxa"/>
            <w:tcBorders>
              <w:bottom w:val="single" w:sz="6" w:space="0" w:color="000000"/>
            </w:tcBorders>
          </w:tcPr>
          <w:p>
            <w:pPr>
              <w:pStyle w:val="TableParagraph"/>
              <w:spacing w:before="13"/>
              <w:ind w:right="140"/>
              <w:jc w:val="right"/>
              <w:rPr>
                <w:sz w:val="24"/>
              </w:rPr>
            </w:pPr>
            <w:r>
              <w:rPr>
                <w:w w:val="99"/>
                <w:sz w:val="24"/>
              </w:rPr>
              <w:t>P</w:t>
            </w:r>
          </w:p>
        </w:tc>
        <w:tc>
          <w:tcPr>
            <w:tcW w:w="1280" w:type="dxa"/>
            <w:tcBorders>
              <w:bottom w:val="single" w:sz="6" w:space="0" w:color="000000"/>
            </w:tcBorders>
          </w:tcPr>
          <w:p>
            <w:pPr>
              <w:pStyle w:val="TableParagraph"/>
              <w:spacing w:before="13"/>
              <w:ind w:right="138"/>
              <w:jc w:val="right"/>
              <w:rPr>
                <w:sz w:val="24"/>
              </w:rPr>
            </w:pPr>
            <w:r>
              <w:rPr>
                <w:sz w:val="24"/>
              </w:rPr>
              <w:t>CMIN/DF</w:t>
            </w:r>
          </w:p>
        </w:tc>
      </w:tr>
      <w:tr>
        <w:trPr>
          <w:trHeight w:val="364" w:hRule="atLeast"/>
        </w:trPr>
        <w:tc>
          <w:tcPr>
            <w:tcW w:w="2273" w:type="dxa"/>
            <w:tcBorders>
              <w:top w:val="single" w:sz="6" w:space="0" w:color="000000"/>
              <w:right w:val="single" w:sz="6" w:space="0" w:color="000000"/>
            </w:tcBorders>
          </w:tcPr>
          <w:p>
            <w:pPr>
              <w:pStyle w:val="TableParagraph"/>
              <w:spacing w:line="275" w:lineRule="exact"/>
              <w:ind w:left="139"/>
              <w:rPr>
                <w:sz w:val="24"/>
              </w:rPr>
            </w:pPr>
            <w:r>
              <w:rPr>
                <w:sz w:val="24"/>
              </w:rPr>
              <w:t>Default model</w:t>
            </w:r>
          </w:p>
        </w:tc>
        <w:tc>
          <w:tcPr>
            <w:tcW w:w="921" w:type="dxa"/>
            <w:tcBorders>
              <w:top w:val="single" w:sz="6" w:space="0" w:color="000000"/>
              <w:left w:val="single" w:sz="6" w:space="0" w:color="000000"/>
            </w:tcBorders>
          </w:tcPr>
          <w:p>
            <w:pPr>
              <w:pStyle w:val="TableParagraph"/>
              <w:spacing w:line="275" w:lineRule="exact"/>
              <w:ind w:right="138"/>
              <w:jc w:val="right"/>
              <w:rPr>
                <w:sz w:val="24"/>
              </w:rPr>
            </w:pPr>
            <w:r>
              <w:rPr>
                <w:sz w:val="24"/>
              </w:rPr>
              <w:t>100</w:t>
            </w:r>
          </w:p>
        </w:tc>
        <w:tc>
          <w:tcPr>
            <w:tcW w:w="1300" w:type="dxa"/>
            <w:tcBorders>
              <w:top w:val="single" w:sz="6" w:space="0" w:color="000000"/>
            </w:tcBorders>
          </w:tcPr>
          <w:p>
            <w:pPr>
              <w:pStyle w:val="TableParagraph"/>
              <w:spacing w:line="275" w:lineRule="exact"/>
              <w:ind w:right="137"/>
              <w:jc w:val="right"/>
              <w:rPr>
                <w:sz w:val="24"/>
              </w:rPr>
            </w:pPr>
            <w:r>
              <w:rPr>
                <w:sz w:val="24"/>
              </w:rPr>
              <w:t>1270.539</w:t>
            </w:r>
          </w:p>
        </w:tc>
        <w:tc>
          <w:tcPr>
            <w:tcW w:w="640" w:type="dxa"/>
            <w:tcBorders>
              <w:top w:val="single" w:sz="6" w:space="0" w:color="000000"/>
            </w:tcBorders>
          </w:tcPr>
          <w:p>
            <w:pPr>
              <w:pStyle w:val="TableParagraph"/>
              <w:spacing w:line="275" w:lineRule="exact"/>
              <w:ind w:right="139"/>
              <w:jc w:val="right"/>
              <w:rPr>
                <w:sz w:val="24"/>
              </w:rPr>
            </w:pPr>
            <w:r>
              <w:rPr>
                <w:sz w:val="24"/>
              </w:rPr>
              <w:t>803</w:t>
            </w:r>
          </w:p>
        </w:tc>
        <w:tc>
          <w:tcPr>
            <w:tcW w:w="701" w:type="dxa"/>
            <w:tcBorders>
              <w:top w:val="single" w:sz="6" w:space="0" w:color="000000"/>
            </w:tcBorders>
          </w:tcPr>
          <w:p>
            <w:pPr>
              <w:pStyle w:val="TableParagraph"/>
              <w:spacing w:line="275" w:lineRule="exact"/>
              <w:ind w:right="139"/>
              <w:jc w:val="right"/>
              <w:rPr>
                <w:sz w:val="24"/>
              </w:rPr>
            </w:pPr>
            <w:r>
              <w:rPr>
                <w:sz w:val="24"/>
              </w:rPr>
              <w:t>.000</w:t>
            </w:r>
          </w:p>
        </w:tc>
        <w:tc>
          <w:tcPr>
            <w:tcW w:w="1280" w:type="dxa"/>
            <w:tcBorders>
              <w:top w:val="single" w:sz="6" w:space="0" w:color="000000"/>
            </w:tcBorders>
          </w:tcPr>
          <w:p>
            <w:pPr>
              <w:pStyle w:val="TableParagraph"/>
              <w:spacing w:line="275" w:lineRule="exact"/>
              <w:ind w:right="137"/>
              <w:jc w:val="right"/>
              <w:rPr>
                <w:sz w:val="24"/>
              </w:rPr>
            </w:pPr>
            <w:r>
              <w:rPr>
                <w:sz w:val="24"/>
              </w:rPr>
              <w:t>1.582</w:t>
            </w:r>
          </w:p>
        </w:tc>
      </w:tr>
      <w:tr>
        <w:trPr>
          <w:trHeight w:val="443" w:hRule="atLeast"/>
        </w:trPr>
        <w:tc>
          <w:tcPr>
            <w:tcW w:w="2273" w:type="dxa"/>
            <w:tcBorders>
              <w:right w:val="single" w:sz="6" w:space="0" w:color="000000"/>
            </w:tcBorders>
          </w:tcPr>
          <w:p>
            <w:pPr>
              <w:pStyle w:val="TableParagraph"/>
              <w:spacing w:before="79"/>
              <w:ind w:left="139"/>
              <w:rPr>
                <w:sz w:val="24"/>
              </w:rPr>
            </w:pPr>
            <w:r>
              <w:rPr>
                <w:sz w:val="24"/>
              </w:rPr>
              <w:t>Saturated model</w:t>
            </w:r>
          </w:p>
        </w:tc>
        <w:tc>
          <w:tcPr>
            <w:tcW w:w="921" w:type="dxa"/>
            <w:tcBorders>
              <w:left w:val="single" w:sz="6" w:space="0" w:color="000000"/>
            </w:tcBorders>
          </w:tcPr>
          <w:p>
            <w:pPr>
              <w:pStyle w:val="TableParagraph"/>
              <w:spacing w:before="79"/>
              <w:ind w:right="138"/>
              <w:jc w:val="right"/>
              <w:rPr>
                <w:sz w:val="24"/>
              </w:rPr>
            </w:pPr>
            <w:r>
              <w:rPr>
                <w:sz w:val="24"/>
              </w:rPr>
              <w:t>903</w:t>
            </w:r>
          </w:p>
        </w:tc>
        <w:tc>
          <w:tcPr>
            <w:tcW w:w="1300" w:type="dxa"/>
          </w:tcPr>
          <w:p>
            <w:pPr>
              <w:pStyle w:val="TableParagraph"/>
              <w:spacing w:before="79"/>
              <w:ind w:right="137"/>
              <w:jc w:val="right"/>
              <w:rPr>
                <w:sz w:val="24"/>
              </w:rPr>
            </w:pPr>
            <w:r>
              <w:rPr>
                <w:sz w:val="24"/>
              </w:rPr>
              <w:t>.000</w:t>
            </w:r>
          </w:p>
        </w:tc>
        <w:tc>
          <w:tcPr>
            <w:tcW w:w="640" w:type="dxa"/>
          </w:tcPr>
          <w:p>
            <w:pPr>
              <w:pStyle w:val="TableParagraph"/>
              <w:spacing w:before="79"/>
              <w:ind w:right="139"/>
              <w:jc w:val="right"/>
              <w:rPr>
                <w:sz w:val="24"/>
              </w:rPr>
            </w:pPr>
            <w:r>
              <w:rPr>
                <w:sz w:val="24"/>
              </w:rPr>
              <w:t>0</w:t>
            </w:r>
          </w:p>
        </w:tc>
        <w:tc>
          <w:tcPr>
            <w:tcW w:w="701" w:type="dxa"/>
          </w:tcPr>
          <w:p>
            <w:pPr>
              <w:pStyle w:val="TableParagraph"/>
              <w:rPr>
                <w:sz w:val="22"/>
              </w:rPr>
            </w:pPr>
          </w:p>
        </w:tc>
        <w:tc>
          <w:tcPr>
            <w:tcW w:w="1280" w:type="dxa"/>
          </w:tcPr>
          <w:p>
            <w:pPr>
              <w:pStyle w:val="TableParagraph"/>
              <w:rPr>
                <w:sz w:val="22"/>
              </w:rPr>
            </w:pPr>
          </w:p>
        </w:tc>
      </w:tr>
      <w:tr>
        <w:trPr>
          <w:trHeight w:val="509" w:hRule="atLeast"/>
        </w:trPr>
        <w:tc>
          <w:tcPr>
            <w:tcW w:w="2273" w:type="dxa"/>
            <w:tcBorders>
              <w:right w:val="single" w:sz="6" w:space="0" w:color="000000"/>
            </w:tcBorders>
          </w:tcPr>
          <w:p>
            <w:pPr>
              <w:pStyle w:val="TableParagraph"/>
              <w:spacing w:before="79"/>
              <w:ind w:left="139"/>
              <w:rPr>
                <w:sz w:val="24"/>
              </w:rPr>
            </w:pPr>
            <w:r>
              <w:rPr>
                <w:sz w:val="24"/>
              </w:rPr>
              <w:t>Independence model</w:t>
            </w:r>
          </w:p>
        </w:tc>
        <w:tc>
          <w:tcPr>
            <w:tcW w:w="921" w:type="dxa"/>
            <w:tcBorders>
              <w:left w:val="single" w:sz="6" w:space="0" w:color="000000"/>
            </w:tcBorders>
          </w:tcPr>
          <w:p>
            <w:pPr>
              <w:pStyle w:val="TableParagraph"/>
              <w:spacing w:before="79"/>
              <w:ind w:right="138"/>
              <w:jc w:val="right"/>
              <w:rPr>
                <w:sz w:val="24"/>
              </w:rPr>
            </w:pPr>
            <w:r>
              <w:rPr>
                <w:sz w:val="24"/>
              </w:rPr>
              <w:t>42</w:t>
            </w:r>
          </w:p>
        </w:tc>
        <w:tc>
          <w:tcPr>
            <w:tcW w:w="1300" w:type="dxa"/>
          </w:tcPr>
          <w:p>
            <w:pPr>
              <w:pStyle w:val="TableParagraph"/>
              <w:spacing w:before="79"/>
              <w:ind w:right="137"/>
              <w:jc w:val="right"/>
              <w:rPr>
                <w:sz w:val="24"/>
              </w:rPr>
            </w:pPr>
            <w:r>
              <w:rPr>
                <w:sz w:val="24"/>
              </w:rPr>
              <w:t>10122.904</w:t>
            </w:r>
          </w:p>
        </w:tc>
        <w:tc>
          <w:tcPr>
            <w:tcW w:w="640" w:type="dxa"/>
          </w:tcPr>
          <w:p>
            <w:pPr>
              <w:pStyle w:val="TableParagraph"/>
              <w:spacing w:before="79"/>
              <w:ind w:right="139"/>
              <w:jc w:val="right"/>
              <w:rPr>
                <w:sz w:val="24"/>
              </w:rPr>
            </w:pPr>
            <w:r>
              <w:rPr>
                <w:sz w:val="24"/>
              </w:rPr>
              <w:t>861</w:t>
            </w:r>
          </w:p>
        </w:tc>
        <w:tc>
          <w:tcPr>
            <w:tcW w:w="701" w:type="dxa"/>
          </w:tcPr>
          <w:p>
            <w:pPr>
              <w:pStyle w:val="TableParagraph"/>
              <w:spacing w:before="79"/>
              <w:ind w:right="139"/>
              <w:jc w:val="right"/>
              <w:rPr>
                <w:sz w:val="24"/>
              </w:rPr>
            </w:pPr>
            <w:r>
              <w:rPr>
                <w:sz w:val="24"/>
              </w:rPr>
              <w:t>.000</w:t>
            </w:r>
          </w:p>
        </w:tc>
        <w:tc>
          <w:tcPr>
            <w:tcW w:w="1280" w:type="dxa"/>
          </w:tcPr>
          <w:p>
            <w:pPr>
              <w:pStyle w:val="TableParagraph"/>
              <w:spacing w:before="79"/>
              <w:ind w:right="137"/>
              <w:jc w:val="right"/>
              <w:rPr>
                <w:sz w:val="24"/>
              </w:rPr>
            </w:pPr>
            <w:r>
              <w:rPr>
                <w:sz w:val="24"/>
              </w:rPr>
              <w:t>11.757</w:t>
            </w:r>
          </w:p>
        </w:tc>
      </w:tr>
    </w:tbl>
    <w:p>
      <w:pPr>
        <w:spacing w:before="0"/>
        <w:ind w:left="882" w:right="0" w:firstLine="0"/>
        <w:jc w:val="left"/>
        <w:rPr>
          <w:b/>
          <w:sz w:val="20"/>
        </w:rPr>
      </w:pPr>
      <w:r>
        <w:rPr>
          <w:b/>
          <w:sz w:val="20"/>
        </w:rPr>
        <w:t>RMR. GFI</w:t>
      </w:r>
    </w:p>
    <w:p>
      <w:pPr>
        <w:pStyle w:val="BodyText"/>
        <w:rPr>
          <w:b/>
          <w:sz w:val="10"/>
        </w:rPr>
      </w:pPr>
    </w:p>
    <w:tbl>
      <w:tblPr>
        <w:tblW w:w="0" w:type="auto"/>
        <w:jc w:val="left"/>
        <w:tblInd w:w="75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
      <w:tblGrid>
        <w:gridCol w:w="2273"/>
        <w:gridCol w:w="814"/>
        <w:gridCol w:w="823"/>
        <w:gridCol w:w="841"/>
        <w:gridCol w:w="803"/>
      </w:tblGrid>
      <w:tr>
        <w:trPr>
          <w:trHeight w:val="443" w:hRule="atLeast"/>
        </w:trPr>
        <w:tc>
          <w:tcPr>
            <w:tcW w:w="2273" w:type="dxa"/>
            <w:tcBorders>
              <w:bottom w:val="single" w:sz="6" w:space="0" w:color="000000"/>
              <w:right w:val="single" w:sz="6" w:space="0" w:color="000000"/>
            </w:tcBorders>
          </w:tcPr>
          <w:p>
            <w:pPr>
              <w:pStyle w:val="TableParagraph"/>
              <w:spacing w:before="13"/>
              <w:ind w:left="139"/>
              <w:rPr>
                <w:sz w:val="24"/>
              </w:rPr>
            </w:pPr>
            <w:r>
              <w:rPr>
                <w:sz w:val="24"/>
              </w:rPr>
              <w:t>Model</w:t>
            </w:r>
          </w:p>
        </w:tc>
        <w:tc>
          <w:tcPr>
            <w:tcW w:w="814" w:type="dxa"/>
            <w:tcBorders>
              <w:left w:val="single" w:sz="6" w:space="0" w:color="000000"/>
              <w:bottom w:val="single" w:sz="6" w:space="0" w:color="000000"/>
            </w:tcBorders>
          </w:tcPr>
          <w:p>
            <w:pPr>
              <w:pStyle w:val="TableParagraph"/>
              <w:spacing w:before="13"/>
              <w:ind w:left="112" w:right="119"/>
              <w:jc w:val="center"/>
              <w:rPr>
                <w:sz w:val="24"/>
              </w:rPr>
            </w:pPr>
            <w:r>
              <w:rPr>
                <w:sz w:val="24"/>
              </w:rPr>
              <w:t>RMR</w:t>
            </w:r>
          </w:p>
        </w:tc>
        <w:tc>
          <w:tcPr>
            <w:tcW w:w="823" w:type="dxa"/>
            <w:tcBorders>
              <w:bottom w:val="single" w:sz="6" w:space="0" w:color="000000"/>
            </w:tcBorders>
          </w:tcPr>
          <w:p>
            <w:pPr>
              <w:pStyle w:val="TableParagraph"/>
              <w:spacing w:before="13"/>
              <w:ind w:right="141"/>
              <w:jc w:val="right"/>
              <w:rPr>
                <w:sz w:val="24"/>
              </w:rPr>
            </w:pPr>
            <w:r>
              <w:rPr>
                <w:w w:val="95"/>
                <w:sz w:val="24"/>
              </w:rPr>
              <w:t>GFI</w:t>
            </w:r>
          </w:p>
        </w:tc>
        <w:tc>
          <w:tcPr>
            <w:tcW w:w="841" w:type="dxa"/>
            <w:tcBorders>
              <w:bottom w:val="single" w:sz="6" w:space="0" w:color="000000"/>
            </w:tcBorders>
          </w:tcPr>
          <w:p>
            <w:pPr>
              <w:pStyle w:val="TableParagraph"/>
              <w:spacing w:before="13"/>
              <w:ind w:right="140"/>
              <w:jc w:val="right"/>
              <w:rPr>
                <w:sz w:val="24"/>
              </w:rPr>
            </w:pPr>
            <w:r>
              <w:rPr>
                <w:sz w:val="24"/>
              </w:rPr>
              <w:t>AGFI</w:t>
            </w:r>
          </w:p>
        </w:tc>
        <w:tc>
          <w:tcPr>
            <w:tcW w:w="803" w:type="dxa"/>
            <w:tcBorders>
              <w:bottom w:val="single" w:sz="6" w:space="0" w:color="000000"/>
            </w:tcBorders>
          </w:tcPr>
          <w:p>
            <w:pPr>
              <w:pStyle w:val="TableParagraph"/>
              <w:spacing w:before="13"/>
              <w:ind w:right="144"/>
              <w:jc w:val="right"/>
              <w:rPr>
                <w:sz w:val="24"/>
              </w:rPr>
            </w:pPr>
            <w:r>
              <w:rPr>
                <w:w w:val="95"/>
                <w:sz w:val="24"/>
              </w:rPr>
              <w:t>PGFI</w:t>
            </w:r>
          </w:p>
        </w:tc>
      </w:tr>
      <w:tr>
        <w:trPr>
          <w:trHeight w:val="363" w:hRule="atLeast"/>
        </w:trPr>
        <w:tc>
          <w:tcPr>
            <w:tcW w:w="2273" w:type="dxa"/>
            <w:tcBorders>
              <w:top w:val="single" w:sz="6" w:space="0" w:color="000000"/>
              <w:right w:val="single" w:sz="6" w:space="0" w:color="000000"/>
            </w:tcBorders>
          </w:tcPr>
          <w:p>
            <w:pPr>
              <w:pStyle w:val="TableParagraph"/>
              <w:spacing w:line="275" w:lineRule="exact"/>
              <w:ind w:left="139"/>
              <w:rPr>
                <w:sz w:val="24"/>
              </w:rPr>
            </w:pPr>
            <w:r>
              <w:rPr>
                <w:sz w:val="24"/>
              </w:rPr>
              <w:t>Default model</w:t>
            </w:r>
          </w:p>
        </w:tc>
        <w:tc>
          <w:tcPr>
            <w:tcW w:w="814" w:type="dxa"/>
            <w:tcBorders>
              <w:top w:val="single" w:sz="6" w:space="0" w:color="000000"/>
              <w:left w:val="single" w:sz="6" w:space="0" w:color="000000"/>
            </w:tcBorders>
          </w:tcPr>
          <w:p>
            <w:pPr>
              <w:pStyle w:val="TableParagraph"/>
              <w:spacing w:line="275" w:lineRule="exact"/>
              <w:ind w:left="112" w:right="9"/>
              <w:jc w:val="center"/>
              <w:rPr>
                <w:sz w:val="24"/>
              </w:rPr>
            </w:pPr>
            <w:r>
              <w:rPr>
                <w:sz w:val="24"/>
              </w:rPr>
              <w:t>.070</w:t>
            </w:r>
          </w:p>
        </w:tc>
        <w:tc>
          <w:tcPr>
            <w:tcW w:w="823" w:type="dxa"/>
            <w:tcBorders>
              <w:top w:val="single" w:sz="6" w:space="0" w:color="000000"/>
            </w:tcBorders>
          </w:tcPr>
          <w:p>
            <w:pPr>
              <w:pStyle w:val="TableParagraph"/>
              <w:spacing w:line="275" w:lineRule="exact"/>
              <w:ind w:right="141"/>
              <w:jc w:val="right"/>
              <w:rPr>
                <w:sz w:val="24"/>
              </w:rPr>
            </w:pPr>
            <w:r>
              <w:rPr>
                <w:sz w:val="24"/>
              </w:rPr>
              <w:t>.895</w:t>
            </w:r>
          </w:p>
        </w:tc>
        <w:tc>
          <w:tcPr>
            <w:tcW w:w="841" w:type="dxa"/>
            <w:tcBorders>
              <w:top w:val="single" w:sz="6" w:space="0" w:color="000000"/>
            </w:tcBorders>
          </w:tcPr>
          <w:p>
            <w:pPr>
              <w:pStyle w:val="TableParagraph"/>
              <w:spacing w:line="275" w:lineRule="exact"/>
              <w:ind w:right="140"/>
              <w:jc w:val="right"/>
              <w:rPr>
                <w:sz w:val="24"/>
              </w:rPr>
            </w:pPr>
            <w:r>
              <w:rPr>
                <w:sz w:val="24"/>
              </w:rPr>
              <w:t>.882</w:t>
            </w:r>
          </w:p>
        </w:tc>
        <w:tc>
          <w:tcPr>
            <w:tcW w:w="803" w:type="dxa"/>
            <w:tcBorders>
              <w:top w:val="single" w:sz="6" w:space="0" w:color="000000"/>
            </w:tcBorders>
          </w:tcPr>
          <w:p>
            <w:pPr>
              <w:pStyle w:val="TableParagraph"/>
              <w:spacing w:line="275" w:lineRule="exact"/>
              <w:ind w:right="143"/>
              <w:jc w:val="right"/>
              <w:rPr>
                <w:sz w:val="24"/>
              </w:rPr>
            </w:pPr>
            <w:r>
              <w:rPr>
                <w:sz w:val="24"/>
              </w:rPr>
              <w:t>.796</w:t>
            </w:r>
          </w:p>
        </w:tc>
      </w:tr>
      <w:tr>
        <w:trPr>
          <w:trHeight w:val="444" w:hRule="atLeast"/>
        </w:trPr>
        <w:tc>
          <w:tcPr>
            <w:tcW w:w="2273" w:type="dxa"/>
            <w:tcBorders>
              <w:right w:val="single" w:sz="6" w:space="0" w:color="000000"/>
            </w:tcBorders>
          </w:tcPr>
          <w:p>
            <w:pPr>
              <w:pStyle w:val="TableParagraph"/>
              <w:spacing w:before="79"/>
              <w:ind w:left="139"/>
              <w:rPr>
                <w:sz w:val="24"/>
              </w:rPr>
            </w:pPr>
            <w:r>
              <w:rPr>
                <w:sz w:val="24"/>
              </w:rPr>
              <w:t>Saturated model</w:t>
            </w:r>
          </w:p>
        </w:tc>
        <w:tc>
          <w:tcPr>
            <w:tcW w:w="814" w:type="dxa"/>
            <w:tcBorders>
              <w:left w:val="single" w:sz="6" w:space="0" w:color="000000"/>
            </w:tcBorders>
          </w:tcPr>
          <w:p>
            <w:pPr>
              <w:pStyle w:val="TableParagraph"/>
              <w:spacing w:before="79"/>
              <w:ind w:left="112" w:right="9"/>
              <w:jc w:val="center"/>
              <w:rPr>
                <w:sz w:val="24"/>
              </w:rPr>
            </w:pPr>
            <w:r>
              <w:rPr>
                <w:sz w:val="24"/>
              </w:rPr>
              <w:t>.000</w:t>
            </w:r>
          </w:p>
        </w:tc>
        <w:tc>
          <w:tcPr>
            <w:tcW w:w="823" w:type="dxa"/>
          </w:tcPr>
          <w:p>
            <w:pPr>
              <w:pStyle w:val="TableParagraph"/>
              <w:spacing w:before="79"/>
              <w:ind w:right="141"/>
              <w:jc w:val="right"/>
              <w:rPr>
                <w:sz w:val="24"/>
              </w:rPr>
            </w:pPr>
            <w:r>
              <w:rPr>
                <w:sz w:val="24"/>
              </w:rPr>
              <w:t>1.000</w:t>
            </w:r>
          </w:p>
        </w:tc>
        <w:tc>
          <w:tcPr>
            <w:tcW w:w="841" w:type="dxa"/>
          </w:tcPr>
          <w:p>
            <w:pPr>
              <w:pStyle w:val="TableParagraph"/>
              <w:rPr>
                <w:sz w:val="22"/>
              </w:rPr>
            </w:pPr>
          </w:p>
        </w:tc>
        <w:tc>
          <w:tcPr>
            <w:tcW w:w="803" w:type="dxa"/>
          </w:tcPr>
          <w:p>
            <w:pPr>
              <w:pStyle w:val="TableParagraph"/>
              <w:rPr>
                <w:sz w:val="22"/>
              </w:rPr>
            </w:pPr>
          </w:p>
        </w:tc>
      </w:tr>
      <w:tr>
        <w:trPr>
          <w:trHeight w:val="509" w:hRule="atLeast"/>
        </w:trPr>
        <w:tc>
          <w:tcPr>
            <w:tcW w:w="2273" w:type="dxa"/>
            <w:tcBorders>
              <w:right w:val="single" w:sz="6" w:space="0" w:color="000000"/>
            </w:tcBorders>
          </w:tcPr>
          <w:p>
            <w:pPr>
              <w:pStyle w:val="TableParagraph"/>
              <w:spacing w:before="79"/>
              <w:ind w:left="139"/>
              <w:rPr>
                <w:sz w:val="24"/>
              </w:rPr>
            </w:pPr>
            <w:r>
              <w:rPr>
                <w:sz w:val="24"/>
              </w:rPr>
              <w:t>Independence model</w:t>
            </w:r>
          </w:p>
        </w:tc>
        <w:tc>
          <w:tcPr>
            <w:tcW w:w="814" w:type="dxa"/>
            <w:tcBorders>
              <w:left w:val="single" w:sz="6" w:space="0" w:color="000000"/>
            </w:tcBorders>
          </w:tcPr>
          <w:p>
            <w:pPr>
              <w:pStyle w:val="TableParagraph"/>
              <w:spacing w:before="79"/>
              <w:ind w:left="112" w:right="9"/>
              <w:jc w:val="center"/>
              <w:rPr>
                <w:sz w:val="24"/>
              </w:rPr>
            </w:pPr>
            <w:r>
              <w:rPr>
                <w:sz w:val="24"/>
              </w:rPr>
              <w:t>.269</w:t>
            </w:r>
          </w:p>
        </w:tc>
        <w:tc>
          <w:tcPr>
            <w:tcW w:w="823" w:type="dxa"/>
          </w:tcPr>
          <w:p>
            <w:pPr>
              <w:pStyle w:val="TableParagraph"/>
              <w:spacing w:before="79"/>
              <w:ind w:right="141"/>
              <w:jc w:val="right"/>
              <w:rPr>
                <w:sz w:val="24"/>
              </w:rPr>
            </w:pPr>
            <w:r>
              <w:rPr>
                <w:sz w:val="24"/>
              </w:rPr>
              <w:t>.397</w:t>
            </w:r>
          </w:p>
        </w:tc>
        <w:tc>
          <w:tcPr>
            <w:tcW w:w="841" w:type="dxa"/>
          </w:tcPr>
          <w:p>
            <w:pPr>
              <w:pStyle w:val="TableParagraph"/>
              <w:spacing w:before="79"/>
              <w:ind w:right="140"/>
              <w:jc w:val="right"/>
              <w:rPr>
                <w:sz w:val="24"/>
              </w:rPr>
            </w:pPr>
            <w:r>
              <w:rPr>
                <w:sz w:val="24"/>
              </w:rPr>
              <w:t>.368</w:t>
            </w:r>
          </w:p>
        </w:tc>
        <w:tc>
          <w:tcPr>
            <w:tcW w:w="803" w:type="dxa"/>
          </w:tcPr>
          <w:p>
            <w:pPr>
              <w:pStyle w:val="TableParagraph"/>
              <w:spacing w:before="79"/>
              <w:ind w:right="144"/>
              <w:jc w:val="right"/>
              <w:rPr>
                <w:sz w:val="24"/>
              </w:rPr>
            </w:pPr>
            <w:r>
              <w:rPr>
                <w:sz w:val="24"/>
              </w:rPr>
              <w:t>.379</w:t>
            </w:r>
          </w:p>
        </w:tc>
      </w:tr>
    </w:tbl>
    <w:p>
      <w:pPr>
        <w:spacing w:before="0"/>
        <w:ind w:left="882" w:right="0" w:firstLine="0"/>
        <w:jc w:val="left"/>
        <w:rPr>
          <w:b/>
          <w:sz w:val="20"/>
        </w:rPr>
      </w:pPr>
      <w:r>
        <w:rPr>
          <w:b/>
          <w:sz w:val="20"/>
        </w:rPr>
        <w:t>Baseline Comparisons</w:t>
      </w:r>
    </w:p>
    <w:p>
      <w:pPr>
        <w:pStyle w:val="BodyText"/>
        <w:spacing w:before="1"/>
        <w:rPr>
          <w:b/>
          <w:sz w:val="10"/>
        </w:rPr>
      </w:pPr>
    </w:p>
    <w:tbl>
      <w:tblPr>
        <w:tblW w:w="0" w:type="auto"/>
        <w:jc w:val="left"/>
        <w:tblInd w:w="75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
      <w:tblGrid>
        <w:gridCol w:w="2273"/>
        <w:gridCol w:w="920"/>
        <w:gridCol w:w="719"/>
        <w:gridCol w:w="921"/>
        <w:gridCol w:w="779"/>
        <w:gridCol w:w="762"/>
      </w:tblGrid>
      <w:tr>
        <w:trPr>
          <w:trHeight w:val="856" w:hRule="atLeast"/>
        </w:trPr>
        <w:tc>
          <w:tcPr>
            <w:tcW w:w="2273" w:type="dxa"/>
            <w:tcBorders>
              <w:bottom w:val="single" w:sz="6" w:space="0" w:color="000000"/>
              <w:right w:val="single" w:sz="6" w:space="0" w:color="000000"/>
            </w:tcBorders>
          </w:tcPr>
          <w:p>
            <w:pPr>
              <w:pStyle w:val="TableParagraph"/>
              <w:spacing w:before="220"/>
              <w:ind w:left="139"/>
              <w:rPr>
                <w:sz w:val="24"/>
              </w:rPr>
            </w:pPr>
            <w:r>
              <w:rPr>
                <w:sz w:val="24"/>
              </w:rPr>
              <w:t>Model</w:t>
            </w:r>
          </w:p>
        </w:tc>
        <w:tc>
          <w:tcPr>
            <w:tcW w:w="920" w:type="dxa"/>
            <w:tcBorders>
              <w:left w:val="single" w:sz="6" w:space="0" w:color="000000"/>
              <w:bottom w:val="single" w:sz="6" w:space="0" w:color="000000"/>
            </w:tcBorders>
          </w:tcPr>
          <w:p>
            <w:pPr>
              <w:pStyle w:val="TableParagraph"/>
              <w:spacing w:before="13"/>
              <w:ind w:left="386"/>
              <w:rPr>
                <w:sz w:val="24"/>
              </w:rPr>
            </w:pPr>
            <w:r>
              <w:rPr>
                <w:sz w:val="24"/>
              </w:rPr>
              <w:t>NFI</w:t>
            </w:r>
          </w:p>
          <w:p>
            <w:pPr>
              <w:pStyle w:val="TableParagraph"/>
              <w:spacing w:before="137"/>
              <w:ind w:left="131"/>
              <w:rPr>
                <w:sz w:val="24"/>
              </w:rPr>
            </w:pPr>
            <w:r>
              <w:rPr>
                <w:sz w:val="24"/>
              </w:rPr>
              <w:t>Delta1</w:t>
            </w:r>
          </w:p>
        </w:tc>
        <w:tc>
          <w:tcPr>
            <w:tcW w:w="719" w:type="dxa"/>
            <w:tcBorders>
              <w:bottom w:val="single" w:sz="6" w:space="0" w:color="000000"/>
            </w:tcBorders>
          </w:tcPr>
          <w:p>
            <w:pPr>
              <w:pStyle w:val="TableParagraph"/>
              <w:spacing w:before="13"/>
              <w:ind w:left="203"/>
              <w:rPr>
                <w:sz w:val="24"/>
              </w:rPr>
            </w:pPr>
            <w:r>
              <w:rPr>
                <w:sz w:val="24"/>
              </w:rPr>
              <w:t>RFI</w:t>
            </w:r>
          </w:p>
          <w:p>
            <w:pPr>
              <w:pStyle w:val="TableParagraph"/>
              <w:spacing w:before="137"/>
              <w:ind w:left="138"/>
              <w:rPr>
                <w:sz w:val="24"/>
              </w:rPr>
            </w:pPr>
            <w:r>
              <w:rPr>
                <w:sz w:val="24"/>
              </w:rPr>
              <w:t>rho1</w:t>
            </w:r>
          </w:p>
        </w:tc>
        <w:tc>
          <w:tcPr>
            <w:tcW w:w="921" w:type="dxa"/>
            <w:tcBorders>
              <w:bottom w:val="single" w:sz="6" w:space="0" w:color="000000"/>
            </w:tcBorders>
          </w:tcPr>
          <w:p>
            <w:pPr>
              <w:pStyle w:val="TableParagraph"/>
              <w:spacing w:before="13"/>
              <w:ind w:left="487"/>
              <w:rPr>
                <w:sz w:val="24"/>
              </w:rPr>
            </w:pPr>
            <w:r>
              <w:rPr>
                <w:sz w:val="24"/>
              </w:rPr>
              <w:t>IFI</w:t>
            </w:r>
          </w:p>
          <w:p>
            <w:pPr>
              <w:pStyle w:val="TableParagraph"/>
              <w:spacing w:before="137"/>
              <w:ind w:left="139"/>
              <w:rPr>
                <w:sz w:val="24"/>
              </w:rPr>
            </w:pPr>
            <w:r>
              <w:rPr>
                <w:sz w:val="24"/>
              </w:rPr>
              <w:t>Delta2</w:t>
            </w:r>
          </w:p>
        </w:tc>
        <w:tc>
          <w:tcPr>
            <w:tcW w:w="779" w:type="dxa"/>
            <w:tcBorders>
              <w:bottom w:val="single" w:sz="6" w:space="0" w:color="000000"/>
            </w:tcBorders>
          </w:tcPr>
          <w:p>
            <w:pPr>
              <w:pStyle w:val="TableParagraph"/>
              <w:spacing w:before="13"/>
              <w:ind w:left="205"/>
              <w:rPr>
                <w:sz w:val="24"/>
              </w:rPr>
            </w:pPr>
            <w:r>
              <w:rPr>
                <w:sz w:val="24"/>
              </w:rPr>
              <w:t>TLI</w:t>
            </w:r>
          </w:p>
          <w:p>
            <w:pPr>
              <w:pStyle w:val="TableParagraph"/>
              <w:spacing w:before="137"/>
              <w:ind w:left="137"/>
              <w:rPr>
                <w:sz w:val="24"/>
              </w:rPr>
            </w:pPr>
            <w:r>
              <w:rPr>
                <w:sz w:val="24"/>
              </w:rPr>
              <w:t>rho2</w:t>
            </w:r>
          </w:p>
        </w:tc>
        <w:tc>
          <w:tcPr>
            <w:tcW w:w="762" w:type="dxa"/>
            <w:tcBorders>
              <w:bottom w:val="single" w:sz="6" w:space="0" w:color="000000"/>
            </w:tcBorders>
          </w:tcPr>
          <w:p>
            <w:pPr>
              <w:pStyle w:val="TableParagraph"/>
              <w:spacing w:before="220"/>
              <w:ind w:right="140"/>
              <w:jc w:val="right"/>
              <w:rPr>
                <w:sz w:val="24"/>
              </w:rPr>
            </w:pPr>
            <w:r>
              <w:rPr>
                <w:w w:val="95"/>
                <w:sz w:val="24"/>
              </w:rPr>
              <w:t>CFI</w:t>
            </w:r>
          </w:p>
        </w:tc>
      </w:tr>
      <w:tr>
        <w:trPr>
          <w:trHeight w:val="363" w:hRule="atLeast"/>
        </w:trPr>
        <w:tc>
          <w:tcPr>
            <w:tcW w:w="2273" w:type="dxa"/>
            <w:tcBorders>
              <w:top w:val="single" w:sz="6" w:space="0" w:color="000000"/>
              <w:right w:val="single" w:sz="6" w:space="0" w:color="000000"/>
            </w:tcBorders>
          </w:tcPr>
          <w:p>
            <w:pPr>
              <w:pStyle w:val="TableParagraph"/>
              <w:spacing w:line="275" w:lineRule="exact"/>
              <w:ind w:left="139"/>
              <w:rPr>
                <w:sz w:val="24"/>
              </w:rPr>
            </w:pPr>
            <w:r>
              <w:rPr>
                <w:sz w:val="24"/>
              </w:rPr>
              <w:t>Default model</w:t>
            </w:r>
          </w:p>
        </w:tc>
        <w:tc>
          <w:tcPr>
            <w:tcW w:w="920" w:type="dxa"/>
            <w:tcBorders>
              <w:top w:val="single" w:sz="6" w:space="0" w:color="000000"/>
              <w:left w:val="single" w:sz="6" w:space="0" w:color="000000"/>
            </w:tcBorders>
          </w:tcPr>
          <w:p>
            <w:pPr>
              <w:pStyle w:val="TableParagraph"/>
              <w:spacing w:line="275" w:lineRule="exact"/>
              <w:ind w:right="137"/>
              <w:jc w:val="right"/>
              <w:rPr>
                <w:sz w:val="24"/>
              </w:rPr>
            </w:pPr>
            <w:r>
              <w:rPr>
                <w:sz w:val="24"/>
              </w:rPr>
              <w:t>.874</w:t>
            </w:r>
          </w:p>
        </w:tc>
        <w:tc>
          <w:tcPr>
            <w:tcW w:w="719" w:type="dxa"/>
            <w:tcBorders>
              <w:top w:val="single" w:sz="6" w:space="0" w:color="000000"/>
            </w:tcBorders>
          </w:tcPr>
          <w:p>
            <w:pPr>
              <w:pStyle w:val="TableParagraph"/>
              <w:spacing w:line="275" w:lineRule="exact"/>
              <w:ind w:right="139"/>
              <w:jc w:val="right"/>
              <w:rPr>
                <w:sz w:val="24"/>
              </w:rPr>
            </w:pPr>
            <w:r>
              <w:rPr>
                <w:sz w:val="24"/>
              </w:rPr>
              <w:t>.865</w:t>
            </w:r>
          </w:p>
        </w:tc>
        <w:tc>
          <w:tcPr>
            <w:tcW w:w="921" w:type="dxa"/>
            <w:tcBorders>
              <w:top w:val="single" w:sz="6" w:space="0" w:color="000000"/>
            </w:tcBorders>
          </w:tcPr>
          <w:p>
            <w:pPr>
              <w:pStyle w:val="TableParagraph"/>
              <w:spacing w:line="275" w:lineRule="exact"/>
              <w:ind w:right="138"/>
              <w:jc w:val="right"/>
              <w:rPr>
                <w:sz w:val="24"/>
              </w:rPr>
            </w:pPr>
            <w:r>
              <w:rPr>
                <w:sz w:val="24"/>
              </w:rPr>
              <w:t>.950</w:t>
            </w:r>
          </w:p>
        </w:tc>
        <w:tc>
          <w:tcPr>
            <w:tcW w:w="779" w:type="dxa"/>
            <w:tcBorders>
              <w:top w:val="single" w:sz="6" w:space="0" w:color="000000"/>
            </w:tcBorders>
          </w:tcPr>
          <w:p>
            <w:pPr>
              <w:pStyle w:val="TableParagraph"/>
              <w:spacing w:line="275" w:lineRule="exact"/>
              <w:ind w:left="157"/>
              <w:rPr>
                <w:sz w:val="24"/>
              </w:rPr>
            </w:pPr>
            <w:r>
              <w:rPr>
                <w:sz w:val="24"/>
              </w:rPr>
              <w:t>.946</w:t>
            </w:r>
          </w:p>
        </w:tc>
        <w:tc>
          <w:tcPr>
            <w:tcW w:w="762" w:type="dxa"/>
            <w:tcBorders>
              <w:top w:val="single" w:sz="6" w:space="0" w:color="000000"/>
            </w:tcBorders>
          </w:tcPr>
          <w:p>
            <w:pPr>
              <w:pStyle w:val="TableParagraph"/>
              <w:spacing w:line="275" w:lineRule="exact"/>
              <w:ind w:right="140"/>
              <w:jc w:val="right"/>
              <w:rPr>
                <w:sz w:val="24"/>
              </w:rPr>
            </w:pPr>
            <w:r>
              <w:rPr>
                <w:sz w:val="24"/>
              </w:rPr>
              <w:t>.950</w:t>
            </w:r>
          </w:p>
        </w:tc>
      </w:tr>
      <w:tr>
        <w:trPr>
          <w:trHeight w:val="444" w:hRule="atLeast"/>
        </w:trPr>
        <w:tc>
          <w:tcPr>
            <w:tcW w:w="2273" w:type="dxa"/>
            <w:tcBorders>
              <w:right w:val="single" w:sz="6" w:space="0" w:color="000000"/>
            </w:tcBorders>
          </w:tcPr>
          <w:p>
            <w:pPr>
              <w:pStyle w:val="TableParagraph"/>
              <w:spacing w:before="79"/>
              <w:ind w:left="139"/>
              <w:rPr>
                <w:sz w:val="24"/>
              </w:rPr>
            </w:pPr>
            <w:r>
              <w:rPr>
                <w:sz w:val="24"/>
              </w:rPr>
              <w:t>Saturated model</w:t>
            </w:r>
          </w:p>
        </w:tc>
        <w:tc>
          <w:tcPr>
            <w:tcW w:w="920" w:type="dxa"/>
            <w:tcBorders>
              <w:left w:val="single" w:sz="6" w:space="0" w:color="000000"/>
            </w:tcBorders>
          </w:tcPr>
          <w:p>
            <w:pPr>
              <w:pStyle w:val="TableParagraph"/>
              <w:spacing w:before="79"/>
              <w:ind w:right="137"/>
              <w:jc w:val="right"/>
              <w:rPr>
                <w:sz w:val="24"/>
              </w:rPr>
            </w:pPr>
            <w:r>
              <w:rPr>
                <w:sz w:val="24"/>
              </w:rPr>
              <w:t>1.000</w:t>
            </w:r>
          </w:p>
        </w:tc>
        <w:tc>
          <w:tcPr>
            <w:tcW w:w="719" w:type="dxa"/>
          </w:tcPr>
          <w:p>
            <w:pPr>
              <w:pStyle w:val="TableParagraph"/>
              <w:rPr>
                <w:sz w:val="22"/>
              </w:rPr>
            </w:pPr>
          </w:p>
        </w:tc>
        <w:tc>
          <w:tcPr>
            <w:tcW w:w="921" w:type="dxa"/>
          </w:tcPr>
          <w:p>
            <w:pPr>
              <w:pStyle w:val="TableParagraph"/>
              <w:spacing w:before="79"/>
              <w:ind w:right="138"/>
              <w:jc w:val="right"/>
              <w:rPr>
                <w:sz w:val="24"/>
              </w:rPr>
            </w:pPr>
            <w:r>
              <w:rPr>
                <w:sz w:val="24"/>
              </w:rPr>
              <w:t>1.000</w:t>
            </w:r>
          </w:p>
        </w:tc>
        <w:tc>
          <w:tcPr>
            <w:tcW w:w="779" w:type="dxa"/>
          </w:tcPr>
          <w:p>
            <w:pPr>
              <w:pStyle w:val="TableParagraph"/>
              <w:rPr>
                <w:sz w:val="22"/>
              </w:rPr>
            </w:pPr>
          </w:p>
        </w:tc>
        <w:tc>
          <w:tcPr>
            <w:tcW w:w="762" w:type="dxa"/>
          </w:tcPr>
          <w:p>
            <w:pPr>
              <w:pStyle w:val="TableParagraph"/>
              <w:spacing w:before="79"/>
              <w:ind w:right="140"/>
              <w:jc w:val="right"/>
              <w:rPr>
                <w:sz w:val="24"/>
              </w:rPr>
            </w:pPr>
            <w:r>
              <w:rPr>
                <w:sz w:val="24"/>
              </w:rPr>
              <w:t>1.000</w:t>
            </w:r>
          </w:p>
        </w:tc>
      </w:tr>
      <w:tr>
        <w:trPr>
          <w:trHeight w:val="509" w:hRule="atLeast"/>
        </w:trPr>
        <w:tc>
          <w:tcPr>
            <w:tcW w:w="2273" w:type="dxa"/>
            <w:tcBorders>
              <w:right w:val="single" w:sz="6" w:space="0" w:color="000000"/>
            </w:tcBorders>
          </w:tcPr>
          <w:p>
            <w:pPr>
              <w:pStyle w:val="TableParagraph"/>
              <w:spacing w:before="79"/>
              <w:ind w:left="139"/>
              <w:rPr>
                <w:sz w:val="24"/>
              </w:rPr>
            </w:pPr>
            <w:r>
              <w:rPr>
                <w:sz w:val="24"/>
              </w:rPr>
              <w:t>Independence model</w:t>
            </w:r>
          </w:p>
        </w:tc>
        <w:tc>
          <w:tcPr>
            <w:tcW w:w="920" w:type="dxa"/>
            <w:tcBorders>
              <w:left w:val="single" w:sz="6" w:space="0" w:color="000000"/>
            </w:tcBorders>
          </w:tcPr>
          <w:p>
            <w:pPr>
              <w:pStyle w:val="TableParagraph"/>
              <w:spacing w:before="79"/>
              <w:ind w:right="137"/>
              <w:jc w:val="right"/>
              <w:rPr>
                <w:sz w:val="24"/>
              </w:rPr>
            </w:pPr>
            <w:r>
              <w:rPr>
                <w:sz w:val="24"/>
              </w:rPr>
              <w:t>.000</w:t>
            </w:r>
          </w:p>
        </w:tc>
        <w:tc>
          <w:tcPr>
            <w:tcW w:w="719" w:type="dxa"/>
          </w:tcPr>
          <w:p>
            <w:pPr>
              <w:pStyle w:val="TableParagraph"/>
              <w:spacing w:before="79"/>
              <w:ind w:right="139"/>
              <w:jc w:val="right"/>
              <w:rPr>
                <w:sz w:val="24"/>
              </w:rPr>
            </w:pPr>
            <w:r>
              <w:rPr>
                <w:sz w:val="24"/>
              </w:rPr>
              <w:t>.000</w:t>
            </w:r>
          </w:p>
        </w:tc>
        <w:tc>
          <w:tcPr>
            <w:tcW w:w="921" w:type="dxa"/>
          </w:tcPr>
          <w:p>
            <w:pPr>
              <w:pStyle w:val="TableParagraph"/>
              <w:spacing w:before="79"/>
              <w:ind w:right="138"/>
              <w:jc w:val="right"/>
              <w:rPr>
                <w:sz w:val="24"/>
              </w:rPr>
            </w:pPr>
            <w:r>
              <w:rPr>
                <w:sz w:val="24"/>
              </w:rPr>
              <w:t>.000</w:t>
            </w:r>
          </w:p>
        </w:tc>
        <w:tc>
          <w:tcPr>
            <w:tcW w:w="779" w:type="dxa"/>
          </w:tcPr>
          <w:p>
            <w:pPr>
              <w:pStyle w:val="TableParagraph"/>
              <w:spacing w:before="79"/>
              <w:ind w:left="157"/>
              <w:rPr>
                <w:sz w:val="24"/>
              </w:rPr>
            </w:pPr>
            <w:r>
              <w:rPr>
                <w:sz w:val="24"/>
              </w:rPr>
              <w:t>.000</w:t>
            </w:r>
          </w:p>
        </w:tc>
        <w:tc>
          <w:tcPr>
            <w:tcW w:w="762" w:type="dxa"/>
          </w:tcPr>
          <w:p>
            <w:pPr>
              <w:pStyle w:val="TableParagraph"/>
              <w:spacing w:before="79"/>
              <w:ind w:right="140"/>
              <w:jc w:val="right"/>
              <w:rPr>
                <w:sz w:val="24"/>
              </w:rPr>
            </w:pPr>
            <w:r>
              <w:rPr>
                <w:sz w:val="24"/>
              </w:rPr>
              <w:t>.000</w:t>
            </w:r>
          </w:p>
        </w:tc>
      </w:tr>
    </w:tbl>
    <w:p>
      <w:pPr>
        <w:spacing w:before="0"/>
        <w:ind w:left="882" w:right="0" w:firstLine="0"/>
        <w:jc w:val="left"/>
        <w:rPr>
          <w:b/>
          <w:sz w:val="20"/>
        </w:rPr>
      </w:pPr>
      <w:r>
        <w:rPr>
          <w:b/>
          <w:sz w:val="20"/>
        </w:rPr>
        <w:t>Parsimony-Adjusted Measures</w:t>
      </w:r>
    </w:p>
    <w:p>
      <w:pPr>
        <w:pStyle w:val="BodyText"/>
        <w:rPr>
          <w:b/>
          <w:sz w:val="10"/>
        </w:rPr>
      </w:pPr>
    </w:p>
    <w:tbl>
      <w:tblPr>
        <w:tblW w:w="0" w:type="auto"/>
        <w:jc w:val="left"/>
        <w:tblInd w:w="75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
      <w:tblGrid>
        <w:gridCol w:w="2273"/>
        <w:gridCol w:w="1147"/>
        <w:gridCol w:w="802"/>
        <w:gridCol w:w="786"/>
      </w:tblGrid>
      <w:tr>
        <w:trPr>
          <w:trHeight w:val="443" w:hRule="atLeast"/>
        </w:trPr>
        <w:tc>
          <w:tcPr>
            <w:tcW w:w="2273" w:type="dxa"/>
            <w:tcBorders>
              <w:bottom w:val="single" w:sz="6" w:space="0" w:color="000000"/>
              <w:right w:val="single" w:sz="6" w:space="0" w:color="000000"/>
            </w:tcBorders>
          </w:tcPr>
          <w:p>
            <w:pPr>
              <w:pStyle w:val="TableParagraph"/>
              <w:spacing w:before="13"/>
              <w:ind w:left="139"/>
              <w:rPr>
                <w:sz w:val="24"/>
              </w:rPr>
            </w:pPr>
            <w:r>
              <w:rPr>
                <w:sz w:val="24"/>
              </w:rPr>
              <w:t>Model</w:t>
            </w:r>
          </w:p>
        </w:tc>
        <w:tc>
          <w:tcPr>
            <w:tcW w:w="1147" w:type="dxa"/>
            <w:tcBorders>
              <w:left w:val="single" w:sz="6" w:space="0" w:color="000000"/>
              <w:bottom w:val="single" w:sz="6" w:space="0" w:color="000000"/>
            </w:tcBorders>
          </w:tcPr>
          <w:p>
            <w:pPr>
              <w:pStyle w:val="TableParagraph"/>
              <w:spacing w:before="13"/>
              <w:ind w:right="142"/>
              <w:jc w:val="right"/>
              <w:rPr>
                <w:sz w:val="24"/>
              </w:rPr>
            </w:pPr>
            <w:r>
              <w:rPr>
                <w:sz w:val="24"/>
              </w:rPr>
              <w:t>PRATIO</w:t>
            </w:r>
          </w:p>
        </w:tc>
        <w:tc>
          <w:tcPr>
            <w:tcW w:w="802" w:type="dxa"/>
            <w:tcBorders>
              <w:bottom w:val="single" w:sz="6" w:space="0" w:color="000000"/>
            </w:tcBorders>
          </w:tcPr>
          <w:p>
            <w:pPr>
              <w:pStyle w:val="TableParagraph"/>
              <w:spacing w:before="13"/>
              <w:ind w:right="139"/>
              <w:jc w:val="right"/>
              <w:rPr>
                <w:sz w:val="24"/>
              </w:rPr>
            </w:pPr>
            <w:r>
              <w:rPr>
                <w:w w:val="95"/>
                <w:sz w:val="24"/>
              </w:rPr>
              <w:t>PNFI</w:t>
            </w:r>
          </w:p>
        </w:tc>
        <w:tc>
          <w:tcPr>
            <w:tcW w:w="786" w:type="dxa"/>
            <w:tcBorders>
              <w:bottom w:val="single" w:sz="6" w:space="0" w:color="000000"/>
            </w:tcBorders>
          </w:tcPr>
          <w:p>
            <w:pPr>
              <w:pStyle w:val="TableParagraph"/>
              <w:spacing w:before="13"/>
              <w:ind w:left="119" w:right="119"/>
              <w:jc w:val="center"/>
              <w:rPr>
                <w:sz w:val="24"/>
              </w:rPr>
            </w:pPr>
            <w:r>
              <w:rPr>
                <w:sz w:val="24"/>
              </w:rPr>
              <w:t>PCFI</w:t>
            </w:r>
          </w:p>
        </w:tc>
      </w:tr>
      <w:tr>
        <w:trPr>
          <w:trHeight w:val="364" w:hRule="atLeast"/>
        </w:trPr>
        <w:tc>
          <w:tcPr>
            <w:tcW w:w="2273" w:type="dxa"/>
            <w:tcBorders>
              <w:top w:val="single" w:sz="6" w:space="0" w:color="000000"/>
              <w:right w:val="single" w:sz="6" w:space="0" w:color="000000"/>
            </w:tcBorders>
          </w:tcPr>
          <w:p>
            <w:pPr>
              <w:pStyle w:val="TableParagraph"/>
              <w:spacing w:line="275" w:lineRule="exact"/>
              <w:ind w:left="139"/>
              <w:rPr>
                <w:sz w:val="24"/>
              </w:rPr>
            </w:pPr>
            <w:r>
              <w:rPr>
                <w:sz w:val="24"/>
              </w:rPr>
              <w:t>Default model</w:t>
            </w:r>
          </w:p>
        </w:tc>
        <w:tc>
          <w:tcPr>
            <w:tcW w:w="1147" w:type="dxa"/>
            <w:tcBorders>
              <w:top w:val="single" w:sz="6" w:space="0" w:color="000000"/>
              <w:left w:val="single" w:sz="6" w:space="0" w:color="000000"/>
            </w:tcBorders>
          </w:tcPr>
          <w:p>
            <w:pPr>
              <w:pStyle w:val="TableParagraph"/>
              <w:spacing w:line="275" w:lineRule="exact"/>
              <w:ind w:right="139"/>
              <w:jc w:val="right"/>
              <w:rPr>
                <w:sz w:val="24"/>
              </w:rPr>
            </w:pPr>
            <w:r>
              <w:rPr>
                <w:sz w:val="24"/>
              </w:rPr>
              <w:t>.933</w:t>
            </w:r>
          </w:p>
        </w:tc>
        <w:tc>
          <w:tcPr>
            <w:tcW w:w="802" w:type="dxa"/>
            <w:tcBorders>
              <w:top w:val="single" w:sz="6" w:space="0" w:color="000000"/>
            </w:tcBorders>
          </w:tcPr>
          <w:p>
            <w:pPr>
              <w:pStyle w:val="TableParagraph"/>
              <w:spacing w:line="275" w:lineRule="exact"/>
              <w:ind w:right="139"/>
              <w:jc w:val="right"/>
              <w:rPr>
                <w:sz w:val="24"/>
              </w:rPr>
            </w:pPr>
            <w:r>
              <w:rPr>
                <w:sz w:val="24"/>
              </w:rPr>
              <w:t>.816</w:t>
            </w:r>
          </w:p>
        </w:tc>
        <w:tc>
          <w:tcPr>
            <w:tcW w:w="786" w:type="dxa"/>
            <w:tcBorders>
              <w:top w:val="single" w:sz="6" w:space="0" w:color="000000"/>
            </w:tcBorders>
          </w:tcPr>
          <w:p>
            <w:pPr>
              <w:pStyle w:val="TableParagraph"/>
              <w:spacing w:line="275" w:lineRule="exact"/>
              <w:ind w:left="119" w:right="34"/>
              <w:jc w:val="center"/>
              <w:rPr>
                <w:sz w:val="24"/>
              </w:rPr>
            </w:pPr>
            <w:r>
              <w:rPr>
                <w:sz w:val="24"/>
              </w:rPr>
              <w:t>.886</w:t>
            </w:r>
          </w:p>
        </w:tc>
      </w:tr>
      <w:tr>
        <w:trPr>
          <w:trHeight w:val="444" w:hRule="atLeast"/>
        </w:trPr>
        <w:tc>
          <w:tcPr>
            <w:tcW w:w="2273" w:type="dxa"/>
            <w:tcBorders>
              <w:right w:val="single" w:sz="6" w:space="0" w:color="000000"/>
            </w:tcBorders>
          </w:tcPr>
          <w:p>
            <w:pPr>
              <w:pStyle w:val="TableParagraph"/>
              <w:spacing w:before="79"/>
              <w:ind w:left="139"/>
              <w:rPr>
                <w:sz w:val="24"/>
              </w:rPr>
            </w:pPr>
            <w:r>
              <w:rPr>
                <w:sz w:val="24"/>
              </w:rPr>
              <w:t>Saturated model</w:t>
            </w:r>
          </w:p>
        </w:tc>
        <w:tc>
          <w:tcPr>
            <w:tcW w:w="1147" w:type="dxa"/>
            <w:tcBorders>
              <w:left w:val="single" w:sz="6" w:space="0" w:color="000000"/>
            </w:tcBorders>
          </w:tcPr>
          <w:p>
            <w:pPr>
              <w:pStyle w:val="TableParagraph"/>
              <w:spacing w:before="79"/>
              <w:ind w:right="139"/>
              <w:jc w:val="right"/>
              <w:rPr>
                <w:sz w:val="24"/>
              </w:rPr>
            </w:pPr>
            <w:r>
              <w:rPr>
                <w:sz w:val="24"/>
              </w:rPr>
              <w:t>.000</w:t>
            </w:r>
          </w:p>
        </w:tc>
        <w:tc>
          <w:tcPr>
            <w:tcW w:w="802" w:type="dxa"/>
          </w:tcPr>
          <w:p>
            <w:pPr>
              <w:pStyle w:val="TableParagraph"/>
              <w:spacing w:before="79"/>
              <w:ind w:right="139"/>
              <w:jc w:val="right"/>
              <w:rPr>
                <w:sz w:val="24"/>
              </w:rPr>
            </w:pPr>
            <w:r>
              <w:rPr>
                <w:sz w:val="24"/>
              </w:rPr>
              <w:t>.000</w:t>
            </w:r>
          </w:p>
        </w:tc>
        <w:tc>
          <w:tcPr>
            <w:tcW w:w="786" w:type="dxa"/>
          </w:tcPr>
          <w:p>
            <w:pPr>
              <w:pStyle w:val="TableParagraph"/>
              <w:spacing w:before="79"/>
              <w:ind w:left="119" w:right="34"/>
              <w:jc w:val="center"/>
              <w:rPr>
                <w:sz w:val="24"/>
              </w:rPr>
            </w:pPr>
            <w:r>
              <w:rPr>
                <w:sz w:val="24"/>
              </w:rPr>
              <w:t>.000</w:t>
            </w:r>
          </w:p>
        </w:tc>
      </w:tr>
      <w:tr>
        <w:trPr>
          <w:trHeight w:val="509" w:hRule="atLeast"/>
        </w:trPr>
        <w:tc>
          <w:tcPr>
            <w:tcW w:w="2273" w:type="dxa"/>
            <w:tcBorders>
              <w:right w:val="single" w:sz="6" w:space="0" w:color="000000"/>
            </w:tcBorders>
          </w:tcPr>
          <w:p>
            <w:pPr>
              <w:pStyle w:val="TableParagraph"/>
              <w:spacing w:before="79"/>
              <w:ind w:left="139"/>
              <w:rPr>
                <w:sz w:val="24"/>
              </w:rPr>
            </w:pPr>
            <w:r>
              <w:rPr>
                <w:sz w:val="24"/>
              </w:rPr>
              <w:t>Independence model</w:t>
            </w:r>
          </w:p>
        </w:tc>
        <w:tc>
          <w:tcPr>
            <w:tcW w:w="1147" w:type="dxa"/>
            <w:tcBorders>
              <w:left w:val="single" w:sz="6" w:space="0" w:color="000000"/>
            </w:tcBorders>
          </w:tcPr>
          <w:p>
            <w:pPr>
              <w:pStyle w:val="TableParagraph"/>
              <w:spacing w:before="79"/>
              <w:ind w:right="139"/>
              <w:jc w:val="right"/>
              <w:rPr>
                <w:sz w:val="24"/>
              </w:rPr>
            </w:pPr>
            <w:r>
              <w:rPr>
                <w:sz w:val="24"/>
              </w:rPr>
              <w:t>1.000</w:t>
            </w:r>
          </w:p>
        </w:tc>
        <w:tc>
          <w:tcPr>
            <w:tcW w:w="802" w:type="dxa"/>
          </w:tcPr>
          <w:p>
            <w:pPr>
              <w:pStyle w:val="TableParagraph"/>
              <w:spacing w:before="79"/>
              <w:ind w:right="139"/>
              <w:jc w:val="right"/>
              <w:rPr>
                <w:sz w:val="24"/>
              </w:rPr>
            </w:pPr>
            <w:r>
              <w:rPr>
                <w:sz w:val="24"/>
              </w:rPr>
              <w:t>.000</w:t>
            </w:r>
          </w:p>
        </w:tc>
        <w:tc>
          <w:tcPr>
            <w:tcW w:w="786" w:type="dxa"/>
          </w:tcPr>
          <w:p>
            <w:pPr>
              <w:pStyle w:val="TableParagraph"/>
              <w:spacing w:before="79"/>
              <w:ind w:left="119" w:right="34"/>
              <w:jc w:val="center"/>
              <w:rPr>
                <w:sz w:val="24"/>
              </w:rPr>
            </w:pPr>
            <w:r>
              <w:rPr>
                <w:sz w:val="24"/>
              </w:rPr>
              <w:t>.000</w:t>
            </w:r>
          </w:p>
        </w:tc>
      </w:tr>
    </w:tbl>
    <w:p>
      <w:pPr>
        <w:spacing w:before="0"/>
        <w:ind w:left="882" w:right="0" w:firstLine="0"/>
        <w:jc w:val="left"/>
        <w:rPr>
          <w:b/>
          <w:sz w:val="20"/>
        </w:rPr>
      </w:pPr>
      <w:r>
        <w:rPr>
          <w:b/>
          <w:sz w:val="20"/>
        </w:rPr>
        <w:t>NCP</w:t>
      </w:r>
    </w:p>
    <w:p>
      <w:pPr>
        <w:pStyle w:val="BodyText"/>
        <w:spacing w:before="9"/>
        <w:rPr>
          <w:b/>
          <w:sz w:val="9"/>
        </w:rPr>
      </w:pPr>
    </w:p>
    <w:tbl>
      <w:tblPr>
        <w:tblW w:w="0" w:type="auto"/>
        <w:jc w:val="left"/>
        <w:tblInd w:w="75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
      <w:tblGrid>
        <w:gridCol w:w="2273"/>
        <w:gridCol w:w="1179"/>
        <w:gridCol w:w="1180"/>
        <w:gridCol w:w="1183"/>
      </w:tblGrid>
      <w:tr>
        <w:trPr>
          <w:trHeight w:val="443" w:hRule="atLeast"/>
        </w:trPr>
        <w:tc>
          <w:tcPr>
            <w:tcW w:w="2273" w:type="dxa"/>
            <w:tcBorders>
              <w:bottom w:val="single" w:sz="6" w:space="0" w:color="000000"/>
              <w:right w:val="single" w:sz="6" w:space="0" w:color="000000"/>
            </w:tcBorders>
          </w:tcPr>
          <w:p>
            <w:pPr>
              <w:pStyle w:val="TableParagraph"/>
              <w:spacing w:before="16"/>
              <w:ind w:left="139"/>
              <w:rPr>
                <w:sz w:val="24"/>
              </w:rPr>
            </w:pPr>
            <w:r>
              <w:rPr>
                <w:sz w:val="24"/>
              </w:rPr>
              <w:t>Model</w:t>
            </w:r>
          </w:p>
        </w:tc>
        <w:tc>
          <w:tcPr>
            <w:tcW w:w="1179" w:type="dxa"/>
            <w:tcBorders>
              <w:left w:val="single" w:sz="6" w:space="0" w:color="000000"/>
              <w:bottom w:val="single" w:sz="6" w:space="0" w:color="000000"/>
            </w:tcBorders>
          </w:tcPr>
          <w:p>
            <w:pPr>
              <w:pStyle w:val="TableParagraph"/>
              <w:spacing w:before="16"/>
              <w:ind w:right="138"/>
              <w:jc w:val="right"/>
              <w:rPr>
                <w:sz w:val="24"/>
              </w:rPr>
            </w:pPr>
            <w:r>
              <w:rPr>
                <w:sz w:val="24"/>
              </w:rPr>
              <w:t>NCP</w:t>
            </w:r>
          </w:p>
        </w:tc>
        <w:tc>
          <w:tcPr>
            <w:tcW w:w="1180" w:type="dxa"/>
            <w:tcBorders>
              <w:bottom w:val="single" w:sz="6" w:space="0" w:color="000000"/>
            </w:tcBorders>
          </w:tcPr>
          <w:p>
            <w:pPr>
              <w:pStyle w:val="TableParagraph"/>
              <w:spacing w:before="16"/>
              <w:ind w:right="139"/>
              <w:jc w:val="right"/>
              <w:rPr>
                <w:sz w:val="24"/>
              </w:rPr>
            </w:pPr>
            <w:r>
              <w:rPr>
                <w:sz w:val="24"/>
              </w:rPr>
              <w:t>LO 90</w:t>
            </w:r>
          </w:p>
        </w:tc>
        <w:tc>
          <w:tcPr>
            <w:tcW w:w="1183" w:type="dxa"/>
            <w:tcBorders>
              <w:bottom w:val="single" w:sz="6" w:space="0" w:color="000000"/>
            </w:tcBorders>
          </w:tcPr>
          <w:p>
            <w:pPr>
              <w:pStyle w:val="TableParagraph"/>
              <w:spacing w:before="16"/>
              <w:ind w:right="143"/>
              <w:jc w:val="right"/>
              <w:rPr>
                <w:sz w:val="24"/>
              </w:rPr>
            </w:pPr>
            <w:r>
              <w:rPr>
                <w:sz w:val="24"/>
              </w:rPr>
              <w:t>HI 90</w:t>
            </w:r>
          </w:p>
        </w:tc>
      </w:tr>
      <w:tr>
        <w:trPr>
          <w:trHeight w:val="366" w:hRule="atLeast"/>
        </w:trPr>
        <w:tc>
          <w:tcPr>
            <w:tcW w:w="2273" w:type="dxa"/>
            <w:tcBorders>
              <w:top w:val="single" w:sz="6" w:space="0" w:color="000000"/>
              <w:right w:val="single" w:sz="6" w:space="0" w:color="000000"/>
            </w:tcBorders>
          </w:tcPr>
          <w:p>
            <w:pPr>
              <w:pStyle w:val="TableParagraph"/>
              <w:spacing w:before="1"/>
              <w:ind w:left="139"/>
              <w:rPr>
                <w:sz w:val="24"/>
              </w:rPr>
            </w:pPr>
            <w:r>
              <w:rPr>
                <w:sz w:val="24"/>
              </w:rPr>
              <w:t>Default model</w:t>
            </w:r>
          </w:p>
        </w:tc>
        <w:tc>
          <w:tcPr>
            <w:tcW w:w="1179" w:type="dxa"/>
            <w:tcBorders>
              <w:top w:val="single" w:sz="6" w:space="0" w:color="000000"/>
              <w:left w:val="single" w:sz="6" w:space="0" w:color="000000"/>
            </w:tcBorders>
          </w:tcPr>
          <w:p>
            <w:pPr>
              <w:pStyle w:val="TableParagraph"/>
              <w:spacing w:before="1"/>
              <w:ind w:right="137"/>
              <w:jc w:val="right"/>
              <w:rPr>
                <w:sz w:val="24"/>
              </w:rPr>
            </w:pPr>
            <w:r>
              <w:rPr>
                <w:sz w:val="24"/>
              </w:rPr>
              <w:t>467.539</w:t>
            </w:r>
          </w:p>
        </w:tc>
        <w:tc>
          <w:tcPr>
            <w:tcW w:w="1180" w:type="dxa"/>
            <w:tcBorders>
              <w:top w:val="single" w:sz="6" w:space="0" w:color="000000"/>
            </w:tcBorders>
          </w:tcPr>
          <w:p>
            <w:pPr>
              <w:pStyle w:val="TableParagraph"/>
              <w:spacing w:before="1"/>
              <w:ind w:right="139"/>
              <w:jc w:val="right"/>
              <w:rPr>
                <w:sz w:val="24"/>
              </w:rPr>
            </w:pPr>
            <w:r>
              <w:rPr>
                <w:sz w:val="24"/>
              </w:rPr>
              <w:t>374.491</w:t>
            </w:r>
          </w:p>
        </w:tc>
        <w:tc>
          <w:tcPr>
            <w:tcW w:w="1183" w:type="dxa"/>
            <w:tcBorders>
              <w:top w:val="single" w:sz="6" w:space="0" w:color="000000"/>
            </w:tcBorders>
          </w:tcPr>
          <w:p>
            <w:pPr>
              <w:pStyle w:val="TableParagraph"/>
              <w:spacing w:before="1"/>
              <w:ind w:right="140"/>
              <w:jc w:val="right"/>
              <w:rPr>
                <w:sz w:val="24"/>
              </w:rPr>
            </w:pPr>
            <w:r>
              <w:rPr>
                <w:sz w:val="24"/>
              </w:rPr>
              <w:t>568.505</w:t>
            </w:r>
          </w:p>
        </w:tc>
      </w:tr>
      <w:tr>
        <w:trPr>
          <w:trHeight w:val="443" w:hRule="atLeast"/>
        </w:trPr>
        <w:tc>
          <w:tcPr>
            <w:tcW w:w="2273" w:type="dxa"/>
            <w:tcBorders>
              <w:right w:val="single" w:sz="6" w:space="0" w:color="000000"/>
            </w:tcBorders>
          </w:tcPr>
          <w:p>
            <w:pPr>
              <w:pStyle w:val="TableParagraph"/>
              <w:spacing w:before="79"/>
              <w:ind w:left="139"/>
              <w:rPr>
                <w:sz w:val="24"/>
              </w:rPr>
            </w:pPr>
            <w:r>
              <w:rPr>
                <w:sz w:val="24"/>
              </w:rPr>
              <w:t>Saturated model</w:t>
            </w:r>
          </w:p>
        </w:tc>
        <w:tc>
          <w:tcPr>
            <w:tcW w:w="1179" w:type="dxa"/>
            <w:tcBorders>
              <w:left w:val="single" w:sz="6" w:space="0" w:color="000000"/>
            </w:tcBorders>
          </w:tcPr>
          <w:p>
            <w:pPr>
              <w:pStyle w:val="TableParagraph"/>
              <w:spacing w:before="79"/>
              <w:ind w:right="137"/>
              <w:jc w:val="right"/>
              <w:rPr>
                <w:sz w:val="24"/>
              </w:rPr>
            </w:pPr>
            <w:r>
              <w:rPr>
                <w:sz w:val="24"/>
              </w:rPr>
              <w:t>.000</w:t>
            </w:r>
          </w:p>
        </w:tc>
        <w:tc>
          <w:tcPr>
            <w:tcW w:w="1180" w:type="dxa"/>
          </w:tcPr>
          <w:p>
            <w:pPr>
              <w:pStyle w:val="TableParagraph"/>
              <w:spacing w:before="79"/>
              <w:ind w:right="139"/>
              <w:jc w:val="right"/>
              <w:rPr>
                <w:sz w:val="24"/>
              </w:rPr>
            </w:pPr>
            <w:r>
              <w:rPr>
                <w:sz w:val="24"/>
              </w:rPr>
              <w:t>.000</w:t>
            </w:r>
          </w:p>
        </w:tc>
        <w:tc>
          <w:tcPr>
            <w:tcW w:w="1183" w:type="dxa"/>
          </w:tcPr>
          <w:p>
            <w:pPr>
              <w:pStyle w:val="TableParagraph"/>
              <w:spacing w:before="79"/>
              <w:ind w:right="140"/>
              <w:jc w:val="right"/>
              <w:rPr>
                <w:sz w:val="24"/>
              </w:rPr>
            </w:pPr>
            <w:r>
              <w:rPr>
                <w:sz w:val="24"/>
              </w:rPr>
              <w:t>.000</w:t>
            </w:r>
          </w:p>
        </w:tc>
      </w:tr>
      <w:tr>
        <w:trPr>
          <w:trHeight w:val="506" w:hRule="atLeast"/>
        </w:trPr>
        <w:tc>
          <w:tcPr>
            <w:tcW w:w="2273" w:type="dxa"/>
            <w:tcBorders>
              <w:right w:val="single" w:sz="6" w:space="0" w:color="000000"/>
            </w:tcBorders>
          </w:tcPr>
          <w:p>
            <w:pPr>
              <w:pStyle w:val="TableParagraph"/>
              <w:spacing w:before="79"/>
              <w:ind w:left="139"/>
              <w:rPr>
                <w:sz w:val="24"/>
              </w:rPr>
            </w:pPr>
            <w:r>
              <w:rPr>
                <w:sz w:val="24"/>
              </w:rPr>
              <w:t>Independence model</w:t>
            </w:r>
          </w:p>
        </w:tc>
        <w:tc>
          <w:tcPr>
            <w:tcW w:w="1179" w:type="dxa"/>
            <w:tcBorders>
              <w:left w:val="single" w:sz="6" w:space="0" w:color="000000"/>
            </w:tcBorders>
          </w:tcPr>
          <w:p>
            <w:pPr>
              <w:pStyle w:val="TableParagraph"/>
              <w:spacing w:before="79"/>
              <w:ind w:right="137"/>
              <w:jc w:val="right"/>
              <w:rPr>
                <w:sz w:val="24"/>
              </w:rPr>
            </w:pPr>
            <w:r>
              <w:rPr>
                <w:sz w:val="24"/>
              </w:rPr>
              <w:t>9261.904</w:t>
            </w:r>
          </w:p>
        </w:tc>
        <w:tc>
          <w:tcPr>
            <w:tcW w:w="1180" w:type="dxa"/>
          </w:tcPr>
          <w:p>
            <w:pPr>
              <w:pStyle w:val="TableParagraph"/>
              <w:spacing w:before="79"/>
              <w:ind w:right="139"/>
              <w:jc w:val="right"/>
              <w:rPr>
                <w:sz w:val="24"/>
              </w:rPr>
            </w:pPr>
            <w:r>
              <w:rPr>
                <w:sz w:val="24"/>
              </w:rPr>
              <w:t>8941.275</w:t>
            </w:r>
          </w:p>
        </w:tc>
        <w:tc>
          <w:tcPr>
            <w:tcW w:w="1183" w:type="dxa"/>
          </w:tcPr>
          <w:p>
            <w:pPr>
              <w:pStyle w:val="TableParagraph"/>
              <w:spacing w:before="79"/>
              <w:ind w:right="140"/>
              <w:jc w:val="right"/>
              <w:rPr>
                <w:sz w:val="24"/>
              </w:rPr>
            </w:pPr>
            <w:r>
              <w:rPr>
                <w:sz w:val="24"/>
              </w:rPr>
              <w:t>9589.001</w:t>
            </w:r>
          </w:p>
        </w:tc>
      </w:tr>
    </w:tbl>
    <w:p>
      <w:pPr>
        <w:spacing w:before="0"/>
        <w:ind w:left="882" w:right="0" w:firstLine="0"/>
        <w:jc w:val="left"/>
        <w:rPr>
          <w:b/>
          <w:sz w:val="20"/>
        </w:rPr>
      </w:pPr>
      <w:r>
        <w:rPr>
          <w:b/>
          <w:sz w:val="20"/>
        </w:rPr>
        <w:t>FMIN</w:t>
      </w:r>
    </w:p>
    <w:p>
      <w:pPr>
        <w:pStyle w:val="BodyText"/>
        <w:rPr>
          <w:b/>
          <w:sz w:val="10"/>
        </w:rPr>
      </w:pPr>
    </w:p>
    <w:tbl>
      <w:tblPr>
        <w:tblW w:w="0" w:type="auto"/>
        <w:jc w:val="left"/>
        <w:tblInd w:w="75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
      <w:tblGrid>
        <w:gridCol w:w="2273"/>
        <w:gridCol w:w="939"/>
        <w:gridCol w:w="940"/>
        <w:gridCol w:w="941"/>
        <w:gridCol w:w="940"/>
      </w:tblGrid>
      <w:tr>
        <w:trPr>
          <w:trHeight w:val="444" w:hRule="atLeast"/>
        </w:trPr>
        <w:tc>
          <w:tcPr>
            <w:tcW w:w="2273" w:type="dxa"/>
            <w:tcBorders>
              <w:bottom w:val="single" w:sz="6" w:space="0" w:color="000000"/>
              <w:right w:val="single" w:sz="6" w:space="0" w:color="000000"/>
            </w:tcBorders>
          </w:tcPr>
          <w:p>
            <w:pPr>
              <w:pStyle w:val="TableParagraph"/>
              <w:spacing w:before="14"/>
              <w:ind w:left="139"/>
              <w:rPr>
                <w:sz w:val="24"/>
              </w:rPr>
            </w:pPr>
            <w:r>
              <w:rPr>
                <w:sz w:val="24"/>
              </w:rPr>
              <w:t>Model</w:t>
            </w:r>
          </w:p>
        </w:tc>
        <w:tc>
          <w:tcPr>
            <w:tcW w:w="939" w:type="dxa"/>
            <w:tcBorders>
              <w:left w:val="single" w:sz="6" w:space="0" w:color="000000"/>
              <w:bottom w:val="single" w:sz="6" w:space="0" w:color="000000"/>
            </w:tcBorders>
          </w:tcPr>
          <w:p>
            <w:pPr>
              <w:pStyle w:val="TableParagraph"/>
              <w:spacing w:before="14"/>
              <w:ind w:right="142"/>
              <w:jc w:val="right"/>
              <w:rPr>
                <w:sz w:val="24"/>
              </w:rPr>
            </w:pPr>
            <w:r>
              <w:rPr>
                <w:w w:val="95"/>
                <w:sz w:val="24"/>
              </w:rPr>
              <w:t>FMIN</w:t>
            </w:r>
          </w:p>
        </w:tc>
        <w:tc>
          <w:tcPr>
            <w:tcW w:w="940" w:type="dxa"/>
            <w:tcBorders>
              <w:bottom w:val="single" w:sz="6" w:space="0" w:color="000000"/>
            </w:tcBorders>
          </w:tcPr>
          <w:p>
            <w:pPr>
              <w:pStyle w:val="TableParagraph"/>
              <w:spacing w:before="14"/>
              <w:ind w:right="142"/>
              <w:jc w:val="right"/>
              <w:rPr>
                <w:sz w:val="24"/>
              </w:rPr>
            </w:pPr>
            <w:r>
              <w:rPr>
                <w:w w:val="95"/>
                <w:sz w:val="24"/>
              </w:rPr>
              <w:t>F0</w:t>
            </w:r>
          </w:p>
        </w:tc>
        <w:tc>
          <w:tcPr>
            <w:tcW w:w="941" w:type="dxa"/>
            <w:tcBorders>
              <w:bottom w:val="single" w:sz="6" w:space="0" w:color="000000"/>
            </w:tcBorders>
          </w:tcPr>
          <w:p>
            <w:pPr>
              <w:pStyle w:val="TableParagraph"/>
              <w:spacing w:before="14"/>
              <w:ind w:right="139"/>
              <w:jc w:val="right"/>
              <w:rPr>
                <w:sz w:val="24"/>
              </w:rPr>
            </w:pPr>
            <w:r>
              <w:rPr>
                <w:sz w:val="24"/>
              </w:rPr>
              <w:t>LO 90</w:t>
            </w:r>
          </w:p>
        </w:tc>
        <w:tc>
          <w:tcPr>
            <w:tcW w:w="940" w:type="dxa"/>
            <w:tcBorders>
              <w:bottom w:val="single" w:sz="6" w:space="0" w:color="000000"/>
            </w:tcBorders>
          </w:tcPr>
          <w:p>
            <w:pPr>
              <w:pStyle w:val="TableParagraph"/>
              <w:spacing w:before="14"/>
              <w:ind w:right="140"/>
              <w:jc w:val="right"/>
              <w:rPr>
                <w:sz w:val="24"/>
              </w:rPr>
            </w:pPr>
            <w:r>
              <w:rPr>
                <w:sz w:val="24"/>
              </w:rPr>
              <w:t>HI 90</w:t>
            </w:r>
          </w:p>
        </w:tc>
      </w:tr>
      <w:tr>
        <w:trPr>
          <w:trHeight w:val="363" w:hRule="atLeast"/>
        </w:trPr>
        <w:tc>
          <w:tcPr>
            <w:tcW w:w="2273" w:type="dxa"/>
            <w:tcBorders>
              <w:top w:val="single" w:sz="6" w:space="0" w:color="000000"/>
              <w:right w:val="single" w:sz="6" w:space="0" w:color="000000"/>
            </w:tcBorders>
          </w:tcPr>
          <w:p>
            <w:pPr>
              <w:pStyle w:val="TableParagraph"/>
              <w:spacing w:line="275" w:lineRule="exact"/>
              <w:ind w:left="139"/>
              <w:rPr>
                <w:sz w:val="24"/>
              </w:rPr>
            </w:pPr>
            <w:r>
              <w:rPr>
                <w:sz w:val="24"/>
              </w:rPr>
              <w:t>Default model</w:t>
            </w:r>
          </w:p>
        </w:tc>
        <w:tc>
          <w:tcPr>
            <w:tcW w:w="939" w:type="dxa"/>
            <w:tcBorders>
              <w:top w:val="single" w:sz="6" w:space="0" w:color="000000"/>
              <w:left w:val="single" w:sz="6" w:space="0" w:color="000000"/>
            </w:tcBorders>
          </w:tcPr>
          <w:p>
            <w:pPr>
              <w:pStyle w:val="TableParagraph"/>
              <w:spacing w:line="275" w:lineRule="exact"/>
              <w:ind w:right="137"/>
              <w:jc w:val="right"/>
              <w:rPr>
                <w:sz w:val="24"/>
              </w:rPr>
            </w:pPr>
            <w:r>
              <w:rPr>
                <w:sz w:val="24"/>
              </w:rPr>
              <w:t>2.467</w:t>
            </w:r>
          </w:p>
        </w:tc>
        <w:tc>
          <w:tcPr>
            <w:tcW w:w="940" w:type="dxa"/>
            <w:tcBorders>
              <w:top w:val="single" w:sz="6" w:space="0" w:color="000000"/>
            </w:tcBorders>
          </w:tcPr>
          <w:p>
            <w:pPr>
              <w:pStyle w:val="TableParagraph"/>
              <w:spacing w:line="275" w:lineRule="exact"/>
              <w:ind w:right="139"/>
              <w:jc w:val="right"/>
              <w:rPr>
                <w:sz w:val="24"/>
              </w:rPr>
            </w:pPr>
            <w:r>
              <w:rPr>
                <w:sz w:val="24"/>
              </w:rPr>
              <w:t>.908</w:t>
            </w:r>
          </w:p>
        </w:tc>
        <w:tc>
          <w:tcPr>
            <w:tcW w:w="941" w:type="dxa"/>
            <w:tcBorders>
              <w:top w:val="single" w:sz="6" w:space="0" w:color="000000"/>
            </w:tcBorders>
          </w:tcPr>
          <w:p>
            <w:pPr>
              <w:pStyle w:val="TableParagraph"/>
              <w:spacing w:line="275" w:lineRule="exact"/>
              <w:ind w:right="139"/>
              <w:jc w:val="right"/>
              <w:rPr>
                <w:sz w:val="24"/>
              </w:rPr>
            </w:pPr>
            <w:r>
              <w:rPr>
                <w:sz w:val="24"/>
              </w:rPr>
              <w:t>.727</w:t>
            </w:r>
          </w:p>
        </w:tc>
        <w:tc>
          <w:tcPr>
            <w:tcW w:w="940" w:type="dxa"/>
            <w:tcBorders>
              <w:top w:val="single" w:sz="6" w:space="0" w:color="000000"/>
            </w:tcBorders>
          </w:tcPr>
          <w:p>
            <w:pPr>
              <w:pStyle w:val="TableParagraph"/>
              <w:spacing w:line="275" w:lineRule="exact"/>
              <w:ind w:right="138"/>
              <w:jc w:val="right"/>
              <w:rPr>
                <w:sz w:val="24"/>
              </w:rPr>
            </w:pPr>
            <w:r>
              <w:rPr>
                <w:sz w:val="24"/>
              </w:rPr>
              <w:t>1.104</w:t>
            </w:r>
          </w:p>
        </w:tc>
      </w:tr>
      <w:tr>
        <w:trPr>
          <w:trHeight w:val="443" w:hRule="atLeast"/>
        </w:trPr>
        <w:tc>
          <w:tcPr>
            <w:tcW w:w="2273" w:type="dxa"/>
            <w:tcBorders>
              <w:right w:val="single" w:sz="6" w:space="0" w:color="000000"/>
            </w:tcBorders>
          </w:tcPr>
          <w:p>
            <w:pPr>
              <w:pStyle w:val="TableParagraph"/>
              <w:spacing w:before="79"/>
              <w:ind w:left="139"/>
              <w:rPr>
                <w:sz w:val="24"/>
              </w:rPr>
            </w:pPr>
            <w:r>
              <w:rPr>
                <w:sz w:val="24"/>
              </w:rPr>
              <w:t>Saturated model</w:t>
            </w:r>
          </w:p>
        </w:tc>
        <w:tc>
          <w:tcPr>
            <w:tcW w:w="939" w:type="dxa"/>
            <w:tcBorders>
              <w:left w:val="single" w:sz="6" w:space="0" w:color="000000"/>
            </w:tcBorders>
          </w:tcPr>
          <w:p>
            <w:pPr>
              <w:pStyle w:val="TableParagraph"/>
              <w:spacing w:before="79"/>
              <w:ind w:right="137"/>
              <w:jc w:val="right"/>
              <w:rPr>
                <w:sz w:val="24"/>
              </w:rPr>
            </w:pPr>
            <w:r>
              <w:rPr>
                <w:sz w:val="24"/>
              </w:rPr>
              <w:t>.000</w:t>
            </w:r>
          </w:p>
        </w:tc>
        <w:tc>
          <w:tcPr>
            <w:tcW w:w="940" w:type="dxa"/>
          </w:tcPr>
          <w:p>
            <w:pPr>
              <w:pStyle w:val="TableParagraph"/>
              <w:spacing w:before="79"/>
              <w:ind w:right="139"/>
              <w:jc w:val="right"/>
              <w:rPr>
                <w:sz w:val="24"/>
              </w:rPr>
            </w:pPr>
            <w:r>
              <w:rPr>
                <w:sz w:val="24"/>
              </w:rPr>
              <w:t>.000</w:t>
            </w:r>
          </w:p>
        </w:tc>
        <w:tc>
          <w:tcPr>
            <w:tcW w:w="941" w:type="dxa"/>
          </w:tcPr>
          <w:p>
            <w:pPr>
              <w:pStyle w:val="TableParagraph"/>
              <w:spacing w:before="79"/>
              <w:ind w:right="139"/>
              <w:jc w:val="right"/>
              <w:rPr>
                <w:sz w:val="24"/>
              </w:rPr>
            </w:pPr>
            <w:r>
              <w:rPr>
                <w:sz w:val="24"/>
              </w:rPr>
              <w:t>.000</w:t>
            </w:r>
          </w:p>
        </w:tc>
        <w:tc>
          <w:tcPr>
            <w:tcW w:w="940" w:type="dxa"/>
          </w:tcPr>
          <w:p>
            <w:pPr>
              <w:pStyle w:val="TableParagraph"/>
              <w:spacing w:before="79"/>
              <w:ind w:right="138"/>
              <w:jc w:val="right"/>
              <w:rPr>
                <w:sz w:val="24"/>
              </w:rPr>
            </w:pPr>
            <w:r>
              <w:rPr>
                <w:sz w:val="24"/>
              </w:rPr>
              <w:t>.000</w:t>
            </w:r>
          </w:p>
        </w:tc>
      </w:tr>
      <w:tr>
        <w:trPr>
          <w:trHeight w:val="509" w:hRule="atLeast"/>
        </w:trPr>
        <w:tc>
          <w:tcPr>
            <w:tcW w:w="2273" w:type="dxa"/>
            <w:tcBorders>
              <w:right w:val="single" w:sz="6" w:space="0" w:color="000000"/>
            </w:tcBorders>
          </w:tcPr>
          <w:p>
            <w:pPr>
              <w:pStyle w:val="TableParagraph"/>
              <w:spacing w:before="79"/>
              <w:ind w:left="139"/>
              <w:rPr>
                <w:sz w:val="24"/>
              </w:rPr>
            </w:pPr>
            <w:r>
              <w:rPr>
                <w:sz w:val="24"/>
              </w:rPr>
              <w:t>Independence model</w:t>
            </w:r>
          </w:p>
        </w:tc>
        <w:tc>
          <w:tcPr>
            <w:tcW w:w="939" w:type="dxa"/>
            <w:tcBorders>
              <w:left w:val="single" w:sz="6" w:space="0" w:color="000000"/>
            </w:tcBorders>
          </w:tcPr>
          <w:p>
            <w:pPr>
              <w:pStyle w:val="TableParagraph"/>
              <w:spacing w:before="79"/>
              <w:ind w:right="137"/>
              <w:jc w:val="right"/>
              <w:rPr>
                <w:sz w:val="24"/>
              </w:rPr>
            </w:pPr>
            <w:r>
              <w:rPr>
                <w:sz w:val="24"/>
              </w:rPr>
              <w:t>19.656</w:t>
            </w:r>
          </w:p>
        </w:tc>
        <w:tc>
          <w:tcPr>
            <w:tcW w:w="940" w:type="dxa"/>
          </w:tcPr>
          <w:p>
            <w:pPr>
              <w:pStyle w:val="TableParagraph"/>
              <w:spacing w:before="79"/>
              <w:ind w:right="139"/>
              <w:jc w:val="right"/>
              <w:rPr>
                <w:sz w:val="24"/>
              </w:rPr>
            </w:pPr>
            <w:r>
              <w:rPr>
                <w:sz w:val="24"/>
              </w:rPr>
              <w:t>17.984</w:t>
            </w:r>
          </w:p>
        </w:tc>
        <w:tc>
          <w:tcPr>
            <w:tcW w:w="941" w:type="dxa"/>
          </w:tcPr>
          <w:p>
            <w:pPr>
              <w:pStyle w:val="TableParagraph"/>
              <w:spacing w:before="79"/>
              <w:ind w:right="139"/>
              <w:jc w:val="right"/>
              <w:rPr>
                <w:sz w:val="24"/>
              </w:rPr>
            </w:pPr>
            <w:r>
              <w:rPr>
                <w:sz w:val="24"/>
              </w:rPr>
              <w:t>17.362</w:t>
            </w:r>
          </w:p>
        </w:tc>
        <w:tc>
          <w:tcPr>
            <w:tcW w:w="940" w:type="dxa"/>
          </w:tcPr>
          <w:p>
            <w:pPr>
              <w:pStyle w:val="TableParagraph"/>
              <w:spacing w:before="79"/>
              <w:ind w:right="138"/>
              <w:jc w:val="right"/>
              <w:rPr>
                <w:sz w:val="24"/>
              </w:rPr>
            </w:pPr>
            <w:r>
              <w:rPr>
                <w:sz w:val="24"/>
              </w:rPr>
              <w:t>18.619</w:t>
            </w:r>
          </w:p>
        </w:tc>
      </w:tr>
    </w:tbl>
    <w:p>
      <w:pPr>
        <w:spacing w:before="0"/>
        <w:ind w:left="882" w:right="0" w:firstLine="0"/>
        <w:jc w:val="left"/>
        <w:rPr>
          <w:b/>
          <w:sz w:val="20"/>
        </w:rPr>
      </w:pPr>
      <w:r>
        <w:rPr>
          <w:b/>
          <w:sz w:val="20"/>
        </w:rPr>
        <w:t>RMSEA</w:t>
      </w:r>
    </w:p>
    <w:p>
      <w:pPr>
        <w:pStyle w:val="BodyText"/>
        <w:rPr>
          <w:b/>
          <w:sz w:val="10"/>
        </w:rPr>
      </w:pPr>
    </w:p>
    <w:tbl>
      <w:tblPr>
        <w:tblW w:w="0" w:type="auto"/>
        <w:jc w:val="left"/>
        <w:tblInd w:w="75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
      <w:tblGrid>
        <w:gridCol w:w="2273"/>
        <w:gridCol w:w="1108"/>
        <w:gridCol w:w="899"/>
        <w:gridCol w:w="836"/>
        <w:gridCol w:w="1176"/>
      </w:tblGrid>
      <w:tr>
        <w:trPr>
          <w:trHeight w:val="443" w:hRule="atLeast"/>
        </w:trPr>
        <w:tc>
          <w:tcPr>
            <w:tcW w:w="2273" w:type="dxa"/>
            <w:tcBorders>
              <w:bottom w:val="single" w:sz="6" w:space="0" w:color="000000"/>
              <w:right w:val="single" w:sz="6" w:space="0" w:color="000000"/>
            </w:tcBorders>
          </w:tcPr>
          <w:p>
            <w:pPr>
              <w:pStyle w:val="TableParagraph"/>
              <w:spacing w:before="13"/>
              <w:ind w:left="139"/>
              <w:rPr>
                <w:sz w:val="24"/>
              </w:rPr>
            </w:pPr>
            <w:r>
              <w:rPr>
                <w:sz w:val="24"/>
              </w:rPr>
              <w:t>Model</w:t>
            </w:r>
          </w:p>
        </w:tc>
        <w:tc>
          <w:tcPr>
            <w:tcW w:w="1108" w:type="dxa"/>
            <w:tcBorders>
              <w:left w:val="single" w:sz="6" w:space="0" w:color="000000"/>
              <w:bottom w:val="single" w:sz="6" w:space="0" w:color="000000"/>
            </w:tcBorders>
          </w:tcPr>
          <w:p>
            <w:pPr>
              <w:pStyle w:val="TableParagraph"/>
              <w:spacing w:before="13"/>
              <w:ind w:right="139"/>
              <w:jc w:val="right"/>
              <w:rPr>
                <w:sz w:val="24"/>
              </w:rPr>
            </w:pPr>
            <w:r>
              <w:rPr>
                <w:sz w:val="24"/>
              </w:rPr>
              <w:t>RMSEA</w:t>
            </w:r>
          </w:p>
        </w:tc>
        <w:tc>
          <w:tcPr>
            <w:tcW w:w="899" w:type="dxa"/>
            <w:tcBorders>
              <w:bottom w:val="single" w:sz="6" w:space="0" w:color="000000"/>
            </w:tcBorders>
          </w:tcPr>
          <w:p>
            <w:pPr>
              <w:pStyle w:val="TableParagraph"/>
              <w:spacing w:before="13"/>
              <w:ind w:right="139"/>
              <w:jc w:val="right"/>
              <w:rPr>
                <w:sz w:val="24"/>
              </w:rPr>
            </w:pPr>
            <w:r>
              <w:rPr>
                <w:sz w:val="24"/>
              </w:rPr>
              <w:t>LO 90</w:t>
            </w:r>
          </w:p>
        </w:tc>
        <w:tc>
          <w:tcPr>
            <w:tcW w:w="836" w:type="dxa"/>
            <w:tcBorders>
              <w:bottom w:val="single" w:sz="6" w:space="0" w:color="000000"/>
            </w:tcBorders>
          </w:tcPr>
          <w:p>
            <w:pPr>
              <w:pStyle w:val="TableParagraph"/>
              <w:spacing w:before="13"/>
              <w:ind w:right="143"/>
              <w:jc w:val="right"/>
              <w:rPr>
                <w:sz w:val="24"/>
              </w:rPr>
            </w:pPr>
            <w:r>
              <w:rPr>
                <w:sz w:val="24"/>
              </w:rPr>
              <w:t>HI 90</w:t>
            </w:r>
          </w:p>
        </w:tc>
        <w:tc>
          <w:tcPr>
            <w:tcW w:w="1176" w:type="dxa"/>
            <w:tcBorders>
              <w:bottom w:val="single" w:sz="6" w:space="0" w:color="000000"/>
            </w:tcBorders>
          </w:tcPr>
          <w:p>
            <w:pPr>
              <w:pStyle w:val="TableParagraph"/>
              <w:spacing w:before="13"/>
              <w:ind w:right="140"/>
              <w:jc w:val="right"/>
              <w:rPr>
                <w:sz w:val="24"/>
              </w:rPr>
            </w:pPr>
            <w:r>
              <w:rPr>
                <w:sz w:val="24"/>
              </w:rPr>
              <w:t>PCLOSE</w:t>
            </w:r>
          </w:p>
        </w:tc>
      </w:tr>
      <w:tr>
        <w:trPr>
          <w:trHeight w:val="429" w:hRule="atLeast"/>
        </w:trPr>
        <w:tc>
          <w:tcPr>
            <w:tcW w:w="2273" w:type="dxa"/>
            <w:tcBorders>
              <w:top w:val="single" w:sz="6" w:space="0" w:color="000000"/>
              <w:right w:val="single" w:sz="6" w:space="0" w:color="000000"/>
            </w:tcBorders>
          </w:tcPr>
          <w:p>
            <w:pPr>
              <w:pStyle w:val="TableParagraph"/>
              <w:spacing w:line="275" w:lineRule="exact"/>
              <w:ind w:left="139"/>
              <w:rPr>
                <w:sz w:val="24"/>
              </w:rPr>
            </w:pPr>
            <w:r>
              <w:rPr>
                <w:sz w:val="24"/>
              </w:rPr>
              <w:t>Default model</w:t>
            </w:r>
          </w:p>
        </w:tc>
        <w:tc>
          <w:tcPr>
            <w:tcW w:w="1108" w:type="dxa"/>
            <w:tcBorders>
              <w:top w:val="single" w:sz="6" w:space="0" w:color="000000"/>
              <w:left w:val="single" w:sz="6" w:space="0" w:color="000000"/>
            </w:tcBorders>
          </w:tcPr>
          <w:p>
            <w:pPr>
              <w:pStyle w:val="TableParagraph"/>
              <w:spacing w:line="275" w:lineRule="exact"/>
              <w:ind w:right="138"/>
              <w:jc w:val="right"/>
              <w:rPr>
                <w:sz w:val="24"/>
              </w:rPr>
            </w:pPr>
            <w:r>
              <w:rPr>
                <w:sz w:val="24"/>
              </w:rPr>
              <w:t>.034</w:t>
            </w:r>
          </w:p>
        </w:tc>
        <w:tc>
          <w:tcPr>
            <w:tcW w:w="899" w:type="dxa"/>
            <w:tcBorders>
              <w:top w:val="single" w:sz="6" w:space="0" w:color="000000"/>
            </w:tcBorders>
          </w:tcPr>
          <w:p>
            <w:pPr>
              <w:pStyle w:val="TableParagraph"/>
              <w:spacing w:line="275" w:lineRule="exact"/>
              <w:ind w:right="139"/>
              <w:jc w:val="right"/>
              <w:rPr>
                <w:sz w:val="24"/>
              </w:rPr>
            </w:pPr>
            <w:r>
              <w:rPr>
                <w:sz w:val="24"/>
              </w:rPr>
              <w:t>.030</w:t>
            </w:r>
          </w:p>
        </w:tc>
        <w:tc>
          <w:tcPr>
            <w:tcW w:w="836" w:type="dxa"/>
            <w:tcBorders>
              <w:top w:val="single" w:sz="6" w:space="0" w:color="000000"/>
            </w:tcBorders>
          </w:tcPr>
          <w:p>
            <w:pPr>
              <w:pStyle w:val="TableParagraph"/>
              <w:spacing w:line="275" w:lineRule="exact"/>
              <w:ind w:right="140"/>
              <w:jc w:val="right"/>
              <w:rPr>
                <w:sz w:val="24"/>
              </w:rPr>
            </w:pPr>
            <w:r>
              <w:rPr>
                <w:sz w:val="24"/>
              </w:rPr>
              <w:t>.037</w:t>
            </w:r>
          </w:p>
        </w:tc>
        <w:tc>
          <w:tcPr>
            <w:tcW w:w="1176" w:type="dxa"/>
            <w:tcBorders>
              <w:top w:val="single" w:sz="6" w:space="0" w:color="000000"/>
            </w:tcBorders>
          </w:tcPr>
          <w:p>
            <w:pPr>
              <w:pStyle w:val="TableParagraph"/>
              <w:spacing w:line="275" w:lineRule="exact"/>
              <w:ind w:right="142"/>
              <w:jc w:val="right"/>
              <w:rPr>
                <w:sz w:val="24"/>
              </w:rPr>
            </w:pPr>
            <w:r>
              <w:rPr>
                <w:sz w:val="24"/>
              </w:rPr>
              <w:t>1.000</w:t>
            </w:r>
          </w:p>
        </w:tc>
      </w:tr>
    </w:tbl>
    <w:p>
      <w:pPr>
        <w:spacing w:after="0" w:line="275" w:lineRule="exact"/>
        <w:jc w:val="right"/>
        <w:rPr>
          <w:sz w:val="24"/>
        </w:rPr>
        <w:sectPr>
          <w:pgSz w:w="11910" w:h="16850"/>
          <w:pgMar w:header="751" w:footer="0" w:top="960" w:bottom="280" w:left="820" w:right="240"/>
        </w:sectPr>
      </w:pPr>
    </w:p>
    <w:p>
      <w:pPr>
        <w:pStyle w:val="BodyText"/>
        <w:spacing w:before="9"/>
        <w:rPr>
          <w:b/>
          <w:sz w:val="23"/>
        </w:rPr>
      </w:pPr>
    </w:p>
    <w:tbl>
      <w:tblPr>
        <w:tblW w:w="0" w:type="auto"/>
        <w:jc w:val="left"/>
        <w:tblInd w:w="75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
      <w:tblGrid>
        <w:gridCol w:w="2273"/>
        <w:gridCol w:w="1108"/>
        <w:gridCol w:w="899"/>
        <w:gridCol w:w="836"/>
        <w:gridCol w:w="1176"/>
      </w:tblGrid>
      <w:tr>
        <w:trPr>
          <w:trHeight w:val="443" w:hRule="atLeast"/>
        </w:trPr>
        <w:tc>
          <w:tcPr>
            <w:tcW w:w="2273" w:type="dxa"/>
            <w:tcBorders>
              <w:bottom w:val="single" w:sz="6" w:space="0" w:color="000000"/>
              <w:right w:val="single" w:sz="6" w:space="0" w:color="000000"/>
            </w:tcBorders>
          </w:tcPr>
          <w:p>
            <w:pPr>
              <w:pStyle w:val="TableParagraph"/>
              <w:spacing w:before="13"/>
              <w:ind w:left="139"/>
              <w:rPr>
                <w:sz w:val="24"/>
              </w:rPr>
            </w:pPr>
            <w:r>
              <w:rPr>
                <w:sz w:val="24"/>
              </w:rPr>
              <w:t>Model</w:t>
            </w:r>
          </w:p>
        </w:tc>
        <w:tc>
          <w:tcPr>
            <w:tcW w:w="1108" w:type="dxa"/>
            <w:tcBorders>
              <w:left w:val="single" w:sz="6" w:space="0" w:color="000000"/>
              <w:bottom w:val="single" w:sz="6" w:space="0" w:color="000000"/>
            </w:tcBorders>
          </w:tcPr>
          <w:p>
            <w:pPr>
              <w:pStyle w:val="TableParagraph"/>
              <w:spacing w:before="13"/>
              <w:ind w:right="139"/>
              <w:jc w:val="right"/>
              <w:rPr>
                <w:sz w:val="24"/>
              </w:rPr>
            </w:pPr>
            <w:r>
              <w:rPr>
                <w:sz w:val="24"/>
              </w:rPr>
              <w:t>RMSEA</w:t>
            </w:r>
          </w:p>
        </w:tc>
        <w:tc>
          <w:tcPr>
            <w:tcW w:w="899" w:type="dxa"/>
            <w:tcBorders>
              <w:bottom w:val="single" w:sz="6" w:space="0" w:color="000000"/>
            </w:tcBorders>
          </w:tcPr>
          <w:p>
            <w:pPr>
              <w:pStyle w:val="TableParagraph"/>
              <w:spacing w:before="13"/>
              <w:ind w:right="139"/>
              <w:jc w:val="right"/>
              <w:rPr>
                <w:sz w:val="24"/>
              </w:rPr>
            </w:pPr>
            <w:r>
              <w:rPr>
                <w:sz w:val="24"/>
              </w:rPr>
              <w:t>LO 90</w:t>
            </w:r>
          </w:p>
        </w:tc>
        <w:tc>
          <w:tcPr>
            <w:tcW w:w="836" w:type="dxa"/>
            <w:tcBorders>
              <w:bottom w:val="single" w:sz="6" w:space="0" w:color="000000"/>
            </w:tcBorders>
          </w:tcPr>
          <w:p>
            <w:pPr>
              <w:pStyle w:val="TableParagraph"/>
              <w:spacing w:before="13"/>
              <w:ind w:right="143"/>
              <w:jc w:val="right"/>
              <w:rPr>
                <w:sz w:val="24"/>
              </w:rPr>
            </w:pPr>
            <w:r>
              <w:rPr>
                <w:sz w:val="24"/>
              </w:rPr>
              <w:t>HI 90</w:t>
            </w:r>
          </w:p>
        </w:tc>
        <w:tc>
          <w:tcPr>
            <w:tcW w:w="1176" w:type="dxa"/>
            <w:tcBorders>
              <w:bottom w:val="single" w:sz="6" w:space="0" w:color="000000"/>
            </w:tcBorders>
          </w:tcPr>
          <w:p>
            <w:pPr>
              <w:pStyle w:val="TableParagraph"/>
              <w:spacing w:before="13"/>
              <w:ind w:right="140"/>
              <w:jc w:val="right"/>
              <w:rPr>
                <w:sz w:val="24"/>
              </w:rPr>
            </w:pPr>
            <w:r>
              <w:rPr>
                <w:sz w:val="24"/>
              </w:rPr>
              <w:t>PCLOSE</w:t>
            </w:r>
          </w:p>
        </w:tc>
      </w:tr>
      <w:tr>
        <w:trPr>
          <w:trHeight w:val="429" w:hRule="atLeast"/>
        </w:trPr>
        <w:tc>
          <w:tcPr>
            <w:tcW w:w="2273" w:type="dxa"/>
            <w:tcBorders>
              <w:top w:val="single" w:sz="6" w:space="0" w:color="000000"/>
              <w:right w:val="single" w:sz="6" w:space="0" w:color="000000"/>
            </w:tcBorders>
          </w:tcPr>
          <w:p>
            <w:pPr>
              <w:pStyle w:val="TableParagraph"/>
              <w:spacing w:line="275" w:lineRule="exact"/>
              <w:ind w:left="139"/>
              <w:rPr>
                <w:sz w:val="24"/>
              </w:rPr>
            </w:pPr>
            <w:r>
              <w:rPr>
                <w:sz w:val="24"/>
              </w:rPr>
              <w:t>Independence model</w:t>
            </w:r>
          </w:p>
        </w:tc>
        <w:tc>
          <w:tcPr>
            <w:tcW w:w="1108" w:type="dxa"/>
            <w:tcBorders>
              <w:top w:val="single" w:sz="6" w:space="0" w:color="000000"/>
              <w:left w:val="single" w:sz="6" w:space="0" w:color="000000"/>
            </w:tcBorders>
          </w:tcPr>
          <w:p>
            <w:pPr>
              <w:pStyle w:val="TableParagraph"/>
              <w:spacing w:line="275" w:lineRule="exact"/>
              <w:ind w:right="138"/>
              <w:jc w:val="right"/>
              <w:rPr>
                <w:sz w:val="24"/>
              </w:rPr>
            </w:pPr>
            <w:r>
              <w:rPr>
                <w:sz w:val="24"/>
              </w:rPr>
              <w:t>.145</w:t>
            </w:r>
          </w:p>
        </w:tc>
        <w:tc>
          <w:tcPr>
            <w:tcW w:w="899" w:type="dxa"/>
            <w:tcBorders>
              <w:top w:val="single" w:sz="6" w:space="0" w:color="000000"/>
            </w:tcBorders>
          </w:tcPr>
          <w:p>
            <w:pPr>
              <w:pStyle w:val="TableParagraph"/>
              <w:spacing w:line="275" w:lineRule="exact"/>
              <w:ind w:right="139"/>
              <w:jc w:val="right"/>
              <w:rPr>
                <w:sz w:val="24"/>
              </w:rPr>
            </w:pPr>
            <w:r>
              <w:rPr>
                <w:sz w:val="24"/>
              </w:rPr>
              <w:t>.142</w:t>
            </w:r>
          </w:p>
        </w:tc>
        <w:tc>
          <w:tcPr>
            <w:tcW w:w="836" w:type="dxa"/>
            <w:tcBorders>
              <w:top w:val="single" w:sz="6" w:space="0" w:color="000000"/>
            </w:tcBorders>
          </w:tcPr>
          <w:p>
            <w:pPr>
              <w:pStyle w:val="TableParagraph"/>
              <w:spacing w:line="275" w:lineRule="exact"/>
              <w:ind w:right="140"/>
              <w:jc w:val="right"/>
              <w:rPr>
                <w:sz w:val="24"/>
              </w:rPr>
            </w:pPr>
            <w:r>
              <w:rPr>
                <w:sz w:val="24"/>
              </w:rPr>
              <w:t>.147</w:t>
            </w:r>
          </w:p>
        </w:tc>
        <w:tc>
          <w:tcPr>
            <w:tcW w:w="1176" w:type="dxa"/>
            <w:tcBorders>
              <w:top w:val="single" w:sz="6" w:space="0" w:color="000000"/>
            </w:tcBorders>
          </w:tcPr>
          <w:p>
            <w:pPr>
              <w:pStyle w:val="TableParagraph"/>
              <w:spacing w:line="275" w:lineRule="exact"/>
              <w:ind w:right="142"/>
              <w:jc w:val="right"/>
              <w:rPr>
                <w:sz w:val="24"/>
              </w:rPr>
            </w:pPr>
            <w:r>
              <w:rPr>
                <w:sz w:val="24"/>
              </w:rPr>
              <w:t>.000</w:t>
            </w:r>
          </w:p>
        </w:tc>
      </w:tr>
    </w:tbl>
    <w:p>
      <w:pPr>
        <w:spacing w:before="0"/>
        <w:ind w:left="882" w:right="0" w:firstLine="0"/>
        <w:jc w:val="left"/>
        <w:rPr>
          <w:b/>
          <w:sz w:val="20"/>
        </w:rPr>
      </w:pPr>
      <w:r>
        <w:rPr>
          <w:b/>
          <w:sz w:val="20"/>
        </w:rPr>
        <w:t>AIC</w:t>
      </w:r>
    </w:p>
    <w:p>
      <w:pPr>
        <w:pStyle w:val="BodyText"/>
        <w:rPr>
          <w:b/>
          <w:sz w:val="10"/>
        </w:rPr>
      </w:pPr>
    </w:p>
    <w:tbl>
      <w:tblPr>
        <w:tblW w:w="0" w:type="auto"/>
        <w:jc w:val="left"/>
        <w:tblInd w:w="75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
      <w:tblGrid>
        <w:gridCol w:w="2273"/>
        <w:gridCol w:w="1299"/>
        <w:gridCol w:w="1301"/>
        <w:gridCol w:w="1300"/>
        <w:gridCol w:w="1300"/>
      </w:tblGrid>
      <w:tr>
        <w:trPr>
          <w:trHeight w:val="443" w:hRule="atLeast"/>
        </w:trPr>
        <w:tc>
          <w:tcPr>
            <w:tcW w:w="2273" w:type="dxa"/>
            <w:tcBorders>
              <w:bottom w:val="single" w:sz="6" w:space="0" w:color="000000"/>
              <w:right w:val="single" w:sz="6" w:space="0" w:color="000000"/>
            </w:tcBorders>
          </w:tcPr>
          <w:p>
            <w:pPr>
              <w:pStyle w:val="TableParagraph"/>
              <w:spacing w:before="13"/>
              <w:ind w:left="139"/>
              <w:rPr>
                <w:sz w:val="24"/>
              </w:rPr>
            </w:pPr>
            <w:r>
              <w:rPr>
                <w:sz w:val="24"/>
              </w:rPr>
              <w:t>Model</w:t>
            </w:r>
          </w:p>
        </w:tc>
        <w:tc>
          <w:tcPr>
            <w:tcW w:w="1299" w:type="dxa"/>
            <w:tcBorders>
              <w:left w:val="single" w:sz="6" w:space="0" w:color="000000"/>
              <w:bottom w:val="single" w:sz="6" w:space="0" w:color="000000"/>
            </w:tcBorders>
          </w:tcPr>
          <w:p>
            <w:pPr>
              <w:pStyle w:val="TableParagraph"/>
              <w:spacing w:before="13"/>
              <w:ind w:right="138"/>
              <w:jc w:val="right"/>
              <w:rPr>
                <w:sz w:val="24"/>
              </w:rPr>
            </w:pPr>
            <w:r>
              <w:rPr>
                <w:sz w:val="24"/>
              </w:rPr>
              <w:t>AIC</w:t>
            </w:r>
          </w:p>
        </w:tc>
        <w:tc>
          <w:tcPr>
            <w:tcW w:w="1301" w:type="dxa"/>
            <w:tcBorders>
              <w:bottom w:val="single" w:sz="6" w:space="0" w:color="000000"/>
            </w:tcBorders>
          </w:tcPr>
          <w:p>
            <w:pPr>
              <w:pStyle w:val="TableParagraph"/>
              <w:spacing w:before="13"/>
              <w:ind w:right="137"/>
              <w:jc w:val="right"/>
              <w:rPr>
                <w:sz w:val="24"/>
              </w:rPr>
            </w:pPr>
            <w:r>
              <w:rPr>
                <w:sz w:val="24"/>
              </w:rPr>
              <w:t>BCC</w:t>
            </w:r>
          </w:p>
        </w:tc>
        <w:tc>
          <w:tcPr>
            <w:tcW w:w="1300" w:type="dxa"/>
            <w:tcBorders>
              <w:bottom w:val="single" w:sz="6" w:space="0" w:color="000000"/>
            </w:tcBorders>
          </w:tcPr>
          <w:p>
            <w:pPr>
              <w:pStyle w:val="TableParagraph"/>
              <w:spacing w:before="13"/>
              <w:ind w:right="142"/>
              <w:jc w:val="right"/>
              <w:rPr>
                <w:sz w:val="24"/>
              </w:rPr>
            </w:pPr>
            <w:r>
              <w:rPr>
                <w:sz w:val="24"/>
              </w:rPr>
              <w:t>BIC</w:t>
            </w:r>
          </w:p>
        </w:tc>
        <w:tc>
          <w:tcPr>
            <w:tcW w:w="1300" w:type="dxa"/>
            <w:tcBorders>
              <w:bottom w:val="single" w:sz="6" w:space="0" w:color="000000"/>
            </w:tcBorders>
          </w:tcPr>
          <w:p>
            <w:pPr>
              <w:pStyle w:val="TableParagraph"/>
              <w:spacing w:before="13"/>
              <w:ind w:right="141"/>
              <w:jc w:val="right"/>
              <w:rPr>
                <w:sz w:val="24"/>
              </w:rPr>
            </w:pPr>
            <w:r>
              <w:rPr>
                <w:w w:val="95"/>
                <w:sz w:val="24"/>
              </w:rPr>
              <w:t>CAIC</w:t>
            </w:r>
          </w:p>
        </w:tc>
      </w:tr>
      <w:tr>
        <w:trPr>
          <w:trHeight w:val="363" w:hRule="atLeast"/>
        </w:trPr>
        <w:tc>
          <w:tcPr>
            <w:tcW w:w="2273" w:type="dxa"/>
            <w:tcBorders>
              <w:top w:val="single" w:sz="6" w:space="0" w:color="000000"/>
              <w:right w:val="single" w:sz="6" w:space="0" w:color="000000"/>
            </w:tcBorders>
          </w:tcPr>
          <w:p>
            <w:pPr>
              <w:pStyle w:val="TableParagraph"/>
              <w:spacing w:line="275" w:lineRule="exact"/>
              <w:ind w:left="139"/>
              <w:rPr>
                <w:sz w:val="24"/>
              </w:rPr>
            </w:pPr>
            <w:r>
              <w:rPr>
                <w:sz w:val="24"/>
              </w:rPr>
              <w:t>Default model</w:t>
            </w:r>
          </w:p>
        </w:tc>
        <w:tc>
          <w:tcPr>
            <w:tcW w:w="1299" w:type="dxa"/>
            <w:tcBorders>
              <w:top w:val="single" w:sz="6" w:space="0" w:color="000000"/>
              <w:left w:val="single" w:sz="6" w:space="0" w:color="000000"/>
            </w:tcBorders>
          </w:tcPr>
          <w:p>
            <w:pPr>
              <w:pStyle w:val="TableParagraph"/>
              <w:spacing w:line="275" w:lineRule="exact"/>
              <w:ind w:right="137"/>
              <w:jc w:val="right"/>
              <w:rPr>
                <w:sz w:val="24"/>
              </w:rPr>
            </w:pPr>
            <w:r>
              <w:rPr>
                <w:sz w:val="24"/>
              </w:rPr>
              <w:t>1470.539</w:t>
            </w:r>
          </w:p>
        </w:tc>
        <w:tc>
          <w:tcPr>
            <w:tcW w:w="1301" w:type="dxa"/>
            <w:tcBorders>
              <w:top w:val="single" w:sz="6" w:space="0" w:color="000000"/>
            </w:tcBorders>
          </w:tcPr>
          <w:p>
            <w:pPr>
              <w:pStyle w:val="TableParagraph"/>
              <w:spacing w:line="275" w:lineRule="exact"/>
              <w:ind w:right="140"/>
              <w:jc w:val="right"/>
              <w:rPr>
                <w:sz w:val="24"/>
              </w:rPr>
            </w:pPr>
            <w:r>
              <w:rPr>
                <w:sz w:val="24"/>
              </w:rPr>
              <w:t>1488.760</w:t>
            </w:r>
          </w:p>
        </w:tc>
        <w:tc>
          <w:tcPr>
            <w:tcW w:w="1300" w:type="dxa"/>
            <w:tcBorders>
              <w:top w:val="single" w:sz="6" w:space="0" w:color="000000"/>
            </w:tcBorders>
          </w:tcPr>
          <w:p>
            <w:pPr>
              <w:pStyle w:val="TableParagraph"/>
              <w:spacing w:line="275" w:lineRule="exact"/>
              <w:ind w:right="138"/>
              <w:jc w:val="right"/>
              <w:rPr>
                <w:sz w:val="24"/>
              </w:rPr>
            </w:pPr>
            <w:r>
              <w:rPr>
                <w:sz w:val="24"/>
              </w:rPr>
              <w:t>1895.150</w:t>
            </w:r>
          </w:p>
        </w:tc>
        <w:tc>
          <w:tcPr>
            <w:tcW w:w="1300" w:type="dxa"/>
            <w:tcBorders>
              <w:top w:val="single" w:sz="6" w:space="0" w:color="000000"/>
            </w:tcBorders>
          </w:tcPr>
          <w:p>
            <w:pPr>
              <w:pStyle w:val="TableParagraph"/>
              <w:spacing w:line="275" w:lineRule="exact"/>
              <w:ind w:right="138"/>
              <w:jc w:val="right"/>
              <w:rPr>
                <w:sz w:val="24"/>
              </w:rPr>
            </w:pPr>
            <w:r>
              <w:rPr>
                <w:sz w:val="24"/>
              </w:rPr>
              <w:t>1995.150</w:t>
            </w:r>
          </w:p>
        </w:tc>
      </w:tr>
      <w:tr>
        <w:trPr>
          <w:trHeight w:val="443" w:hRule="atLeast"/>
        </w:trPr>
        <w:tc>
          <w:tcPr>
            <w:tcW w:w="2273" w:type="dxa"/>
            <w:tcBorders>
              <w:right w:val="single" w:sz="6" w:space="0" w:color="000000"/>
            </w:tcBorders>
          </w:tcPr>
          <w:p>
            <w:pPr>
              <w:pStyle w:val="TableParagraph"/>
              <w:spacing w:before="79"/>
              <w:ind w:left="139"/>
              <w:rPr>
                <w:sz w:val="24"/>
              </w:rPr>
            </w:pPr>
            <w:r>
              <w:rPr>
                <w:sz w:val="24"/>
              </w:rPr>
              <w:t>Saturated model</w:t>
            </w:r>
          </w:p>
        </w:tc>
        <w:tc>
          <w:tcPr>
            <w:tcW w:w="1299" w:type="dxa"/>
            <w:tcBorders>
              <w:left w:val="single" w:sz="6" w:space="0" w:color="000000"/>
            </w:tcBorders>
          </w:tcPr>
          <w:p>
            <w:pPr>
              <w:pStyle w:val="TableParagraph"/>
              <w:spacing w:before="79"/>
              <w:ind w:right="137"/>
              <w:jc w:val="right"/>
              <w:rPr>
                <w:sz w:val="24"/>
              </w:rPr>
            </w:pPr>
            <w:r>
              <w:rPr>
                <w:sz w:val="24"/>
              </w:rPr>
              <w:t>1806.000</w:t>
            </w:r>
          </w:p>
        </w:tc>
        <w:tc>
          <w:tcPr>
            <w:tcW w:w="1301" w:type="dxa"/>
          </w:tcPr>
          <w:p>
            <w:pPr>
              <w:pStyle w:val="TableParagraph"/>
              <w:spacing w:before="79"/>
              <w:ind w:right="140"/>
              <w:jc w:val="right"/>
              <w:rPr>
                <w:sz w:val="24"/>
              </w:rPr>
            </w:pPr>
            <w:r>
              <w:rPr>
                <w:sz w:val="24"/>
              </w:rPr>
              <w:t>1970.530</w:t>
            </w:r>
          </w:p>
        </w:tc>
        <w:tc>
          <w:tcPr>
            <w:tcW w:w="1300" w:type="dxa"/>
          </w:tcPr>
          <w:p>
            <w:pPr>
              <w:pStyle w:val="TableParagraph"/>
              <w:spacing w:before="79"/>
              <w:ind w:right="138"/>
              <w:jc w:val="right"/>
              <w:rPr>
                <w:sz w:val="24"/>
              </w:rPr>
            </w:pPr>
            <w:r>
              <w:rPr>
                <w:sz w:val="24"/>
              </w:rPr>
              <w:t>5640.234</w:t>
            </w:r>
          </w:p>
        </w:tc>
        <w:tc>
          <w:tcPr>
            <w:tcW w:w="1300" w:type="dxa"/>
          </w:tcPr>
          <w:p>
            <w:pPr>
              <w:pStyle w:val="TableParagraph"/>
              <w:spacing w:before="79"/>
              <w:ind w:right="138"/>
              <w:jc w:val="right"/>
              <w:rPr>
                <w:sz w:val="24"/>
              </w:rPr>
            </w:pPr>
            <w:r>
              <w:rPr>
                <w:sz w:val="24"/>
              </w:rPr>
              <w:t>6543.234</w:t>
            </w:r>
          </w:p>
        </w:tc>
      </w:tr>
      <w:tr>
        <w:trPr>
          <w:trHeight w:val="509" w:hRule="atLeast"/>
        </w:trPr>
        <w:tc>
          <w:tcPr>
            <w:tcW w:w="2273" w:type="dxa"/>
            <w:tcBorders>
              <w:right w:val="single" w:sz="6" w:space="0" w:color="000000"/>
            </w:tcBorders>
          </w:tcPr>
          <w:p>
            <w:pPr>
              <w:pStyle w:val="TableParagraph"/>
              <w:spacing w:before="79"/>
              <w:ind w:left="139"/>
              <w:rPr>
                <w:sz w:val="24"/>
              </w:rPr>
            </w:pPr>
            <w:r>
              <w:rPr>
                <w:sz w:val="24"/>
              </w:rPr>
              <w:t>Independence model</w:t>
            </w:r>
          </w:p>
        </w:tc>
        <w:tc>
          <w:tcPr>
            <w:tcW w:w="1299" w:type="dxa"/>
            <w:tcBorders>
              <w:left w:val="single" w:sz="6" w:space="0" w:color="000000"/>
            </w:tcBorders>
          </w:tcPr>
          <w:p>
            <w:pPr>
              <w:pStyle w:val="TableParagraph"/>
              <w:spacing w:before="79"/>
              <w:ind w:right="137"/>
              <w:jc w:val="right"/>
              <w:rPr>
                <w:sz w:val="24"/>
              </w:rPr>
            </w:pPr>
            <w:r>
              <w:rPr>
                <w:sz w:val="24"/>
              </w:rPr>
              <w:t>10206.904</w:t>
            </w:r>
          </w:p>
        </w:tc>
        <w:tc>
          <w:tcPr>
            <w:tcW w:w="1301" w:type="dxa"/>
          </w:tcPr>
          <w:p>
            <w:pPr>
              <w:pStyle w:val="TableParagraph"/>
              <w:spacing w:before="79"/>
              <w:ind w:right="140"/>
              <w:jc w:val="right"/>
              <w:rPr>
                <w:sz w:val="24"/>
              </w:rPr>
            </w:pPr>
            <w:r>
              <w:rPr>
                <w:sz w:val="24"/>
              </w:rPr>
              <w:t>10214.557</w:t>
            </w:r>
          </w:p>
        </w:tc>
        <w:tc>
          <w:tcPr>
            <w:tcW w:w="1300" w:type="dxa"/>
          </w:tcPr>
          <w:p>
            <w:pPr>
              <w:pStyle w:val="TableParagraph"/>
              <w:spacing w:before="79"/>
              <w:ind w:right="138"/>
              <w:jc w:val="right"/>
              <w:rPr>
                <w:sz w:val="24"/>
              </w:rPr>
            </w:pPr>
            <w:r>
              <w:rPr>
                <w:sz w:val="24"/>
              </w:rPr>
              <w:t>10385.241</w:t>
            </w:r>
          </w:p>
        </w:tc>
        <w:tc>
          <w:tcPr>
            <w:tcW w:w="1300" w:type="dxa"/>
          </w:tcPr>
          <w:p>
            <w:pPr>
              <w:pStyle w:val="TableParagraph"/>
              <w:spacing w:before="79"/>
              <w:ind w:right="138"/>
              <w:jc w:val="right"/>
              <w:rPr>
                <w:sz w:val="24"/>
              </w:rPr>
            </w:pPr>
            <w:r>
              <w:rPr>
                <w:sz w:val="24"/>
              </w:rPr>
              <w:t>10427.241</w:t>
            </w:r>
          </w:p>
        </w:tc>
      </w:tr>
    </w:tbl>
    <w:p>
      <w:pPr>
        <w:spacing w:before="0"/>
        <w:ind w:left="882" w:right="0" w:firstLine="0"/>
        <w:jc w:val="left"/>
        <w:rPr>
          <w:b/>
          <w:sz w:val="20"/>
        </w:rPr>
      </w:pPr>
      <w:r>
        <w:rPr>
          <w:b/>
          <w:sz w:val="20"/>
        </w:rPr>
        <w:t>ECVI</w:t>
      </w:r>
    </w:p>
    <w:p>
      <w:pPr>
        <w:pStyle w:val="BodyText"/>
        <w:rPr>
          <w:b/>
          <w:sz w:val="10"/>
        </w:rPr>
      </w:pPr>
    </w:p>
    <w:tbl>
      <w:tblPr>
        <w:tblW w:w="0" w:type="auto"/>
        <w:jc w:val="left"/>
        <w:tblInd w:w="75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
      <w:tblGrid>
        <w:gridCol w:w="2273"/>
        <w:gridCol w:w="940"/>
        <w:gridCol w:w="940"/>
        <w:gridCol w:w="942"/>
        <w:gridCol w:w="1056"/>
      </w:tblGrid>
      <w:tr>
        <w:trPr>
          <w:trHeight w:val="443" w:hRule="atLeast"/>
        </w:trPr>
        <w:tc>
          <w:tcPr>
            <w:tcW w:w="2273" w:type="dxa"/>
            <w:tcBorders>
              <w:bottom w:val="single" w:sz="6" w:space="0" w:color="000000"/>
              <w:right w:val="single" w:sz="6" w:space="0" w:color="000000"/>
            </w:tcBorders>
          </w:tcPr>
          <w:p>
            <w:pPr>
              <w:pStyle w:val="TableParagraph"/>
              <w:spacing w:before="13"/>
              <w:ind w:left="139"/>
              <w:rPr>
                <w:sz w:val="24"/>
              </w:rPr>
            </w:pPr>
            <w:r>
              <w:rPr>
                <w:sz w:val="24"/>
              </w:rPr>
              <w:t>Model</w:t>
            </w:r>
          </w:p>
        </w:tc>
        <w:tc>
          <w:tcPr>
            <w:tcW w:w="940" w:type="dxa"/>
            <w:tcBorders>
              <w:left w:val="single" w:sz="6" w:space="0" w:color="000000"/>
              <w:bottom w:val="single" w:sz="6" w:space="0" w:color="000000"/>
            </w:tcBorders>
          </w:tcPr>
          <w:p>
            <w:pPr>
              <w:pStyle w:val="TableParagraph"/>
              <w:spacing w:before="13"/>
              <w:ind w:left="112" w:right="19"/>
              <w:jc w:val="center"/>
              <w:rPr>
                <w:sz w:val="24"/>
              </w:rPr>
            </w:pPr>
            <w:r>
              <w:rPr>
                <w:sz w:val="24"/>
              </w:rPr>
              <w:t>ECVI</w:t>
            </w:r>
          </w:p>
        </w:tc>
        <w:tc>
          <w:tcPr>
            <w:tcW w:w="940" w:type="dxa"/>
            <w:tcBorders>
              <w:bottom w:val="single" w:sz="6" w:space="0" w:color="000000"/>
            </w:tcBorders>
          </w:tcPr>
          <w:p>
            <w:pPr>
              <w:pStyle w:val="TableParagraph"/>
              <w:spacing w:before="13"/>
              <w:ind w:left="119" w:right="83"/>
              <w:jc w:val="center"/>
              <w:rPr>
                <w:sz w:val="24"/>
              </w:rPr>
            </w:pPr>
            <w:r>
              <w:rPr>
                <w:sz w:val="24"/>
              </w:rPr>
              <w:t>LO 90</w:t>
            </w:r>
          </w:p>
        </w:tc>
        <w:tc>
          <w:tcPr>
            <w:tcW w:w="942" w:type="dxa"/>
            <w:tcBorders>
              <w:bottom w:val="single" w:sz="6" w:space="0" w:color="000000"/>
            </w:tcBorders>
          </w:tcPr>
          <w:p>
            <w:pPr>
              <w:pStyle w:val="TableParagraph"/>
              <w:spacing w:before="13"/>
              <w:ind w:right="143"/>
              <w:jc w:val="right"/>
              <w:rPr>
                <w:sz w:val="24"/>
              </w:rPr>
            </w:pPr>
            <w:r>
              <w:rPr>
                <w:sz w:val="24"/>
              </w:rPr>
              <w:t>HI 90</w:t>
            </w:r>
          </w:p>
        </w:tc>
        <w:tc>
          <w:tcPr>
            <w:tcW w:w="1056" w:type="dxa"/>
            <w:tcBorders>
              <w:bottom w:val="single" w:sz="6" w:space="0" w:color="000000"/>
            </w:tcBorders>
          </w:tcPr>
          <w:p>
            <w:pPr>
              <w:pStyle w:val="TableParagraph"/>
              <w:spacing w:before="13"/>
              <w:ind w:right="143"/>
              <w:jc w:val="right"/>
              <w:rPr>
                <w:sz w:val="24"/>
              </w:rPr>
            </w:pPr>
            <w:r>
              <w:rPr>
                <w:sz w:val="24"/>
              </w:rPr>
              <w:t>MECVI</w:t>
            </w:r>
          </w:p>
        </w:tc>
      </w:tr>
      <w:tr>
        <w:trPr>
          <w:trHeight w:val="364" w:hRule="atLeast"/>
        </w:trPr>
        <w:tc>
          <w:tcPr>
            <w:tcW w:w="2273" w:type="dxa"/>
            <w:tcBorders>
              <w:top w:val="single" w:sz="6" w:space="0" w:color="000000"/>
              <w:right w:val="single" w:sz="6" w:space="0" w:color="000000"/>
            </w:tcBorders>
          </w:tcPr>
          <w:p>
            <w:pPr>
              <w:pStyle w:val="TableParagraph"/>
              <w:spacing w:line="275" w:lineRule="exact"/>
              <w:ind w:left="139"/>
              <w:rPr>
                <w:sz w:val="24"/>
              </w:rPr>
            </w:pPr>
            <w:r>
              <w:rPr>
                <w:sz w:val="24"/>
              </w:rPr>
              <w:t>Default model</w:t>
            </w:r>
          </w:p>
        </w:tc>
        <w:tc>
          <w:tcPr>
            <w:tcW w:w="940" w:type="dxa"/>
            <w:tcBorders>
              <w:top w:val="single" w:sz="6" w:space="0" w:color="000000"/>
              <w:left w:val="single" w:sz="6" w:space="0" w:color="000000"/>
            </w:tcBorders>
          </w:tcPr>
          <w:p>
            <w:pPr>
              <w:pStyle w:val="TableParagraph"/>
              <w:spacing w:line="275" w:lineRule="exact"/>
              <w:ind w:left="112" w:right="1"/>
              <w:jc w:val="center"/>
              <w:rPr>
                <w:sz w:val="24"/>
              </w:rPr>
            </w:pPr>
            <w:r>
              <w:rPr>
                <w:sz w:val="24"/>
              </w:rPr>
              <w:t>2.855</w:t>
            </w:r>
          </w:p>
        </w:tc>
        <w:tc>
          <w:tcPr>
            <w:tcW w:w="940" w:type="dxa"/>
            <w:tcBorders>
              <w:top w:val="single" w:sz="6" w:space="0" w:color="000000"/>
            </w:tcBorders>
          </w:tcPr>
          <w:p>
            <w:pPr>
              <w:pStyle w:val="TableParagraph"/>
              <w:spacing w:line="275" w:lineRule="exact"/>
              <w:ind w:left="119" w:right="4"/>
              <w:jc w:val="center"/>
              <w:rPr>
                <w:sz w:val="24"/>
              </w:rPr>
            </w:pPr>
            <w:r>
              <w:rPr>
                <w:sz w:val="24"/>
              </w:rPr>
              <w:t>2.675</w:t>
            </w:r>
          </w:p>
        </w:tc>
        <w:tc>
          <w:tcPr>
            <w:tcW w:w="942" w:type="dxa"/>
            <w:tcBorders>
              <w:top w:val="single" w:sz="6" w:space="0" w:color="000000"/>
            </w:tcBorders>
          </w:tcPr>
          <w:p>
            <w:pPr>
              <w:pStyle w:val="TableParagraph"/>
              <w:spacing w:line="275" w:lineRule="exact"/>
              <w:ind w:right="141"/>
              <w:jc w:val="right"/>
              <w:rPr>
                <w:sz w:val="24"/>
              </w:rPr>
            </w:pPr>
            <w:r>
              <w:rPr>
                <w:sz w:val="24"/>
              </w:rPr>
              <w:t>3.051</w:t>
            </w:r>
          </w:p>
        </w:tc>
        <w:tc>
          <w:tcPr>
            <w:tcW w:w="1056" w:type="dxa"/>
            <w:tcBorders>
              <w:top w:val="single" w:sz="6" w:space="0" w:color="000000"/>
            </w:tcBorders>
          </w:tcPr>
          <w:p>
            <w:pPr>
              <w:pStyle w:val="TableParagraph"/>
              <w:spacing w:line="275" w:lineRule="exact"/>
              <w:ind w:right="143"/>
              <w:jc w:val="right"/>
              <w:rPr>
                <w:sz w:val="24"/>
              </w:rPr>
            </w:pPr>
            <w:r>
              <w:rPr>
                <w:sz w:val="24"/>
              </w:rPr>
              <w:t>2.891</w:t>
            </w:r>
          </w:p>
        </w:tc>
      </w:tr>
      <w:tr>
        <w:trPr>
          <w:trHeight w:val="444" w:hRule="atLeast"/>
        </w:trPr>
        <w:tc>
          <w:tcPr>
            <w:tcW w:w="2273" w:type="dxa"/>
            <w:tcBorders>
              <w:right w:val="single" w:sz="6" w:space="0" w:color="000000"/>
            </w:tcBorders>
          </w:tcPr>
          <w:p>
            <w:pPr>
              <w:pStyle w:val="TableParagraph"/>
              <w:spacing w:before="79"/>
              <w:ind w:left="139"/>
              <w:rPr>
                <w:sz w:val="24"/>
              </w:rPr>
            </w:pPr>
            <w:r>
              <w:rPr>
                <w:sz w:val="24"/>
              </w:rPr>
              <w:t>Saturated model</w:t>
            </w:r>
          </w:p>
        </w:tc>
        <w:tc>
          <w:tcPr>
            <w:tcW w:w="940" w:type="dxa"/>
            <w:tcBorders>
              <w:left w:val="single" w:sz="6" w:space="0" w:color="000000"/>
            </w:tcBorders>
          </w:tcPr>
          <w:p>
            <w:pPr>
              <w:pStyle w:val="TableParagraph"/>
              <w:spacing w:before="79"/>
              <w:ind w:left="112" w:right="1"/>
              <w:jc w:val="center"/>
              <w:rPr>
                <w:sz w:val="24"/>
              </w:rPr>
            </w:pPr>
            <w:r>
              <w:rPr>
                <w:sz w:val="24"/>
              </w:rPr>
              <w:t>3.507</w:t>
            </w:r>
          </w:p>
        </w:tc>
        <w:tc>
          <w:tcPr>
            <w:tcW w:w="940" w:type="dxa"/>
          </w:tcPr>
          <w:p>
            <w:pPr>
              <w:pStyle w:val="TableParagraph"/>
              <w:spacing w:before="79"/>
              <w:ind w:left="119" w:right="4"/>
              <w:jc w:val="center"/>
              <w:rPr>
                <w:sz w:val="24"/>
              </w:rPr>
            </w:pPr>
            <w:r>
              <w:rPr>
                <w:sz w:val="24"/>
              </w:rPr>
              <w:t>3.507</w:t>
            </w:r>
          </w:p>
        </w:tc>
        <w:tc>
          <w:tcPr>
            <w:tcW w:w="942" w:type="dxa"/>
          </w:tcPr>
          <w:p>
            <w:pPr>
              <w:pStyle w:val="TableParagraph"/>
              <w:spacing w:before="79"/>
              <w:ind w:right="141"/>
              <w:jc w:val="right"/>
              <w:rPr>
                <w:sz w:val="24"/>
              </w:rPr>
            </w:pPr>
            <w:r>
              <w:rPr>
                <w:sz w:val="24"/>
              </w:rPr>
              <w:t>3.507</w:t>
            </w:r>
          </w:p>
        </w:tc>
        <w:tc>
          <w:tcPr>
            <w:tcW w:w="1056" w:type="dxa"/>
          </w:tcPr>
          <w:p>
            <w:pPr>
              <w:pStyle w:val="TableParagraph"/>
              <w:spacing w:before="79"/>
              <w:ind w:right="143"/>
              <w:jc w:val="right"/>
              <w:rPr>
                <w:sz w:val="24"/>
              </w:rPr>
            </w:pPr>
            <w:r>
              <w:rPr>
                <w:sz w:val="24"/>
              </w:rPr>
              <w:t>3.826</w:t>
            </w:r>
          </w:p>
        </w:tc>
      </w:tr>
      <w:tr>
        <w:trPr>
          <w:trHeight w:val="509" w:hRule="atLeast"/>
        </w:trPr>
        <w:tc>
          <w:tcPr>
            <w:tcW w:w="2273" w:type="dxa"/>
            <w:tcBorders>
              <w:right w:val="single" w:sz="6" w:space="0" w:color="000000"/>
            </w:tcBorders>
          </w:tcPr>
          <w:p>
            <w:pPr>
              <w:pStyle w:val="TableParagraph"/>
              <w:spacing w:before="79"/>
              <w:ind w:left="139"/>
              <w:rPr>
                <w:sz w:val="24"/>
              </w:rPr>
            </w:pPr>
            <w:r>
              <w:rPr>
                <w:sz w:val="24"/>
              </w:rPr>
              <w:t>Independence model</w:t>
            </w:r>
          </w:p>
        </w:tc>
        <w:tc>
          <w:tcPr>
            <w:tcW w:w="940" w:type="dxa"/>
            <w:tcBorders>
              <w:left w:val="single" w:sz="6" w:space="0" w:color="000000"/>
            </w:tcBorders>
          </w:tcPr>
          <w:p>
            <w:pPr>
              <w:pStyle w:val="TableParagraph"/>
              <w:spacing w:before="79"/>
              <w:ind w:left="112" w:right="119"/>
              <w:jc w:val="center"/>
              <w:rPr>
                <w:sz w:val="24"/>
              </w:rPr>
            </w:pPr>
            <w:r>
              <w:rPr>
                <w:sz w:val="24"/>
              </w:rPr>
              <w:t>19.819</w:t>
            </w:r>
          </w:p>
        </w:tc>
        <w:tc>
          <w:tcPr>
            <w:tcW w:w="940" w:type="dxa"/>
          </w:tcPr>
          <w:p>
            <w:pPr>
              <w:pStyle w:val="TableParagraph"/>
              <w:spacing w:before="79"/>
              <w:ind w:left="119" w:right="121"/>
              <w:jc w:val="center"/>
              <w:rPr>
                <w:sz w:val="24"/>
              </w:rPr>
            </w:pPr>
            <w:r>
              <w:rPr>
                <w:sz w:val="24"/>
              </w:rPr>
              <w:t>19.197</w:t>
            </w:r>
          </w:p>
        </w:tc>
        <w:tc>
          <w:tcPr>
            <w:tcW w:w="942" w:type="dxa"/>
          </w:tcPr>
          <w:p>
            <w:pPr>
              <w:pStyle w:val="TableParagraph"/>
              <w:spacing w:before="79"/>
              <w:ind w:right="141"/>
              <w:jc w:val="right"/>
              <w:rPr>
                <w:sz w:val="24"/>
              </w:rPr>
            </w:pPr>
            <w:r>
              <w:rPr>
                <w:sz w:val="24"/>
              </w:rPr>
              <w:t>20.454</w:t>
            </w:r>
          </w:p>
        </w:tc>
        <w:tc>
          <w:tcPr>
            <w:tcW w:w="1056" w:type="dxa"/>
          </w:tcPr>
          <w:p>
            <w:pPr>
              <w:pStyle w:val="TableParagraph"/>
              <w:spacing w:before="79"/>
              <w:ind w:right="143"/>
              <w:jc w:val="right"/>
              <w:rPr>
                <w:sz w:val="24"/>
              </w:rPr>
            </w:pPr>
            <w:r>
              <w:rPr>
                <w:sz w:val="24"/>
              </w:rPr>
              <w:t>19.834</w:t>
            </w:r>
          </w:p>
        </w:tc>
      </w:tr>
    </w:tbl>
    <w:p>
      <w:pPr>
        <w:spacing w:before="0"/>
        <w:ind w:left="882" w:right="0" w:firstLine="0"/>
        <w:jc w:val="left"/>
        <w:rPr>
          <w:b/>
          <w:sz w:val="20"/>
        </w:rPr>
      </w:pPr>
      <w:r>
        <w:rPr>
          <w:b/>
          <w:sz w:val="20"/>
        </w:rPr>
        <w:t>HOELTER</w:t>
      </w:r>
    </w:p>
    <w:p>
      <w:pPr>
        <w:pStyle w:val="BodyText"/>
        <w:spacing w:before="9"/>
        <w:rPr>
          <w:b/>
          <w:sz w:val="9"/>
        </w:rPr>
      </w:pPr>
    </w:p>
    <w:tbl>
      <w:tblPr>
        <w:tblW w:w="0" w:type="auto"/>
        <w:jc w:val="left"/>
        <w:tblInd w:w="75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
      <w:tblGrid>
        <w:gridCol w:w="2273"/>
        <w:gridCol w:w="1374"/>
        <w:gridCol w:w="1376"/>
      </w:tblGrid>
      <w:tr>
        <w:trPr>
          <w:trHeight w:val="858" w:hRule="atLeast"/>
        </w:trPr>
        <w:tc>
          <w:tcPr>
            <w:tcW w:w="2273" w:type="dxa"/>
            <w:tcBorders>
              <w:bottom w:val="single" w:sz="6" w:space="0" w:color="000000"/>
              <w:right w:val="single" w:sz="6" w:space="0" w:color="000000"/>
            </w:tcBorders>
          </w:tcPr>
          <w:p>
            <w:pPr>
              <w:pStyle w:val="TableParagraph"/>
              <w:spacing w:before="222"/>
              <w:ind w:left="139"/>
              <w:rPr>
                <w:sz w:val="24"/>
              </w:rPr>
            </w:pPr>
            <w:r>
              <w:rPr>
                <w:sz w:val="24"/>
              </w:rPr>
              <w:t>Model</w:t>
            </w:r>
          </w:p>
        </w:tc>
        <w:tc>
          <w:tcPr>
            <w:tcW w:w="1374" w:type="dxa"/>
            <w:tcBorders>
              <w:left w:val="single" w:sz="6" w:space="0" w:color="000000"/>
              <w:bottom w:val="single" w:sz="6" w:space="0" w:color="000000"/>
            </w:tcBorders>
          </w:tcPr>
          <w:p>
            <w:pPr>
              <w:pStyle w:val="TableParagraph"/>
              <w:spacing w:before="16"/>
              <w:ind w:left="131"/>
              <w:rPr>
                <w:sz w:val="24"/>
              </w:rPr>
            </w:pPr>
            <w:r>
              <w:rPr>
                <w:sz w:val="24"/>
              </w:rPr>
              <w:t>HOELTER</w:t>
            </w:r>
          </w:p>
          <w:p>
            <w:pPr>
              <w:pStyle w:val="TableParagraph"/>
              <w:spacing w:before="136"/>
              <w:ind w:right="138"/>
              <w:jc w:val="right"/>
              <w:rPr>
                <w:sz w:val="24"/>
              </w:rPr>
            </w:pPr>
            <w:r>
              <w:rPr>
                <w:sz w:val="24"/>
              </w:rPr>
              <w:t>.05</w:t>
            </w:r>
          </w:p>
        </w:tc>
        <w:tc>
          <w:tcPr>
            <w:tcW w:w="1376" w:type="dxa"/>
            <w:tcBorders>
              <w:bottom w:val="single" w:sz="6" w:space="0" w:color="000000"/>
            </w:tcBorders>
          </w:tcPr>
          <w:p>
            <w:pPr>
              <w:pStyle w:val="TableParagraph"/>
              <w:spacing w:before="16"/>
              <w:ind w:left="138"/>
              <w:rPr>
                <w:sz w:val="24"/>
              </w:rPr>
            </w:pPr>
            <w:r>
              <w:rPr>
                <w:sz w:val="24"/>
              </w:rPr>
              <w:t>HOELTER</w:t>
            </w:r>
          </w:p>
          <w:p>
            <w:pPr>
              <w:pStyle w:val="TableParagraph"/>
              <w:spacing w:before="136"/>
              <w:ind w:right="141"/>
              <w:jc w:val="right"/>
              <w:rPr>
                <w:sz w:val="24"/>
              </w:rPr>
            </w:pPr>
            <w:r>
              <w:rPr>
                <w:sz w:val="24"/>
              </w:rPr>
              <w:t>.01</w:t>
            </w:r>
          </w:p>
        </w:tc>
      </w:tr>
      <w:tr>
        <w:trPr>
          <w:trHeight w:val="363" w:hRule="atLeast"/>
        </w:trPr>
        <w:tc>
          <w:tcPr>
            <w:tcW w:w="2273" w:type="dxa"/>
            <w:tcBorders>
              <w:top w:val="single" w:sz="6" w:space="0" w:color="000000"/>
              <w:right w:val="single" w:sz="6" w:space="0" w:color="000000"/>
            </w:tcBorders>
          </w:tcPr>
          <w:p>
            <w:pPr>
              <w:pStyle w:val="TableParagraph"/>
              <w:spacing w:line="275" w:lineRule="exact"/>
              <w:ind w:left="139"/>
              <w:rPr>
                <w:sz w:val="24"/>
              </w:rPr>
            </w:pPr>
            <w:r>
              <w:rPr>
                <w:sz w:val="24"/>
              </w:rPr>
              <w:t>Default model</w:t>
            </w:r>
          </w:p>
        </w:tc>
        <w:tc>
          <w:tcPr>
            <w:tcW w:w="1374" w:type="dxa"/>
            <w:tcBorders>
              <w:top w:val="single" w:sz="6" w:space="0" w:color="000000"/>
              <w:left w:val="single" w:sz="6" w:space="0" w:color="000000"/>
            </w:tcBorders>
          </w:tcPr>
          <w:p>
            <w:pPr>
              <w:pStyle w:val="TableParagraph"/>
              <w:spacing w:line="275" w:lineRule="exact"/>
              <w:ind w:right="138"/>
              <w:jc w:val="right"/>
              <w:rPr>
                <w:sz w:val="24"/>
              </w:rPr>
            </w:pPr>
            <w:r>
              <w:rPr>
                <w:sz w:val="24"/>
              </w:rPr>
              <w:t>353</w:t>
            </w:r>
          </w:p>
        </w:tc>
        <w:tc>
          <w:tcPr>
            <w:tcW w:w="1376" w:type="dxa"/>
            <w:tcBorders>
              <w:top w:val="single" w:sz="6" w:space="0" w:color="000000"/>
            </w:tcBorders>
          </w:tcPr>
          <w:p>
            <w:pPr>
              <w:pStyle w:val="TableParagraph"/>
              <w:spacing w:line="275" w:lineRule="exact"/>
              <w:ind w:right="141"/>
              <w:jc w:val="right"/>
              <w:rPr>
                <w:sz w:val="24"/>
              </w:rPr>
            </w:pPr>
            <w:r>
              <w:rPr>
                <w:sz w:val="24"/>
              </w:rPr>
              <w:t>365</w:t>
            </w:r>
          </w:p>
        </w:tc>
      </w:tr>
      <w:tr>
        <w:trPr>
          <w:trHeight w:val="509" w:hRule="atLeast"/>
        </w:trPr>
        <w:tc>
          <w:tcPr>
            <w:tcW w:w="2273" w:type="dxa"/>
            <w:tcBorders>
              <w:right w:val="single" w:sz="6" w:space="0" w:color="000000"/>
            </w:tcBorders>
          </w:tcPr>
          <w:p>
            <w:pPr>
              <w:pStyle w:val="TableParagraph"/>
              <w:spacing w:before="79"/>
              <w:ind w:left="139"/>
              <w:rPr>
                <w:sz w:val="24"/>
              </w:rPr>
            </w:pPr>
            <w:r>
              <w:rPr>
                <w:sz w:val="24"/>
              </w:rPr>
              <w:t>Independence model</w:t>
            </w:r>
          </w:p>
        </w:tc>
        <w:tc>
          <w:tcPr>
            <w:tcW w:w="1374" w:type="dxa"/>
            <w:tcBorders>
              <w:left w:val="single" w:sz="6" w:space="0" w:color="000000"/>
            </w:tcBorders>
          </w:tcPr>
          <w:p>
            <w:pPr>
              <w:pStyle w:val="TableParagraph"/>
              <w:spacing w:before="79"/>
              <w:ind w:right="138"/>
              <w:jc w:val="right"/>
              <w:rPr>
                <w:sz w:val="24"/>
              </w:rPr>
            </w:pPr>
            <w:r>
              <w:rPr>
                <w:sz w:val="24"/>
              </w:rPr>
              <w:t>48</w:t>
            </w:r>
          </w:p>
        </w:tc>
        <w:tc>
          <w:tcPr>
            <w:tcW w:w="1376" w:type="dxa"/>
          </w:tcPr>
          <w:p>
            <w:pPr>
              <w:pStyle w:val="TableParagraph"/>
              <w:spacing w:before="79"/>
              <w:ind w:right="141"/>
              <w:jc w:val="right"/>
              <w:rPr>
                <w:sz w:val="24"/>
              </w:rPr>
            </w:pPr>
            <w:r>
              <w:rPr>
                <w:sz w:val="24"/>
              </w:rPr>
              <w:t>49</w:t>
            </w:r>
          </w:p>
        </w:tc>
      </w:tr>
    </w:tbl>
    <w:sectPr>
      <w:pgSz w:w="11910" w:h="16850"/>
      <w:pgMar w:header="751" w:footer="0" w:top="960" w:bottom="280" w:left="820" w:right="240"/>
    </w:sectPr>
  </w:body>
</w:document>
</file>

<file path=word/fontTable.xml><?xml version="1.0" encoding="utf-8"?>
<w:fonts xmlns:r="http://schemas.openxmlformats.org/officeDocument/2006/relationships" xmlns:w="http://schemas.openxmlformats.org/wordprocessingml/2006/main">
  <w:font w:name="Times New Roman">
    <w:altName w:val="Times New Roman"/>
    <w:charset w:val="0"/>
    <w:family w:val="roman"/>
    <w:pitch w:val="variable"/>
  </w:font>
  <w:font w:name="Arial">
    <w:altName w:val="Arial"/>
    <w:charset w:val="0"/>
    <w:family w:val="swiss"/>
    <w:pitch w:val="variable"/>
  </w:font>
  <w:font w:name="Carlito">
    <w:altName w:val="Carlito"/>
    <w:charset w:val="0"/>
    <w:family w:val="swiss"/>
    <w:pitch w:val="variable"/>
  </w:font>
  <w:font w:name="Symbol">
    <w:altName w:val="Symbol"/>
    <w:charset w:val="2"/>
    <w:family w:val="roman"/>
    <w:pitch w:val="variable"/>
  </w:font>
  <w:font w:name="Wingdings">
    <w:altName w:val="Wingdings"/>
    <w:charset w:val="2"/>
    <w:family w:val="auto"/>
    <w:pitch w:val="variable"/>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rPr>
        <w:sz w:val="20"/>
      </w:rPr>
    </w:pPr>
    <w:r>
      <w:rPr/>
      <w:pict>
        <v:shapetype id="_x0000_t202" o:spt="202" coordsize="21600,21600" path="m,l,21600r21600,l21600,xe">
          <v:stroke joinstyle="miter"/>
          <v:path gradientshapeok="t" o:connecttype="rect"/>
        </v:shapetype>
        <v:shape style="position:absolute;margin-left:156.100006pt;margin-top:55.81781pt;width:343.9pt;height:37.85pt;mso-position-horizontal-relative:page;mso-position-vertical-relative:page;z-index:-30478336" type="#_x0000_t202" filled="false" stroked="false">
          <v:textbox inset="0,0,0,0">
            <w:txbxContent>
              <w:p>
                <w:pPr>
                  <w:spacing w:line="365" w:lineRule="exact" w:before="5"/>
                  <w:ind w:left="237" w:right="0" w:firstLine="0"/>
                  <w:jc w:val="center"/>
                  <w:rPr>
                    <w:b/>
                    <w:sz w:val="32"/>
                  </w:rPr>
                </w:pPr>
                <w:r>
                  <w:rPr>
                    <w:b/>
                    <w:sz w:val="32"/>
                  </w:rPr>
                  <w:t>BỘ TÀI CHÍNH</w:t>
                </w:r>
              </w:p>
              <w:p>
                <w:pPr>
                  <w:spacing w:line="365" w:lineRule="exact" w:before="0"/>
                  <w:ind w:left="0" w:right="0" w:firstLine="0"/>
                  <w:jc w:val="center"/>
                  <w:rPr>
                    <w:b/>
                    <w:sz w:val="32"/>
                  </w:rPr>
                </w:pPr>
                <w:r>
                  <w:rPr>
                    <w:b/>
                    <w:sz w:val="32"/>
                  </w:rPr>
                  <w:t>TRƯỜNG ĐẠI HỌC TÁI CHÍNH MARKETING</w:t>
                </w:r>
              </w:p>
            </w:txbxContent>
          </v:textbox>
          <w10:wrap type="none"/>
        </v:shape>
      </w:pic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rPr>
        <w:sz w:val="2"/>
      </w:rP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rPr>
        <w:sz w:val="2"/>
      </w:rPr>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rPr>
        <w:sz w:val="20"/>
      </w:rPr>
    </w:pPr>
    <w:r>
      <w:rPr/>
      <w:pict>
        <v:shape style="position:absolute;margin-left:303.890015pt;margin-top:36.559978pt;width:16.1500pt;height:13.05pt;mso-position-horizontal-relative:page;mso-position-vertical-relative:page;z-index:-30477824" type="#_x0000_t202" filled="false" stroked="false">
          <v:textbox inset="0,0,0,0">
            <w:txbxContent>
              <w:p>
                <w:pPr>
                  <w:spacing w:line="245" w:lineRule="exact" w:before="0"/>
                  <w:ind w:left="60" w:right="0" w:firstLine="0"/>
                  <w:jc w:val="left"/>
                  <w:rPr>
                    <w:rFonts w:ascii="Carlito"/>
                    <w:sz w:val="22"/>
                  </w:rPr>
                </w:pPr>
                <w:r>
                  <w:rPr/>
                  <w:fldChar w:fldCharType="begin"/>
                </w:r>
                <w:r>
                  <w:rPr>
                    <w:rFonts w:ascii="Carlito"/>
                    <w:sz w:val="22"/>
                  </w:rPr>
                  <w:instrText> PAGE  \* roman </w:instrText>
                </w:r>
                <w:r>
                  <w:rPr/>
                  <w:fldChar w:fldCharType="separate"/>
                </w:r>
                <w:r>
                  <w:rPr/>
                  <w:t>vii</w:t>
                </w:r>
                <w:r>
                  <w:rPr/>
                  <w:fldChar w:fldCharType="end"/>
                </w:r>
              </w:p>
            </w:txbxContent>
          </v:textbox>
          <w10:wrap type="none"/>
        </v:shape>
      </w:pict>
    </w: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rPr>
        <w:sz w:val="20"/>
      </w:rPr>
    </w:pPr>
    <w:r>
      <w:rPr/>
      <w:pict>
        <v:shape style="position:absolute;margin-left:300.529999pt;margin-top:36.559978pt;width:22.75pt;height:13.05pt;mso-position-horizontal-relative:page;mso-position-vertical-relative:page;z-index:-30477312" type="#_x0000_t202" filled="false" stroked="false">
          <v:textbox inset="0,0,0,0">
            <w:txbxContent>
              <w:p>
                <w:pPr>
                  <w:spacing w:line="245" w:lineRule="exact" w:before="0"/>
                  <w:ind w:left="60" w:right="0" w:firstLine="0"/>
                  <w:jc w:val="left"/>
                  <w:rPr>
                    <w:rFonts w:ascii="Carlito"/>
                    <w:sz w:val="22"/>
                  </w:rPr>
                </w:pPr>
                <w:r>
                  <w:rPr/>
                  <w:fldChar w:fldCharType="begin"/>
                </w:r>
                <w:r>
                  <w:rPr>
                    <w:rFonts w:ascii="Carlito"/>
                    <w:sz w:val="22"/>
                  </w:rPr>
                  <w:instrText> PAGE </w:instrText>
                </w:r>
                <w:r>
                  <w:rPr/>
                  <w:fldChar w:fldCharType="separate"/>
                </w:r>
                <w:r>
                  <w:rPr/>
                  <w:t>100</w:t>
                </w:r>
                <w:r>
                  <w:rPr/>
                  <w:fldChar w:fldCharType="end"/>
                </w:r>
              </w:p>
            </w:txbxContent>
          </v:textbox>
          <w10:wrap type="none"/>
        </v:shape>
      </w:pict>
    </w: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rPr>
        <w:sz w:val="20"/>
      </w:rPr>
    </w:pPr>
    <w:r>
      <w:rPr/>
      <w:pict>
        <v:shape style="position:absolute;margin-left:303.290009pt;margin-top:36.559978pt;width:17.3pt;height:13.05pt;mso-position-horizontal-relative:page;mso-position-vertical-relative:page;z-index:-30476800" type="#_x0000_t202" filled="false" stroked="false">
          <v:textbox inset="0,0,0,0">
            <w:txbxContent>
              <w:p>
                <w:pPr>
                  <w:spacing w:line="245" w:lineRule="exact" w:before="0"/>
                  <w:ind w:left="60" w:right="0" w:firstLine="0"/>
                  <w:jc w:val="left"/>
                  <w:rPr>
                    <w:rFonts w:ascii="Carlito"/>
                    <w:sz w:val="22"/>
                  </w:rPr>
                </w:pPr>
                <w:r>
                  <w:rPr/>
                  <w:fldChar w:fldCharType="begin"/>
                </w:r>
                <w:r>
                  <w:rPr>
                    <w:rFonts w:ascii="Carlito"/>
                    <w:sz w:val="22"/>
                  </w:rPr>
                  <w:instrText> PAGE </w:instrText>
                </w:r>
                <w:r>
                  <w:rPr/>
                  <w:fldChar w:fldCharType="separate"/>
                </w:r>
                <w:r>
                  <w:rPr/>
                  <w:t>10</w:t>
                </w:r>
                <w:r>
                  <w:rPr/>
                  <w:fldChar w:fldCharType="end"/>
                </w:r>
              </w:p>
            </w:txbxContent>
          </v:textbox>
          <w10:wrap type="none"/>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45">
    <w:multiLevelType w:val="hybridMultilevel"/>
    <w:lvl w:ilvl="0">
      <w:start w:val="2"/>
      <w:numFmt w:val="upperRoman"/>
      <w:lvlText w:val="%1"/>
      <w:lvlJc w:val="left"/>
      <w:pPr>
        <w:ind w:left="1309" w:hanging="428"/>
        <w:jc w:val="left"/>
      </w:pPr>
      <w:rPr>
        <w:rFonts w:hint="default"/>
        <w:lang w:val="vi" w:eastAsia="en-US" w:bidi="ar-SA"/>
      </w:rPr>
    </w:lvl>
    <w:lvl w:ilvl="1">
      <w:start w:val="2"/>
      <w:numFmt w:val="decimal"/>
      <w:lvlText w:val="%1.%2"/>
      <w:lvlJc w:val="left"/>
      <w:pPr>
        <w:ind w:left="1309" w:hanging="428"/>
        <w:jc w:val="left"/>
      </w:pPr>
      <w:rPr>
        <w:rFonts w:hint="default"/>
        <w:b/>
        <w:bCs/>
        <w:i/>
        <w:spacing w:val="-1"/>
        <w:w w:val="99"/>
        <w:u w:val="thick" w:color="000000"/>
        <w:lang w:val="vi" w:eastAsia="en-US" w:bidi="ar-SA"/>
      </w:rPr>
    </w:lvl>
    <w:lvl w:ilvl="2">
      <w:start w:val="0"/>
      <w:numFmt w:val="bullet"/>
      <w:lvlText w:val="•"/>
      <w:lvlJc w:val="left"/>
      <w:pPr>
        <w:ind w:left="3209" w:hanging="428"/>
      </w:pPr>
      <w:rPr>
        <w:rFonts w:hint="default"/>
        <w:lang w:val="vi" w:eastAsia="en-US" w:bidi="ar-SA"/>
      </w:rPr>
    </w:lvl>
    <w:lvl w:ilvl="3">
      <w:start w:val="0"/>
      <w:numFmt w:val="bullet"/>
      <w:lvlText w:val="•"/>
      <w:lvlJc w:val="left"/>
      <w:pPr>
        <w:ind w:left="4163" w:hanging="428"/>
      </w:pPr>
      <w:rPr>
        <w:rFonts w:hint="default"/>
        <w:lang w:val="vi" w:eastAsia="en-US" w:bidi="ar-SA"/>
      </w:rPr>
    </w:lvl>
    <w:lvl w:ilvl="4">
      <w:start w:val="0"/>
      <w:numFmt w:val="bullet"/>
      <w:lvlText w:val="•"/>
      <w:lvlJc w:val="left"/>
      <w:pPr>
        <w:ind w:left="5118" w:hanging="428"/>
      </w:pPr>
      <w:rPr>
        <w:rFonts w:hint="default"/>
        <w:lang w:val="vi" w:eastAsia="en-US" w:bidi="ar-SA"/>
      </w:rPr>
    </w:lvl>
    <w:lvl w:ilvl="5">
      <w:start w:val="0"/>
      <w:numFmt w:val="bullet"/>
      <w:lvlText w:val="•"/>
      <w:lvlJc w:val="left"/>
      <w:pPr>
        <w:ind w:left="6073" w:hanging="428"/>
      </w:pPr>
      <w:rPr>
        <w:rFonts w:hint="default"/>
        <w:lang w:val="vi" w:eastAsia="en-US" w:bidi="ar-SA"/>
      </w:rPr>
    </w:lvl>
    <w:lvl w:ilvl="6">
      <w:start w:val="0"/>
      <w:numFmt w:val="bullet"/>
      <w:lvlText w:val="•"/>
      <w:lvlJc w:val="left"/>
      <w:pPr>
        <w:ind w:left="7027" w:hanging="428"/>
      </w:pPr>
      <w:rPr>
        <w:rFonts w:hint="default"/>
        <w:lang w:val="vi" w:eastAsia="en-US" w:bidi="ar-SA"/>
      </w:rPr>
    </w:lvl>
    <w:lvl w:ilvl="7">
      <w:start w:val="0"/>
      <w:numFmt w:val="bullet"/>
      <w:lvlText w:val="•"/>
      <w:lvlJc w:val="left"/>
      <w:pPr>
        <w:ind w:left="7982" w:hanging="428"/>
      </w:pPr>
      <w:rPr>
        <w:rFonts w:hint="default"/>
        <w:lang w:val="vi" w:eastAsia="en-US" w:bidi="ar-SA"/>
      </w:rPr>
    </w:lvl>
    <w:lvl w:ilvl="8">
      <w:start w:val="0"/>
      <w:numFmt w:val="bullet"/>
      <w:lvlText w:val="•"/>
      <w:lvlJc w:val="left"/>
      <w:pPr>
        <w:ind w:left="8937" w:hanging="428"/>
      </w:pPr>
      <w:rPr>
        <w:rFonts w:hint="default"/>
        <w:lang w:val="vi" w:eastAsia="en-US" w:bidi="ar-SA"/>
      </w:rPr>
    </w:lvl>
  </w:abstractNum>
  <w:abstractNum w:abstractNumId="44">
    <w:multiLevelType w:val="hybridMultilevel"/>
    <w:lvl w:ilvl="0">
      <w:start w:val="1"/>
      <w:numFmt w:val="upperRoman"/>
      <w:lvlText w:val="%1."/>
      <w:lvlJc w:val="left"/>
      <w:pPr>
        <w:ind w:left="1036" w:hanging="155"/>
        <w:jc w:val="left"/>
      </w:pPr>
      <w:rPr>
        <w:rFonts w:hint="default"/>
        <w:b/>
        <w:bCs/>
        <w:i/>
        <w:spacing w:val="-2"/>
        <w:w w:val="99"/>
        <w:lang w:val="vi" w:eastAsia="en-US" w:bidi="ar-SA"/>
      </w:rPr>
    </w:lvl>
    <w:lvl w:ilvl="1">
      <w:start w:val="1"/>
      <w:numFmt w:val="lowerLetter"/>
      <w:lvlText w:val="%2."/>
      <w:lvlJc w:val="left"/>
      <w:pPr>
        <w:ind w:left="1112" w:hanging="171"/>
        <w:jc w:val="left"/>
      </w:pPr>
      <w:rPr>
        <w:rFonts w:hint="default" w:ascii="Times New Roman" w:hAnsi="Times New Roman" w:eastAsia="Times New Roman" w:cs="Times New Roman"/>
        <w:spacing w:val="-1"/>
        <w:w w:val="100"/>
        <w:sz w:val="18"/>
        <w:szCs w:val="18"/>
        <w:lang w:val="vi" w:eastAsia="en-US" w:bidi="ar-SA"/>
      </w:rPr>
    </w:lvl>
    <w:lvl w:ilvl="2">
      <w:start w:val="0"/>
      <w:numFmt w:val="bullet"/>
      <w:lvlText w:val="•"/>
      <w:lvlJc w:val="left"/>
      <w:pPr>
        <w:ind w:left="1120" w:hanging="171"/>
      </w:pPr>
      <w:rPr>
        <w:rFonts w:hint="default"/>
        <w:lang w:val="vi" w:eastAsia="en-US" w:bidi="ar-SA"/>
      </w:rPr>
    </w:lvl>
    <w:lvl w:ilvl="3">
      <w:start w:val="0"/>
      <w:numFmt w:val="bullet"/>
      <w:lvlText w:val="•"/>
      <w:lvlJc w:val="left"/>
      <w:pPr>
        <w:ind w:left="1534" w:hanging="171"/>
      </w:pPr>
      <w:rPr>
        <w:rFonts w:hint="default"/>
        <w:lang w:val="vi" w:eastAsia="en-US" w:bidi="ar-SA"/>
      </w:rPr>
    </w:lvl>
    <w:lvl w:ilvl="4">
      <w:start w:val="0"/>
      <w:numFmt w:val="bullet"/>
      <w:lvlText w:val="•"/>
      <w:lvlJc w:val="left"/>
      <w:pPr>
        <w:ind w:left="1949" w:hanging="171"/>
      </w:pPr>
      <w:rPr>
        <w:rFonts w:hint="default"/>
        <w:lang w:val="vi" w:eastAsia="en-US" w:bidi="ar-SA"/>
      </w:rPr>
    </w:lvl>
    <w:lvl w:ilvl="5">
      <w:start w:val="0"/>
      <w:numFmt w:val="bullet"/>
      <w:lvlText w:val="•"/>
      <w:lvlJc w:val="left"/>
      <w:pPr>
        <w:ind w:left="2364" w:hanging="171"/>
      </w:pPr>
      <w:rPr>
        <w:rFonts w:hint="default"/>
        <w:lang w:val="vi" w:eastAsia="en-US" w:bidi="ar-SA"/>
      </w:rPr>
    </w:lvl>
    <w:lvl w:ilvl="6">
      <w:start w:val="0"/>
      <w:numFmt w:val="bullet"/>
      <w:lvlText w:val="•"/>
      <w:lvlJc w:val="left"/>
      <w:pPr>
        <w:ind w:left="2779" w:hanging="171"/>
      </w:pPr>
      <w:rPr>
        <w:rFonts w:hint="default"/>
        <w:lang w:val="vi" w:eastAsia="en-US" w:bidi="ar-SA"/>
      </w:rPr>
    </w:lvl>
    <w:lvl w:ilvl="7">
      <w:start w:val="0"/>
      <w:numFmt w:val="bullet"/>
      <w:lvlText w:val="•"/>
      <w:lvlJc w:val="left"/>
      <w:pPr>
        <w:ind w:left="3194" w:hanging="171"/>
      </w:pPr>
      <w:rPr>
        <w:rFonts w:hint="default"/>
        <w:lang w:val="vi" w:eastAsia="en-US" w:bidi="ar-SA"/>
      </w:rPr>
    </w:lvl>
    <w:lvl w:ilvl="8">
      <w:start w:val="0"/>
      <w:numFmt w:val="bullet"/>
      <w:lvlText w:val="•"/>
      <w:lvlJc w:val="left"/>
      <w:pPr>
        <w:ind w:left="3609" w:hanging="171"/>
      </w:pPr>
      <w:rPr>
        <w:rFonts w:hint="default"/>
        <w:lang w:val="vi" w:eastAsia="en-US" w:bidi="ar-SA"/>
      </w:rPr>
    </w:lvl>
  </w:abstractNum>
  <w:abstractNum w:abstractNumId="43">
    <w:multiLevelType w:val="hybridMultilevel"/>
    <w:lvl w:ilvl="0">
      <w:start w:val="1"/>
      <w:numFmt w:val="upperRoman"/>
      <w:lvlText w:val="%1."/>
      <w:lvlJc w:val="left"/>
      <w:pPr>
        <w:ind w:left="882" w:hanging="214"/>
        <w:jc w:val="left"/>
      </w:pPr>
      <w:rPr>
        <w:rFonts w:hint="default" w:ascii="Times New Roman" w:hAnsi="Times New Roman" w:eastAsia="Times New Roman" w:cs="Times New Roman"/>
        <w:b/>
        <w:bCs/>
        <w:i/>
        <w:spacing w:val="-3"/>
        <w:w w:val="99"/>
        <w:sz w:val="24"/>
        <w:szCs w:val="24"/>
        <w:u w:val="thick" w:color="000000"/>
        <w:lang w:val="vi" w:eastAsia="en-US" w:bidi="ar-SA"/>
      </w:rPr>
    </w:lvl>
    <w:lvl w:ilvl="1">
      <w:start w:val="0"/>
      <w:numFmt w:val="bullet"/>
      <w:lvlText w:val="•"/>
      <w:lvlJc w:val="left"/>
      <w:pPr>
        <w:ind w:left="940" w:hanging="214"/>
      </w:pPr>
      <w:rPr>
        <w:rFonts w:hint="default"/>
        <w:lang w:val="vi" w:eastAsia="en-US" w:bidi="ar-SA"/>
      </w:rPr>
    </w:lvl>
    <w:lvl w:ilvl="2">
      <w:start w:val="0"/>
      <w:numFmt w:val="bullet"/>
      <w:lvlText w:val="•"/>
      <w:lvlJc w:val="left"/>
      <w:pPr>
        <w:ind w:left="2040" w:hanging="214"/>
      </w:pPr>
      <w:rPr>
        <w:rFonts w:hint="default"/>
        <w:lang w:val="vi" w:eastAsia="en-US" w:bidi="ar-SA"/>
      </w:rPr>
    </w:lvl>
    <w:lvl w:ilvl="3">
      <w:start w:val="0"/>
      <w:numFmt w:val="bullet"/>
      <w:lvlText w:val="•"/>
      <w:lvlJc w:val="left"/>
      <w:pPr>
        <w:ind w:left="3141" w:hanging="214"/>
      </w:pPr>
      <w:rPr>
        <w:rFonts w:hint="default"/>
        <w:lang w:val="vi" w:eastAsia="en-US" w:bidi="ar-SA"/>
      </w:rPr>
    </w:lvl>
    <w:lvl w:ilvl="4">
      <w:start w:val="0"/>
      <w:numFmt w:val="bullet"/>
      <w:lvlText w:val="•"/>
      <w:lvlJc w:val="left"/>
      <w:pPr>
        <w:ind w:left="4242" w:hanging="214"/>
      </w:pPr>
      <w:rPr>
        <w:rFonts w:hint="default"/>
        <w:lang w:val="vi" w:eastAsia="en-US" w:bidi="ar-SA"/>
      </w:rPr>
    </w:lvl>
    <w:lvl w:ilvl="5">
      <w:start w:val="0"/>
      <w:numFmt w:val="bullet"/>
      <w:lvlText w:val="•"/>
      <w:lvlJc w:val="left"/>
      <w:pPr>
        <w:ind w:left="5342" w:hanging="214"/>
      </w:pPr>
      <w:rPr>
        <w:rFonts w:hint="default"/>
        <w:lang w:val="vi" w:eastAsia="en-US" w:bidi="ar-SA"/>
      </w:rPr>
    </w:lvl>
    <w:lvl w:ilvl="6">
      <w:start w:val="0"/>
      <w:numFmt w:val="bullet"/>
      <w:lvlText w:val="•"/>
      <w:lvlJc w:val="left"/>
      <w:pPr>
        <w:ind w:left="6443" w:hanging="214"/>
      </w:pPr>
      <w:rPr>
        <w:rFonts w:hint="default"/>
        <w:lang w:val="vi" w:eastAsia="en-US" w:bidi="ar-SA"/>
      </w:rPr>
    </w:lvl>
    <w:lvl w:ilvl="7">
      <w:start w:val="0"/>
      <w:numFmt w:val="bullet"/>
      <w:lvlText w:val="•"/>
      <w:lvlJc w:val="left"/>
      <w:pPr>
        <w:ind w:left="7544" w:hanging="214"/>
      </w:pPr>
      <w:rPr>
        <w:rFonts w:hint="default"/>
        <w:lang w:val="vi" w:eastAsia="en-US" w:bidi="ar-SA"/>
      </w:rPr>
    </w:lvl>
    <w:lvl w:ilvl="8">
      <w:start w:val="0"/>
      <w:numFmt w:val="bullet"/>
      <w:lvlText w:val="•"/>
      <w:lvlJc w:val="left"/>
      <w:pPr>
        <w:ind w:left="8644" w:hanging="214"/>
      </w:pPr>
      <w:rPr>
        <w:rFonts w:hint="default"/>
        <w:lang w:val="vi" w:eastAsia="en-US" w:bidi="ar-SA"/>
      </w:rPr>
    </w:lvl>
  </w:abstractNum>
  <w:abstractNum w:abstractNumId="42">
    <w:multiLevelType w:val="hybridMultilevel"/>
    <w:lvl w:ilvl="0">
      <w:start w:val="1"/>
      <w:numFmt w:val="lowerRoman"/>
      <w:lvlText w:val="%1)"/>
      <w:lvlJc w:val="left"/>
      <w:pPr>
        <w:ind w:left="882" w:hanging="252"/>
        <w:jc w:val="left"/>
      </w:pPr>
      <w:rPr>
        <w:rFonts w:hint="default" w:ascii="Times New Roman" w:hAnsi="Times New Roman" w:eastAsia="Times New Roman" w:cs="Times New Roman"/>
        <w:w w:val="99"/>
        <w:sz w:val="26"/>
        <w:szCs w:val="26"/>
        <w:lang w:val="vi" w:eastAsia="en-US" w:bidi="ar-SA"/>
      </w:rPr>
    </w:lvl>
    <w:lvl w:ilvl="1">
      <w:start w:val="1"/>
      <w:numFmt w:val="decimal"/>
      <w:lvlText w:val="%2."/>
      <w:lvlJc w:val="left"/>
      <w:pPr>
        <w:ind w:left="882" w:hanging="272"/>
        <w:jc w:val="left"/>
      </w:pPr>
      <w:rPr>
        <w:rFonts w:hint="default" w:ascii="Times New Roman" w:hAnsi="Times New Roman" w:eastAsia="Times New Roman" w:cs="Times New Roman"/>
        <w:w w:val="99"/>
        <w:sz w:val="26"/>
        <w:szCs w:val="26"/>
        <w:lang w:val="vi" w:eastAsia="en-US" w:bidi="ar-SA"/>
      </w:rPr>
    </w:lvl>
    <w:lvl w:ilvl="2">
      <w:start w:val="0"/>
      <w:numFmt w:val="bullet"/>
      <w:lvlText w:val="•"/>
      <w:lvlJc w:val="left"/>
      <w:pPr>
        <w:ind w:left="2873" w:hanging="272"/>
      </w:pPr>
      <w:rPr>
        <w:rFonts w:hint="default"/>
        <w:lang w:val="vi" w:eastAsia="en-US" w:bidi="ar-SA"/>
      </w:rPr>
    </w:lvl>
    <w:lvl w:ilvl="3">
      <w:start w:val="0"/>
      <w:numFmt w:val="bullet"/>
      <w:lvlText w:val="•"/>
      <w:lvlJc w:val="left"/>
      <w:pPr>
        <w:ind w:left="3869" w:hanging="272"/>
      </w:pPr>
      <w:rPr>
        <w:rFonts w:hint="default"/>
        <w:lang w:val="vi" w:eastAsia="en-US" w:bidi="ar-SA"/>
      </w:rPr>
    </w:lvl>
    <w:lvl w:ilvl="4">
      <w:start w:val="0"/>
      <w:numFmt w:val="bullet"/>
      <w:lvlText w:val="•"/>
      <w:lvlJc w:val="left"/>
      <w:pPr>
        <w:ind w:left="4866" w:hanging="272"/>
      </w:pPr>
      <w:rPr>
        <w:rFonts w:hint="default"/>
        <w:lang w:val="vi" w:eastAsia="en-US" w:bidi="ar-SA"/>
      </w:rPr>
    </w:lvl>
    <w:lvl w:ilvl="5">
      <w:start w:val="0"/>
      <w:numFmt w:val="bullet"/>
      <w:lvlText w:val="•"/>
      <w:lvlJc w:val="left"/>
      <w:pPr>
        <w:ind w:left="5863" w:hanging="272"/>
      </w:pPr>
      <w:rPr>
        <w:rFonts w:hint="default"/>
        <w:lang w:val="vi" w:eastAsia="en-US" w:bidi="ar-SA"/>
      </w:rPr>
    </w:lvl>
    <w:lvl w:ilvl="6">
      <w:start w:val="0"/>
      <w:numFmt w:val="bullet"/>
      <w:lvlText w:val="•"/>
      <w:lvlJc w:val="left"/>
      <w:pPr>
        <w:ind w:left="6859" w:hanging="272"/>
      </w:pPr>
      <w:rPr>
        <w:rFonts w:hint="default"/>
        <w:lang w:val="vi" w:eastAsia="en-US" w:bidi="ar-SA"/>
      </w:rPr>
    </w:lvl>
    <w:lvl w:ilvl="7">
      <w:start w:val="0"/>
      <w:numFmt w:val="bullet"/>
      <w:lvlText w:val="•"/>
      <w:lvlJc w:val="left"/>
      <w:pPr>
        <w:ind w:left="7856" w:hanging="272"/>
      </w:pPr>
      <w:rPr>
        <w:rFonts w:hint="default"/>
        <w:lang w:val="vi" w:eastAsia="en-US" w:bidi="ar-SA"/>
      </w:rPr>
    </w:lvl>
    <w:lvl w:ilvl="8">
      <w:start w:val="0"/>
      <w:numFmt w:val="bullet"/>
      <w:lvlText w:val="•"/>
      <w:lvlJc w:val="left"/>
      <w:pPr>
        <w:ind w:left="8853" w:hanging="272"/>
      </w:pPr>
      <w:rPr>
        <w:rFonts w:hint="default"/>
        <w:lang w:val="vi" w:eastAsia="en-US" w:bidi="ar-SA"/>
      </w:rPr>
    </w:lvl>
  </w:abstractNum>
  <w:abstractNum w:abstractNumId="41">
    <w:multiLevelType w:val="hybridMultilevel"/>
    <w:lvl w:ilvl="0">
      <w:start w:val="1"/>
      <w:numFmt w:val="lowerRoman"/>
      <w:lvlText w:val="%1)"/>
      <w:lvlJc w:val="left"/>
      <w:pPr>
        <w:ind w:left="882" w:hanging="245"/>
        <w:jc w:val="left"/>
      </w:pPr>
      <w:rPr>
        <w:rFonts w:hint="default" w:ascii="Times New Roman" w:hAnsi="Times New Roman" w:eastAsia="Times New Roman" w:cs="Times New Roman"/>
        <w:spacing w:val="-1"/>
        <w:w w:val="99"/>
        <w:sz w:val="26"/>
        <w:szCs w:val="26"/>
        <w:lang w:val="vi" w:eastAsia="en-US" w:bidi="ar-SA"/>
      </w:rPr>
    </w:lvl>
    <w:lvl w:ilvl="1">
      <w:start w:val="1"/>
      <w:numFmt w:val="decimal"/>
      <w:lvlText w:val="%2."/>
      <w:lvlJc w:val="left"/>
      <w:pPr>
        <w:ind w:left="1861" w:hanging="260"/>
        <w:jc w:val="left"/>
      </w:pPr>
      <w:rPr>
        <w:rFonts w:hint="default" w:ascii="Times New Roman" w:hAnsi="Times New Roman" w:eastAsia="Times New Roman" w:cs="Times New Roman"/>
        <w:w w:val="99"/>
        <w:sz w:val="26"/>
        <w:szCs w:val="26"/>
        <w:lang w:val="vi" w:eastAsia="en-US" w:bidi="ar-SA"/>
      </w:rPr>
    </w:lvl>
    <w:lvl w:ilvl="2">
      <w:start w:val="0"/>
      <w:numFmt w:val="bullet"/>
      <w:lvlText w:val="•"/>
      <w:lvlJc w:val="left"/>
      <w:pPr>
        <w:ind w:left="2858" w:hanging="260"/>
      </w:pPr>
      <w:rPr>
        <w:rFonts w:hint="default"/>
        <w:lang w:val="vi" w:eastAsia="en-US" w:bidi="ar-SA"/>
      </w:rPr>
    </w:lvl>
    <w:lvl w:ilvl="3">
      <w:start w:val="0"/>
      <w:numFmt w:val="bullet"/>
      <w:lvlText w:val="•"/>
      <w:lvlJc w:val="left"/>
      <w:pPr>
        <w:ind w:left="3856" w:hanging="260"/>
      </w:pPr>
      <w:rPr>
        <w:rFonts w:hint="default"/>
        <w:lang w:val="vi" w:eastAsia="en-US" w:bidi="ar-SA"/>
      </w:rPr>
    </w:lvl>
    <w:lvl w:ilvl="4">
      <w:start w:val="0"/>
      <w:numFmt w:val="bullet"/>
      <w:lvlText w:val="•"/>
      <w:lvlJc w:val="left"/>
      <w:pPr>
        <w:ind w:left="4855" w:hanging="260"/>
      </w:pPr>
      <w:rPr>
        <w:rFonts w:hint="default"/>
        <w:lang w:val="vi" w:eastAsia="en-US" w:bidi="ar-SA"/>
      </w:rPr>
    </w:lvl>
    <w:lvl w:ilvl="5">
      <w:start w:val="0"/>
      <w:numFmt w:val="bullet"/>
      <w:lvlText w:val="•"/>
      <w:lvlJc w:val="left"/>
      <w:pPr>
        <w:ind w:left="5853" w:hanging="260"/>
      </w:pPr>
      <w:rPr>
        <w:rFonts w:hint="default"/>
        <w:lang w:val="vi" w:eastAsia="en-US" w:bidi="ar-SA"/>
      </w:rPr>
    </w:lvl>
    <w:lvl w:ilvl="6">
      <w:start w:val="0"/>
      <w:numFmt w:val="bullet"/>
      <w:lvlText w:val="•"/>
      <w:lvlJc w:val="left"/>
      <w:pPr>
        <w:ind w:left="6852" w:hanging="260"/>
      </w:pPr>
      <w:rPr>
        <w:rFonts w:hint="default"/>
        <w:lang w:val="vi" w:eastAsia="en-US" w:bidi="ar-SA"/>
      </w:rPr>
    </w:lvl>
    <w:lvl w:ilvl="7">
      <w:start w:val="0"/>
      <w:numFmt w:val="bullet"/>
      <w:lvlText w:val="•"/>
      <w:lvlJc w:val="left"/>
      <w:pPr>
        <w:ind w:left="7850" w:hanging="260"/>
      </w:pPr>
      <w:rPr>
        <w:rFonts w:hint="default"/>
        <w:lang w:val="vi" w:eastAsia="en-US" w:bidi="ar-SA"/>
      </w:rPr>
    </w:lvl>
    <w:lvl w:ilvl="8">
      <w:start w:val="0"/>
      <w:numFmt w:val="bullet"/>
      <w:lvlText w:val="•"/>
      <w:lvlJc w:val="left"/>
      <w:pPr>
        <w:ind w:left="8849" w:hanging="260"/>
      </w:pPr>
      <w:rPr>
        <w:rFonts w:hint="default"/>
        <w:lang w:val="vi" w:eastAsia="en-US" w:bidi="ar-SA"/>
      </w:rPr>
    </w:lvl>
  </w:abstractNum>
  <w:abstractNum w:abstractNumId="40">
    <w:multiLevelType w:val="hybridMultilevel"/>
    <w:lvl w:ilvl="0">
      <w:start w:val="1"/>
      <w:numFmt w:val="lowerRoman"/>
      <w:lvlText w:val="%1)"/>
      <w:lvlJc w:val="left"/>
      <w:pPr>
        <w:ind w:left="882" w:hanging="231"/>
        <w:jc w:val="left"/>
      </w:pPr>
      <w:rPr>
        <w:rFonts w:hint="default" w:ascii="Times New Roman" w:hAnsi="Times New Roman" w:eastAsia="Times New Roman" w:cs="Times New Roman"/>
        <w:spacing w:val="-1"/>
        <w:w w:val="99"/>
        <w:sz w:val="26"/>
        <w:szCs w:val="26"/>
        <w:lang w:val="vi" w:eastAsia="en-US" w:bidi="ar-SA"/>
      </w:rPr>
    </w:lvl>
    <w:lvl w:ilvl="1">
      <w:start w:val="1"/>
      <w:numFmt w:val="decimal"/>
      <w:lvlText w:val="%2."/>
      <w:lvlJc w:val="left"/>
      <w:pPr>
        <w:ind w:left="1861" w:hanging="260"/>
        <w:jc w:val="left"/>
      </w:pPr>
      <w:rPr>
        <w:rFonts w:hint="default" w:ascii="Times New Roman" w:hAnsi="Times New Roman" w:eastAsia="Times New Roman" w:cs="Times New Roman"/>
        <w:w w:val="99"/>
        <w:sz w:val="26"/>
        <w:szCs w:val="26"/>
        <w:lang w:val="vi" w:eastAsia="en-US" w:bidi="ar-SA"/>
      </w:rPr>
    </w:lvl>
    <w:lvl w:ilvl="2">
      <w:start w:val="0"/>
      <w:numFmt w:val="bullet"/>
      <w:lvlText w:val="•"/>
      <w:lvlJc w:val="left"/>
      <w:pPr>
        <w:ind w:left="2858" w:hanging="260"/>
      </w:pPr>
      <w:rPr>
        <w:rFonts w:hint="default"/>
        <w:lang w:val="vi" w:eastAsia="en-US" w:bidi="ar-SA"/>
      </w:rPr>
    </w:lvl>
    <w:lvl w:ilvl="3">
      <w:start w:val="0"/>
      <w:numFmt w:val="bullet"/>
      <w:lvlText w:val="•"/>
      <w:lvlJc w:val="left"/>
      <w:pPr>
        <w:ind w:left="3856" w:hanging="260"/>
      </w:pPr>
      <w:rPr>
        <w:rFonts w:hint="default"/>
        <w:lang w:val="vi" w:eastAsia="en-US" w:bidi="ar-SA"/>
      </w:rPr>
    </w:lvl>
    <w:lvl w:ilvl="4">
      <w:start w:val="0"/>
      <w:numFmt w:val="bullet"/>
      <w:lvlText w:val="•"/>
      <w:lvlJc w:val="left"/>
      <w:pPr>
        <w:ind w:left="4855" w:hanging="260"/>
      </w:pPr>
      <w:rPr>
        <w:rFonts w:hint="default"/>
        <w:lang w:val="vi" w:eastAsia="en-US" w:bidi="ar-SA"/>
      </w:rPr>
    </w:lvl>
    <w:lvl w:ilvl="5">
      <w:start w:val="0"/>
      <w:numFmt w:val="bullet"/>
      <w:lvlText w:val="•"/>
      <w:lvlJc w:val="left"/>
      <w:pPr>
        <w:ind w:left="5853" w:hanging="260"/>
      </w:pPr>
      <w:rPr>
        <w:rFonts w:hint="default"/>
        <w:lang w:val="vi" w:eastAsia="en-US" w:bidi="ar-SA"/>
      </w:rPr>
    </w:lvl>
    <w:lvl w:ilvl="6">
      <w:start w:val="0"/>
      <w:numFmt w:val="bullet"/>
      <w:lvlText w:val="•"/>
      <w:lvlJc w:val="left"/>
      <w:pPr>
        <w:ind w:left="6852" w:hanging="260"/>
      </w:pPr>
      <w:rPr>
        <w:rFonts w:hint="default"/>
        <w:lang w:val="vi" w:eastAsia="en-US" w:bidi="ar-SA"/>
      </w:rPr>
    </w:lvl>
    <w:lvl w:ilvl="7">
      <w:start w:val="0"/>
      <w:numFmt w:val="bullet"/>
      <w:lvlText w:val="•"/>
      <w:lvlJc w:val="left"/>
      <w:pPr>
        <w:ind w:left="7850" w:hanging="260"/>
      </w:pPr>
      <w:rPr>
        <w:rFonts w:hint="default"/>
        <w:lang w:val="vi" w:eastAsia="en-US" w:bidi="ar-SA"/>
      </w:rPr>
    </w:lvl>
    <w:lvl w:ilvl="8">
      <w:start w:val="0"/>
      <w:numFmt w:val="bullet"/>
      <w:lvlText w:val="•"/>
      <w:lvlJc w:val="left"/>
      <w:pPr>
        <w:ind w:left="8849" w:hanging="260"/>
      </w:pPr>
      <w:rPr>
        <w:rFonts w:hint="default"/>
        <w:lang w:val="vi" w:eastAsia="en-US" w:bidi="ar-SA"/>
      </w:rPr>
    </w:lvl>
  </w:abstractNum>
  <w:abstractNum w:abstractNumId="39">
    <w:multiLevelType w:val="hybridMultilevel"/>
    <w:lvl w:ilvl="0">
      <w:start w:val="1"/>
      <w:numFmt w:val="lowerRoman"/>
      <w:lvlText w:val="%1)"/>
      <w:lvlJc w:val="left"/>
      <w:pPr>
        <w:ind w:left="1105" w:hanging="224"/>
        <w:jc w:val="left"/>
      </w:pPr>
      <w:rPr>
        <w:rFonts w:hint="default" w:ascii="Times New Roman" w:hAnsi="Times New Roman" w:eastAsia="Times New Roman" w:cs="Times New Roman"/>
        <w:spacing w:val="-1"/>
        <w:w w:val="99"/>
        <w:sz w:val="26"/>
        <w:szCs w:val="26"/>
        <w:lang w:val="vi" w:eastAsia="en-US" w:bidi="ar-SA"/>
      </w:rPr>
    </w:lvl>
    <w:lvl w:ilvl="1">
      <w:start w:val="1"/>
      <w:numFmt w:val="decimal"/>
      <w:lvlText w:val="%2."/>
      <w:lvlJc w:val="left"/>
      <w:pPr>
        <w:ind w:left="1861" w:hanging="260"/>
        <w:jc w:val="left"/>
      </w:pPr>
      <w:rPr>
        <w:rFonts w:hint="default" w:ascii="Times New Roman" w:hAnsi="Times New Roman" w:eastAsia="Times New Roman" w:cs="Times New Roman"/>
        <w:w w:val="99"/>
        <w:sz w:val="26"/>
        <w:szCs w:val="26"/>
        <w:lang w:val="vi" w:eastAsia="en-US" w:bidi="ar-SA"/>
      </w:rPr>
    </w:lvl>
    <w:lvl w:ilvl="2">
      <w:start w:val="0"/>
      <w:numFmt w:val="bullet"/>
      <w:lvlText w:val="•"/>
      <w:lvlJc w:val="left"/>
      <w:pPr>
        <w:ind w:left="2858" w:hanging="260"/>
      </w:pPr>
      <w:rPr>
        <w:rFonts w:hint="default"/>
        <w:lang w:val="vi" w:eastAsia="en-US" w:bidi="ar-SA"/>
      </w:rPr>
    </w:lvl>
    <w:lvl w:ilvl="3">
      <w:start w:val="0"/>
      <w:numFmt w:val="bullet"/>
      <w:lvlText w:val="•"/>
      <w:lvlJc w:val="left"/>
      <w:pPr>
        <w:ind w:left="3856" w:hanging="260"/>
      </w:pPr>
      <w:rPr>
        <w:rFonts w:hint="default"/>
        <w:lang w:val="vi" w:eastAsia="en-US" w:bidi="ar-SA"/>
      </w:rPr>
    </w:lvl>
    <w:lvl w:ilvl="4">
      <w:start w:val="0"/>
      <w:numFmt w:val="bullet"/>
      <w:lvlText w:val="•"/>
      <w:lvlJc w:val="left"/>
      <w:pPr>
        <w:ind w:left="4855" w:hanging="260"/>
      </w:pPr>
      <w:rPr>
        <w:rFonts w:hint="default"/>
        <w:lang w:val="vi" w:eastAsia="en-US" w:bidi="ar-SA"/>
      </w:rPr>
    </w:lvl>
    <w:lvl w:ilvl="5">
      <w:start w:val="0"/>
      <w:numFmt w:val="bullet"/>
      <w:lvlText w:val="•"/>
      <w:lvlJc w:val="left"/>
      <w:pPr>
        <w:ind w:left="5853" w:hanging="260"/>
      </w:pPr>
      <w:rPr>
        <w:rFonts w:hint="default"/>
        <w:lang w:val="vi" w:eastAsia="en-US" w:bidi="ar-SA"/>
      </w:rPr>
    </w:lvl>
    <w:lvl w:ilvl="6">
      <w:start w:val="0"/>
      <w:numFmt w:val="bullet"/>
      <w:lvlText w:val="•"/>
      <w:lvlJc w:val="left"/>
      <w:pPr>
        <w:ind w:left="6852" w:hanging="260"/>
      </w:pPr>
      <w:rPr>
        <w:rFonts w:hint="default"/>
        <w:lang w:val="vi" w:eastAsia="en-US" w:bidi="ar-SA"/>
      </w:rPr>
    </w:lvl>
    <w:lvl w:ilvl="7">
      <w:start w:val="0"/>
      <w:numFmt w:val="bullet"/>
      <w:lvlText w:val="•"/>
      <w:lvlJc w:val="left"/>
      <w:pPr>
        <w:ind w:left="7850" w:hanging="260"/>
      </w:pPr>
      <w:rPr>
        <w:rFonts w:hint="default"/>
        <w:lang w:val="vi" w:eastAsia="en-US" w:bidi="ar-SA"/>
      </w:rPr>
    </w:lvl>
    <w:lvl w:ilvl="8">
      <w:start w:val="0"/>
      <w:numFmt w:val="bullet"/>
      <w:lvlText w:val="•"/>
      <w:lvlJc w:val="left"/>
      <w:pPr>
        <w:ind w:left="8849" w:hanging="260"/>
      </w:pPr>
      <w:rPr>
        <w:rFonts w:hint="default"/>
        <w:lang w:val="vi" w:eastAsia="en-US" w:bidi="ar-SA"/>
      </w:rPr>
    </w:lvl>
  </w:abstractNum>
  <w:abstractNum w:abstractNumId="38">
    <w:multiLevelType w:val="hybridMultilevel"/>
    <w:lvl w:ilvl="0">
      <w:start w:val="1"/>
      <w:numFmt w:val="lowerRoman"/>
      <w:lvlText w:val="%1)"/>
      <w:lvlJc w:val="left"/>
      <w:pPr>
        <w:ind w:left="1105" w:hanging="224"/>
        <w:jc w:val="left"/>
      </w:pPr>
      <w:rPr>
        <w:rFonts w:hint="default" w:ascii="Times New Roman" w:hAnsi="Times New Roman" w:eastAsia="Times New Roman" w:cs="Times New Roman"/>
        <w:spacing w:val="-1"/>
        <w:w w:val="99"/>
        <w:sz w:val="26"/>
        <w:szCs w:val="26"/>
        <w:lang w:val="vi" w:eastAsia="en-US" w:bidi="ar-SA"/>
      </w:rPr>
    </w:lvl>
    <w:lvl w:ilvl="1">
      <w:start w:val="1"/>
      <w:numFmt w:val="decimal"/>
      <w:lvlText w:val="%2."/>
      <w:lvlJc w:val="left"/>
      <w:pPr>
        <w:ind w:left="1861" w:hanging="260"/>
        <w:jc w:val="left"/>
      </w:pPr>
      <w:rPr>
        <w:rFonts w:hint="default" w:ascii="Times New Roman" w:hAnsi="Times New Roman" w:eastAsia="Times New Roman" w:cs="Times New Roman"/>
        <w:w w:val="99"/>
        <w:sz w:val="26"/>
        <w:szCs w:val="26"/>
        <w:lang w:val="vi" w:eastAsia="en-US" w:bidi="ar-SA"/>
      </w:rPr>
    </w:lvl>
    <w:lvl w:ilvl="2">
      <w:start w:val="0"/>
      <w:numFmt w:val="bullet"/>
      <w:lvlText w:val="•"/>
      <w:lvlJc w:val="left"/>
      <w:pPr>
        <w:ind w:left="2858" w:hanging="260"/>
      </w:pPr>
      <w:rPr>
        <w:rFonts w:hint="default"/>
        <w:lang w:val="vi" w:eastAsia="en-US" w:bidi="ar-SA"/>
      </w:rPr>
    </w:lvl>
    <w:lvl w:ilvl="3">
      <w:start w:val="0"/>
      <w:numFmt w:val="bullet"/>
      <w:lvlText w:val="•"/>
      <w:lvlJc w:val="left"/>
      <w:pPr>
        <w:ind w:left="3856" w:hanging="260"/>
      </w:pPr>
      <w:rPr>
        <w:rFonts w:hint="default"/>
        <w:lang w:val="vi" w:eastAsia="en-US" w:bidi="ar-SA"/>
      </w:rPr>
    </w:lvl>
    <w:lvl w:ilvl="4">
      <w:start w:val="0"/>
      <w:numFmt w:val="bullet"/>
      <w:lvlText w:val="•"/>
      <w:lvlJc w:val="left"/>
      <w:pPr>
        <w:ind w:left="4855" w:hanging="260"/>
      </w:pPr>
      <w:rPr>
        <w:rFonts w:hint="default"/>
        <w:lang w:val="vi" w:eastAsia="en-US" w:bidi="ar-SA"/>
      </w:rPr>
    </w:lvl>
    <w:lvl w:ilvl="5">
      <w:start w:val="0"/>
      <w:numFmt w:val="bullet"/>
      <w:lvlText w:val="•"/>
      <w:lvlJc w:val="left"/>
      <w:pPr>
        <w:ind w:left="5853" w:hanging="260"/>
      </w:pPr>
      <w:rPr>
        <w:rFonts w:hint="default"/>
        <w:lang w:val="vi" w:eastAsia="en-US" w:bidi="ar-SA"/>
      </w:rPr>
    </w:lvl>
    <w:lvl w:ilvl="6">
      <w:start w:val="0"/>
      <w:numFmt w:val="bullet"/>
      <w:lvlText w:val="•"/>
      <w:lvlJc w:val="left"/>
      <w:pPr>
        <w:ind w:left="6852" w:hanging="260"/>
      </w:pPr>
      <w:rPr>
        <w:rFonts w:hint="default"/>
        <w:lang w:val="vi" w:eastAsia="en-US" w:bidi="ar-SA"/>
      </w:rPr>
    </w:lvl>
    <w:lvl w:ilvl="7">
      <w:start w:val="0"/>
      <w:numFmt w:val="bullet"/>
      <w:lvlText w:val="•"/>
      <w:lvlJc w:val="left"/>
      <w:pPr>
        <w:ind w:left="7850" w:hanging="260"/>
      </w:pPr>
      <w:rPr>
        <w:rFonts w:hint="default"/>
        <w:lang w:val="vi" w:eastAsia="en-US" w:bidi="ar-SA"/>
      </w:rPr>
    </w:lvl>
    <w:lvl w:ilvl="8">
      <w:start w:val="0"/>
      <w:numFmt w:val="bullet"/>
      <w:lvlText w:val="•"/>
      <w:lvlJc w:val="left"/>
      <w:pPr>
        <w:ind w:left="8849" w:hanging="260"/>
      </w:pPr>
      <w:rPr>
        <w:rFonts w:hint="default"/>
        <w:lang w:val="vi" w:eastAsia="en-US" w:bidi="ar-SA"/>
      </w:rPr>
    </w:lvl>
  </w:abstractNum>
  <w:abstractNum w:abstractNumId="37">
    <w:multiLevelType w:val="hybridMultilevel"/>
    <w:lvl w:ilvl="0">
      <w:start w:val="1"/>
      <w:numFmt w:val="lowerRoman"/>
      <w:lvlText w:val="%1)"/>
      <w:lvlJc w:val="left"/>
      <w:pPr>
        <w:ind w:left="882" w:hanging="248"/>
        <w:jc w:val="left"/>
      </w:pPr>
      <w:rPr>
        <w:rFonts w:hint="default" w:ascii="Times New Roman" w:hAnsi="Times New Roman" w:eastAsia="Times New Roman" w:cs="Times New Roman"/>
        <w:spacing w:val="-1"/>
        <w:w w:val="99"/>
        <w:sz w:val="26"/>
        <w:szCs w:val="26"/>
        <w:lang w:val="vi" w:eastAsia="en-US" w:bidi="ar-SA"/>
      </w:rPr>
    </w:lvl>
    <w:lvl w:ilvl="1">
      <w:start w:val="1"/>
      <w:numFmt w:val="decimal"/>
      <w:lvlText w:val="%2."/>
      <w:lvlJc w:val="left"/>
      <w:pPr>
        <w:ind w:left="1861" w:hanging="260"/>
        <w:jc w:val="left"/>
      </w:pPr>
      <w:rPr>
        <w:rFonts w:hint="default" w:ascii="Times New Roman" w:hAnsi="Times New Roman" w:eastAsia="Times New Roman" w:cs="Times New Roman"/>
        <w:w w:val="99"/>
        <w:sz w:val="26"/>
        <w:szCs w:val="26"/>
        <w:lang w:val="vi" w:eastAsia="en-US" w:bidi="ar-SA"/>
      </w:rPr>
    </w:lvl>
    <w:lvl w:ilvl="2">
      <w:start w:val="0"/>
      <w:numFmt w:val="bullet"/>
      <w:lvlText w:val="•"/>
      <w:lvlJc w:val="left"/>
      <w:pPr>
        <w:ind w:left="2858" w:hanging="260"/>
      </w:pPr>
      <w:rPr>
        <w:rFonts w:hint="default"/>
        <w:lang w:val="vi" w:eastAsia="en-US" w:bidi="ar-SA"/>
      </w:rPr>
    </w:lvl>
    <w:lvl w:ilvl="3">
      <w:start w:val="0"/>
      <w:numFmt w:val="bullet"/>
      <w:lvlText w:val="•"/>
      <w:lvlJc w:val="left"/>
      <w:pPr>
        <w:ind w:left="3856" w:hanging="260"/>
      </w:pPr>
      <w:rPr>
        <w:rFonts w:hint="default"/>
        <w:lang w:val="vi" w:eastAsia="en-US" w:bidi="ar-SA"/>
      </w:rPr>
    </w:lvl>
    <w:lvl w:ilvl="4">
      <w:start w:val="0"/>
      <w:numFmt w:val="bullet"/>
      <w:lvlText w:val="•"/>
      <w:lvlJc w:val="left"/>
      <w:pPr>
        <w:ind w:left="4855" w:hanging="260"/>
      </w:pPr>
      <w:rPr>
        <w:rFonts w:hint="default"/>
        <w:lang w:val="vi" w:eastAsia="en-US" w:bidi="ar-SA"/>
      </w:rPr>
    </w:lvl>
    <w:lvl w:ilvl="5">
      <w:start w:val="0"/>
      <w:numFmt w:val="bullet"/>
      <w:lvlText w:val="•"/>
      <w:lvlJc w:val="left"/>
      <w:pPr>
        <w:ind w:left="5853" w:hanging="260"/>
      </w:pPr>
      <w:rPr>
        <w:rFonts w:hint="default"/>
        <w:lang w:val="vi" w:eastAsia="en-US" w:bidi="ar-SA"/>
      </w:rPr>
    </w:lvl>
    <w:lvl w:ilvl="6">
      <w:start w:val="0"/>
      <w:numFmt w:val="bullet"/>
      <w:lvlText w:val="•"/>
      <w:lvlJc w:val="left"/>
      <w:pPr>
        <w:ind w:left="6852" w:hanging="260"/>
      </w:pPr>
      <w:rPr>
        <w:rFonts w:hint="default"/>
        <w:lang w:val="vi" w:eastAsia="en-US" w:bidi="ar-SA"/>
      </w:rPr>
    </w:lvl>
    <w:lvl w:ilvl="7">
      <w:start w:val="0"/>
      <w:numFmt w:val="bullet"/>
      <w:lvlText w:val="•"/>
      <w:lvlJc w:val="left"/>
      <w:pPr>
        <w:ind w:left="7850" w:hanging="260"/>
      </w:pPr>
      <w:rPr>
        <w:rFonts w:hint="default"/>
        <w:lang w:val="vi" w:eastAsia="en-US" w:bidi="ar-SA"/>
      </w:rPr>
    </w:lvl>
    <w:lvl w:ilvl="8">
      <w:start w:val="0"/>
      <w:numFmt w:val="bullet"/>
      <w:lvlText w:val="•"/>
      <w:lvlJc w:val="left"/>
      <w:pPr>
        <w:ind w:left="8849" w:hanging="260"/>
      </w:pPr>
      <w:rPr>
        <w:rFonts w:hint="default"/>
        <w:lang w:val="vi" w:eastAsia="en-US" w:bidi="ar-SA"/>
      </w:rPr>
    </w:lvl>
  </w:abstractNum>
  <w:abstractNum w:abstractNumId="36">
    <w:multiLevelType w:val="hybridMultilevel"/>
    <w:lvl w:ilvl="0">
      <w:start w:val="1"/>
      <w:numFmt w:val="lowerRoman"/>
      <w:lvlText w:val="%1)"/>
      <w:lvlJc w:val="left"/>
      <w:pPr>
        <w:ind w:left="882" w:hanging="245"/>
        <w:jc w:val="left"/>
      </w:pPr>
      <w:rPr>
        <w:rFonts w:hint="default" w:ascii="Times New Roman" w:hAnsi="Times New Roman" w:eastAsia="Times New Roman" w:cs="Times New Roman"/>
        <w:spacing w:val="-1"/>
        <w:w w:val="99"/>
        <w:sz w:val="26"/>
        <w:szCs w:val="26"/>
        <w:lang w:val="vi" w:eastAsia="en-US" w:bidi="ar-SA"/>
      </w:rPr>
    </w:lvl>
    <w:lvl w:ilvl="1">
      <w:start w:val="1"/>
      <w:numFmt w:val="decimal"/>
      <w:lvlText w:val="%2."/>
      <w:lvlJc w:val="left"/>
      <w:pPr>
        <w:ind w:left="1861" w:hanging="260"/>
        <w:jc w:val="left"/>
      </w:pPr>
      <w:rPr>
        <w:rFonts w:hint="default" w:ascii="Times New Roman" w:hAnsi="Times New Roman" w:eastAsia="Times New Roman" w:cs="Times New Roman"/>
        <w:w w:val="99"/>
        <w:sz w:val="26"/>
        <w:szCs w:val="26"/>
        <w:lang w:val="vi" w:eastAsia="en-US" w:bidi="ar-SA"/>
      </w:rPr>
    </w:lvl>
    <w:lvl w:ilvl="2">
      <w:start w:val="0"/>
      <w:numFmt w:val="bullet"/>
      <w:lvlText w:val="•"/>
      <w:lvlJc w:val="left"/>
      <w:pPr>
        <w:ind w:left="2858" w:hanging="260"/>
      </w:pPr>
      <w:rPr>
        <w:rFonts w:hint="default"/>
        <w:lang w:val="vi" w:eastAsia="en-US" w:bidi="ar-SA"/>
      </w:rPr>
    </w:lvl>
    <w:lvl w:ilvl="3">
      <w:start w:val="0"/>
      <w:numFmt w:val="bullet"/>
      <w:lvlText w:val="•"/>
      <w:lvlJc w:val="left"/>
      <w:pPr>
        <w:ind w:left="3856" w:hanging="260"/>
      </w:pPr>
      <w:rPr>
        <w:rFonts w:hint="default"/>
        <w:lang w:val="vi" w:eastAsia="en-US" w:bidi="ar-SA"/>
      </w:rPr>
    </w:lvl>
    <w:lvl w:ilvl="4">
      <w:start w:val="0"/>
      <w:numFmt w:val="bullet"/>
      <w:lvlText w:val="•"/>
      <w:lvlJc w:val="left"/>
      <w:pPr>
        <w:ind w:left="4855" w:hanging="260"/>
      </w:pPr>
      <w:rPr>
        <w:rFonts w:hint="default"/>
        <w:lang w:val="vi" w:eastAsia="en-US" w:bidi="ar-SA"/>
      </w:rPr>
    </w:lvl>
    <w:lvl w:ilvl="5">
      <w:start w:val="0"/>
      <w:numFmt w:val="bullet"/>
      <w:lvlText w:val="•"/>
      <w:lvlJc w:val="left"/>
      <w:pPr>
        <w:ind w:left="5853" w:hanging="260"/>
      </w:pPr>
      <w:rPr>
        <w:rFonts w:hint="default"/>
        <w:lang w:val="vi" w:eastAsia="en-US" w:bidi="ar-SA"/>
      </w:rPr>
    </w:lvl>
    <w:lvl w:ilvl="6">
      <w:start w:val="0"/>
      <w:numFmt w:val="bullet"/>
      <w:lvlText w:val="•"/>
      <w:lvlJc w:val="left"/>
      <w:pPr>
        <w:ind w:left="6852" w:hanging="260"/>
      </w:pPr>
      <w:rPr>
        <w:rFonts w:hint="default"/>
        <w:lang w:val="vi" w:eastAsia="en-US" w:bidi="ar-SA"/>
      </w:rPr>
    </w:lvl>
    <w:lvl w:ilvl="7">
      <w:start w:val="0"/>
      <w:numFmt w:val="bullet"/>
      <w:lvlText w:val="•"/>
      <w:lvlJc w:val="left"/>
      <w:pPr>
        <w:ind w:left="7850" w:hanging="260"/>
      </w:pPr>
      <w:rPr>
        <w:rFonts w:hint="default"/>
        <w:lang w:val="vi" w:eastAsia="en-US" w:bidi="ar-SA"/>
      </w:rPr>
    </w:lvl>
    <w:lvl w:ilvl="8">
      <w:start w:val="0"/>
      <w:numFmt w:val="bullet"/>
      <w:lvlText w:val="•"/>
      <w:lvlJc w:val="left"/>
      <w:pPr>
        <w:ind w:left="8849" w:hanging="260"/>
      </w:pPr>
      <w:rPr>
        <w:rFonts w:hint="default"/>
        <w:lang w:val="vi" w:eastAsia="en-US" w:bidi="ar-SA"/>
      </w:rPr>
    </w:lvl>
  </w:abstractNum>
  <w:abstractNum w:abstractNumId="35">
    <w:multiLevelType w:val="hybridMultilevel"/>
    <w:lvl w:ilvl="0">
      <w:start w:val="1"/>
      <w:numFmt w:val="upperRoman"/>
      <w:lvlText w:val="%1."/>
      <w:lvlJc w:val="left"/>
      <w:pPr>
        <w:ind w:left="1098" w:hanging="216"/>
        <w:jc w:val="left"/>
      </w:pPr>
      <w:rPr>
        <w:rFonts w:hint="default"/>
        <w:w w:val="99"/>
        <w:lang w:val="vi" w:eastAsia="en-US" w:bidi="ar-SA"/>
      </w:rPr>
    </w:lvl>
    <w:lvl w:ilvl="1">
      <w:start w:val="0"/>
      <w:numFmt w:val="bullet"/>
      <w:lvlText w:val="•"/>
      <w:lvlJc w:val="left"/>
      <w:pPr>
        <w:ind w:left="2074" w:hanging="216"/>
      </w:pPr>
      <w:rPr>
        <w:rFonts w:hint="default"/>
        <w:lang w:val="vi" w:eastAsia="en-US" w:bidi="ar-SA"/>
      </w:rPr>
    </w:lvl>
    <w:lvl w:ilvl="2">
      <w:start w:val="0"/>
      <w:numFmt w:val="bullet"/>
      <w:lvlText w:val="•"/>
      <w:lvlJc w:val="left"/>
      <w:pPr>
        <w:ind w:left="3049" w:hanging="216"/>
      </w:pPr>
      <w:rPr>
        <w:rFonts w:hint="default"/>
        <w:lang w:val="vi" w:eastAsia="en-US" w:bidi="ar-SA"/>
      </w:rPr>
    </w:lvl>
    <w:lvl w:ilvl="3">
      <w:start w:val="0"/>
      <w:numFmt w:val="bullet"/>
      <w:lvlText w:val="•"/>
      <w:lvlJc w:val="left"/>
      <w:pPr>
        <w:ind w:left="4023" w:hanging="216"/>
      </w:pPr>
      <w:rPr>
        <w:rFonts w:hint="default"/>
        <w:lang w:val="vi" w:eastAsia="en-US" w:bidi="ar-SA"/>
      </w:rPr>
    </w:lvl>
    <w:lvl w:ilvl="4">
      <w:start w:val="0"/>
      <w:numFmt w:val="bullet"/>
      <w:lvlText w:val="•"/>
      <w:lvlJc w:val="left"/>
      <w:pPr>
        <w:ind w:left="4998" w:hanging="216"/>
      </w:pPr>
      <w:rPr>
        <w:rFonts w:hint="default"/>
        <w:lang w:val="vi" w:eastAsia="en-US" w:bidi="ar-SA"/>
      </w:rPr>
    </w:lvl>
    <w:lvl w:ilvl="5">
      <w:start w:val="0"/>
      <w:numFmt w:val="bullet"/>
      <w:lvlText w:val="•"/>
      <w:lvlJc w:val="left"/>
      <w:pPr>
        <w:ind w:left="5973" w:hanging="216"/>
      </w:pPr>
      <w:rPr>
        <w:rFonts w:hint="default"/>
        <w:lang w:val="vi" w:eastAsia="en-US" w:bidi="ar-SA"/>
      </w:rPr>
    </w:lvl>
    <w:lvl w:ilvl="6">
      <w:start w:val="0"/>
      <w:numFmt w:val="bullet"/>
      <w:lvlText w:val="•"/>
      <w:lvlJc w:val="left"/>
      <w:pPr>
        <w:ind w:left="6947" w:hanging="216"/>
      </w:pPr>
      <w:rPr>
        <w:rFonts w:hint="default"/>
        <w:lang w:val="vi" w:eastAsia="en-US" w:bidi="ar-SA"/>
      </w:rPr>
    </w:lvl>
    <w:lvl w:ilvl="7">
      <w:start w:val="0"/>
      <w:numFmt w:val="bullet"/>
      <w:lvlText w:val="•"/>
      <w:lvlJc w:val="left"/>
      <w:pPr>
        <w:ind w:left="7922" w:hanging="216"/>
      </w:pPr>
      <w:rPr>
        <w:rFonts w:hint="default"/>
        <w:lang w:val="vi" w:eastAsia="en-US" w:bidi="ar-SA"/>
      </w:rPr>
    </w:lvl>
    <w:lvl w:ilvl="8">
      <w:start w:val="0"/>
      <w:numFmt w:val="bullet"/>
      <w:lvlText w:val="•"/>
      <w:lvlJc w:val="left"/>
      <w:pPr>
        <w:ind w:left="8897" w:hanging="216"/>
      </w:pPr>
      <w:rPr>
        <w:rFonts w:hint="default"/>
        <w:lang w:val="vi" w:eastAsia="en-US" w:bidi="ar-SA"/>
      </w:rPr>
    </w:lvl>
  </w:abstractNum>
  <w:abstractNum w:abstractNumId="34">
    <w:multiLevelType w:val="hybridMultilevel"/>
    <w:lvl w:ilvl="0">
      <w:start w:val="0"/>
      <w:numFmt w:val="bullet"/>
      <w:lvlText w:val=""/>
      <w:lvlJc w:val="left"/>
      <w:pPr>
        <w:ind w:left="748" w:hanging="360"/>
      </w:pPr>
      <w:rPr>
        <w:rFonts w:hint="default" w:ascii="Symbol" w:hAnsi="Symbol" w:eastAsia="Symbol" w:cs="Symbol"/>
        <w:w w:val="99"/>
        <w:sz w:val="20"/>
        <w:szCs w:val="20"/>
        <w:lang w:val="vi" w:eastAsia="en-US" w:bidi="ar-SA"/>
      </w:rPr>
    </w:lvl>
    <w:lvl w:ilvl="1">
      <w:start w:val="0"/>
      <w:numFmt w:val="bullet"/>
      <w:lvlText w:val="•"/>
      <w:lvlJc w:val="left"/>
      <w:pPr>
        <w:ind w:left="1080" w:hanging="360"/>
      </w:pPr>
      <w:rPr>
        <w:rFonts w:hint="default"/>
        <w:lang w:val="vi" w:eastAsia="en-US" w:bidi="ar-SA"/>
      </w:rPr>
    </w:lvl>
    <w:lvl w:ilvl="2">
      <w:start w:val="0"/>
      <w:numFmt w:val="bullet"/>
      <w:lvlText w:val="•"/>
      <w:lvlJc w:val="left"/>
      <w:pPr>
        <w:ind w:left="1829" w:hanging="360"/>
      </w:pPr>
      <w:rPr>
        <w:rFonts w:hint="default"/>
        <w:lang w:val="vi" w:eastAsia="en-US" w:bidi="ar-SA"/>
      </w:rPr>
    </w:lvl>
    <w:lvl w:ilvl="3">
      <w:start w:val="0"/>
      <w:numFmt w:val="bullet"/>
      <w:lvlText w:val="•"/>
      <w:lvlJc w:val="left"/>
      <w:pPr>
        <w:ind w:left="2579" w:hanging="360"/>
      </w:pPr>
      <w:rPr>
        <w:rFonts w:hint="default"/>
        <w:lang w:val="vi" w:eastAsia="en-US" w:bidi="ar-SA"/>
      </w:rPr>
    </w:lvl>
    <w:lvl w:ilvl="4">
      <w:start w:val="0"/>
      <w:numFmt w:val="bullet"/>
      <w:lvlText w:val="•"/>
      <w:lvlJc w:val="left"/>
      <w:pPr>
        <w:ind w:left="3329" w:hanging="360"/>
      </w:pPr>
      <w:rPr>
        <w:rFonts w:hint="default"/>
        <w:lang w:val="vi" w:eastAsia="en-US" w:bidi="ar-SA"/>
      </w:rPr>
    </w:lvl>
    <w:lvl w:ilvl="5">
      <w:start w:val="0"/>
      <w:numFmt w:val="bullet"/>
      <w:lvlText w:val="•"/>
      <w:lvlJc w:val="left"/>
      <w:pPr>
        <w:ind w:left="4079" w:hanging="360"/>
      </w:pPr>
      <w:rPr>
        <w:rFonts w:hint="default"/>
        <w:lang w:val="vi" w:eastAsia="en-US" w:bidi="ar-SA"/>
      </w:rPr>
    </w:lvl>
    <w:lvl w:ilvl="6">
      <w:start w:val="0"/>
      <w:numFmt w:val="bullet"/>
      <w:lvlText w:val="•"/>
      <w:lvlJc w:val="left"/>
      <w:pPr>
        <w:ind w:left="4829" w:hanging="360"/>
      </w:pPr>
      <w:rPr>
        <w:rFonts w:hint="default"/>
        <w:lang w:val="vi" w:eastAsia="en-US" w:bidi="ar-SA"/>
      </w:rPr>
    </w:lvl>
    <w:lvl w:ilvl="7">
      <w:start w:val="0"/>
      <w:numFmt w:val="bullet"/>
      <w:lvlText w:val="•"/>
      <w:lvlJc w:val="left"/>
      <w:pPr>
        <w:ind w:left="5579" w:hanging="360"/>
      </w:pPr>
      <w:rPr>
        <w:rFonts w:hint="default"/>
        <w:lang w:val="vi" w:eastAsia="en-US" w:bidi="ar-SA"/>
      </w:rPr>
    </w:lvl>
    <w:lvl w:ilvl="8">
      <w:start w:val="0"/>
      <w:numFmt w:val="bullet"/>
      <w:lvlText w:val="•"/>
      <w:lvlJc w:val="left"/>
      <w:pPr>
        <w:ind w:left="6329" w:hanging="360"/>
      </w:pPr>
      <w:rPr>
        <w:rFonts w:hint="default"/>
        <w:lang w:val="vi" w:eastAsia="en-US" w:bidi="ar-SA"/>
      </w:rPr>
    </w:lvl>
  </w:abstractNum>
  <w:abstractNum w:abstractNumId="33">
    <w:multiLevelType w:val="hybridMultilevel"/>
    <w:lvl w:ilvl="0">
      <w:start w:val="0"/>
      <w:numFmt w:val="bullet"/>
      <w:lvlText w:val="–"/>
      <w:lvlJc w:val="left"/>
      <w:pPr>
        <w:ind w:left="208" w:hanging="180"/>
      </w:pPr>
      <w:rPr>
        <w:rFonts w:hint="default" w:ascii="Times New Roman" w:hAnsi="Times New Roman" w:eastAsia="Times New Roman" w:cs="Times New Roman"/>
        <w:spacing w:val="-1"/>
        <w:w w:val="99"/>
        <w:sz w:val="24"/>
        <w:szCs w:val="24"/>
        <w:lang w:val="vi" w:eastAsia="en-US" w:bidi="ar-SA"/>
      </w:rPr>
    </w:lvl>
    <w:lvl w:ilvl="1">
      <w:start w:val="0"/>
      <w:numFmt w:val="bullet"/>
      <w:lvlText w:val="•"/>
      <w:lvlJc w:val="left"/>
      <w:pPr>
        <w:ind w:left="962" w:hanging="180"/>
      </w:pPr>
      <w:rPr>
        <w:rFonts w:hint="default"/>
        <w:lang w:val="vi" w:eastAsia="en-US" w:bidi="ar-SA"/>
      </w:rPr>
    </w:lvl>
    <w:lvl w:ilvl="2">
      <w:start w:val="0"/>
      <w:numFmt w:val="bullet"/>
      <w:lvlText w:val="•"/>
      <w:lvlJc w:val="left"/>
      <w:pPr>
        <w:ind w:left="1725" w:hanging="180"/>
      </w:pPr>
      <w:rPr>
        <w:rFonts w:hint="default"/>
        <w:lang w:val="vi" w:eastAsia="en-US" w:bidi="ar-SA"/>
      </w:rPr>
    </w:lvl>
    <w:lvl w:ilvl="3">
      <w:start w:val="0"/>
      <w:numFmt w:val="bullet"/>
      <w:lvlText w:val="•"/>
      <w:lvlJc w:val="left"/>
      <w:pPr>
        <w:ind w:left="2488" w:hanging="180"/>
      </w:pPr>
      <w:rPr>
        <w:rFonts w:hint="default"/>
        <w:lang w:val="vi" w:eastAsia="en-US" w:bidi="ar-SA"/>
      </w:rPr>
    </w:lvl>
    <w:lvl w:ilvl="4">
      <w:start w:val="0"/>
      <w:numFmt w:val="bullet"/>
      <w:lvlText w:val="•"/>
      <w:lvlJc w:val="left"/>
      <w:pPr>
        <w:ind w:left="3251" w:hanging="180"/>
      </w:pPr>
      <w:rPr>
        <w:rFonts w:hint="default"/>
        <w:lang w:val="vi" w:eastAsia="en-US" w:bidi="ar-SA"/>
      </w:rPr>
    </w:lvl>
    <w:lvl w:ilvl="5">
      <w:start w:val="0"/>
      <w:numFmt w:val="bullet"/>
      <w:lvlText w:val="•"/>
      <w:lvlJc w:val="left"/>
      <w:pPr>
        <w:ind w:left="4014" w:hanging="180"/>
      </w:pPr>
      <w:rPr>
        <w:rFonts w:hint="default"/>
        <w:lang w:val="vi" w:eastAsia="en-US" w:bidi="ar-SA"/>
      </w:rPr>
    </w:lvl>
    <w:lvl w:ilvl="6">
      <w:start w:val="0"/>
      <w:numFmt w:val="bullet"/>
      <w:lvlText w:val="•"/>
      <w:lvlJc w:val="left"/>
      <w:pPr>
        <w:ind w:left="4777" w:hanging="180"/>
      </w:pPr>
      <w:rPr>
        <w:rFonts w:hint="default"/>
        <w:lang w:val="vi" w:eastAsia="en-US" w:bidi="ar-SA"/>
      </w:rPr>
    </w:lvl>
    <w:lvl w:ilvl="7">
      <w:start w:val="0"/>
      <w:numFmt w:val="bullet"/>
      <w:lvlText w:val="•"/>
      <w:lvlJc w:val="left"/>
      <w:pPr>
        <w:ind w:left="5540" w:hanging="180"/>
      </w:pPr>
      <w:rPr>
        <w:rFonts w:hint="default"/>
        <w:lang w:val="vi" w:eastAsia="en-US" w:bidi="ar-SA"/>
      </w:rPr>
    </w:lvl>
    <w:lvl w:ilvl="8">
      <w:start w:val="0"/>
      <w:numFmt w:val="bullet"/>
      <w:lvlText w:val="•"/>
      <w:lvlJc w:val="left"/>
      <w:pPr>
        <w:ind w:left="6303" w:hanging="180"/>
      </w:pPr>
      <w:rPr>
        <w:rFonts w:hint="default"/>
        <w:lang w:val="vi" w:eastAsia="en-US" w:bidi="ar-SA"/>
      </w:rPr>
    </w:lvl>
  </w:abstractNum>
  <w:abstractNum w:abstractNumId="32">
    <w:multiLevelType w:val="hybridMultilevel"/>
    <w:lvl w:ilvl="0">
      <w:start w:val="0"/>
      <w:numFmt w:val="bullet"/>
      <w:lvlText w:val=""/>
      <w:lvlJc w:val="left"/>
      <w:pPr>
        <w:ind w:left="748" w:hanging="360"/>
      </w:pPr>
      <w:rPr>
        <w:rFonts w:hint="default" w:ascii="Symbol" w:hAnsi="Symbol" w:eastAsia="Symbol" w:cs="Symbol"/>
        <w:w w:val="99"/>
        <w:sz w:val="20"/>
        <w:szCs w:val="20"/>
        <w:lang w:val="vi" w:eastAsia="en-US" w:bidi="ar-SA"/>
      </w:rPr>
    </w:lvl>
    <w:lvl w:ilvl="1">
      <w:start w:val="0"/>
      <w:numFmt w:val="bullet"/>
      <w:lvlText w:val="•"/>
      <w:lvlJc w:val="left"/>
      <w:pPr>
        <w:ind w:left="1448" w:hanging="360"/>
      </w:pPr>
      <w:rPr>
        <w:rFonts w:hint="default"/>
        <w:lang w:val="vi" w:eastAsia="en-US" w:bidi="ar-SA"/>
      </w:rPr>
    </w:lvl>
    <w:lvl w:ilvl="2">
      <w:start w:val="0"/>
      <w:numFmt w:val="bullet"/>
      <w:lvlText w:val="•"/>
      <w:lvlJc w:val="left"/>
      <w:pPr>
        <w:ind w:left="2157" w:hanging="360"/>
      </w:pPr>
      <w:rPr>
        <w:rFonts w:hint="default"/>
        <w:lang w:val="vi" w:eastAsia="en-US" w:bidi="ar-SA"/>
      </w:rPr>
    </w:lvl>
    <w:lvl w:ilvl="3">
      <w:start w:val="0"/>
      <w:numFmt w:val="bullet"/>
      <w:lvlText w:val="•"/>
      <w:lvlJc w:val="left"/>
      <w:pPr>
        <w:ind w:left="2866" w:hanging="360"/>
      </w:pPr>
      <w:rPr>
        <w:rFonts w:hint="default"/>
        <w:lang w:val="vi" w:eastAsia="en-US" w:bidi="ar-SA"/>
      </w:rPr>
    </w:lvl>
    <w:lvl w:ilvl="4">
      <w:start w:val="0"/>
      <w:numFmt w:val="bullet"/>
      <w:lvlText w:val="•"/>
      <w:lvlJc w:val="left"/>
      <w:pPr>
        <w:ind w:left="3575" w:hanging="360"/>
      </w:pPr>
      <w:rPr>
        <w:rFonts w:hint="default"/>
        <w:lang w:val="vi" w:eastAsia="en-US" w:bidi="ar-SA"/>
      </w:rPr>
    </w:lvl>
    <w:lvl w:ilvl="5">
      <w:start w:val="0"/>
      <w:numFmt w:val="bullet"/>
      <w:lvlText w:val="•"/>
      <w:lvlJc w:val="left"/>
      <w:pPr>
        <w:ind w:left="4284" w:hanging="360"/>
      </w:pPr>
      <w:rPr>
        <w:rFonts w:hint="default"/>
        <w:lang w:val="vi" w:eastAsia="en-US" w:bidi="ar-SA"/>
      </w:rPr>
    </w:lvl>
    <w:lvl w:ilvl="6">
      <w:start w:val="0"/>
      <w:numFmt w:val="bullet"/>
      <w:lvlText w:val="•"/>
      <w:lvlJc w:val="left"/>
      <w:pPr>
        <w:ind w:left="4993" w:hanging="360"/>
      </w:pPr>
      <w:rPr>
        <w:rFonts w:hint="default"/>
        <w:lang w:val="vi" w:eastAsia="en-US" w:bidi="ar-SA"/>
      </w:rPr>
    </w:lvl>
    <w:lvl w:ilvl="7">
      <w:start w:val="0"/>
      <w:numFmt w:val="bullet"/>
      <w:lvlText w:val="•"/>
      <w:lvlJc w:val="left"/>
      <w:pPr>
        <w:ind w:left="5702" w:hanging="360"/>
      </w:pPr>
      <w:rPr>
        <w:rFonts w:hint="default"/>
        <w:lang w:val="vi" w:eastAsia="en-US" w:bidi="ar-SA"/>
      </w:rPr>
    </w:lvl>
    <w:lvl w:ilvl="8">
      <w:start w:val="0"/>
      <w:numFmt w:val="bullet"/>
      <w:lvlText w:val="•"/>
      <w:lvlJc w:val="left"/>
      <w:pPr>
        <w:ind w:left="6411" w:hanging="360"/>
      </w:pPr>
      <w:rPr>
        <w:rFonts w:hint="default"/>
        <w:lang w:val="vi" w:eastAsia="en-US" w:bidi="ar-SA"/>
      </w:rPr>
    </w:lvl>
  </w:abstractNum>
  <w:abstractNum w:abstractNumId="31">
    <w:multiLevelType w:val="hybridMultilevel"/>
    <w:lvl w:ilvl="0">
      <w:start w:val="72"/>
      <w:numFmt w:val="decimal"/>
      <w:lvlText w:val="%1."/>
      <w:lvlJc w:val="left"/>
      <w:pPr>
        <w:ind w:left="882" w:hanging="325"/>
        <w:jc w:val="left"/>
      </w:pPr>
      <w:rPr>
        <w:rFonts w:hint="default"/>
        <w:spacing w:val="-1"/>
        <w:w w:val="99"/>
        <w:lang w:val="vi" w:eastAsia="en-US" w:bidi="ar-SA"/>
      </w:rPr>
    </w:lvl>
    <w:lvl w:ilvl="1">
      <w:start w:val="0"/>
      <w:numFmt w:val="bullet"/>
      <w:lvlText w:val="•"/>
      <w:lvlJc w:val="left"/>
      <w:pPr>
        <w:ind w:left="1876" w:hanging="325"/>
      </w:pPr>
      <w:rPr>
        <w:rFonts w:hint="default"/>
        <w:lang w:val="vi" w:eastAsia="en-US" w:bidi="ar-SA"/>
      </w:rPr>
    </w:lvl>
    <w:lvl w:ilvl="2">
      <w:start w:val="0"/>
      <w:numFmt w:val="bullet"/>
      <w:lvlText w:val="•"/>
      <w:lvlJc w:val="left"/>
      <w:pPr>
        <w:ind w:left="2873" w:hanging="325"/>
      </w:pPr>
      <w:rPr>
        <w:rFonts w:hint="default"/>
        <w:lang w:val="vi" w:eastAsia="en-US" w:bidi="ar-SA"/>
      </w:rPr>
    </w:lvl>
    <w:lvl w:ilvl="3">
      <w:start w:val="0"/>
      <w:numFmt w:val="bullet"/>
      <w:lvlText w:val="•"/>
      <w:lvlJc w:val="left"/>
      <w:pPr>
        <w:ind w:left="3869" w:hanging="325"/>
      </w:pPr>
      <w:rPr>
        <w:rFonts w:hint="default"/>
        <w:lang w:val="vi" w:eastAsia="en-US" w:bidi="ar-SA"/>
      </w:rPr>
    </w:lvl>
    <w:lvl w:ilvl="4">
      <w:start w:val="0"/>
      <w:numFmt w:val="bullet"/>
      <w:lvlText w:val="•"/>
      <w:lvlJc w:val="left"/>
      <w:pPr>
        <w:ind w:left="4866" w:hanging="325"/>
      </w:pPr>
      <w:rPr>
        <w:rFonts w:hint="default"/>
        <w:lang w:val="vi" w:eastAsia="en-US" w:bidi="ar-SA"/>
      </w:rPr>
    </w:lvl>
    <w:lvl w:ilvl="5">
      <w:start w:val="0"/>
      <w:numFmt w:val="bullet"/>
      <w:lvlText w:val="•"/>
      <w:lvlJc w:val="left"/>
      <w:pPr>
        <w:ind w:left="5863" w:hanging="325"/>
      </w:pPr>
      <w:rPr>
        <w:rFonts w:hint="default"/>
        <w:lang w:val="vi" w:eastAsia="en-US" w:bidi="ar-SA"/>
      </w:rPr>
    </w:lvl>
    <w:lvl w:ilvl="6">
      <w:start w:val="0"/>
      <w:numFmt w:val="bullet"/>
      <w:lvlText w:val="•"/>
      <w:lvlJc w:val="left"/>
      <w:pPr>
        <w:ind w:left="6859" w:hanging="325"/>
      </w:pPr>
      <w:rPr>
        <w:rFonts w:hint="default"/>
        <w:lang w:val="vi" w:eastAsia="en-US" w:bidi="ar-SA"/>
      </w:rPr>
    </w:lvl>
    <w:lvl w:ilvl="7">
      <w:start w:val="0"/>
      <w:numFmt w:val="bullet"/>
      <w:lvlText w:val="•"/>
      <w:lvlJc w:val="left"/>
      <w:pPr>
        <w:ind w:left="7856" w:hanging="325"/>
      </w:pPr>
      <w:rPr>
        <w:rFonts w:hint="default"/>
        <w:lang w:val="vi" w:eastAsia="en-US" w:bidi="ar-SA"/>
      </w:rPr>
    </w:lvl>
    <w:lvl w:ilvl="8">
      <w:start w:val="0"/>
      <w:numFmt w:val="bullet"/>
      <w:lvlText w:val="•"/>
      <w:lvlJc w:val="left"/>
      <w:pPr>
        <w:ind w:left="8853" w:hanging="325"/>
      </w:pPr>
      <w:rPr>
        <w:rFonts w:hint="default"/>
        <w:lang w:val="vi" w:eastAsia="en-US" w:bidi="ar-SA"/>
      </w:rPr>
    </w:lvl>
  </w:abstractNum>
  <w:abstractNum w:abstractNumId="30">
    <w:multiLevelType w:val="hybridMultilevel"/>
    <w:lvl w:ilvl="0">
      <w:start w:val="1"/>
      <w:numFmt w:val="decimal"/>
      <w:lvlText w:val="%1."/>
      <w:lvlJc w:val="left"/>
      <w:pPr>
        <w:ind w:left="882" w:hanging="296"/>
        <w:jc w:val="left"/>
      </w:pPr>
      <w:rPr>
        <w:rFonts w:hint="default" w:ascii="Times New Roman" w:hAnsi="Times New Roman" w:eastAsia="Times New Roman" w:cs="Times New Roman"/>
        <w:w w:val="99"/>
        <w:sz w:val="26"/>
        <w:szCs w:val="26"/>
        <w:lang w:val="vi" w:eastAsia="en-US" w:bidi="ar-SA"/>
      </w:rPr>
    </w:lvl>
    <w:lvl w:ilvl="1">
      <w:start w:val="0"/>
      <w:numFmt w:val="bullet"/>
      <w:lvlText w:val="•"/>
      <w:lvlJc w:val="left"/>
      <w:pPr>
        <w:ind w:left="1876" w:hanging="296"/>
      </w:pPr>
      <w:rPr>
        <w:rFonts w:hint="default"/>
        <w:lang w:val="vi" w:eastAsia="en-US" w:bidi="ar-SA"/>
      </w:rPr>
    </w:lvl>
    <w:lvl w:ilvl="2">
      <w:start w:val="0"/>
      <w:numFmt w:val="bullet"/>
      <w:lvlText w:val="•"/>
      <w:lvlJc w:val="left"/>
      <w:pPr>
        <w:ind w:left="2873" w:hanging="296"/>
      </w:pPr>
      <w:rPr>
        <w:rFonts w:hint="default"/>
        <w:lang w:val="vi" w:eastAsia="en-US" w:bidi="ar-SA"/>
      </w:rPr>
    </w:lvl>
    <w:lvl w:ilvl="3">
      <w:start w:val="0"/>
      <w:numFmt w:val="bullet"/>
      <w:lvlText w:val="•"/>
      <w:lvlJc w:val="left"/>
      <w:pPr>
        <w:ind w:left="3869" w:hanging="296"/>
      </w:pPr>
      <w:rPr>
        <w:rFonts w:hint="default"/>
        <w:lang w:val="vi" w:eastAsia="en-US" w:bidi="ar-SA"/>
      </w:rPr>
    </w:lvl>
    <w:lvl w:ilvl="4">
      <w:start w:val="0"/>
      <w:numFmt w:val="bullet"/>
      <w:lvlText w:val="•"/>
      <w:lvlJc w:val="left"/>
      <w:pPr>
        <w:ind w:left="4866" w:hanging="296"/>
      </w:pPr>
      <w:rPr>
        <w:rFonts w:hint="default"/>
        <w:lang w:val="vi" w:eastAsia="en-US" w:bidi="ar-SA"/>
      </w:rPr>
    </w:lvl>
    <w:lvl w:ilvl="5">
      <w:start w:val="0"/>
      <w:numFmt w:val="bullet"/>
      <w:lvlText w:val="•"/>
      <w:lvlJc w:val="left"/>
      <w:pPr>
        <w:ind w:left="5863" w:hanging="296"/>
      </w:pPr>
      <w:rPr>
        <w:rFonts w:hint="default"/>
        <w:lang w:val="vi" w:eastAsia="en-US" w:bidi="ar-SA"/>
      </w:rPr>
    </w:lvl>
    <w:lvl w:ilvl="6">
      <w:start w:val="0"/>
      <w:numFmt w:val="bullet"/>
      <w:lvlText w:val="•"/>
      <w:lvlJc w:val="left"/>
      <w:pPr>
        <w:ind w:left="6859" w:hanging="296"/>
      </w:pPr>
      <w:rPr>
        <w:rFonts w:hint="default"/>
        <w:lang w:val="vi" w:eastAsia="en-US" w:bidi="ar-SA"/>
      </w:rPr>
    </w:lvl>
    <w:lvl w:ilvl="7">
      <w:start w:val="0"/>
      <w:numFmt w:val="bullet"/>
      <w:lvlText w:val="•"/>
      <w:lvlJc w:val="left"/>
      <w:pPr>
        <w:ind w:left="7856" w:hanging="296"/>
      </w:pPr>
      <w:rPr>
        <w:rFonts w:hint="default"/>
        <w:lang w:val="vi" w:eastAsia="en-US" w:bidi="ar-SA"/>
      </w:rPr>
    </w:lvl>
    <w:lvl w:ilvl="8">
      <w:start w:val="0"/>
      <w:numFmt w:val="bullet"/>
      <w:lvlText w:val="•"/>
      <w:lvlJc w:val="left"/>
      <w:pPr>
        <w:ind w:left="8853" w:hanging="296"/>
      </w:pPr>
      <w:rPr>
        <w:rFonts w:hint="default"/>
        <w:lang w:val="vi" w:eastAsia="en-US" w:bidi="ar-SA"/>
      </w:rPr>
    </w:lvl>
  </w:abstractNum>
  <w:abstractNum w:abstractNumId="29">
    <w:multiLevelType w:val="hybridMultilevel"/>
    <w:lvl w:ilvl="0">
      <w:start w:val="0"/>
      <w:numFmt w:val="bullet"/>
      <w:lvlText w:val=""/>
      <w:lvlJc w:val="left"/>
      <w:pPr>
        <w:ind w:left="882" w:hanging="284"/>
      </w:pPr>
      <w:rPr>
        <w:rFonts w:hint="default" w:ascii="Symbol" w:hAnsi="Symbol" w:eastAsia="Symbol" w:cs="Symbol"/>
        <w:w w:val="99"/>
        <w:sz w:val="26"/>
        <w:szCs w:val="26"/>
        <w:lang w:val="vi" w:eastAsia="en-US" w:bidi="ar-SA"/>
      </w:rPr>
    </w:lvl>
    <w:lvl w:ilvl="1">
      <w:start w:val="0"/>
      <w:numFmt w:val="bullet"/>
      <w:lvlText w:val="•"/>
      <w:lvlJc w:val="left"/>
      <w:pPr>
        <w:ind w:left="1876" w:hanging="284"/>
      </w:pPr>
      <w:rPr>
        <w:rFonts w:hint="default"/>
        <w:lang w:val="vi" w:eastAsia="en-US" w:bidi="ar-SA"/>
      </w:rPr>
    </w:lvl>
    <w:lvl w:ilvl="2">
      <w:start w:val="0"/>
      <w:numFmt w:val="bullet"/>
      <w:lvlText w:val="•"/>
      <w:lvlJc w:val="left"/>
      <w:pPr>
        <w:ind w:left="2873" w:hanging="284"/>
      </w:pPr>
      <w:rPr>
        <w:rFonts w:hint="default"/>
        <w:lang w:val="vi" w:eastAsia="en-US" w:bidi="ar-SA"/>
      </w:rPr>
    </w:lvl>
    <w:lvl w:ilvl="3">
      <w:start w:val="0"/>
      <w:numFmt w:val="bullet"/>
      <w:lvlText w:val="•"/>
      <w:lvlJc w:val="left"/>
      <w:pPr>
        <w:ind w:left="3869" w:hanging="284"/>
      </w:pPr>
      <w:rPr>
        <w:rFonts w:hint="default"/>
        <w:lang w:val="vi" w:eastAsia="en-US" w:bidi="ar-SA"/>
      </w:rPr>
    </w:lvl>
    <w:lvl w:ilvl="4">
      <w:start w:val="0"/>
      <w:numFmt w:val="bullet"/>
      <w:lvlText w:val="•"/>
      <w:lvlJc w:val="left"/>
      <w:pPr>
        <w:ind w:left="4866" w:hanging="284"/>
      </w:pPr>
      <w:rPr>
        <w:rFonts w:hint="default"/>
        <w:lang w:val="vi" w:eastAsia="en-US" w:bidi="ar-SA"/>
      </w:rPr>
    </w:lvl>
    <w:lvl w:ilvl="5">
      <w:start w:val="0"/>
      <w:numFmt w:val="bullet"/>
      <w:lvlText w:val="•"/>
      <w:lvlJc w:val="left"/>
      <w:pPr>
        <w:ind w:left="5863" w:hanging="284"/>
      </w:pPr>
      <w:rPr>
        <w:rFonts w:hint="default"/>
        <w:lang w:val="vi" w:eastAsia="en-US" w:bidi="ar-SA"/>
      </w:rPr>
    </w:lvl>
    <w:lvl w:ilvl="6">
      <w:start w:val="0"/>
      <w:numFmt w:val="bullet"/>
      <w:lvlText w:val="•"/>
      <w:lvlJc w:val="left"/>
      <w:pPr>
        <w:ind w:left="6859" w:hanging="284"/>
      </w:pPr>
      <w:rPr>
        <w:rFonts w:hint="default"/>
        <w:lang w:val="vi" w:eastAsia="en-US" w:bidi="ar-SA"/>
      </w:rPr>
    </w:lvl>
    <w:lvl w:ilvl="7">
      <w:start w:val="0"/>
      <w:numFmt w:val="bullet"/>
      <w:lvlText w:val="•"/>
      <w:lvlJc w:val="left"/>
      <w:pPr>
        <w:ind w:left="7856" w:hanging="284"/>
      </w:pPr>
      <w:rPr>
        <w:rFonts w:hint="default"/>
        <w:lang w:val="vi" w:eastAsia="en-US" w:bidi="ar-SA"/>
      </w:rPr>
    </w:lvl>
    <w:lvl w:ilvl="8">
      <w:start w:val="0"/>
      <w:numFmt w:val="bullet"/>
      <w:lvlText w:val="•"/>
      <w:lvlJc w:val="left"/>
      <w:pPr>
        <w:ind w:left="8853" w:hanging="284"/>
      </w:pPr>
      <w:rPr>
        <w:rFonts w:hint="default"/>
        <w:lang w:val="vi" w:eastAsia="en-US" w:bidi="ar-SA"/>
      </w:rPr>
    </w:lvl>
  </w:abstractNum>
  <w:abstractNum w:abstractNumId="28">
    <w:multiLevelType w:val="hybridMultilevel"/>
    <w:lvl w:ilvl="0">
      <w:start w:val="5"/>
      <w:numFmt w:val="decimal"/>
      <w:lvlText w:val="%1"/>
      <w:lvlJc w:val="left"/>
      <w:pPr>
        <w:ind w:left="1270" w:hanging="389"/>
        <w:jc w:val="left"/>
      </w:pPr>
      <w:rPr>
        <w:rFonts w:hint="default"/>
        <w:lang w:val="vi" w:eastAsia="en-US" w:bidi="ar-SA"/>
      </w:rPr>
    </w:lvl>
    <w:lvl w:ilvl="1">
      <w:start w:val="1"/>
      <w:numFmt w:val="decimal"/>
      <w:lvlText w:val="%1.%2"/>
      <w:lvlJc w:val="left"/>
      <w:pPr>
        <w:ind w:left="1270" w:hanging="389"/>
        <w:jc w:val="left"/>
      </w:pPr>
      <w:rPr>
        <w:rFonts w:hint="default" w:ascii="Times New Roman" w:hAnsi="Times New Roman" w:eastAsia="Times New Roman" w:cs="Times New Roman"/>
        <w:b/>
        <w:bCs/>
        <w:w w:val="99"/>
        <w:sz w:val="26"/>
        <w:szCs w:val="26"/>
        <w:lang w:val="vi" w:eastAsia="en-US" w:bidi="ar-SA"/>
      </w:rPr>
    </w:lvl>
    <w:lvl w:ilvl="2">
      <w:start w:val="1"/>
      <w:numFmt w:val="decimal"/>
      <w:lvlText w:val="%1.%2.%3"/>
      <w:lvlJc w:val="left"/>
      <w:pPr>
        <w:ind w:left="1465" w:hanging="584"/>
        <w:jc w:val="left"/>
      </w:pPr>
      <w:rPr>
        <w:rFonts w:hint="default" w:ascii="Times New Roman" w:hAnsi="Times New Roman" w:eastAsia="Times New Roman" w:cs="Times New Roman"/>
        <w:b/>
        <w:bCs/>
        <w:spacing w:val="-1"/>
        <w:w w:val="99"/>
        <w:sz w:val="26"/>
        <w:szCs w:val="26"/>
        <w:lang w:val="vi" w:eastAsia="en-US" w:bidi="ar-SA"/>
      </w:rPr>
    </w:lvl>
    <w:lvl w:ilvl="3">
      <w:start w:val="0"/>
      <w:numFmt w:val="bullet"/>
      <w:lvlText w:val=""/>
      <w:lvlJc w:val="left"/>
      <w:pPr>
        <w:ind w:left="1602" w:hanging="360"/>
      </w:pPr>
      <w:rPr>
        <w:rFonts w:hint="default" w:ascii="Wingdings" w:hAnsi="Wingdings" w:eastAsia="Wingdings" w:cs="Wingdings"/>
        <w:w w:val="99"/>
        <w:sz w:val="26"/>
        <w:szCs w:val="26"/>
        <w:lang w:val="vi" w:eastAsia="en-US" w:bidi="ar-SA"/>
      </w:rPr>
    </w:lvl>
    <w:lvl w:ilvl="4">
      <w:start w:val="0"/>
      <w:numFmt w:val="bullet"/>
      <w:lvlText w:val="•"/>
      <w:lvlJc w:val="left"/>
      <w:pPr>
        <w:ind w:left="3911" w:hanging="360"/>
      </w:pPr>
      <w:rPr>
        <w:rFonts w:hint="default"/>
        <w:lang w:val="vi" w:eastAsia="en-US" w:bidi="ar-SA"/>
      </w:rPr>
    </w:lvl>
    <w:lvl w:ilvl="5">
      <w:start w:val="0"/>
      <w:numFmt w:val="bullet"/>
      <w:lvlText w:val="•"/>
      <w:lvlJc w:val="left"/>
      <w:pPr>
        <w:ind w:left="5067" w:hanging="360"/>
      </w:pPr>
      <w:rPr>
        <w:rFonts w:hint="default"/>
        <w:lang w:val="vi" w:eastAsia="en-US" w:bidi="ar-SA"/>
      </w:rPr>
    </w:lvl>
    <w:lvl w:ilvl="6">
      <w:start w:val="0"/>
      <w:numFmt w:val="bullet"/>
      <w:lvlText w:val="•"/>
      <w:lvlJc w:val="left"/>
      <w:pPr>
        <w:ind w:left="6223" w:hanging="360"/>
      </w:pPr>
      <w:rPr>
        <w:rFonts w:hint="default"/>
        <w:lang w:val="vi" w:eastAsia="en-US" w:bidi="ar-SA"/>
      </w:rPr>
    </w:lvl>
    <w:lvl w:ilvl="7">
      <w:start w:val="0"/>
      <w:numFmt w:val="bullet"/>
      <w:lvlText w:val="•"/>
      <w:lvlJc w:val="left"/>
      <w:pPr>
        <w:ind w:left="7379" w:hanging="360"/>
      </w:pPr>
      <w:rPr>
        <w:rFonts w:hint="default"/>
        <w:lang w:val="vi" w:eastAsia="en-US" w:bidi="ar-SA"/>
      </w:rPr>
    </w:lvl>
    <w:lvl w:ilvl="8">
      <w:start w:val="0"/>
      <w:numFmt w:val="bullet"/>
      <w:lvlText w:val="•"/>
      <w:lvlJc w:val="left"/>
      <w:pPr>
        <w:ind w:left="8534" w:hanging="360"/>
      </w:pPr>
      <w:rPr>
        <w:rFonts w:hint="default"/>
        <w:lang w:val="vi" w:eastAsia="en-US" w:bidi="ar-SA"/>
      </w:rPr>
    </w:lvl>
  </w:abstractNum>
  <w:abstractNum w:abstractNumId="27">
    <w:multiLevelType w:val="hybridMultilevel"/>
    <w:lvl w:ilvl="0">
      <w:start w:val="0"/>
      <w:numFmt w:val="bullet"/>
      <w:lvlText w:val="-"/>
      <w:lvlJc w:val="left"/>
      <w:pPr>
        <w:ind w:left="882" w:hanging="173"/>
      </w:pPr>
      <w:rPr>
        <w:rFonts w:hint="default" w:ascii="Times New Roman" w:hAnsi="Times New Roman" w:eastAsia="Times New Roman" w:cs="Times New Roman"/>
        <w:w w:val="99"/>
        <w:sz w:val="26"/>
        <w:szCs w:val="26"/>
        <w:lang w:val="vi" w:eastAsia="en-US" w:bidi="ar-SA"/>
      </w:rPr>
    </w:lvl>
    <w:lvl w:ilvl="1">
      <w:start w:val="0"/>
      <w:numFmt w:val="bullet"/>
      <w:lvlText w:val="•"/>
      <w:lvlJc w:val="left"/>
      <w:pPr>
        <w:ind w:left="1876" w:hanging="173"/>
      </w:pPr>
      <w:rPr>
        <w:rFonts w:hint="default"/>
        <w:lang w:val="vi" w:eastAsia="en-US" w:bidi="ar-SA"/>
      </w:rPr>
    </w:lvl>
    <w:lvl w:ilvl="2">
      <w:start w:val="0"/>
      <w:numFmt w:val="bullet"/>
      <w:lvlText w:val="•"/>
      <w:lvlJc w:val="left"/>
      <w:pPr>
        <w:ind w:left="2873" w:hanging="173"/>
      </w:pPr>
      <w:rPr>
        <w:rFonts w:hint="default"/>
        <w:lang w:val="vi" w:eastAsia="en-US" w:bidi="ar-SA"/>
      </w:rPr>
    </w:lvl>
    <w:lvl w:ilvl="3">
      <w:start w:val="0"/>
      <w:numFmt w:val="bullet"/>
      <w:lvlText w:val="•"/>
      <w:lvlJc w:val="left"/>
      <w:pPr>
        <w:ind w:left="3869" w:hanging="173"/>
      </w:pPr>
      <w:rPr>
        <w:rFonts w:hint="default"/>
        <w:lang w:val="vi" w:eastAsia="en-US" w:bidi="ar-SA"/>
      </w:rPr>
    </w:lvl>
    <w:lvl w:ilvl="4">
      <w:start w:val="0"/>
      <w:numFmt w:val="bullet"/>
      <w:lvlText w:val="•"/>
      <w:lvlJc w:val="left"/>
      <w:pPr>
        <w:ind w:left="4866" w:hanging="173"/>
      </w:pPr>
      <w:rPr>
        <w:rFonts w:hint="default"/>
        <w:lang w:val="vi" w:eastAsia="en-US" w:bidi="ar-SA"/>
      </w:rPr>
    </w:lvl>
    <w:lvl w:ilvl="5">
      <w:start w:val="0"/>
      <w:numFmt w:val="bullet"/>
      <w:lvlText w:val="•"/>
      <w:lvlJc w:val="left"/>
      <w:pPr>
        <w:ind w:left="5863" w:hanging="173"/>
      </w:pPr>
      <w:rPr>
        <w:rFonts w:hint="default"/>
        <w:lang w:val="vi" w:eastAsia="en-US" w:bidi="ar-SA"/>
      </w:rPr>
    </w:lvl>
    <w:lvl w:ilvl="6">
      <w:start w:val="0"/>
      <w:numFmt w:val="bullet"/>
      <w:lvlText w:val="•"/>
      <w:lvlJc w:val="left"/>
      <w:pPr>
        <w:ind w:left="6859" w:hanging="173"/>
      </w:pPr>
      <w:rPr>
        <w:rFonts w:hint="default"/>
        <w:lang w:val="vi" w:eastAsia="en-US" w:bidi="ar-SA"/>
      </w:rPr>
    </w:lvl>
    <w:lvl w:ilvl="7">
      <w:start w:val="0"/>
      <w:numFmt w:val="bullet"/>
      <w:lvlText w:val="•"/>
      <w:lvlJc w:val="left"/>
      <w:pPr>
        <w:ind w:left="7856" w:hanging="173"/>
      </w:pPr>
      <w:rPr>
        <w:rFonts w:hint="default"/>
        <w:lang w:val="vi" w:eastAsia="en-US" w:bidi="ar-SA"/>
      </w:rPr>
    </w:lvl>
    <w:lvl w:ilvl="8">
      <w:start w:val="0"/>
      <w:numFmt w:val="bullet"/>
      <w:lvlText w:val="•"/>
      <w:lvlJc w:val="left"/>
      <w:pPr>
        <w:ind w:left="8853" w:hanging="173"/>
      </w:pPr>
      <w:rPr>
        <w:rFonts w:hint="default"/>
        <w:lang w:val="vi" w:eastAsia="en-US" w:bidi="ar-SA"/>
      </w:rPr>
    </w:lvl>
  </w:abstractNum>
  <w:abstractNum w:abstractNumId="26">
    <w:multiLevelType w:val="hybridMultilevel"/>
    <w:lvl w:ilvl="0">
      <w:start w:val="0"/>
      <w:numFmt w:val="bullet"/>
      <w:lvlText w:val="-"/>
      <w:lvlJc w:val="left"/>
      <w:pPr>
        <w:ind w:left="882" w:hanging="176"/>
      </w:pPr>
      <w:rPr>
        <w:rFonts w:hint="default" w:ascii="Times New Roman" w:hAnsi="Times New Roman" w:eastAsia="Times New Roman" w:cs="Times New Roman"/>
        <w:w w:val="99"/>
        <w:sz w:val="26"/>
        <w:szCs w:val="26"/>
        <w:lang w:val="vi" w:eastAsia="en-US" w:bidi="ar-SA"/>
      </w:rPr>
    </w:lvl>
    <w:lvl w:ilvl="1">
      <w:start w:val="0"/>
      <w:numFmt w:val="bullet"/>
      <w:lvlText w:val=""/>
      <w:lvlJc w:val="left"/>
      <w:pPr>
        <w:ind w:left="1602" w:hanging="360"/>
      </w:pPr>
      <w:rPr>
        <w:rFonts w:hint="default" w:ascii="Wingdings" w:hAnsi="Wingdings" w:eastAsia="Wingdings" w:cs="Wingdings"/>
        <w:w w:val="99"/>
        <w:sz w:val="26"/>
        <w:szCs w:val="26"/>
        <w:lang w:val="vi" w:eastAsia="en-US" w:bidi="ar-SA"/>
      </w:rPr>
    </w:lvl>
    <w:lvl w:ilvl="2">
      <w:start w:val="0"/>
      <w:numFmt w:val="bullet"/>
      <w:lvlText w:val="•"/>
      <w:lvlJc w:val="left"/>
      <w:pPr>
        <w:ind w:left="2627" w:hanging="360"/>
      </w:pPr>
      <w:rPr>
        <w:rFonts w:hint="default"/>
        <w:lang w:val="vi" w:eastAsia="en-US" w:bidi="ar-SA"/>
      </w:rPr>
    </w:lvl>
    <w:lvl w:ilvl="3">
      <w:start w:val="0"/>
      <w:numFmt w:val="bullet"/>
      <w:lvlText w:val="•"/>
      <w:lvlJc w:val="left"/>
      <w:pPr>
        <w:ind w:left="3654" w:hanging="360"/>
      </w:pPr>
      <w:rPr>
        <w:rFonts w:hint="default"/>
        <w:lang w:val="vi" w:eastAsia="en-US" w:bidi="ar-SA"/>
      </w:rPr>
    </w:lvl>
    <w:lvl w:ilvl="4">
      <w:start w:val="0"/>
      <w:numFmt w:val="bullet"/>
      <w:lvlText w:val="•"/>
      <w:lvlJc w:val="left"/>
      <w:pPr>
        <w:ind w:left="4682" w:hanging="360"/>
      </w:pPr>
      <w:rPr>
        <w:rFonts w:hint="default"/>
        <w:lang w:val="vi" w:eastAsia="en-US" w:bidi="ar-SA"/>
      </w:rPr>
    </w:lvl>
    <w:lvl w:ilvl="5">
      <w:start w:val="0"/>
      <w:numFmt w:val="bullet"/>
      <w:lvlText w:val="•"/>
      <w:lvlJc w:val="left"/>
      <w:pPr>
        <w:ind w:left="5709" w:hanging="360"/>
      </w:pPr>
      <w:rPr>
        <w:rFonts w:hint="default"/>
        <w:lang w:val="vi" w:eastAsia="en-US" w:bidi="ar-SA"/>
      </w:rPr>
    </w:lvl>
    <w:lvl w:ilvl="6">
      <w:start w:val="0"/>
      <w:numFmt w:val="bullet"/>
      <w:lvlText w:val="•"/>
      <w:lvlJc w:val="left"/>
      <w:pPr>
        <w:ind w:left="6736" w:hanging="360"/>
      </w:pPr>
      <w:rPr>
        <w:rFonts w:hint="default"/>
        <w:lang w:val="vi" w:eastAsia="en-US" w:bidi="ar-SA"/>
      </w:rPr>
    </w:lvl>
    <w:lvl w:ilvl="7">
      <w:start w:val="0"/>
      <w:numFmt w:val="bullet"/>
      <w:lvlText w:val="•"/>
      <w:lvlJc w:val="left"/>
      <w:pPr>
        <w:ind w:left="7764" w:hanging="360"/>
      </w:pPr>
      <w:rPr>
        <w:rFonts w:hint="default"/>
        <w:lang w:val="vi" w:eastAsia="en-US" w:bidi="ar-SA"/>
      </w:rPr>
    </w:lvl>
    <w:lvl w:ilvl="8">
      <w:start w:val="0"/>
      <w:numFmt w:val="bullet"/>
      <w:lvlText w:val="•"/>
      <w:lvlJc w:val="left"/>
      <w:pPr>
        <w:ind w:left="8791" w:hanging="360"/>
      </w:pPr>
      <w:rPr>
        <w:rFonts w:hint="default"/>
        <w:lang w:val="vi" w:eastAsia="en-US" w:bidi="ar-SA"/>
      </w:rPr>
    </w:lvl>
  </w:abstractNum>
  <w:abstractNum w:abstractNumId="25">
    <w:multiLevelType w:val="hybridMultilevel"/>
    <w:lvl w:ilvl="0">
      <w:start w:val="4"/>
      <w:numFmt w:val="decimal"/>
      <w:lvlText w:val="%1"/>
      <w:lvlJc w:val="left"/>
      <w:pPr>
        <w:ind w:left="1270" w:hanging="389"/>
        <w:jc w:val="left"/>
      </w:pPr>
      <w:rPr>
        <w:rFonts w:hint="default"/>
        <w:lang w:val="vi" w:eastAsia="en-US" w:bidi="ar-SA"/>
      </w:rPr>
    </w:lvl>
    <w:lvl w:ilvl="1">
      <w:start w:val="1"/>
      <w:numFmt w:val="decimal"/>
      <w:lvlText w:val="%1.%2"/>
      <w:lvlJc w:val="left"/>
      <w:pPr>
        <w:ind w:left="1270" w:hanging="389"/>
        <w:jc w:val="left"/>
      </w:pPr>
      <w:rPr>
        <w:rFonts w:hint="default" w:ascii="Times New Roman" w:hAnsi="Times New Roman" w:eastAsia="Times New Roman" w:cs="Times New Roman"/>
        <w:b/>
        <w:bCs/>
        <w:w w:val="99"/>
        <w:sz w:val="26"/>
        <w:szCs w:val="26"/>
        <w:lang w:val="vi" w:eastAsia="en-US" w:bidi="ar-SA"/>
      </w:rPr>
    </w:lvl>
    <w:lvl w:ilvl="2">
      <w:start w:val="1"/>
      <w:numFmt w:val="decimal"/>
      <w:lvlText w:val="%1.%2.%3"/>
      <w:lvlJc w:val="left"/>
      <w:pPr>
        <w:ind w:left="1465" w:hanging="584"/>
        <w:jc w:val="left"/>
      </w:pPr>
      <w:rPr>
        <w:rFonts w:hint="default"/>
        <w:b/>
        <w:bCs/>
        <w:i/>
        <w:w w:val="99"/>
        <w:lang w:val="vi" w:eastAsia="en-US" w:bidi="ar-SA"/>
      </w:rPr>
    </w:lvl>
    <w:lvl w:ilvl="3">
      <w:start w:val="0"/>
      <w:numFmt w:val="bullet"/>
      <w:lvlText w:val="•"/>
      <w:lvlJc w:val="left"/>
      <w:pPr>
        <w:ind w:left="2633" w:hanging="584"/>
      </w:pPr>
      <w:rPr>
        <w:rFonts w:hint="default"/>
        <w:lang w:val="vi" w:eastAsia="en-US" w:bidi="ar-SA"/>
      </w:rPr>
    </w:lvl>
    <w:lvl w:ilvl="4">
      <w:start w:val="0"/>
      <w:numFmt w:val="bullet"/>
      <w:lvlText w:val="•"/>
      <w:lvlJc w:val="left"/>
      <w:pPr>
        <w:ind w:left="3806" w:hanging="584"/>
      </w:pPr>
      <w:rPr>
        <w:rFonts w:hint="default"/>
        <w:lang w:val="vi" w:eastAsia="en-US" w:bidi="ar-SA"/>
      </w:rPr>
    </w:lvl>
    <w:lvl w:ilvl="5">
      <w:start w:val="0"/>
      <w:numFmt w:val="bullet"/>
      <w:lvlText w:val="•"/>
      <w:lvlJc w:val="left"/>
      <w:pPr>
        <w:ind w:left="4979" w:hanging="584"/>
      </w:pPr>
      <w:rPr>
        <w:rFonts w:hint="default"/>
        <w:lang w:val="vi" w:eastAsia="en-US" w:bidi="ar-SA"/>
      </w:rPr>
    </w:lvl>
    <w:lvl w:ilvl="6">
      <w:start w:val="0"/>
      <w:numFmt w:val="bullet"/>
      <w:lvlText w:val="•"/>
      <w:lvlJc w:val="left"/>
      <w:pPr>
        <w:ind w:left="6153" w:hanging="584"/>
      </w:pPr>
      <w:rPr>
        <w:rFonts w:hint="default"/>
        <w:lang w:val="vi" w:eastAsia="en-US" w:bidi="ar-SA"/>
      </w:rPr>
    </w:lvl>
    <w:lvl w:ilvl="7">
      <w:start w:val="0"/>
      <w:numFmt w:val="bullet"/>
      <w:lvlText w:val="•"/>
      <w:lvlJc w:val="left"/>
      <w:pPr>
        <w:ind w:left="7326" w:hanging="584"/>
      </w:pPr>
      <w:rPr>
        <w:rFonts w:hint="default"/>
        <w:lang w:val="vi" w:eastAsia="en-US" w:bidi="ar-SA"/>
      </w:rPr>
    </w:lvl>
    <w:lvl w:ilvl="8">
      <w:start w:val="0"/>
      <w:numFmt w:val="bullet"/>
      <w:lvlText w:val="•"/>
      <w:lvlJc w:val="left"/>
      <w:pPr>
        <w:ind w:left="8499" w:hanging="584"/>
      </w:pPr>
      <w:rPr>
        <w:rFonts w:hint="default"/>
        <w:lang w:val="vi" w:eastAsia="en-US" w:bidi="ar-SA"/>
      </w:rPr>
    </w:lvl>
  </w:abstractNum>
  <w:abstractNum w:abstractNumId="24">
    <w:multiLevelType w:val="hybridMultilevel"/>
    <w:lvl w:ilvl="0">
      <w:start w:val="0"/>
      <w:numFmt w:val="bullet"/>
      <w:lvlText w:val="-"/>
      <w:lvlJc w:val="left"/>
      <w:pPr>
        <w:ind w:left="882" w:hanging="185"/>
      </w:pPr>
      <w:rPr>
        <w:rFonts w:hint="default" w:ascii="Times New Roman" w:hAnsi="Times New Roman" w:eastAsia="Times New Roman" w:cs="Times New Roman"/>
        <w:b/>
        <w:bCs/>
        <w:i/>
        <w:w w:val="99"/>
        <w:sz w:val="26"/>
        <w:szCs w:val="26"/>
        <w:lang w:val="vi" w:eastAsia="en-US" w:bidi="ar-SA"/>
      </w:rPr>
    </w:lvl>
    <w:lvl w:ilvl="1">
      <w:start w:val="0"/>
      <w:numFmt w:val="bullet"/>
      <w:lvlText w:val="•"/>
      <w:lvlJc w:val="left"/>
      <w:pPr>
        <w:ind w:left="1876" w:hanging="185"/>
      </w:pPr>
      <w:rPr>
        <w:rFonts w:hint="default"/>
        <w:lang w:val="vi" w:eastAsia="en-US" w:bidi="ar-SA"/>
      </w:rPr>
    </w:lvl>
    <w:lvl w:ilvl="2">
      <w:start w:val="0"/>
      <w:numFmt w:val="bullet"/>
      <w:lvlText w:val="•"/>
      <w:lvlJc w:val="left"/>
      <w:pPr>
        <w:ind w:left="2873" w:hanging="185"/>
      </w:pPr>
      <w:rPr>
        <w:rFonts w:hint="default"/>
        <w:lang w:val="vi" w:eastAsia="en-US" w:bidi="ar-SA"/>
      </w:rPr>
    </w:lvl>
    <w:lvl w:ilvl="3">
      <w:start w:val="0"/>
      <w:numFmt w:val="bullet"/>
      <w:lvlText w:val="•"/>
      <w:lvlJc w:val="left"/>
      <w:pPr>
        <w:ind w:left="3869" w:hanging="185"/>
      </w:pPr>
      <w:rPr>
        <w:rFonts w:hint="default"/>
        <w:lang w:val="vi" w:eastAsia="en-US" w:bidi="ar-SA"/>
      </w:rPr>
    </w:lvl>
    <w:lvl w:ilvl="4">
      <w:start w:val="0"/>
      <w:numFmt w:val="bullet"/>
      <w:lvlText w:val="•"/>
      <w:lvlJc w:val="left"/>
      <w:pPr>
        <w:ind w:left="4866" w:hanging="185"/>
      </w:pPr>
      <w:rPr>
        <w:rFonts w:hint="default"/>
        <w:lang w:val="vi" w:eastAsia="en-US" w:bidi="ar-SA"/>
      </w:rPr>
    </w:lvl>
    <w:lvl w:ilvl="5">
      <w:start w:val="0"/>
      <w:numFmt w:val="bullet"/>
      <w:lvlText w:val="•"/>
      <w:lvlJc w:val="left"/>
      <w:pPr>
        <w:ind w:left="5863" w:hanging="185"/>
      </w:pPr>
      <w:rPr>
        <w:rFonts w:hint="default"/>
        <w:lang w:val="vi" w:eastAsia="en-US" w:bidi="ar-SA"/>
      </w:rPr>
    </w:lvl>
    <w:lvl w:ilvl="6">
      <w:start w:val="0"/>
      <w:numFmt w:val="bullet"/>
      <w:lvlText w:val="•"/>
      <w:lvlJc w:val="left"/>
      <w:pPr>
        <w:ind w:left="6859" w:hanging="185"/>
      </w:pPr>
      <w:rPr>
        <w:rFonts w:hint="default"/>
        <w:lang w:val="vi" w:eastAsia="en-US" w:bidi="ar-SA"/>
      </w:rPr>
    </w:lvl>
    <w:lvl w:ilvl="7">
      <w:start w:val="0"/>
      <w:numFmt w:val="bullet"/>
      <w:lvlText w:val="•"/>
      <w:lvlJc w:val="left"/>
      <w:pPr>
        <w:ind w:left="7856" w:hanging="185"/>
      </w:pPr>
      <w:rPr>
        <w:rFonts w:hint="default"/>
        <w:lang w:val="vi" w:eastAsia="en-US" w:bidi="ar-SA"/>
      </w:rPr>
    </w:lvl>
    <w:lvl w:ilvl="8">
      <w:start w:val="0"/>
      <w:numFmt w:val="bullet"/>
      <w:lvlText w:val="•"/>
      <w:lvlJc w:val="left"/>
      <w:pPr>
        <w:ind w:left="8853" w:hanging="185"/>
      </w:pPr>
      <w:rPr>
        <w:rFonts w:hint="default"/>
        <w:lang w:val="vi" w:eastAsia="en-US" w:bidi="ar-SA"/>
      </w:rPr>
    </w:lvl>
  </w:abstractNum>
  <w:abstractNum w:abstractNumId="23">
    <w:multiLevelType w:val="hybridMultilevel"/>
    <w:lvl w:ilvl="0">
      <w:start w:val="3"/>
      <w:numFmt w:val="decimal"/>
      <w:lvlText w:val="%1"/>
      <w:lvlJc w:val="left"/>
      <w:pPr>
        <w:ind w:left="1602" w:hanging="389"/>
        <w:jc w:val="left"/>
      </w:pPr>
      <w:rPr>
        <w:rFonts w:hint="default"/>
        <w:lang w:val="vi" w:eastAsia="en-US" w:bidi="ar-SA"/>
      </w:rPr>
    </w:lvl>
    <w:lvl w:ilvl="1">
      <w:start w:val="1"/>
      <w:numFmt w:val="decimal"/>
      <w:lvlText w:val="%1.%2"/>
      <w:lvlJc w:val="left"/>
      <w:pPr>
        <w:ind w:left="1602" w:hanging="389"/>
        <w:jc w:val="left"/>
      </w:pPr>
      <w:rPr>
        <w:rFonts w:hint="default"/>
        <w:b/>
        <w:bCs/>
        <w:w w:val="99"/>
        <w:lang w:val="vi" w:eastAsia="en-US" w:bidi="ar-SA"/>
      </w:rPr>
    </w:lvl>
    <w:lvl w:ilvl="2">
      <w:start w:val="1"/>
      <w:numFmt w:val="decimal"/>
      <w:lvlText w:val="%1.%2.%3"/>
      <w:lvlJc w:val="left"/>
      <w:pPr>
        <w:ind w:left="1465" w:hanging="584"/>
        <w:jc w:val="left"/>
      </w:pPr>
      <w:rPr>
        <w:rFonts w:hint="default" w:ascii="Times New Roman" w:hAnsi="Times New Roman" w:eastAsia="Times New Roman" w:cs="Times New Roman"/>
        <w:b/>
        <w:bCs/>
        <w:spacing w:val="-1"/>
        <w:w w:val="99"/>
        <w:sz w:val="26"/>
        <w:szCs w:val="26"/>
        <w:lang w:val="vi" w:eastAsia="en-US" w:bidi="ar-SA"/>
      </w:rPr>
    </w:lvl>
    <w:lvl w:ilvl="3">
      <w:start w:val="0"/>
      <w:numFmt w:val="bullet"/>
      <w:lvlText w:val=""/>
      <w:lvlJc w:val="left"/>
      <w:pPr>
        <w:ind w:left="1602" w:hanging="360"/>
      </w:pPr>
      <w:rPr>
        <w:rFonts w:hint="default" w:ascii="Wingdings" w:hAnsi="Wingdings" w:eastAsia="Wingdings" w:cs="Wingdings"/>
        <w:w w:val="99"/>
        <w:sz w:val="26"/>
        <w:szCs w:val="26"/>
        <w:lang w:val="vi" w:eastAsia="en-US" w:bidi="ar-SA"/>
      </w:rPr>
    </w:lvl>
    <w:lvl w:ilvl="4">
      <w:start w:val="0"/>
      <w:numFmt w:val="bullet"/>
      <w:lvlText w:val="•"/>
      <w:lvlJc w:val="left"/>
      <w:pPr>
        <w:ind w:left="3911" w:hanging="360"/>
      </w:pPr>
      <w:rPr>
        <w:rFonts w:hint="default"/>
        <w:lang w:val="vi" w:eastAsia="en-US" w:bidi="ar-SA"/>
      </w:rPr>
    </w:lvl>
    <w:lvl w:ilvl="5">
      <w:start w:val="0"/>
      <w:numFmt w:val="bullet"/>
      <w:lvlText w:val="•"/>
      <w:lvlJc w:val="left"/>
      <w:pPr>
        <w:ind w:left="5067" w:hanging="360"/>
      </w:pPr>
      <w:rPr>
        <w:rFonts w:hint="default"/>
        <w:lang w:val="vi" w:eastAsia="en-US" w:bidi="ar-SA"/>
      </w:rPr>
    </w:lvl>
    <w:lvl w:ilvl="6">
      <w:start w:val="0"/>
      <w:numFmt w:val="bullet"/>
      <w:lvlText w:val="•"/>
      <w:lvlJc w:val="left"/>
      <w:pPr>
        <w:ind w:left="6223" w:hanging="360"/>
      </w:pPr>
      <w:rPr>
        <w:rFonts w:hint="default"/>
        <w:lang w:val="vi" w:eastAsia="en-US" w:bidi="ar-SA"/>
      </w:rPr>
    </w:lvl>
    <w:lvl w:ilvl="7">
      <w:start w:val="0"/>
      <w:numFmt w:val="bullet"/>
      <w:lvlText w:val="•"/>
      <w:lvlJc w:val="left"/>
      <w:pPr>
        <w:ind w:left="7379" w:hanging="360"/>
      </w:pPr>
      <w:rPr>
        <w:rFonts w:hint="default"/>
        <w:lang w:val="vi" w:eastAsia="en-US" w:bidi="ar-SA"/>
      </w:rPr>
    </w:lvl>
    <w:lvl w:ilvl="8">
      <w:start w:val="0"/>
      <w:numFmt w:val="bullet"/>
      <w:lvlText w:val="•"/>
      <w:lvlJc w:val="left"/>
      <w:pPr>
        <w:ind w:left="8534" w:hanging="360"/>
      </w:pPr>
      <w:rPr>
        <w:rFonts w:hint="default"/>
        <w:lang w:val="vi" w:eastAsia="en-US" w:bidi="ar-SA"/>
      </w:rPr>
    </w:lvl>
  </w:abstractNum>
  <w:abstractNum w:abstractNumId="22">
    <w:multiLevelType w:val="hybridMultilevel"/>
    <w:lvl w:ilvl="0">
      <w:start w:val="0"/>
      <w:numFmt w:val="bullet"/>
      <w:lvlText w:val="-"/>
      <w:lvlJc w:val="left"/>
      <w:pPr>
        <w:ind w:left="882" w:hanging="185"/>
      </w:pPr>
      <w:rPr>
        <w:rFonts w:hint="default" w:ascii="Times New Roman" w:hAnsi="Times New Roman" w:eastAsia="Times New Roman" w:cs="Times New Roman"/>
        <w:w w:val="99"/>
        <w:sz w:val="26"/>
        <w:szCs w:val="26"/>
        <w:lang w:val="vi" w:eastAsia="en-US" w:bidi="ar-SA"/>
      </w:rPr>
    </w:lvl>
    <w:lvl w:ilvl="1">
      <w:start w:val="0"/>
      <w:numFmt w:val="bullet"/>
      <w:lvlText w:val="•"/>
      <w:lvlJc w:val="left"/>
      <w:pPr>
        <w:ind w:left="1876" w:hanging="185"/>
      </w:pPr>
      <w:rPr>
        <w:rFonts w:hint="default"/>
        <w:lang w:val="vi" w:eastAsia="en-US" w:bidi="ar-SA"/>
      </w:rPr>
    </w:lvl>
    <w:lvl w:ilvl="2">
      <w:start w:val="0"/>
      <w:numFmt w:val="bullet"/>
      <w:lvlText w:val="•"/>
      <w:lvlJc w:val="left"/>
      <w:pPr>
        <w:ind w:left="2873" w:hanging="185"/>
      </w:pPr>
      <w:rPr>
        <w:rFonts w:hint="default"/>
        <w:lang w:val="vi" w:eastAsia="en-US" w:bidi="ar-SA"/>
      </w:rPr>
    </w:lvl>
    <w:lvl w:ilvl="3">
      <w:start w:val="0"/>
      <w:numFmt w:val="bullet"/>
      <w:lvlText w:val="•"/>
      <w:lvlJc w:val="left"/>
      <w:pPr>
        <w:ind w:left="3869" w:hanging="185"/>
      </w:pPr>
      <w:rPr>
        <w:rFonts w:hint="default"/>
        <w:lang w:val="vi" w:eastAsia="en-US" w:bidi="ar-SA"/>
      </w:rPr>
    </w:lvl>
    <w:lvl w:ilvl="4">
      <w:start w:val="0"/>
      <w:numFmt w:val="bullet"/>
      <w:lvlText w:val="•"/>
      <w:lvlJc w:val="left"/>
      <w:pPr>
        <w:ind w:left="4866" w:hanging="185"/>
      </w:pPr>
      <w:rPr>
        <w:rFonts w:hint="default"/>
        <w:lang w:val="vi" w:eastAsia="en-US" w:bidi="ar-SA"/>
      </w:rPr>
    </w:lvl>
    <w:lvl w:ilvl="5">
      <w:start w:val="0"/>
      <w:numFmt w:val="bullet"/>
      <w:lvlText w:val="•"/>
      <w:lvlJc w:val="left"/>
      <w:pPr>
        <w:ind w:left="5863" w:hanging="185"/>
      </w:pPr>
      <w:rPr>
        <w:rFonts w:hint="default"/>
        <w:lang w:val="vi" w:eastAsia="en-US" w:bidi="ar-SA"/>
      </w:rPr>
    </w:lvl>
    <w:lvl w:ilvl="6">
      <w:start w:val="0"/>
      <w:numFmt w:val="bullet"/>
      <w:lvlText w:val="•"/>
      <w:lvlJc w:val="left"/>
      <w:pPr>
        <w:ind w:left="6859" w:hanging="185"/>
      </w:pPr>
      <w:rPr>
        <w:rFonts w:hint="default"/>
        <w:lang w:val="vi" w:eastAsia="en-US" w:bidi="ar-SA"/>
      </w:rPr>
    </w:lvl>
    <w:lvl w:ilvl="7">
      <w:start w:val="0"/>
      <w:numFmt w:val="bullet"/>
      <w:lvlText w:val="•"/>
      <w:lvlJc w:val="left"/>
      <w:pPr>
        <w:ind w:left="7856" w:hanging="185"/>
      </w:pPr>
      <w:rPr>
        <w:rFonts w:hint="default"/>
        <w:lang w:val="vi" w:eastAsia="en-US" w:bidi="ar-SA"/>
      </w:rPr>
    </w:lvl>
    <w:lvl w:ilvl="8">
      <w:start w:val="0"/>
      <w:numFmt w:val="bullet"/>
      <w:lvlText w:val="•"/>
      <w:lvlJc w:val="left"/>
      <w:pPr>
        <w:ind w:left="8853" w:hanging="185"/>
      </w:pPr>
      <w:rPr>
        <w:rFonts w:hint="default"/>
        <w:lang w:val="vi" w:eastAsia="en-US" w:bidi="ar-SA"/>
      </w:rPr>
    </w:lvl>
  </w:abstractNum>
  <w:abstractNum w:abstractNumId="21">
    <w:multiLevelType w:val="hybridMultilevel"/>
    <w:lvl w:ilvl="0">
      <w:start w:val="0"/>
      <w:numFmt w:val="bullet"/>
      <w:lvlText w:val="-"/>
      <w:lvlJc w:val="left"/>
      <w:pPr>
        <w:ind w:left="882" w:hanging="176"/>
      </w:pPr>
      <w:rPr>
        <w:rFonts w:hint="default" w:ascii="Times New Roman" w:hAnsi="Times New Roman" w:eastAsia="Times New Roman" w:cs="Times New Roman"/>
        <w:w w:val="99"/>
        <w:sz w:val="26"/>
        <w:szCs w:val="26"/>
        <w:lang w:val="vi" w:eastAsia="en-US" w:bidi="ar-SA"/>
      </w:rPr>
    </w:lvl>
    <w:lvl w:ilvl="1">
      <w:start w:val="0"/>
      <w:numFmt w:val="bullet"/>
      <w:lvlText w:val="•"/>
      <w:lvlJc w:val="left"/>
      <w:pPr>
        <w:ind w:left="1876" w:hanging="176"/>
      </w:pPr>
      <w:rPr>
        <w:rFonts w:hint="default"/>
        <w:lang w:val="vi" w:eastAsia="en-US" w:bidi="ar-SA"/>
      </w:rPr>
    </w:lvl>
    <w:lvl w:ilvl="2">
      <w:start w:val="0"/>
      <w:numFmt w:val="bullet"/>
      <w:lvlText w:val="•"/>
      <w:lvlJc w:val="left"/>
      <w:pPr>
        <w:ind w:left="2873" w:hanging="176"/>
      </w:pPr>
      <w:rPr>
        <w:rFonts w:hint="default"/>
        <w:lang w:val="vi" w:eastAsia="en-US" w:bidi="ar-SA"/>
      </w:rPr>
    </w:lvl>
    <w:lvl w:ilvl="3">
      <w:start w:val="0"/>
      <w:numFmt w:val="bullet"/>
      <w:lvlText w:val="•"/>
      <w:lvlJc w:val="left"/>
      <w:pPr>
        <w:ind w:left="3869" w:hanging="176"/>
      </w:pPr>
      <w:rPr>
        <w:rFonts w:hint="default"/>
        <w:lang w:val="vi" w:eastAsia="en-US" w:bidi="ar-SA"/>
      </w:rPr>
    </w:lvl>
    <w:lvl w:ilvl="4">
      <w:start w:val="0"/>
      <w:numFmt w:val="bullet"/>
      <w:lvlText w:val="•"/>
      <w:lvlJc w:val="left"/>
      <w:pPr>
        <w:ind w:left="4866" w:hanging="176"/>
      </w:pPr>
      <w:rPr>
        <w:rFonts w:hint="default"/>
        <w:lang w:val="vi" w:eastAsia="en-US" w:bidi="ar-SA"/>
      </w:rPr>
    </w:lvl>
    <w:lvl w:ilvl="5">
      <w:start w:val="0"/>
      <w:numFmt w:val="bullet"/>
      <w:lvlText w:val="•"/>
      <w:lvlJc w:val="left"/>
      <w:pPr>
        <w:ind w:left="5863" w:hanging="176"/>
      </w:pPr>
      <w:rPr>
        <w:rFonts w:hint="default"/>
        <w:lang w:val="vi" w:eastAsia="en-US" w:bidi="ar-SA"/>
      </w:rPr>
    </w:lvl>
    <w:lvl w:ilvl="6">
      <w:start w:val="0"/>
      <w:numFmt w:val="bullet"/>
      <w:lvlText w:val="•"/>
      <w:lvlJc w:val="left"/>
      <w:pPr>
        <w:ind w:left="6859" w:hanging="176"/>
      </w:pPr>
      <w:rPr>
        <w:rFonts w:hint="default"/>
        <w:lang w:val="vi" w:eastAsia="en-US" w:bidi="ar-SA"/>
      </w:rPr>
    </w:lvl>
    <w:lvl w:ilvl="7">
      <w:start w:val="0"/>
      <w:numFmt w:val="bullet"/>
      <w:lvlText w:val="•"/>
      <w:lvlJc w:val="left"/>
      <w:pPr>
        <w:ind w:left="7856" w:hanging="176"/>
      </w:pPr>
      <w:rPr>
        <w:rFonts w:hint="default"/>
        <w:lang w:val="vi" w:eastAsia="en-US" w:bidi="ar-SA"/>
      </w:rPr>
    </w:lvl>
    <w:lvl w:ilvl="8">
      <w:start w:val="0"/>
      <w:numFmt w:val="bullet"/>
      <w:lvlText w:val="•"/>
      <w:lvlJc w:val="left"/>
      <w:pPr>
        <w:ind w:left="8853" w:hanging="176"/>
      </w:pPr>
      <w:rPr>
        <w:rFonts w:hint="default"/>
        <w:lang w:val="vi" w:eastAsia="en-US" w:bidi="ar-SA"/>
      </w:rPr>
    </w:lvl>
  </w:abstractNum>
  <w:abstractNum w:abstractNumId="20">
    <w:multiLevelType w:val="hybridMultilevel"/>
    <w:lvl w:ilvl="0">
      <w:start w:val="0"/>
      <w:numFmt w:val="bullet"/>
      <w:lvlText w:val="-"/>
      <w:lvlJc w:val="left"/>
      <w:pPr>
        <w:ind w:left="882" w:hanging="152"/>
      </w:pPr>
      <w:rPr>
        <w:rFonts w:hint="default" w:ascii="Times New Roman" w:hAnsi="Times New Roman" w:eastAsia="Times New Roman" w:cs="Times New Roman"/>
        <w:w w:val="99"/>
        <w:sz w:val="26"/>
        <w:szCs w:val="26"/>
        <w:lang w:val="vi" w:eastAsia="en-US" w:bidi="ar-SA"/>
      </w:rPr>
    </w:lvl>
    <w:lvl w:ilvl="1">
      <w:start w:val="0"/>
      <w:numFmt w:val="bullet"/>
      <w:lvlText w:val="•"/>
      <w:lvlJc w:val="left"/>
      <w:pPr>
        <w:ind w:left="1876" w:hanging="152"/>
      </w:pPr>
      <w:rPr>
        <w:rFonts w:hint="default"/>
        <w:lang w:val="vi" w:eastAsia="en-US" w:bidi="ar-SA"/>
      </w:rPr>
    </w:lvl>
    <w:lvl w:ilvl="2">
      <w:start w:val="0"/>
      <w:numFmt w:val="bullet"/>
      <w:lvlText w:val="•"/>
      <w:lvlJc w:val="left"/>
      <w:pPr>
        <w:ind w:left="2873" w:hanging="152"/>
      </w:pPr>
      <w:rPr>
        <w:rFonts w:hint="default"/>
        <w:lang w:val="vi" w:eastAsia="en-US" w:bidi="ar-SA"/>
      </w:rPr>
    </w:lvl>
    <w:lvl w:ilvl="3">
      <w:start w:val="0"/>
      <w:numFmt w:val="bullet"/>
      <w:lvlText w:val="•"/>
      <w:lvlJc w:val="left"/>
      <w:pPr>
        <w:ind w:left="3869" w:hanging="152"/>
      </w:pPr>
      <w:rPr>
        <w:rFonts w:hint="default"/>
        <w:lang w:val="vi" w:eastAsia="en-US" w:bidi="ar-SA"/>
      </w:rPr>
    </w:lvl>
    <w:lvl w:ilvl="4">
      <w:start w:val="0"/>
      <w:numFmt w:val="bullet"/>
      <w:lvlText w:val="•"/>
      <w:lvlJc w:val="left"/>
      <w:pPr>
        <w:ind w:left="4866" w:hanging="152"/>
      </w:pPr>
      <w:rPr>
        <w:rFonts w:hint="default"/>
        <w:lang w:val="vi" w:eastAsia="en-US" w:bidi="ar-SA"/>
      </w:rPr>
    </w:lvl>
    <w:lvl w:ilvl="5">
      <w:start w:val="0"/>
      <w:numFmt w:val="bullet"/>
      <w:lvlText w:val="•"/>
      <w:lvlJc w:val="left"/>
      <w:pPr>
        <w:ind w:left="5863" w:hanging="152"/>
      </w:pPr>
      <w:rPr>
        <w:rFonts w:hint="default"/>
        <w:lang w:val="vi" w:eastAsia="en-US" w:bidi="ar-SA"/>
      </w:rPr>
    </w:lvl>
    <w:lvl w:ilvl="6">
      <w:start w:val="0"/>
      <w:numFmt w:val="bullet"/>
      <w:lvlText w:val="•"/>
      <w:lvlJc w:val="left"/>
      <w:pPr>
        <w:ind w:left="6859" w:hanging="152"/>
      </w:pPr>
      <w:rPr>
        <w:rFonts w:hint="default"/>
        <w:lang w:val="vi" w:eastAsia="en-US" w:bidi="ar-SA"/>
      </w:rPr>
    </w:lvl>
    <w:lvl w:ilvl="7">
      <w:start w:val="0"/>
      <w:numFmt w:val="bullet"/>
      <w:lvlText w:val="•"/>
      <w:lvlJc w:val="left"/>
      <w:pPr>
        <w:ind w:left="7856" w:hanging="152"/>
      </w:pPr>
      <w:rPr>
        <w:rFonts w:hint="default"/>
        <w:lang w:val="vi" w:eastAsia="en-US" w:bidi="ar-SA"/>
      </w:rPr>
    </w:lvl>
    <w:lvl w:ilvl="8">
      <w:start w:val="0"/>
      <w:numFmt w:val="bullet"/>
      <w:lvlText w:val="•"/>
      <w:lvlJc w:val="left"/>
      <w:pPr>
        <w:ind w:left="8853" w:hanging="152"/>
      </w:pPr>
      <w:rPr>
        <w:rFonts w:hint="default"/>
        <w:lang w:val="vi" w:eastAsia="en-US" w:bidi="ar-SA"/>
      </w:rPr>
    </w:lvl>
  </w:abstractNum>
  <w:abstractNum w:abstractNumId="19">
    <w:multiLevelType w:val="hybridMultilevel"/>
    <w:lvl w:ilvl="0">
      <w:start w:val="2"/>
      <w:numFmt w:val="decimal"/>
      <w:lvlText w:val="%1"/>
      <w:lvlJc w:val="left"/>
      <w:pPr>
        <w:ind w:left="1270" w:hanging="389"/>
        <w:jc w:val="left"/>
      </w:pPr>
      <w:rPr>
        <w:rFonts w:hint="default"/>
        <w:lang w:val="vi" w:eastAsia="en-US" w:bidi="ar-SA"/>
      </w:rPr>
    </w:lvl>
    <w:lvl w:ilvl="1">
      <w:start w:val="1"/>
      <w:numFmt w:val="decimal"/>
      <w:lvlText w:val="%1.%2"/>
      <w:lvlJc w:val="left"/>
      <w:pPr>
        <w:ind w:left="1270" w:hanging="389"/>
        <w:jc w:val="left"/>
      </w:pPr>
      <w:rPr>
        <w:rFonts w:hint="default" w:ascii="Times New Roman" w:hAnsi="Times New Roman" w:eastAsia="Times New Roman" w:cs="Times New Roman"/>
        <w:b/>
        <w:bCs/>
        <w:w w:val="99"/>
        <w:sz w:val="26"/>
        <w:szCs w:val="26"/>
        <w:lang w:val="vi" w:eastAsia="en-US" w:bidi="ar-SA"/>
      </w:rPr>
    </w:lvl>
    <w:lvl w:ilvl="2">
      <w:start w:val="1"/>
      <w:numFmt w:val="decimal"/>
      <w:lvlText w:val="%1.%2.%3"/>
      <w:lvlJc w:val="left"/>
      <w:pPr>
        <w:ind w:left="1465" w:hanging="584"/>
        <w:jc w:val="left"/>
      </w:pPr>
      <w:rPr>
        <w:rFonts w:hint="default" w:ascii="Times New Roman" w:hAnsi="Times New Roman" w:eastAsia="Times New Roman" w:cs="Times New Roman"/>
        <w:b/>
        <w:bCs/>
        <w:w w:val="99"/>
        <w:sz w:val="26"/>
        <w:szCs w:val="26"/>
        <w:lang w:val="vi" w:eastAsia="en-US" w:bidi="ar-SA"/>
      </w:rPr>
    </w:lvl>
    <w:lvl w:ilvl="3">
      <w:start w:val="1"/>
      <w:numFmt w:val="decimal"/>
      <w:lvlText w:val="%1.%2.%3.%4"/>
      <w:lvlJc w:val="left"/>
      <w:pPr>
        <w:ind w:left="1659" w:hanging="778"/>
        <w:jc w:val="left"/>
      </w:pPr>
      <w:rPr>
        <w:rFonts w:hint="default" w:ascii="Times New Roman" w:hAnsi="Times New Roman" w:eastAsia="Times New Roman" w:cs="Times New Roman"/>
        <w:b/>
        <w:bCs/>
        <w:spacing w:val="-1"/>
        <w:w w:val="99"/>
        <w:sz w:val="26"/>
        <w:szCs w:val="26"/>
        <w:lang w:val="vi" w:eastAsia="en-US" w:bidi="ar-SA"/>
      </w:rPr>
    </w:lvl>
    <w:lvl w:ilvl="4">
      <w:start w:val="0"/>
      <w:numFmt w:val="bullet"/>
      <w:lvlText w:val="-"/>
      <w:lvlJc w:val="left"/>
      <w:pPr>
        <w:ind w:left="882" w:hanging="152"/>
      </w:pPr>
      <w:rPr>
        <w:rFonts w:hint="default" w:ascii="Times New Roman" w:hAnsi="Times New Roman" w:eastAsia="Times New Roman" w:cs="Times New Roman"/>
        <w:w w:val="99"/>
        <w:sz w:val="26"/>
        <w:szCs w:val="26"/>
        <w:lang w:val="vi" w:eastAsia="en-US" w:bidi="ar-SA"/>
      </w:rPr>
    </w:lvl>
    <w:lvl w:ilvl="5">
      <w:start w:val="0"/>
      <w:numFmt w:val="bullet"/>
      <w:lvlText w:val="•"/>
      <w:lvlJc w:val="left"/>
      <w:pPr>
        <w:ind w:left="4284" w:hanging="152"/>
      </w:pPr>
      <w:rPr>
        <w:rFonts w:hint="default"/>
        <w:lang w:val="vi" w:eastAsia="en-US" w:bidi="ar-SA"/>
      </w:rPr>
    </w:lvl>
    <w:lvl w:ilvl="6">
      <w:start w:val="0"/>
      <w:numFmt w:val="bullet"/>
      <w:lvlText w:val="•"/>
      <w:lvlJc w:val="left"/>
      <w:pPr>
        <w:ind w:left="5597" w:hanging="152"/>
      </w:pPr>
      <w:rPr>
        <w:rFonts w:hint="default"/>
        <w:lang w:val="vi" w:eastAsia="en-US" w:bidi="ar-SA"/>
      </w:rPr>
    </w:lvl>
    <w:lvl w:ilvl="7">
      <w:start w:val="0"/>
      <w:numFmt w:val="bullet"/>
      <w:lvlText w:val="•"/>
      <w:lvlJc w:val="left"/>
      <w:pPr>
        <w:ind w:left="6909" w:hanging="152"/>
      </w:pPr>
      <w:rPr>
        <w:rFonts w:hint="default"/>
        <w:lang w:val="vi" w:eastAsia="en-US" w:bidi="ar-SA"/>
      </w:rPr>
    </w:lvl>
    <w:lvl w:ilvl="8">
      <w:start w:val="0"/>
      <w:numFmt w:val="bullet"/>
      <w:lvlText w:val="•"/>
      <w:lvlJc w:val="left"/>
      <w:pPr>
        <w:ind w:left="8221" w:hanging="152"/>
      </w:pPr>
      <w:rPr>
        <w:rFonts w:hint="default"/>
        <w:lang w:val="vi" w:eastAsia="en-US" w:bidi="ar-SA"/>
      </w:rPr>
    </w:lvl>
  </w:abstractNum>
  <w:abstractNum w:abstractNumId="18">
    <w:multiLevelType w:val="hybridMultilevel"/>
    <w:lvl w:ilvl="0">
      <w:start w:val="0"/>
      <w:numFmt w:val="bullet"/>
      <w:lvlText w:val=""/>
      <w:lvlJc w:val="left"/>
      <w:pPr>
        <w:ind w:left="1962" w:hanging="360"/>
      </w:pPr>
      <w:rPr>
        <w:rFonts w:hint="default" w:ascii="Wingdings" w:hAnsi="Wingdings" w:eastAsia="Wingdings" w:cs="Wingdings"/>
        <w:w w:val="99"/>
        <w:sz w:val="26"/>
        <w:szCs w:val="26"/>
        <w:lang w:val="vi" w:eastAsia="en-US" w:bidi="ar-SA"/>
      </w:rPr>
    </w:lvl>
    <w:lvl w:ilvl="1">
      <w:start w:val="0"/>
      <w:numFmt w:val="bullet"/>
      <w:lvlText w:val="•"/>
      <w:lvlJc w:val="left"/>
      <w:pPr>
        <w:ind w:left="2848" w:hanging="360"/>
      </w:pPr>
      <w:rPr>
        <w:rFonts w:hint="default"/>
        <w:lang w:val="vi" w:eastAsia="en-US" w:bidi="ar-SA"/>
      </w:rPr>
    </w:lvl>
    <w:lvl w:ilvl="2">
      <w:start w:val="0"/>
      <w:numFmt w:val="bullet"/>
      <w:lvlText w:val="•"/>
      <w:lvlJc w:val="left"/>
      <w:pPr>
        <w:ind w:left="3737" w:hanging="360"/>
      </w:pPr>
      <w:rPr>
        <w:rFonts w:hint="default"/>
        <w:lang w:val="vi" w:eastAsia="en-US" w:bidi="ar-SA"/>
      </w:rPr>
    </w:lvl>
    <w:lvl w:ilvl="3">
      <w:start w:val="0"/>
      <w:numFmt w:val="bullet"/>
      <w:lvlText w:val="•"/>
      <w:lvlJc w:val="left"/>
      <w:pPr>
        <w:ind w:left="4625" w:hanging="360"/>
      </w:pPr>
      <w:rPr>
        <w:rFonts w:hint="default"/>
        <w:lang w:val="vi" w:eastAsia="en-US" w:bidi="ar-SA"/>
      </w:rPr>
    </w:lvl>
    <w:lvl w:ilvl="4">
      <w:start w:val="0"/>
      <w:numFmt w:val="bullet"/>
      <w:lvlText w:val="•"/>
      <w:lvlJc w:val="left"/>
      <w:pPr>
        <w:ind w:left="5514" w:hanging="360"/>
      </w:pPr>
      <w:rPr>
        <w:rFonts w:hint="default"/>
        <w:lang w:val="vi" w:eastAsia="en-US" w:bidi="ar-SA"/>
      </w:rPr>
    </w:lvl>
    <w:lvl w:ilvl="5">
      <w:start w:val="0"/>
      <w:numFmt w:val="bullet"/>
      <w:lvlText w:val="•"/>
      <w:lvlJc w:val="left"/>
      <w:pPr>
        <w:ind w:left="6403" w:hanging="360"/>
      </w:pPr>
      <w:rPr>
        <w:rFonts w:hint="default"/>
        <w:lang w:val="vi" w:eastAsia="en-US" w:bidi="ar-SA"/>
      </w:rPr>
    </w:lvl>
    <w:lvl w:ilvl="6">
      <w:start w:val="0"/>
      <w:numFmt w:val="bullet"/>
      <w:lvlText w:val="•"/>
      <w:lvlJc w:val="left"/>
      <w:pPr>
        <w:ind w:left="7291" w:hanging="360"/>
      </w:pPr>
      <w:rPr>
        <w:rFonts w:hint="default"/>
        <w:lang w:val="vi" w:eastAsia="en-US" w:bidi="ar-SA"/>
      </w:rPr>
    </w:lvl>
    <w:lvl w:ilvl="7">
      <w:start w:val="0"/>
      <w:numFmt w:val="bullet"/>
      <w:lvlText w:val="•"/>
      <w:lvlJc w:val="left"/>
      <w:pPr>
        <w:ind w:left="8180" w:hanging="360"/>
      </w:pPr>
      <w:rPr>
        <w:rFonts w:hint="default"/>
        <w:lang w:val="vi" w:eastAsia="en-US" w:bidi="ar-SA"/>
      </w:rPr>
    </w:lvl>
    <w:lvl w:ilvl="8">
      <w:start w:val="0"/>
      <w:numFmt w:val="bullet"/>
      <w:lvlText w:val="•"/>
      <w:lvlJc w:val="left"/>
      <w:pPr>
        <w:ind w:left="9069" w:hanging="360"/>
      </w:pPr>
      <w:rPr>
        <w:rFonts w:hint="default"/>
        <w:lang w:val="vi" w:eastAsia="en-US" w:bidi="ar-SA"/>
      </w:rPr>
    </w:lvl>
  </w:abstractNum>
  <w:abstractNum w:abstractNumId="17">
    <w:multiLevelType w:val="hybridMultilevel"/>
    <w:lvl w:ilvl="0">
      <w:start w:val="0"/>
      <w:numFmt w:val="bullet"/>
      <w:lvlText w:val=""/>
      <w:lvlJc w:val="left"/>
      <w:pPr>
        <w:ind w:left="1962" w:hanging="360"/>
      </w:pPr>
      <w:rPr>
        <w:rFonts w:hint="default" w:ascii="Wingdings" w:hAnsi="Wingdings" w:eastAsia="Wingdings" w:cs="Wingdings"/>
        <w:w w:val="99"/>
        <w:sz w:val="26"/>
        <w:szCs w:val="26"/>
        <w:lang w:val="vi" w:eastAsia="en-US" w:bidi="ar-SA"/>
      </w:rPr>
    </w:lvl>
    <w:lvl w:ilvl="1">
      <w:start w:val="0"/>
      <w:numFmt w:val="bullet"/>
      <w:lvlText w:val="•"/>
      <w:lvlJc w:val="left"/>
      <w:pPr>
        <w:ind w:left="2848" w:hanging="360"/>
      </w:pPr>
      <w:rPr>
        <w:rFonts w:hint="default"/>
        <w:lang w:val="vi" w:eastAsia="en-US" w:bidi="ar-SA"/>
      </w:rPr>
    </w:lvl>
    <w:lvl w:ilvl="2">
      <w:start w:val="0"/>
      <w:numFmt w:val="bullet"/>
      <w:lvlText w:val="•"/>
      <w:lvlJc w:val="left"/>
      <w:pPr>
        <w:ind w:left="3737" w:hanging="360"/>
      </w:pPr>
      <w:rPr>
        <w:rFonts w:hint="default"/>
        <w:lang w:val="vi" w:eastAsia="en-US" w:bidi="ar-SA"/>
      </w:rPr>
    </w:lvl>
    <w:lvl w:ilvl="3">
      <w:start w:val="0"/>
      <w:numFmt w:val="bullet"/>
      <w:lvlText w:val="•"/>
      <w:lvlJc w:val="left"/>
      <w:pPr>
        <w:ind w:left="4625" w:hanging="360"/>
      </w:pPr>
      <w:rPr>
        <w:rFonts w:hint="default"/>
        <w:lang w:val="vi" w:eastAsia="en-US" w:bidi="ar-SA"/>
      </w:rPr>
    </w:lvl>
    <w:lvl w:ilvl="4">
      <w:start w:val="0"/>
      <w:numFmt w:val="bullet"/>
      <w:lvlText w:val="•"/>
      <w:lvlJc w:val="left"/>
      <w:pPr>
        <w:ind w:left="5514" w:hanging="360"/>
      </w:pPr>
      <w:rPr>
        <w:rFonts w:hint="default"/>
        <w:lang w:val="vi" w:eastAsia="en-US" w:bidi="ar-SA"/>
      </w:rPr>
    </w:lvl>
    <w:lvl w:ilvl="5">
      <w:start w:val="0"/>
      <w:numFmt w:val="bullet"/>
      <w:lvlText w:val="•"/>
      <w:lvlJc w:val="left"/>
      <w:pPr>
        <w:ind w:left="6403" w:hanging="360"/>
      </w:pPr>
      <w:rPr>
        <w:rFonts w:hint="default"/>
        <w:lang w:val="vi" w:eastAsia="en-US" w:bidi="ar-SA"/>
      </w:rPr>
    </w:lvl>
    <w:lvl w:ilvl="6">
      <w:start w:val="0"/>
      <w:numFmt w:val="bullet"/>
      <w:lvlText w:val="•"/>
      <w:lvlJc w:val="left"/>
      <w:pPr>
        <w:ind w:left="7291" w:hanging="360"/>
      </w:pPr>
      <w:rPr>
        <w:rFonts w:hint="default"/>
        <w:lang w:val="vi" w:eastAsia="en-US" w:bidi="ar-SA"/>
      </w:rPr>
    </w:lvl>
    <w:lvl w:ilvl="7">
      <w:start w:val="0"/>
      <w:numFmt w:val="bullet"/>
      <w:lvlText w:val="•"/>
      <w:lvlJc w:val="left"/>
      <w:pPr>
        <w:ind w:left="8180" w:hanging="360"/>
      </w:pPr>
      <w:rPr>
        <w:rFonts w:hint="default"/>
        <w:lang w:val="vi" w:eastAsia="en-US" w:bidi="ar-SA"/>
      </w:rPr>
    </w:lvl>
    <w:lvl w:ilvl="8">
      <w:start w:val="0"/>
      <w:numFmt w:val="bullet"/>
      <w:lvlText w:val="•"/>
      <w:lvlJc w:val="left"/>
      <w:pPr>
        <w:ind w:left="9069" w:hanging="360"/>
      </w:pPr>
      <w:rPr>
        <w:rFonts w:hint="default"/>
        <w:lang w:val="vi" w:eastAsia="en-US" w:bidi="ar-SA"/>
      </w:rPr>
    </w:lvl>
  </w:abstractNum>
  <w:abstractNum w:abstractNumId="16">
    <w:multiLevelType w:val="hybridMultilevel"/>
    <w:lvl w:ilvl="0">
      <w:start w:val="0"/>
      <w:numFmt w:val="bullet"/>
      <w:lvlText w:val=""/>
      <w:lvlJc w:val="left"/>
      <w:pPr>
        <w:ind w:left="1602" w:hanging="360"/>
      </w:pPr>
      <w:rPr>
        <w:rFonts w:hint="default" w:ascii="Wingdings" w:hAnsi="Wingdings" w:eastAsia="Wingdings" w:cs="Wingdings"/>
        <w:w w:val="99"/>
        <w:sz w:val="26"/>
        <w:szCs w:val="26"/>
        <w:lang w:val="vi" w:eastAsia="en-US" w:bidi="ar-SA"/>
      </w:rPr>
    </w:lvl>
    <w:lvl w:ilvl="1">
      <w:start w:val="0"/>
      <w:numFmt w:val="bullet"/>
      <w:lvlText w:val="-"/>
      <w:lvlJc w:val="left"/>
      <w:pPr>
        <w:ind w:left="882" w:hanging="183"/>
      </w:pPr>
      <w:rPr>
        <w:rFonts w:hint="default" w:ascii="Times New Roman" w:hAnsi="Times New Roman" w:eastAsia="Times New Roman" w:cs="Times New Roman"/>
        <w:w w:val="99"/>
        <w:sz w:val="26"/>
        <w:szCs w:val="26"/>
        <w:lang w:val="vi" w:eastAsia="en-US" w:bidi="ar-SA"/>
      </w:rPr>
    </w:lvl>
    <w:lvl w:ilvl="2">
      <w:start w:val="0"/>
      <w:numFmt w:val="bullet"/>
      <w:lvlText w:val="•"/>
      <w:lvlJc w:val="left"/>
      <w:pPr>
        <w:ind w:left="2627" w:hanging="183"/>
      </w:pPr>
      <w:rPr>
        <w:rFonts w:hint="default"/>
        <w:lang w:val="vi" w:eastAsia="en-US" w:bidi="ar-SA"/>
      </w:rPr>
    </w:lvl>
    <w:lvl w:ilvl="3">
      <w:start w:val="0"/>
      <w:numFmt w:val="bullet"/>
      <w:lvlText w:val="•"/>
      <w:lvlJc w:val="left"/>
      <w:pPr>
        <w:ind w:left="3654" w:hanging="183"/>
      </w:pPr>
      <w:rPr>
        <w:rFonts w:hint="default"/>
        <w:lang w:val="vi" w:eastAsia="en-US" w:bidi="ar-SA"/>
      </w:rPr>
    </w:lvl>
    <w:lvl w:ilvl="4">
      <w:start w:val="0"/>
      <w:numFmt w:val="bullet"/>
      <w:lvlText w:val="•"/>
      <w:lvlJc w:val="left"/>
      <w:pPr>
        <w:ind w:left="4682" w:hanging="183"/>
      </w:pPr>
      <w:rPr>
        <w:rFonts w:hint="default"/>
        <w:lang w:val="vi" w:eastAsia="en-US" w:bidi="ar-SA"/>
      </w:rPr>
    </w:lvl>
    <w:lvl w:ilvl="5">
      <w:start w:val="0"/>
      <w:numFmt w:val="bullet"/>
      <w:lvlText w:val="•"/>
      <w:lvlJc w:val="left"/>
      <w:pPr>
        <w:ind w:left="5709" w:hanging="183"/>
      </w:pPr>
      <w:rPr>
        <w:rFonts w:hint="default"/>
        <w:lang w:val="vi" w:eastAsia="en-US" w:bidi="ar-SA"/>
      </w:rPr>
    </w:lvl>
    <w:lvl w:ilvl="6">
      <w:start w:val="0"/>
      <w:numFmt w:val="bullet"/>
      <w:lvlText w:val="•"/>
      <w:lvlJc w:val="left"/>
      <w:pPr>
        <w:ind w:left="6736" w:hanging="183"/>
      </w:pPr>
      <w:rPr>
        <w:rFonts w:hint="default"/>
        <w:lang w:val="vi" w:eastAsia="en-US" w:bidi="ar-SA"/>
      </w:rPr>
    </w:lvl>
    <w:lvl w:ilvl="7">
      <w:start w:val="0"/>
      <w:numFmt w:val="bullet"/>
      <w:lvlText w:val="•"/>
      <w:lvlJc w:val="left"/>
      <w:pPr>
        <w:ind w:left="7764" w:hanging="183"/>
      </w:pPr>
      <w:rPr>
        <w:rFonts w:hint="default"/>
        <w:lang w:val="vi" w:eastAsia="en-US" w:bidi="ar-SA"/>
      </w:rPr>
    </w:lvl>
    <w:lvl w:ilvl="8">
      <w:start w:val="0"/>
      <w:numFmt w:val="bullet"/>
      <w:lvlText w:val="•"/>
      <w:lvlJc w:val="left"/>
      <w:pPr>
        <w:ind w:left="8791" w:hanging="183"/>
      </w:pPr>
      <w:rPr>
        <w:rFonts w:hint="default"/>
        <w:lang w:val="vi" w:eastAsia="en-US" w:bidi="ar-SA"/>
      </w:rPr>
    </w:lvl>
  </w:abstractNum>
  <w:abstractNum w:abstractNumId="15">
    <w:multiLevelType w:val="hybridMultilevel"/>
    <w:lvl w:ilvl="0">
      <w:start w:val="0"/>
      <w:numFmt w:val="bullet"/>
      <w:lvlText w:val=""/>
      <w:lvlJc w:val="left"/>
      <w:pPr>
        <w:ind w:left="1962" w:hanging="360"/>
      </w:pPr>
      <w:rPr>
        <w:rFonts w:hint="default" w:ascii="Wingdings" w:hAnsi="Wingdings" w:eastAsia="Wingdings" w:cs="Wingdings"/>
        <w:w w:val="99"/>
        <w:sz w:val="26"/>
        <w:szCs w:val="26"/>
        <w:lang w:val="vi" w:eastAsia="en-US" w:bidi="ar-SA"/>
      </w:rPr>
    </w:lvl>
    <w:lvl w:ilvl="1">
      <w:start w:val="0"/>
      <w:numFmt w:val="bullet"/>
      <w:lvlText w:val="•"/>
      <w:lvlJc w:val="left"/>
      <w:pPr>
        <w:ind w:left="2848" w:hanging="360"/>
      </w:pPr>
      <w:rPr>
        <w:rFonts w:hint="default"/>
        <w:lang w:val="vi" w:eastAsia="en-US" w:bidi="ar-SA"/>
      </w:rPr>
    </w:lvl>
    <w:lvl w:ilvl="2">
      <w:start w:val="0"/>
      <w:numFmt w:val="bullet"/>
      <w:lvlText w:val="•"/>
      <w:lvlJc w:val="left"/>
      <w:pPr>
        <w:ind w:left="3737" w:hanging="360"/>
      </w:pPr>
      <w:rPr>
        <w:rFonts w:hint="default"/>
        <w:lang w:val="vi" w:eastAsia="en-US" w:bidi="ar-SA"/>
      </w:rPr>
    </w:lvl>
    <w:lvl w:ilvl="3">
      <w:start w:val="0"/>
      <w:numFmt w:val="bullet"/>
      <w:lvlText w:val="•"/>
      <w:lvlJc w:val="left"/>
      <w:pPr>
        <w:ind w:left="4625" w:hanging="360"/>
      </w:pPr>
      <w:rPr>
        <w:rFonts w:hint="default"/>
        <w:lang w:val="vi" w:eastAsia="en-US" w:bidi="ar-SA"/>
      </w:rPr>
    </w:lvl>
    <w:lvl w:ilvl="4">
      <w:start w:val="0"/>
      <w:numFmt w:val="bullet"/>
      <w:lvlText w:val="•"/>
      <w:lvlJc w:val="left"/>
      <w:pPr>
        <w:ind w:left="5514" w:hanging="360"/>
      </w:pPr>
      <w:rPr>
        <w:rFonts w:hint="default"/>
        <w:lang w:val="vi" w:eastAsia="en-US" w:bidi="ar-SA"/>
      </w:rPr>
    </w:lvl>
    <w:lvl w:ilvl="5">
      <w:start w:val="0"/>
      <w:numFmt w:val="bullet"/>
      <w:lvlText w:val="•"/>
      <w:lvlJc w:val="left"/>
      <w:pPr>
        <w:ind w:left="6403" w:hanging="360"/>
      </w:pPr>
      <w:rPr>
        <w:rFonts w:hint="default"/>
        <w:lang w:val="vi" w:eastAsia="en-US" w:bidi="ar-SA"/>
      </w:rPr>
    </w:lvl>
    <w:lvl w:ilvl="6">
      <w:start w:val="0"/>
      <w:numFmt w:val="bullet"/>
      <w:lvlText w:val="•"/>
      <w:lvlJc w:val="left"/>
      <w:pPr>
        <w:ind w:left="7291" w:hanging="360"/>
      </w:pPr>
      <w:rPr>
        <w:rFonts w:hint="default"/>
        <w:lang w:val="vi" w:eastAsia="en-US" w:bidi="ar-SA"/>
      </w:rPr>
    </w:lvl>
    <w:lvl w:ilvl="7">
      <w:start w:val="0"/>
      <w:numFmt w:val="bullet"/>
      <w:lvlText w:val="•"/>
      <w:lvlJc w:val="left"/>
      <w:pPr>
        <w:ind w:left="8180" w:hanging="360"/>
      </w:pPr>
      <w:rPr>
        <w:rFonts w:hint="default"/>
        <w:lang w:val="vi" w:eastAsia="en-US" w:bidi="ar-SA"/>
      </w:rPr>
    </w:lvl>
    <w:lvl w:ilvl="8">
      <w:start w:val="0"/>
      <w:numFmt w:val="bullet"/>
      <w:lvlText w:val="•"/>
      <w:lvlJc w:val="left"/>
      <w:pPr>
        <w:ind w:left="9069" w:hanging="360"/>
      </w:pPr>
      <w:rPr>
        <w:rFonts w:hint="default"/>
        <w:lang w:val="vi" w:eastAsia="en-US" w:bidi="ar-SA"/>
      </w:rPr>
    </w:lvl>
  </w:abstractNum>
  <w:abstractNum w:abstractNumId="10">
    <w:multiLevelType w:val="hybridMultilevel"/>
    <w:lvl w:ilvl="0">
      <w:start w:val="0"/>
      <w:numFmt w:val="bullet"/>
      <w:lvlText w:val="-"/>
      <w:lvlJc w:val="left"/>
      <w:pPr>
        <w:ind w:left="261" w:hanging="152"/>
      </w:pPr>
      <w:rPr>
        <w:rFonts w:hint="default" w:ascii="Times New Roman" w:hAnsi="Times New Roman" w:eastAsia="Times New Roman" w:cs="Times New Roman"/>
        <w:w w:val="99"/>
        <w:sz w:val="26"/>
        <w:szCs w:val="26"/>
        <w:lang w:val="vi" w:eastAsia="en-US" w:bidi="ar-SA"/>
      </w:rPr>
    </w:lvl>
    <w:lvl w:ilvl="1">
      <w:start w:val="0"/>
      <w:numFmt w:val="bullet"/>
      <w:lvlText w:val="•"/>
      <w:lvlJc w:val="left"/>
      <w:pPr>
        <w:ind w:left="520" w:hanging="152"/>
      </w:pPr>
      <w:rPr>
        <w:rFonts w:hint="default"/>
        <w:lang w:val="vi" w:eastAsia="en-US" w:bidi="ar-SA"/>
      </w:rPr>
    </w:lvl>
    <w:lvl w:ilvl="2">
      <w:start w:val="0"/>
      <w:numFmt w:val="bullet"/>
      <w:lvlText w:val="•"/>
      <w:lvlJc w:val="left"/>
      <w:pPr>
        <w:ind w:left="781" w:hanging="152"/>
      </w:pPr>
      <w:rPr>
        <w:rFonts w:hint="default"/>
        <w:lang w:val="vi" w:eastAsia="en-US" w:bidi="ar-SA"/>
      </w:rPr>
    </w:lvl>
    <w:lvl w:ilvl="3">
      <w:start w:val="0"/>
      <w:numFmt w:val="bullet"/>
      <w:lvlText w:val="•"/>
      <w:lvlJc w:val="left"/>
      <w:pPr>
        <w:ind w:left="1041" w:hanging="152"/>
      </w:pPr>
      <w:rPr>
        <w:rFonts w:hint="default"/>
        <w:lang w:val="vi" w:eastAsia="en-US" w:bidi="ar-SA"/>
      </w:rPr>
    </w:lvl>
    <w:lvl w:ilvl="4">
      <w:start w:val="0"/>
      <w:numFmt w:val="bullet"/>
      <w:lvlText w:val="•"/>
      <w:lvlJc w:val="left"/>
      <w:pPr>
        <w:ind w:left="1302" w:hanging="152"/>
      </w:pPr>
      <w:rPr>
        <w:rFonts w:hint="default"/>
        <w:lang w:val="vi" w:eastAsia="en-US" w:bidi="ar-SA"/>
      </w:rPr>
    </w:lvl>
    <w:lvl w:ilvl="5">
      <w:start w:val="0"/>
      <w:numFmt w:val="bullet"/>
      <w:lvlText w:val="•"/>
      <w:lvlJc w:val="left"/>
      <w:pPr>
        <w:ind w:left="1562" w:hanging="152"/>
      </w:pPr>
      <w:rPr>
        <w:rFonts w:hint="default"/>
        <w:lang w:val="vi" w:eastAsia="en-US" w:bidi="ar-SA"/>
      </w:rPr>
    </w:lvl>
    <w:lvl w:ilvl="6">
      <w:start w:val="0"/>
      <w:numFmt w:val="bullet"/>
      <w:lvlText w:val="•"/>
      <w:lvlJc w:val="left"/>
      <w:pPr>
        <w:ind w:left="1823" w:hanging="152"/>
      </w:pPr>
      <w:rPr>
        <w:rFonts w:hint="default"/>
        <w:lang w:val="vi" w:eastAsia="en-US" w:bidi="ar-SA"/>
      </w:rPr>
    </w:lvl>
    <w:lvl w:ilvl="7">
      <w:start w:val="0"/>
      <w:numFmt w:val="bullet"/>
      <w:lvlText w:val="•"/>
      <w:lvlJc w:val="left"/>
      <w:pPr>
        <w:ind w:left="2083" w:hanging="152"/>
      </w:pPr>
      <w:rPr>
        <w:rFonts w:hint="default"/>
        <w:lang w:val="vi" w:eastAsia="en-US" w:bidi="ar-SA"/>
      </w:rPr>
    </w:lvl>
    <w:lvl w:ilvl="8">
      <w:start w:val="0"/>
      <w:numFmt w:val="bullet"/>
      <w:lvlText w:val="•"/>
      <w:lvlJc w:val="left"/>
      <w:pPr>
        <w:ind w:left="2344" w:hanging="152"/>
      </w:pPr>
      <w:rPr>
        <w:rFonts w:hint="default"/>
        <w:lang w:val="vi" w:eastAsia="en-US" w:bidi="ar-SA"/>
      </w:rPr>
    </w:lvl>
  </w:abstractNum>
  <w:abstractNum w:abstractNumId="14">
    <w:multiLevelType w:val="hybridMultilevel"/>
    <w:lvl w:ilvl="0">
      <w:start w:val="0"/>
      <w:numFmt w:val="bullet"/>
      <w:lvlText w:val="-"/>
      <w:lvlJc w:val="left"/>
      <w:pPr>
        <w:ind w:left="324" w:hanging="152"/>
      </w:pPr>
      <w:rPr>
        <w:rFonts w:hint="default" w:ascii="Times New Roman" w:hAnsi="Times New Roman" w:eastAsia="Times New Roman" w:cs="Times New Roman"/>
        <w:w w:val="99"/>
        <w:sz w:val="26"/>
        <w:szCs w:val="26"/>
        <w:lang w:val="vi" w:eastAsia="en-US" w:bidi="ar-SA"/>
      </w:rPr>
    </w:lvl>
    <w:lvl w:ilvl="1">
      <w:start w:val="0"/>
      <w:numFmt w:val="bullet"/>
      <w:lvlText w:val="•"/>
      <w:lvlJc w:val="left"/>
      <w:pPr>
        <w:ind w:left="844" w:hanging="152"/>
      </w:pPr>
      <w:rPr>
        <w:rFonts w:hint="default"/>
        <w:lang w:val="vi" w:eastAsia="en-US" w:bidi="ar-SA"/>
      </w:rPr>
    </w:lvl>
    <w:lvl w:ilvl="2">
      <w:start w:val="0"/>
      <w:numFmt w:val="bullet"/>
      <w:lvlText w:val="•"/>
      <w:lvlJc w:val="left"/>
      <w:pPr>
        <w:ind w:left="1369" w:hanging="152"/>
      </w:pPr>
      <w:rPr>
        <w:rFonts w:hint="default"/>
        <w:lang w:val="vi" w:eastAsia="en-US" w:bidi="ar-SA"/>
      </w:rPr>
    </w:lvl>
    <w:lvl w:ilvl="3">
      <w:start w:val="0"/>
      <w:numFmt w:val="bullet"/>
      <w:lvlText w:val="•"/>
      <w:lvlJc w:val="left"/>
      <w:pPr>
        <w:ind w:left="1893" w:hanging="152"/>
      </w:pPr>
      <w:rPr>
        <w:rFonts w:hint="default"/>
        <w:lang w:val="vi" w:eastAsia="en-US" w:bidi="ar-SA"/>
      </w:rPr>
    </w:lvl>
    <w:lvl w:ilvl="4">
      <w:start w:val="0"/>
      <w:numFmt w:val="bullet"/>
      <w:lvlText w:val="•"/>
      <w:lvlJc w:val="left"/>
      <w:pPr>
        <w:ind w:left="2418" w:hanging="152"/>
      </w:pPr>
      <w:rPr>
        <w:rFonts w:hint="default"/>
        <w:lang w:val="vi" w:eastAsia="en-US" w:bidi="ar-SA"/>
      </w:rPr>
    </w:lvl>
    <w:lvl w:ilvl="5">
      <w:start w:val="0"/>
      <w:numFmt w:val="bullet"/>
      <w:lvlText w:val="•"/>
      <w:lvlJc w:val="left"/>
      <w:pPr>
        <w:ind w:left="2942" w:hanging="152"/>
      </w:pPr>
      <w:rPr>
        <w:rFonts w:hint="default"/>
        <w:lang w:val="vi" w:eastAsia="en-US" w:bidi="ar-SA"/>
      </w:rPr>
    </w:lvl>
    <w:lvl w:ilvl="6">
      <w:start w:val="0"/>
      <w:numFmt w:val="bullet"/>
      <w:lvlText w:val="•"/>
      <w:lvlJc w:val="left"/>
      <w:pPr>
        <w:ind w:left="3467" w:hanging="152"/>
      </w:pPr>
      <w:rPr>
        <w:rFonts w:hint="default"/>
        <w:lang w:val="vi" w:eastAsia="en-US" w:bidi="ar-SA"/>
      </w:rPr>
    </w:lvl>
    <w:lvl w:ilvl="7">
      <w:start w:val="0"/>
      <w:numFmt w:val="bullet"/>
      <w:lvlText w:val="•"/>
      <w:lvlJc w:val="left"/>
      <w:pPr>
        <w:ind w:left="3991" w:hanging="152"/>
      </w:pPr>
      <w:rPr>
        <w:rFonts w:hint="default"/>
        <w:lang w:val="vi" w:eastAsia="en-US" w:bidi="ar-SA"/>
      </w:rPr>
    </w:lvl>
    <w:lvl w:ilvl="8">
      <w:start w:val="0"/>
      <w:numFmt w:val="bullet"/>
      <w:lvlText w:val="•"/>
      <w:lvlJc w:val="left"/>
      <w:pPr>
        <w:ind w:left="4516" w:hanging="152"/>
      </w:pPr>
      <w:rPr>
        <w:rFonts w:hint="default"/>
        <w:lang w:val="vi" w:eastAsia="en-US" w:bidi="ar-SA"/>
      </w:rPr>
    </w:lvl>
  </w:abstractNum>
  <w:abstractNum w:abstractNumId="9">
    <w:multiLevelType w:val="hybridMultilevel"/>
    <w:lvl w:ilvl="0">
      <w:start w:val="0"/>
      <w:numFmt w:val="bullet"/>
      <w:lvlText w:val="-"/>
      <w:lvlJc w:val="left"/>
      <w:pPr>
        <w:ind w:left="255" w:hanging="152"/>
      </w:pPr>
      <w:rPr>
        <w:rFonts w:hint="default" w:ascii="Times New Roman" w:hAnsi="Times New Roman" w:eastAsia="Times New Roman" w:cs="Times New Roman"/>
        <w:w w:val="99"/>
        <w:sz w:val="26"/>
        <w:szCs w:val="26"/>
        <w:lang w:val="vi" w:eastAsia="en-US" w:bidi="ar-SA"/>
      </w:rPr>
    </w:lvl>
    <w:lvl w:ilvl="1">
      <w:start w:val="0"/>
      <w:numFmt w:val="bullet"/>
      <w:lvlText w:val="•"/>
      <w:lvlJc w:val="left"/>
      <w:pPr>
        <w:ind w:left="700" w:hanging="152"/>
      </w:pPr>
      <w:rPr>
        <w:rFonts w:hint="default"/>
        <w:lang w:val="vi" w:eastAsia="en-US" w:bidi="ar-SA"/>
      </w:rPr>
    </w:lvl>
    <w:lvl w:ilvl="2">
      <w:start w:val="0"/>
      <w:numFmt w:val="bullet"/>
      <w:lvlText w:val="•"/>
      <w:lvlJc w:val="left"/>
      <w:pPr>
        <w:ind w:left="1141" w:hanging="152"/>
      </w:pPr>
      <w:rPr>
        <w:rFonts w:hint="default"/>
        <w:lang w:val="vi" w:eastAsia="en-US" w:bidi="ar-SA"/>
      </w:rPr>
    </w:lvl>
    <w:lvl w:ilvl="3">
      <w:start w:val="0"/>
      <w:numFmt w:val="bullet"/>
      <w:lvlText w:val="•"/>
      <w:lvlJc w:val="left"/>
      <w:pPr>
        <w:ind w:left="1581" w:hanging="152"/>
      </w:pPr>
      <w:rPr>
        <w:rFonts w:hint="default"/>
        <w:lang w:val="vi" w:eastAsia="en-US" w:bidi="ar-SA"/>
      </w:rPr>
    </w:lvl>
    <w:lvl w:ilvl="4">
      <w:start w:val="0"/>
      <w:numFmt w:val="bullet"/>
      <w:lvlText w:val="•"/>
      <w:lvlJc w:val="left"/>
      <w:pPr>
        <w:ind w:left="2022" w:hanging="152"/>
      </w:pPr>
      <w:rPr>
        <w:rFonts w:hint="default"/>
        <w:lang w:val="vi" w:eastAsia="en-US" w:bidi="ar-SA"/>
      </w:rPr>
    </w:lvl>
    <w:lvl w:ilvl="5">
      <w:start w:val="0"/>
      <w:numFmt w:val="bullet"/>
      <w:lvlText w:val="•"/>
      <w:lvlJc w:val="left"/>
      <w:pPr>
        <w:ind w:left="2462" w:hanging="152"/>
      </w:pPr>
      <w:rPr>
        <w:rFonts w:hint="default"/>
        <w:lang w:val="vi" w:eastAsia="en-US" w:bidi="ar-SA"/>
      </w:rPr>
    </w:lvl>
    <w:lvl w:ilvl="6">
      <w:start w:val="0"/>
      <w:numFmt w:val="bullet"/>
      <w:lvlText w:val="•"/>
      <w:lvlJc w:val="left"/>
      <w:pPr>
        <w:ind w:left="2903" w:hanging="152"/>
      </w:pPr>
      <w:rPr>
        <w:rFonts w:hint="default"/>
        <w:lang w:val="vi" w:eastAsia="en-US" w:bidi="ar-SA"/>
      </w:rPr>
    </w:lvl>
    <w:lvl w:ilvl="7">
      <w:start w:val="0"/>
      <w:numFmt w:val="bullet"/>
      <w:lvlText w:val="•"/>
      <w:lvlJc w:val="left"/>
      <w:pPr>
        <w:ind w:left="3343" w:hanging="152"/>
      </w:pPr>
      <w:rPr>
        <w:rFonts w:hint="default"/>
        <w:lang w:val="vi" w:eastAsia="en-US" w:bidi="ar-SA"/>
      </w:rPr>
    </w:lvl>
    <w:lvl w:ilvl="8">
      <w:start w:val="0"/>
      <w:numFmt w:val="bullet"/>
      <w:lvlText w:val="•"/>
      <w:lvlJc w:val="left"/>
      <w:pPr>
        <w:ind w:left="3784" w:hanging="152"/>
      </w:pPr>
      <w:rPr>
        <w:rFonts w:hint="default"/>
        <w:lang w:val="vi" w:eastAsia="en-US" w:bidi="ar-SA"/>
      </w:rPr>
    </w:lvl>
  </w:abstractNum>
  <w:abstractNum w:abstractNumId="8">
    <w:multiLevelType w:val="hybridMultilevel"/>
    <w:lvl w:ilvl="0">
      <w:start w:val="0"/>
      <w:numFmt w:val="bullet"/>
      <w:lvlText w:val="-"/>
      <w:lvlJc w:val="left"/>
      <w:pPr>
        <w:ind w:left="261" w:hanging="152"/>
      </w:pPr>
      <w:rPr>
        <w:rFonts w:hint="default" w:ascii="Times New Roman" w:hAnsi="Times New Roman" w:eastAsia="Times New Roman" w:cs="Times New Roman"/>
        <w:w w:val="99"/>
        <w:sz w:val="26"/>
        <w:szCs w:val="26"/>
        <w:lang w:val="vi" w:eastAsia="en-US" w:bidi="ar-SA"/>
      </w:rPr>
    </w:lvl>
    <w:lvl w:ilvl="1">
      <w:start w:val="0"/>
      <w:numFmt w:val="bullet"/>
      <w:lvlText w:val="•"/>
      <w:lvlJc w:val="left"/>
      <w:pPr>
        <w:ind w:left="610" w:hanging="152"/>
      </w:pPr>
      <w:rPr>
        <w:rFonts w:hint="default"/>
        <w:lang w:val="vi" w:eastAsia="en-US" w:bidi="ar-SA"/>
      </w:rPr>
    </w:lvl>
    <w:lvl w:ilvl="2">
      <w:start w:val="0"/>
      <w:numFmt w:val="bullet"/>
      <w:lvlText w:val="•"/>
      <w:lvlJc w:val="left"/>
      <w:pPr>
        <w:ind w:left="961" w:hanging="152"/>
      </w:pPr>
      <w:rPr>
        <w:rFonts w:hint="default"/>
        <w:lang w:val="vi" w:eastAsia="en-US" w:bidi="ar-SA"/>
      </w:rPr>
    </w:lvl>
    <w:lvl w:ilvl="3">
      <w:start w:val="0"/>
      <w:numFmt w:val="bullet"/>
      <w:lvlText w:val="•"/>
      <w:lvlJc w:val="left"/>
      <w:pPr>
        <w:ind w:left="1311" w:hanging="152"/>
      </w:pPr>
      <w:rPr>
        <w:rFonts w:hint="default"/>
        <w:lang w:val="vi" w:eastAsia="en-US" w:bidi="ar-SA"/>
      </w:rPr>
    </w:lvl>
    <w:lvl w:ilvl="4">
      <w:start w:val="0"/>
      <w:numFmt w:val="bullet"/>
      <w:lvlText w:val="•"/>
      <w:lvlJc w:val="left"/>
      <w:pPr>
        <w:ind w:left="1662" w:hanging="152"/>
      </w:pPr>
      <w:rPr>
        <w:rFonts w:hint="default"/>
        <w:lang w:val="vi" w:eastAsia="en-US" w:bidi="ar-SA"/>
      </w:rPr>
    </w:lvl>
    <w:lvl w:ilvl="5">
      <w:start w:val="0"/>
      <w:numFmt w:val="bullet"/>
      <w:lvlText w:val="•"/>
      <w:lvlJc w:val="left"/>
      <w:pPr>
        <w:ind w:left="2012" w:hanging="152"/>
      </w:pPr>
      <w:rPr>
        <w:rFonts w:hint="default"/>
        <w:lang w:val="vi" w:eastAsia="en-US" w:bidi="ar-SA"/>
      </w:rPr>
    </w:lvl>
    <w:lvl w:ilvl="6">
      <w:start w:val="0"/>
      <w:numFmt w:val="bullet"/>
      <w:lvlText w:val="•"/>
      <w:lvlJc w:val="left"/>
      <w:pPr>
        <w:ind w:left="2363" w:hanging="152"/>
      </w:pPr>
      <w:rPr>
        <w:rFonts w:hint="default"/>
        <w:lang w:val="vi" w:eastAsia="en-US" w:bidi="ar-SA"/>
      </w:rPr>
    </w:lvl>
    <w:lvl w:ilvl="7">
      <w:start w:val="0"/>
      <w:numFmt w:val="bullet"/>
      <w:lvlText w:val="•"/>
      <w:lvlJc w:val="left"/>
      <w:pPr>
        <w:ind w:left="2713" w:hanging="152"/>
      </w:pPr>
      <w:rPr>
        <w:rFonts w:hint="default"/>
        <w:lang w:val="vi" w:eastAsia="en-US" w:bidi="ar-SA"/>
      </w:rPr>
    </w:lvl>
    <w:lvl w:ilvl="8">
      <w:start w:val="0"/>
      <w:numFmt w:val="bullet"/>
      <w:lvlText w:val="•"/>
      <w:lvlJc w:val="left"/>
      <w:pPr>
        <w:ind w:left="3064" w:hanging="152"/>
      </w:pPr>
      <w:rPr>
        <w:rFonts w:hint="default"/>
        <w:lang w:val="vi" w:eastAsia="en-US" w:bidi="ar-SA"/>
      </w:rPr>
    </w:lvl>
  </w:abstractNum>
  <w:abstractNum w:abstractNumId="13">
    <w:multiLevelType w:val="hybridMultilevel"/>
    <w:lvl w:ilvl="0">
      <w:start w:val="0"/>
      <w:numFmt w:val="bullet"/>
      <w:lvlText w:val="-"/>
      <w:lvlJc w:val="left"/>
      <w:pPr>
        <w:ind w:left="324" w:hanging="152"/>
      </w:pPr>
      <w:rPr>
        <w:rFonts w:hint="default" w:ascii="Times New Roman" w:hAnsi="Times New Roman" w:eastAsia="Times New Roman" w:cs="Times New Roman"/>
        <w:w w:val="99"/>
        <w:sz w:val="26"/>
        <w:szCs w:val="26"/>
        <w:lang w:val="vi" w:eastAsia="en-US" w:bidi="ar-SA"/>
      </w:rPr>
    </w:lvl>
    <w:lvl w:ilvl="1">
      <w:start w:val="0"/>
      <w:numFmt w:val="bullet"/>
      <w:lvlText w:val="•"/>
      <w:lvlJc w:val="left"/>
      <w:pPr>
        <w:ind w:left="844" w:hanging="152"/>
      </w:pPr>
      <w:rPr>
        <w:rFonts w:hint="default"/>
        <w:lang w:val="vi" w:eastAsia="en-US" w:bidi="ar-SA"/>
      </w:rPr>
    </w:lvl>
    <w:lvl w:ilvl="2">
      <w:start w:val="0"/>
      <w:numFmt w:val="bullet"/>
      <w:lvlText w:val="•"/>
      <w:lvlJc w:val="left"/>
      <w:pPr>
        <w:ind w:left="1369" w:hanging="152"/>
      </w:pPr>
      <w:rPr>
        <w:rFonts w:hint="default"/>
        <w:lang w:val="vi" w:eastAsia="en-US" w:bidi="ar-SA"/>
      </w:rPr>
    </w:lvl>
    <w:lvl w:ilvl="3">
      <w:start w:val="0"/>
      <w:numFmt w:val="bullet"/>
      <w:lvlText w:val="•"/>
      <w:lvlJc w:val="left"/>
      <w:pPr>
        <w:ind w:left="1893" w:hanging="152"/>
      </w:pPr>
      <w:rPr>
        <w:rFonts w:hint="default"/>
        <w:lang w:val="vi" w:eastAsia="en-US" w:bidi="ar-SA"/>
      </w:rPr>
    </w:lvl>
    <w:lvl w:ilvl="4">
      <w:start w:val="0"/>
      <w:numFmt w:val="bullet"/>
      <w:lvlText w:val="•"/>
      <w:lvlJc w:val="left"/>
      <w:pPr>
        <w:ind w:left="2418" w:hanging="152"/>
      </w:pPr>
      <w:rPr>
        <w:rFonts w:hint="default"/>
        <w:lang w:val="vi" w:eastAsia="en-US" w:bidi="ar-SA"/>
      </w:rPr>
    </w:lvl>
    <w:lvl w:ilvl="5">
      <w:start w:val="0"/>
      <w:numFmt w:val="bullet"/>
      <w:lvlText w:val="•"/>
      <w:lvlJc w:val="left"/>
      <w:pPr>
        <w:ind w:left="2942" w:hanging="152"/>
      </w:pPr>
      <w:rPr>
        <w:rFonts w:hint="default"/>
        <w:lang w:val="vi" w:eastAsia="en-US" w:bidi="ar-SA"/>
      </w:rPr>
    </w:lvl>
    <w:lvl w:ilvl="6">
      <w:start w:val="0"/>
      <w:numFmt w:val="bullet"/>
      <w:lvlText w:val="•"/>
      <w:lvlJc w:val="left"/>
      <w:pPr>
        <w:ind w:left="3467" w:hanging="152"/>
      </w:pPr>
      <w:rPr>
        <w:rFonts w:hint="default"/>
        <w:lang w:val="vi" w:eastAsia="en-US" w:bidi="ar-SA"/>
      </w:rPr>
    </w:lvl>
    <w:lvl w:ilvl="7">
      <w:start w:val="0"/>
      <w:numFmt w:val="bullet"/>
      <w:lvlText w:val="•"/>
      <w:lvlJc w:val="left"/>
      <w:pPr>
        <w:ind w:left="3991" w:hanging="152"/>
      </w:pPr>
      <w:rPr>
        <w:rFonts w:hint="default"/>
        <w:lang w:val="vi" w:eastAsia="en-US" w:bidi="ar-SA"/>
      </w:rPr>
    </w:lvl>
    <w:lvl w:ilvl="8">
      <w:start w:val="0"/>
      <w:numFmt w:val="bullet"/>
      <w:lvlText w:val="•"/>
      <w:lvlJc w:val="left"/>
      <w:pPr>
        <w:ind w:left="4516" w:hanging="152"/>
      </w:pPr>
      <w:rPr>
        <w:rFonts w:hint="default"/>
        <w:lang w:val="vi" w:eastAsia="en-US" w:bidi="ar-SA"/>
      </w:rPr>
    </w:lvl>
  </w:abstractNum>
  <w:abstractNum w:abstractNumId="12">
    <w:multiLevelType w:val="hybridMultilevel"/>
    <w:lvl w:ilvl="0">
      <w:start w:val="0"/>
      <w:numFmt w:val="bullet"/>
      <w:lvlText w:val="-"/>
      <w:lvlJc w:val="left"/>
      <w:pPr>
        <w:ind w:left="216" w:hanging="152"/>
      </w:pPr>
      <w:rPr>
        <w:rFonts w:hint="default" w:ascii="Times New Roman" w:hAnsi="Times New Roman" w:eastAsia="Times New Roman" w:cs="Times New Roman"/>
        <w:b/>
        <w:bCs/>
        <w:w w:val="99"/>
        <w:sz w:val="26"/>
        <w:szCs w:val="26"/>
        <w:lang w:val="vi" w:eastAsia="en-US" w:bidi="ar-SA"/>
      </w:rPr>
    </w:lvl>
    <w:lvl w:ilvl="1">
      <w:start w:val="0"/>
      <w:numFmt w:val="bullet"/>
      <w:lvlText w:val="•"/>
      <w:lvlJc w:val="left"/>
      <w:pPr>
        <w:ind w:left="754" w:hanging="152"/>
      </w:pPr>
      <w:rPr>
        <w:rFonts w:hint="default"/>
        <w:lang w:val="vi" w:eastAsia="en-US" w:bidi="ar-SA"/>
      </w:rPr>
    </w:lvl>
    <w:lvl w:ilvl="2">
      <w:start w:val="0"/>
      <w:numFmt w:val="bullet"/>
      <w:lvlText w:val="•"/>
      <w:lvlJc w:val="left"/>
      <w:pPr>
        <w:ind w:left="1289" w:hanging="152"/>
      </w:pPr>
      <w:rPr>
        <w:rFonts w:hint="default"/>
        <w:lang w:val="vi" w:eastAsia="en-US" w:bidi="ar-SA"/>
      </w:rPr>
    </w:lvl>
    <w:lvl w:ilvl="3">
      <w:start w:val="0"/>
      <w:numFmt w:val="bullet"/>
      <w:lvlText w:val="•"/>
      <w:lvlJc w:val="left"/>
      <w:pPr>
        <w:ind w:left="1823" w:hanging="152"/>
      </w:pPr>
      <w:rPr>
        <w:rFonts w:hint="default"/>
        <w:lang w:val="vi" w:eastAsia="en-US" w:bidi="ar-SA"/>
      </w:rPr>
    </w:lvl>
    <w:lvl w:ilvl="4">
      <w:start w:val="0"/>
      <w:numFmt w:val="bullet"/>
      <w:lvlText w:val="•"/>
      <w:lvlJc w:val="left"/>
      <w:pPr>
        <w:ind w:left="2358" w:hanging="152"/>
      </w:pPr>
      <w:rPr>
        <w:rFonts w:hint="default"/>
        <w:lang w:val="vi" w:eastAsia="en-US" w:bidi="ar-SA"/>
      </w:rPr>
    </w:lvl>
    <w:lvl w:ilvl="5">
      <w:start w:val="0"/>
      <w:numFmt w:val="bullet"/>
      <w:lvlText w:val="•"/>
      <w:lvlJc w:val="left"/>
      <w:pPr>
        <w:ind w:left="2892" w:hanging="152"/>
      </w:pPr>
      <w:rPr>
        <w:rFonts w:hint="default"/>
        <w:lang w:val="vi" w:eastAsia="en-US" w:bidi="ar-SA"/>
      </w:rPr>
    </w:lvl>
    <w:lvl w:ilvl="6">
      <w:start w:val="0"/>
      <w:numFmt w:val="bullet"/>
      <w:lvlText w:val="•"/>
      <w:lvlJc w:val="left"/>
      <w:pPr>
        <w:ind w:left="3427" w:hanging="152"/>
      </w:pPr>
      <w:rPr>
        <w:rFonts w:hint="default"/>
        <w:lang w:val="vi" w:eastAsia="en-US" w:bidi="ar-SA"/>
      </w:rPr>
    </w:lvl>
    <w:lvl w:ilvl="7">
      <w:start w:val="0"/>
      <w:numFmt w:val="bullet"/>
      <w:lvlText w:val="•"/>
      <w:lvlJc w:val="left"/>
      <w:pPr>
        <w:ind w:left="3961" w:hanging="152"/>
      </w:pPr>
      <w:rPr>
        <w:rFonts w:hint="default"/>
        <w:lang w:val="vi" w:eastAsia="en-US" w:bidi="ar-SA"/>
      </w:rPr>
    </w:lvl>
    <w:lvl w:ilvl="8">
      <w:start w:val="0"/>
      <w:numFmt w:val="bullet"/>
      <w:lvlText w:val="•"/>
      <w:lvlJc w:val="left"/>
      <w:pPr>
        <w:ind w:left="4496" w:hanging="152"/>
      </w:pPr>
      <w:rPr>
        <w:rFonts w:hint="default"/>
        <w:lang w:val="vi" w:eastAsia="en-US" w:bidi="ar-SA"/>
      </w:rPr>
    </w:lvl>
  </w:abstractNum>
  <w:abstractNum w:abstractNumId="11">
    <w:multiLevelType w:val="hybridMultilevel"/>
    <w:lvl w:ilvl="0">
      <w:start w:val="0"/>
      <w:numFmt w:val="bullet"/>
      <w:lvlText w:val="-"/>
      <w:lvlJc w:val="left"/>
      <w:pPr>
        <w:ind w:left="216" w:hanging="152"/>
      </w:pPr>
      <w:rPr>
        <w:rFonts w:hint="default" w:ascii="Times New Roman" w:hAnsi="Times New Roman" w:eastAsia="Times New Roman" w:cs="Times New Roman"/>
        <w:w w:val="99"/>
        <w:sz w:val="26"/>
        <w:szCs w:val="26"/>
        <w:lang w:val="vi" w:eastAsia="en-US" w:bidi="ar-SA"/>
      </w:rPr>
    </w:lvl>
    <w:lvl w:ilvl="1">
      <w:start w:val="0"/>
      <w:numFmt w:val="bullet"/>
      <w:lvlText w:val="•"/>
      <w:lvlJc w:val="left"/>
      <w:pPr>
        <w:ind w:left="754" w:hanging="152"/>
      </w:pPr>
      <w:rPr>
        <w:rFonts w:hint="default"/>
        <w:lang w:val="vi" w:eastAsia="en-US" w:bidi="ar-SA"/>
      </w:rPr>
    </w:lvl>
    <w:lvl w:ilvl="2">
      <w:start w:val="0"/>
      <w:numFmt w:val="bullet"/>
      <w:lvlText w:val="•"/>
      <w:lvlJc w:val="left"/>
      <w:pPr>
        <w:ind w:left="1289" w:hanging="152"/>
      </w:pPr>
      <w:rPr>
        <w:rFonts w:hint="default"/>
        <w:lang w:val="vi" w:eastAsia="en-US" w:bidi="ar-SA"/>
      </w:rPr>
    </w:lvl>
    <w:lvl w:ilvl="3">
      <w:start w:val="0"/>
      <w:numFmt w:val="bullet"/>
      <w:lvlText w:val="•"/>
      <w:lvlJc w:val="left"/>
      <w:pPr>
        <w:ind w:left="1823" w:hanging="152"/>
      </w:pPr>
      <w:rPr>
        <w:rFonts w:hint="default"/>
        <w:lang w:val="vi" w:eastAsia="en-US" w:bidi="ar-SA"/>
      </w:rPr>
    </w:lvl>
    <w:lvl w:ilvl="4">
      <w:start w:val="0"/>
      <w:numFmt w:val="bullet"/>
      <w:lvlText w:val="•"/>
      <w:lvlJc w:val="left"/>
      <w:pPr>
        <w:ind w:left="2358" w:hanging="152"/>
      </w:pPr>
      <w:rPr>
        <w:rFonts w:hint="default"/>
        <w:lang w:val="vi" w:eastAsia="en-US" w:bidi="ar-SA"/>
      </w:rPr>
    </w:lvl>
    <w:lvl w:ilvl="5">
      <w:start w:val="0"/>
      <w:numFmt w:val="bullet"/>
      <w:lvlText w:val="•"/>
      <w:lvlJc w:val="left"/>
      <w:pPr>
        <w:ind w:left="2892" w:hanging="152"/>
      </w:pPr>
      <w:rPr>
        <w:rFonts w:hint="default"/>
        <w:lang w:val="vi" w:eastAsia="en-US" w:bidi="ar-SA"/>
      </w:rPr>
    </w:lvl>
    <w:lvl w:ilvl="6">
      <w:start w:val="0"/>
      <w:numFmt w:val="bullet"/>
      <w:lvlText w:val="•"/>
      <w:lvlJc w:val="left"/>
      <w:pPr>
        <w:ind w:left="3427" w:hanging="152"/>
      </w:pPr>
      <w:rPr>
        <w:rFonts w:hint="default"/>
        <w:lang w:val="vi" w:eastAsia="en-US" w:bidi="ar-SA"/>
      </w:rPr>
    </w:lvl>
    <w:lvl w:ilvl="7">
      <w:start w:val="0"/>
      <w:numFmt w:val="bullet"/>
      <w:lvlText w:val="•"/>
      <w:lvlJc w:val="left"/>
      <w:pPr>
        <w:ind w:left="3961" w:hanging="152"/>
      </w:pPr>
      <w:rPr>
        <w:rFonts w:hint="default"/>
        <w:lang w:val="vi" w:eastAsia="en-US" w:bidi="ar-SA"/>
      </w:rPr>
    </w:lvl>
    <w:lvl w:ilvl="8">
      <w:start w:val="0"/>
      <w:numFmt w:val="bullet"/>
      <w:lvlText w:val="•"/>
      <w:lvlJc w:val="left"/>
      <w:pPr>
        <w:ind w:left="4496" w:hanging="152"/>
      </w:pPr>
      <w:rPr>
        <w:rFonts w:hint="default"/>
        <w:lang w:val="vi" w:eastAsia="en-US" w:bidi="ar-SA"/>
      </w:rPr>
    </w:lvl>
  </w:abstractNum>
  <w:abstractNum w:abstractNumId="7">
    <w:multiLevelType w:val="hybridMultilevel"/>
    <w:lvl w:ilvl="0">
      <w:start w:val="1"/>
      <w:numFmt w:val="decimal"/>
      <w:lvlText w:val="%1."/>
      <w:lvlJc w:val="left"/>
      <w:pPr>
        <w:ind w:left="1242" w:hanging="267"/>
        <w:jc w:val="left"/>
      </w:pPr>
      <w:rPr>
        <w:rFonts w:hint="default" w:ascii="Times New Roman" w:hAnsi="Times New Roman" w:eastAsia="Times New Roman" w:cs="Times New Roman"/>
        <w:w w:val="99"/>
        <w:sz w:val="26"/>
        <w:szCs w:val="26"/>
        <w:lang w:val="vi" w:eastAsia="en-US" w:bidi="ar-SA"/>
      </w:rPr>
    </w:lvl>
    <w:lvl w:ilvl="1">
      <w:start w:val="0"/>
      <w:numFmt w:val="bullet"/>
      <w:lvlText w:val="•"/>
      <w:lvlJc w:val="left"/>
      <w:pPr>
        <w:ind w:left="2200" w:hanging="267"/>
      </w:pPr>
      <w:rPr>
        <w:rFonts w:hint="default"/>
        <w:lang w:val="vi" w:eastAsia="en-US" w:bidi="ar-SA"/>
      </w:rPr>
    </w:lvl>
    <w:lvl w:ilvl="2">
      <w:start w:val="0"/>
      <w:numFmt w:val="bullet"/>
      <w:lvlText w:val="•"/>
      <w:lvlJc w:val="left"/>
      <w:pPr>
        <w:ind w:left="3161" w:hanging="267"/>
      </w:pPr>
      <w:rPr>
        <w:rFonts w:hint="default"/>
        <w:lang w:val="vi" w:eastAsia="en-US" w:bidi="ar-SA"/>
      </w:rPr>
    </w:lvl>
    <w:lvl w:ilvl="3">
      <w:start w:val="0"/>
      <w:numFmt w:val="bullet"/>
      <w:lvlText w:val="•"/>
      <w:lvlJc w:val="left"/>
      <w:pPr>
        <w:ind w:left="4121" w:hanging="267"/>
      </w:pPr>
      <w:rPr>
        <w:rFonts w:hint="default"/>
        <w:lang w:val="vi" w:eastAsia="en-US" w:bidi="ar-SA"/>
      </w:rPr>
    </w:lvl>
    <w:lvl w:ilvl="4">
      <w:start w:val="0"/>
      <w:numFmt w:val="bullet"/>
      <w:lvlText w:val="•"/>
      <w:lvlJc w:val="left"/>
      <w:pPr>
        <w:ind w:left="5082" w:hanging="267"/>
      </w:pPr>
      <w:rPr>
        <w:rFonts w:hint="default"/>
        <w:lang w:val="vi" w:eastAsia="en-US" w:bidi="ar-SA"/>
      </w:rPr>
    </w:lvl>
    <w:lvl w:ilvl="5">
      <w:start w:val="0"/>
      <w:numFmt w:val="bullet"/>
      <w:lvlText w:val="•"/>
      <w:lvlJc w:val="left"/>
      <w:pPr>
        <w:ind w:left="6043" w:hanging="267"/>
      </w:pPr>
      <w:rPr>
        <w:rFonts w:hint="default"/>
        <w:lang w:val="vi" w:eastAsia="en-US" w:bidi="ar-SA"/>
      </w:rPr>
    </w:lvl>
    <w:lvl w:ilvl="6">
      <w:start w:val="0"/>
      <w:numFmt w:val="bullet"/>
      <w:lvlText w:val="•"/>
      <w:lvlJc w:val="left"/>
      <w:pPr>
        <w:ind w:left="7003" w:hanging="267"/>
      </w:pPr>
      <w:rPr>
        <w:rFonts w:hint="default"/>
        <w:lang w:val="vi" w:eastAsia="en-US" w:bidi="ar-SA"/>
      </w:rPr>
    </w:lvl>
    <w:lvl w:ilvl="7">
      <w:start w:val="0"/>
      <w:numFmt w:val="bullet"/>
      <w:lvlText w:val="•"/>
      <w:lvlJc w:val="left"/>
      <w:pPr>
        <w:ind w:left="7964" w:hanging="267"/>
      </w:pPr>
      <w:rPr>
        <w:rFonts w:hint="default"/>
        <w:lang w:val="vi" w:eastAsia="en-US" w:bidi="ar-SA"/>
      </w:rPr>
    </w:lvl>
    <w:lvl w:ilvl="8">
      <w:start w:val="0"/>
      <w:numFmt w:val="bullet"/>
      <w:lvlText w:val="•"/>
      <w:lvlJc w:val="left"/>
      <w:pPr>
        <w:ind w:left="8925" w:hanging="267"/>
      </w:pPr>
      <w:rPr>
        <w:rFonts w:hint="default"/>
        <w:lang w:val="vi" w:eastAsia="en-US" w:bidi="ar-SA"/>
      </w:rPr>
    </w:lvl>
  </w:abstractNum>
  <w:abstractNum w:abstractNumId="6">
    <w:multiLevelType w:val="hybridMultilevel"/>
    <w:lvl w:ilvl="0">
      <w:start w:val="0"/>
      <w:numFmt w:val="bullet"/>
      <w:lvlText w:val=""/>
      <w:lvlJc w:val="left"/>
      <w:pPr>
        <w:ind w:left="1602" w:hanging="360"/>
      </w:pPr>
      <w:rPr>
        <w:rFonts w:hint="default" w:ascii="Symbol" w:hAnsi="Symbol" w:eastAsia="Symbol" w:cs="Symbol"/>
        <w:w w:val="99"/>
        <w:sz w:val="26"/>
        <w:szCs w:val="26"/>
        <w:lang w:val="vi" w:eastAsia="en-US" w:bidi="ar-SA"/>
      </w:rPr>
    </w:lvl>
    <w:lvl w:ilvl="1">
      <w:start w:val="0"/>
      <w:numFmt w:val="bullet"/>
      <w:lvlText w:val="•"/>
      <w:lvlJc w:val="left"/>
      <w:pPr>
        <w:ind w:left="2524" w:hanging="360"/>
      </w:pPr>
      <w:rPr>
        <w:rFonts w:hint="default"/>
        <w:lang w:val="vi" w:eastAsia="en-US" w:bidi="ar-SA"/>
      </w:rPr>
    </w:lvl>
    <w:lvl w:ilvl="2">
      <w:start w:val="0"/>
      <w:numFmt w:val="bullet"/>
      <w:lvlText w:val="•"/>
      <w:lvlJc w:val="left"/>
      <w:pPr>
        <w:ind w:left="3449" w:hanging="360"/>
      </w:pPr>
      <w:rPr>
        <w:rFonts w:hint="default"/>
        <w:lang w:val="vi" w:eastAsia="en-US" w:bidi="ar-SA"/>
      </w:rPr>
    </w:lvl>
    <w:lvl w:ilvl="3">
      <w:start w:val="0"/>
      <w:numFmt w:val="bullet"/>
      <w:lvlText w:val="•"/>
      <w:lvlJc w:val="left"/>
      <w:pPr>
        <w:ind w:left="4373" w:hanging="360"/>
      </w:pPr>
      <w:rPr>
        <w:rFonts w:hint="default"/>
        <w:lang w:val="vi" w:eastAsia="en-US" w:bidi="ar-SA"/>
      </w:rPr>
    </w:lvl>
    <w:lvl w:ilvl="4">
      <w:start w:val="0"/>
      <w:numFmt w:val="bullet"/>
      <w:lvlText w:val="•"/>
      <w:lvlJc w:val="left"/>
      <w:pPr>
        <w:ind w:left="5298" w:hanging="360"/>
      </w:pPr>
      <w:rPr>
        <w:rFonts w:hint="default"/>
        <w:lang w:val="vi" w:eastAsia="en-US" w:bidi="ar-SA"/>
      </w:rPr>
    </w:lvl>
    <w:lvl w:ilvl="5">
      <w:start w:val="0"/>
      <w:numFmt w:val="bullet"/>
      <w:lvlText w:val="•"/>
      <w:lvlJc w:val="left"/>
      <w:pPr>
        <w:ind w:left="6223" w:hanging="360"/>
      </w:pPr>
      <w:rPr>
        <w:rFonts w:hint="default"/>
        <w:lang w:val="vi" w:eastAsia="en-US" w:bidi="ar-SA"/>
      </w:rPr>
    </w:lvl>
    <w:lvl w:ilvl="6">
      <w:start w:val="0"/>
      <w:numFmt w:val="bullet"/>
      <w:lvlText w:val="•"/>
      <w:lvlJc w:val="left"/>
      <w:pPr>
        <w:ind w:left="7147" w:hanging="360"/>
      </w:pPr>
      <w:rPr>
        <w:rFonts w:hint="default"/>
        <w:lang w:val="vi" w:eastAsia="en-US" w:bidi="ar-SA"/>
      </w:rPr>
    </w:lvl>
    <w:lvl w:ilvl="7">
      <w:start w:val="0"/>
      <w:numFmt w:val="bullet"/>
      <w:lvlText w:val="•"/>
      <w:lvlJc w:val="left"/>
      <w:pPr>
        <w:ind w:left="8072" w:hanging="360"/>
      </w:pPr>
      <w:rPr>
        <w:rFonts w:hint="default"/>
        <w:lang w:val="vi" w:eastAsia="en-US" w:bidi="ar-SA"/>
      </w:rPr>
    </w:lvl>
    <w:lvl w:ilvl="8">
      <w:start w:val="0"/>
      <w:numFmt w:val="bullet"/>
      <w:lvlText w:val="•"/>
      <w:lvlJc w:val="left"/>
      <w:pPr>
        <w:ind w:left="8997" w:hanging="360"/>
      </w:pPr>
      <w:rPr>
        <w:rFonts w:hint="default"/>
        <w:lang w:val="vi" w:eastAsia="en-US" w:bidi="ar-SA"/>
      </w:rPr>
    </w:lvl>
  </w:abstractNum>
  <w:abstractNum w:abstractNumId="5">
    <w:multiLevelType w:val="hybridMultilevel"/>
    <w:lvl w:ilvl="0">
      <w:start w:val="1"/>
      <w:numFmt w:val="decimal"/>
      <w:lvlText w:val="%1"/>
      <w:lvlJc w:val="left"/>
      <w:pPr>
        <w:ind w:left="1270" w:hanging="389"/>
        <w:jc w:val="left"/>
      </w:pPr>
      <w:rPr>
        <w:rFonts w:hint="default"/>
        <w:lang w:val="vi" w:eastAsia="en-US" w:bidi="ar-SA"/>
      </w:rPr>
    </w:lvl>
    <w:lvl w:ilvl="1">
      <w:start w:val="1"/>
      <w:numFmt w:val="decimal"/>
      <w:lvlText w:val="%1.%2"/>
      <w:lvlJc w:val="left"/>
      <w:pPr>
        <w:ind w:left="1270" w:hanging="389"/>
        <w:jc w:val="left"/>
      </w:pPr>
      <w:rPr>
        <w:rFonts w:hint="default" w:ascii="Times New Roman" w:hAnsi="Times New Roman" w:eastAsia="Times New Roman" w:cs="Times New Roman"/>
        <w:b/>
        <w:bCs/>
        <w:w w:val="99"/>
        <w:sz w:val="26"/>
        <w:szCs w:val="26"/>
        <w:lang w:val="vi" w:eastAsia="en-US" w:bidi="ar-SA"/>
      </w:rPr>
    </w:lvl>
    <w:lvl w:ilvl="2">
      <w:start w:val="1"/>
      <w:numFmt w:val="decimal"/>
      <w:lvlText w:val="%1.%2.%3"/>
      <w:lvlJc w:val="left"/>
      <w:pPr>
        <w:ind w:left="1465" w:hanging="584"/>
        <w:jc w:val="left"/>
      </w:pPr>
      <w:rPr>
        <w:rFonts w:hint="default" w:ascii="Times New Roman" w:hAnsi="Times New Roman" w:eastAsia="Times New Roman" w:cs="Times New Roman"/>
        <w:b/>
        <w:bCs/>
        <w:spacing w:val="-1"/>
        <w:w w:val="99"/>
        <w:sz w:val="26"/>
        <w:szCs w:val="26"/>
        <w:lang w:val="vi" w:eastAsia="en-US" w:bidi="ar-SA"/>
      </w:rPr>
    </w:lvl>
    <w:lvl w:ilvl="3">
      <w:start w:val="0"/>
      <w:numFmt w:val="bullet"/>
      <w:lvlText w:val="-"/>
      <w:lvlJc w:val="left"/>
      <w:pPr>
        <w:ind w:left="882" w:hanging="152"/>
      </w:pPr>
      <w:rPr>
        <w:rFonts w:hint="default" w:ascii="Times New Roman" w:hAnsi="Times New Roman" w:eastAsia="Times New Roman" w:cs="Times New Roman"/>
        <w:w w:val="99"/>
        <w:sz w:val="26"/>
        <w:szCs w:val="26"/>
        <w:lang w:val="vi" w:eastAsia="en-US" w:bidi="ar-SA"/>
      </w:rPr>
    </w:lvl>
    <w:lvl w:ilvl="4">
      <w:start w:val="0"/>
      <w:numFmt w:val="bullet"/>
      <w:lvlText w:val="•"/>
      <w:lvlJc w:val="left"/>
      <w:pPr>
        <w:ind w:left="3806" w:hanging="152"/>
      </w:pPr>
      <w:rPr>
        <w:rFonts w:hint="default"/>
        <w:lang w:val="vi" w:eastAsia="en-US" w:bidi="ar-SA"/>
      </w:rPr>
    </w:lvl>
    <w:lvl w:ilvl="5">
      <w:start w:val="0"/>
      <w:numFmt w:val="bullet"/>
      <w:lvlText w:val="•"/>
      <w:lvlJc w:val="left"/>
      <w:pPr>
        <w:ind w:left="4979" w:hanging="152"/>
      </w:pPr>
      <w:rPr>
        <w:rFonts w:hint="default"/>
        <w:lang w:val="vi" w:eastAsia="en-US" w:bidi="ar-SA"/>
      </w:rPr>
    </w:lvl>
    <w:lvl w:ilvl="6">
      <w:start w:val="0"/>
      <w:numFmt w:val="bullet"/>
      <w:lvlText w:val="•"/>
      <w:lvlJc w:val="left"/>
      <w:pPr>
        <w:ind w:left="6153" w:hanging="152"/>
      </w:pPr>
      <w:rPr>
        <w:rFonts w:hint="default"/>
        <w:lang w:val="vi" w:eastAsia="en-US" w:bidi="ar-SA"/>
      </w:rPr>
    </w:lvl>
    <w:lvl w:ilvl="7">
      <w:start w:val="0"/>
      <w:numFmt w:val="bullet"/>
      <w:lvlText w:val="•"/>
      <w:lvlJc w:val="left"/>
      <w:pPr>
        <w:ind w:left="7326" w:hanging="152"/>
      </w:pPr>
      <w:rPr>
        <w:rFonts w:hint="default"/>
        <w:lang w:val="vi" w:eastAsia="en-US" w:bidi="ar-SA"/>
      </w:rPr>
    </w:lvl>
    <w:lvl w:ilvl="8">
      <w:start w:val="0"/>
      <w:numFmt w:val="bullet"/>
      <w:lvlText w:val="•"/>
      <w:lvlJc w:val="left"/>
      <w:pPr>
        <w:ind w:left="8499" w:hanging="152"/>
      </w:pPr>
      <w:rPr>
        <w:rFonts w:hint="default"/>
        <w:lang w:val="vi" w:eastAsia="en-US" w:bidi="ar-SA"/>
      </w:rPr>
    </w:lvl>
  </w:abstractNum>
  <w:abstractNum w:abstractNumId="4">
    <w:multiLevelType w:val="hybridMultilevel"/>
    <w:lvl w:ilvl="0">
      <w:start w:val="5"/>
      <w:numFmt w:val="decimal"/>
      <w:lvlText w:val="%1"/>
      <w:lvlJc w:val="left"/>
      <w:pPr>
        <w:ind w:left="1270" w:hanging="389"/>
        <w:jc w:val="left"/>
      </w:pPr>
      <w:rPr>
        <w:rFonts w:hint="default"/>
        <w:lang w:val="vi" w:eastAsia="en-US" w:bidi="ar-SA"/>
      </w:rPr>
    </w:lvl>
    <w:lvl w:ilvl="1">
      <w:start w:val="1"/>
      <w:numFmt w:val="decimal"/>
      <w:lvlText w:val="%1.%2"/>
      <w:lvlJc w:val="left"/>
      <w:pPr>
        <w:ind w:left="1270" w:hanging="389"/>
        <w:jc w:val="left"/>
      </w:pPr>
      <w:rPr>
        <w:rFonts w:hint="default" w:ascii="Times New Roman" w:hAnsi="Times New Roman" w:eastAsia="Times New Roman" w:cs="Times New Roman"/>
        <w:w w:val="99"/>
        <w:sz w:val="26"/>
        <w:szCs w:val="26"/>
        <w:lang w:val="vi" w:eastAsia="en-US" w:bidi="ar-SA"/>
      </w:rPr>
    </w:lvl>
    <w:lvl w:ilvl="2">
      <w:start w:val="1"/>
      <w:numFmt w:val="decimal"/>
      <w:lvlText w:val="%1.%2.%3"/>
      <w:lvlJc w:val="left"/>
      <w:pPr>
        <w:ind w:left="1465" w:hanging="584"/>
        <w:jc w:val="left"/>
      </w:pPr>
      <w:rPr>
        <w:rFonts w:hint="default" w:ascii="Times New Roman" w:hAnsi="Times New Roman" w:eastAsia="Times New Roman" w:cs="Times New Roman"/>
        <w:w w:val="99"/>
        <w:sz w:val="26"/>
        <w:szCs w:val="26"/>
        <w:lang w:val="vi" w:eastAsia="en-US" w:bidi="ar-SA"/>
      </w:rPr>
    </w:lvl>
    <w:lvl w:ilvl="3">
      <w:start w:val="0"/>
      <w:numFmt w:val="bullet"/>
      <w:lvlText w:val="•"/>
      <w:lvlJc w:val="left"/>
      <w:pPr>
        <w:ind w:left="3545" w:hanging="584"/>
      </w:pPr>
      <w:rPr>
        <w:rFonts w:hint="default"/>
        <w:lang w:val="vi" w:eastAsia="en-US" w:bidi="ar-SA"/>
      </w:rPr>
    </w:lvl>
    <w:lvl w:ilvl="4">
      <w:start w:val="0"/>
      <w:numFmt w:val="bullet"/>
      <w:lvlText w:val="•"/>
      <w:lvlJc w:val="left"/>
      <w:pPr>
        <w:ind w:left="4588" w:hanging="584"/>
      </w:pPr>
      <w:rPr>
        <w:rFonts w:hint="default"/>
        <w:lang w:val="vi" w:eastAsia="en-US" w:bidi="ar-SA"/>
      </w:rPr>
    </w:lvl>
    <w:lvl w:ilvl="5">
      <w:start w:val="0"/>
      <w:numFmt w:val="bullet"/>
      <w:lvlText w:val="•"/>
      <w:lvlJc w:val="left"/>
      <w:pPr>
        <w:ind w:left="5631" w:hanging="584"/>
      </w:pPr>
      <w:rPr>
        <w:rFonts w:hint="default"/>
        <w:lang w:val="vi" w:eastAsia="en-US" w:bidi="ar-SA"/>
      </w:rPr>
    </w:lvl>
    <w:lvl w:ilvl="6">
      <w:start w:val="0"/>
      <w:numFmt w:val="bullet"/>
      <w:lvlText w:val="•"/>
      <w:lvlJc w:val="left"/>
      <w:pPr>
        <w:ind w:left="6674" w:hanging="584"/>
      </w:pPr>
      <w:rPr>
        <w:rFonts w:hint="default"/>
        <w:lang w:val="vi" w:eastAsia="en-US" w:bidi="ar-SA"/>
      </w:rPr>
    </w:lvl>
    <w:lvl w:ilvl="7">
      <w:start w:val="0"/>
      <w:numFmt w:val="bullet"/>
      <w:lvlText w:val="•"/>
      <w:lvlJc w:val="left"/>
      <w:pPr>
        <w:ind w:left="7717" w:hanging="584"/>
      </w:pPr>
      <w:rPr>
        <w:rFonts w:hint="default"/>
        <w:lang w:val="vi" w:eastAsia="en-US" w:bidi="ar-SA"/>
      </w:rPr>
    </w:lvl>
    <w:lvl w:ilvl="8">
      <w:start w:val="0"/>
      <w:numFmt w:val="bullet"/>
      <w:lvlText w:val="•"/>
      <w:lvlJc w:val="left"/>
      <w:pPr>
        <w:ind w:left="8760" w:hanging="584"/>
      </w:pPr>
      <w:rPr>
        <w:rFonts w:hint="default"/>
        <w:lang w:val="vi" w:eastAsia="en-US" w:bidi="ar-SA"/>
      </w:rPr>
    </w:lvl>
  </w:abstractNum>
  <w:abstractNum w:abstractNumId="3">
    <w:multiLevelType w:val="hybridMultilevel"/>
    <w:lvl w:ilvl="0">
      <w:start w:val="4"/>
      <w:numFmt w:val="decimal"/>
      <w:lvlText w:val="%1"/>
      <w:lvlJc w:val="left"/>
      <w:pPr>
        <w:ind w:left="1270" w:hanging="389"/>
        <w:jc w:val="left"/>
      </w:pPr>
      <w:rPr>
        <w:rFonts w:hint="default"/>
        <w:lang w:val="vi" w:eastAsia="en-US" w:bidi="ar-SA"/>
      </w:rPr>
    </w:lvl>
    <w:lvl w:ilvl="1">
      <w:start w:val="1"/>
      <w:numFmt w:val="decimal"/>
      <w:lvlText w:val="%1.%2"/>
      <w:lvlJc w:val="left"/>
      <w:pPr>
        <w:ind w:left="1270" w:hanging="389"/>
        <w:jc w:val="left"/>
      </w:pPr>
      <w:rPr>
        <w:rFonts w:hint="default" w:ascii="Times New Roman" w:hAnsi="Times New Roman" w:eastAsia="Times New Roman" w:cs="Times New Roman"/>
        <w:w w:val="99"/>
        <w:sz w:val="26"/>
        <w:szCs w:val="26"/>
        <w:lang w:val="vi" w:eastAsia="en-US" w:bidi="ar-SA"/>
      </w:rPr>
    </w:lvl>
    <w:lvl w:ilvl="2">
      <w:start w:val="1"/>
      <w:numFmt w:val="decimal"/>
      <w:lvlText w:val="%1.%2.%3"/>
      <w:lvlJc w:val="left"/>
      <w:pPr>
        <w:ind w:left="1465" w:hanging="584"/>
        <w:jc w:val="left"/>
      </w:pPr>
      <w:rPr>
        <w:rFonts w:hint="default" w:ascii="Times New Roman" w:hAnsi="Times New Roman" w:eastAsia="Times New Roman" w:cs="Times New Roman"/>
        <w:w w:val="99"/>
        <w:sz w:val="26"/>
        <w:szCs w:val="26"/>
        <w:lang w:val="vi" w:eastAsia="en-US" w:bidi="ar-SA"/>
      </w:rPr>
    </w:lvl>
    <w:lvl w:ilvl="3">
      <w:start w:val="0"/>
      <w:numFmt w:val="bullet"/>
      <w:lvlText w:val="•"/>
      <w:lvlJc w:val="left"/>
      <w:pPr>
        <w:ind w:left="3545" w:hanging="584"/>
      </w:pPr>
      <w:rPr>
        <w:rFonts w:hint="default"/>
        <w:lang w:val="vi" w:eastAsia="en-US" w:bidi="ar-SA"/>
      </w:rPr>
    </w:lvl>
    <w:lvl w:ilvl="4">
      <w:start w:val="0"/>
      <w:numFmt w:val="bullet"/>
      <w:lvlText w:val="•"/>
      <w:lvlJc w:val="left"/>
      <w:pPr>
        <w:ind w:left="4588" w:hanging="584"/>
      </w:pPr>
      <w:rPr>
        <w:rFonts w:hint="default"/>
        <w:lang w:val="vi" w:eastAsia="en-US" w:bidi="ar-SA"/>
      </w:rPr>
    </w:lvl>
    <w:lvl w:ilvl="5">
      <w:start w:val="0"/>
      <w:numFmt w:val="bullet"/>
      <w:lvlText w:val="•"/>
      <w:lvlJc w:val="left"/>
      <w:pPr>
        <w:ind w:left="5631" w:hanging="584"/>
      </w:pPr>
      <w:rPr>
        <w:rFonts w:hint="default"/>
        <w:lang w:val="vi" w:eastAsia="en-US" w:bidi="ar-SA"/>
      </w:rPr>
    </w:lvl>
    <w:lvl w:ilvl="6">
      <w:start w:val="0"/>
      <w:numFmt w:val="bullet"/>
      <w:lvlText w:val="•"/>
      <w:lvlJc w:val="left"/>
      <w:pPr>
        <w:ind w:left="6674" w:hanging="584"/>
      </w:pPr>
      <w:rPr>
        <w:rFonts w:hint="default"/>
        <w:lang w:val="vi" w:eastAsia="en-US" w:bidi="ar-SA"/>
      </w:rPr>
    </w:lvl>
    <w:lvl w:ilvl="7">
      <w:start w:val="0"/>
      <w:numFmt w:val="bullet"/>
      <w:lvlText w:val="•"/>
      <w:lvlJc w:val="left"/>
      <w:pPr>
        <w:ind w:left="7717" w:hanging="584"/>
      </w:pPr>
      <w:rPr>
        <w:rFonts w:hint="default"/>
        <w:lang w:val="vi" w:eastAsia="en-US" w:bidi="ar-SA"/>
      </w:rPr>
    </w:lvl>
    <w:lvl w:ilvl="8">
      <w:start w:val="0"/>
      <w:numFmt w:val="bullet"/>
      <w:lvlText w:val="•"/>
      <w:lvlJc w:val="left"/>
      <w:pPr>
        <w:ind w:left="8760" w:hanging="584"/>
      </w:pPr>
      <w:rPr>
        <w:rFonts w:hint="default"/>
        <w:lang w:val="vi" w:eastAsia="en-US" w:bidi="ar-SA"/>
      </w:rPr>
    </w:lvl>
  </w:abstractNum>
  <w:abstractNum w:abstractNumId="2">
    <w:multiLevelType w:val="hybridMultilevel"/>
    <w:lvl w:ilvl="0">
      <w:start w:val="3"/>
      <w:numFmt w:val="decimal"/>
      <w:lvlText w:val="%1"/>
      <w:lvlJc w:val="left"/>
      <w:pPr>
        <w:ind w:left="1270" w:hanging="389"/>
        <w:jc w:val="left"/>
      </w:pPr>
      <w:rPr>
        <w:rFonts w:hint="default"/>
        <w:lang w:val="vi" w:eastAsia="en-US" w:bidi="ar-SA"/>
      </w:rPr>
    </w:lvl>
    <w:lvl w:ilvl="1">
      <w:start w:val="1"/>
      <w:numFmt w:val="decimal"/>
      <w:lvlText w:val="%1.%2"/>
      <w:lvlJc w:val="left"/>
      <w:pPr>
        <w:ind w:left="1270" w:hanging="389"/>
        <w:jc w:val="left"/>
      </w:pPr>
      <w:rPr>
        <w:rFonts w:hint="default" w:ascii="Times New Roman" w:hAnsi="Times New Roman" w:eastAsia="Times New Roman" w:cs="Times New Roman"/>
        <w:w w:val="99"/>
        <w:sz w:val="26"/>
        <w:szCs w:val="26"/>
        <w:lang w:val="vi" w:eastAsia="en-US" w:bidi="ar-SA"/>
      </w:rPr>
    </w:lvl>
    <w:lvl w:ilvl="2">
      <w:start w:val="1"/>
      <w:numFmt w:val="decimal"/>
      <w:lvlText w:val="%1.%2.%3"/>
      <w:lvlJc w:val="left"/>
      <w:pPr>
        <w:ind w:left="1465" w:hanging="584"/>
        <w:jc w:val="left"/>
      </w:pPr>
      <w:rPr>
        <w:rFonts w:hint="default" w:ascii="Times New Roman" w:hAnsi="Times New Roman" w:eastAsia="Times New Roman" w:cs="Times New Roman"/>
        <w:w w:val="99"/>
        <w:sz w:val="26"/>
        <w:szCs w:val="26"/>
        <w:lang w:val="vi" w:eastAsia="en-US" w:bidi="ar-SA"/>
      </w:rPr>
    </w:lvl>
    <w:lvl w:ilvl="3">
      <w:start w:val="0"/>
      <w:numFmt w:val="bullet"/>
      <w:lvlText w:val="•"/>
      <w:lvlJc w:val="left"/>
      <w:pPr>
        <w:ind w:left="3545" w:hanging="584"/>
      </w:pPr>
      <w:rPr>
        <w:rFonts w:hint="default"/>
        <w:lang w:val="vi" w:eastAsia="en-US" w:bidi="ar-SA"/>
      </w:rPr>
    </w:lvl>
    <w:lvl w:ilvl="4">
      <w:start w:val="0"/>
      <w:numFmt w:val="bullet"/>
      <w:lvlText w:val="•"/>
      <w:lvlJc w:val="left"/>
      <w:pPr>
        <w:ind w:left="4588" w:hanging="584"/>
      </w:pPr>
      <w:rPr>
        <w:rFonts w:hint="default"/>
        <w:lang w:val="vi" w:eastAsia="en-US" w:bidi="ar-SA"/>
      </w:rPr>
    </w:lvl>
    <w:lvl w:ilvl="5">
      <w:start w:val="0"/>
      <w:numFmt w:val="bullet"/>
      <w:lvlText w:val="•"/>
      <w:lvlJc w:val="left"/>
      <w:pPr>
        <w:ind w:left="5631" w:hanging="584"/>
      </w:pPr>
      <w:rPr>
        <w:rFonts w:hint="default"/>
        <w:lang w:val="vi" w:eastAsia="en-US" w:bidi="ar-SA"/>
      </w:rPr>
    </w:lvl>
    <w:lvl w:ilvl="6">
      <w:start w:val="0"/>
      <w:numFmt w:val="bullet"/>
      <w:lvlText w:val="•"/>
      <w:lvlJc w:val="left"/>
      <w:pPr>
        <w:ind w:left="6674" w:hanging="584"/>
      </w:pPr>
      <w:rPr>
        <w:rFonts w:hint="default"/>
        <w:lang w:val="vi" w:eastAsia="en-US" w:bidi="ar-SA"/>
      </w:rPr>
    </w:lvl>
    <w:lvl w:ilvl="7">
      <w:start w:val="0"/>
      <w:numFmt w:val="bullet"/>
      <w:lvlText w:val="•"/>
      <w:lvlJc w:val="left"/>
      <w:pPr>
        <w:ind w:left="7717" w:hanging="584"/>
      </w:pPr>
      <w:rPr>
        <w:rFonts w:hint="default"/>
        <w:lang w:val="vi" w:eastAsia="en-US" w:bidi="ar-SA"/>
      </w:rPr>
    </w:lvl>
    <w:lvl w:ilvl="8">
      <w:start w:val="0"/>
      <w:numFmt w:val="bullet"/>
      <w:lvlText w:val="•"/>
      <w:lvlJc w:val="left"/>
      <w:pPr>
        <w:ind w:left="8760" w:hanging="584"/>
      </w:pPr>
      <w:rPr>
        <w:rFonts w:hint="default"/>
        <w:lang w:val="vi" w:eastAsia="en-US" w:bidi="ar-SA"/>
      </w:rPr>
    </w:lvl>
  </w:abstractNum>
  <w:abstractNum w:abstractNumId="1">
    <w:multiLevelType w:val="hybridMultilevel"/>
    <w:lvl w:ilvl="0">
      <w:start w:val="2"/>
      <w:numFmt w:val="decimal"/>
      <w:lvlText w:val="%1"/>
      <w:lvlJc w:val="left"/>
      <w:pPr>
        <w:ind w:left="1270" w:hanging="389"/>
        <w:jc w:val="left"/>
      </w:pPr>
      <w:rPr>
        <w:rFonts w:hint="default"/>
        <w:lang w:val="vi" w:eastAsia="en-US" w:bidi="ar-SA"/>
      </w:rPr>
    </w:lvl>
    <w:lvl w:ilvl="1">
      <w:start w:val="1"/>
      <w:numFmt w:val="decimal"/>
      <w:lvlText w:val="%1.%2"/>
      <w:lvlJc w:val="left"/>
      <w:pPr>
        <w:ind w:left="1270" w:hanging="389"/>
        <w:jc w:val="left"/>
      </w:pPr>
      <w:rPr>
        <w:rFonts w:hint="default" w:ascii="Times New Roman" w:hAnsi="Times New Roman" w:eastAsia="Times New Roman" w:cs="Times New Roman"/>
        <w:w w:val="99"/>
        <w:sz w:val="26"/>
        <w:szCs w:val="26"/>
        <w:lang w:val="vi" w:eastAsia="en-US" w:bidi="ar-SA"/>
      </w:rPr>
    </w:lvl>
    <w:lvl w:ilvl="2">
      <w:start w:val="1"/>
      <w:numFmt w:val="decimal"/>
      <w:lvlText w:val="%1.%2.%3"/>
      <w:lvlJc w:val="left"/>
      <w:pPr>
        <w:ind w:left="1465" w:hanging="584"/>
        <w:jc w:val="left"/>
      </w:pPr>
      <w:rPr>
        <w:rFonts w:hint="default" w:ascii="Times New Roman" w:hAnsi="Times New Roman" w:eastAsia="Times New Roman" w:cs="Times New Roman"/>
        <w:w w:val="99"/>
        <w:sz w:val="26"/>
        <w:szCs w:val="26"/>
        <w:lang w:val="vi" w:eastAsia="en-US" w:bidi="ar-SA"/>
      </w:rPr>
    </w:lvl>
    <w:lvl w:ilvl="3">
      <w:start w:val="1"/>
      <w:numFmt w:val="decimal"/>
      <w:lvlText w:val="%1.%2.%3.%4"/>
      <w:lvlJc w:val="left"/>
      <w:pPr>
        <w:ind w:left="1659" w:hanging="778"/>
        <w:jc w:val="left"/>
      </w:pPr>
      <w:rPr>
        <w:rFonts w:hint="default" w:ascii="Times New Roman" w:hAnsi="Times New Roman" w:eastAsia="Times New Roman" w:cs="Times New Roman"/>
        <w:spacing w:val="-1"/>
        <w:w w:val="99"/>
        <w:sz w:val="26"/>
        <w:szCs w:val="26"/>
        <w:lang w:val="vi" w:eastAsia="en-US" w:bidi="ar-SA"/>
      </w:rPr>
    </w:lvl>
    <w:lvl w:ilvl="4">
      <w:start w:val="0"/>
      <w:numFmt w:val="bullet"/>
      <w:lvlText w:val="•"/>
      <w:lvlJc w:val="left"/>
      <w:pPr>
        <w:ind w:left="3956" w:hanging="778"/>
      </w:pPr>
      <w:rPr>
        <w:rFonts w:hint="default"/>
        <w:lang w:val="vi" w:eastAsia="en-US" w:bidi="ar-SA"/>
      </w:rPr>
    </w:lvl>
    <w:lvl w:ilvl="5">
      <w:start w:val="0"/>
      <w:numFmt w:val="bullet"/>
      <w:lvlText w:val="•"/>
      <w:lvlJc w:val="left"/>
      <w:pPr>
        <w:ind w:left="5104" w:hanging="778"/>
      </w:pPr>
      <w:rPr>
        <w:rFonts w:hint="default"/>
        <w:lang w:val="vi" w:eastAsia="en-US" w:bidi="ar-SA"/>
      </w:rPr>
    </w:lvl>
    <w:lvl w:ilvl="6">
      <w:start w:val="0"/>
      <w:numFmt w:val="bullet"/>
      <w:lvlText w:val="•"/>
      <w:lvlJc w:val="left"/>
      <w:pPr>
        <w:ind w:left="6253" w:hanging="778"/>
      </w:pPr>
      <w:rPr>
        <w:rFonts w:hint="default"/>
        <w:lang w:val="vi" w:eastAsia="en-US" w:bidi="ar-SA"/>
      </w:rPr>
    </w:lvl>
    <w:lvl w:ilvl="7">
      <w:start w:val="0"/>
      <w:numFmt w:val="bullet"/>
      <w:lvlText w:val="•"/>
      <w:lvlJc w:val="left"/>
      <w:pPr>
        <w:ind w:left="7401" w:hanging="778"/>
      </w:pPr>
      <w:rPr>
        <w:rFonts w:hint="default"/>
        <w:lang w:val="vi" w:eastAsia="en-US" w:bidi="ar-SA"/>
      </w:rPr>
    </w:lvl>
    <w:lvl w:ilvl="8">
      <w:start w:val="0"/>
      <w:numFmt w:val="bullet"/>
      <w:lvlText w:val="•"/>
      <w:lvlJc w:val="left"/>
      <w:pPr>
        <w:ind w:left="8549" w:hanging="778"/>
      </w:pPr>
      <w:rPr>
        <w:rFonts w:hint="default"/>
        <w:lang w:val="vi" w:eastAsia="en-US" w:bidi="ar-SA"/>
      </w:rPr>
    </w:lvl>
  </w:abstractNum>
  <w:abstractNum w:abstractNumId="0">
    <w:multiLevelType w:val="hybridMultilevel"/>
    <w:lvl w:ilvl="0">
      <w:start w:val="1"/>
      <w:numFmt w:val="decimal"/>
      <w:lvlText w:val="%1"/>
      <w:lvlJc w:val="left"/>
      <w:pPr>
        <w:ind w:left="1270" w:hanging="389"/>
        <w:jc w:val="left"/>
      </w:pPr>
      <w:rPr>
        <w:rFonts w:hint="default"/>
        <w:lang w:val="vi" w:eastAsia="en-US" w:bidi="ar-SA"/>
      </w:rPr>
    </w:lvl>
    <w:lvl w:ilvl="1">
      <w:start w:val="1"/>
      <w:numFmt w:val="decimal"/>
      <w:lvlText w:val="%1.%2"/>
      <w:lvlJc w:val="left"/>
      <w:pPr>
        <w:ind w:left="1270" w:hanging="389"/>
        <w:jc w:val="left"/>
      </w:pPr>
      <w:rPr>
        <w:rFonts w:hint="default" w:ascii="Times New Roman" w:hAnsi="Times New Roman" w:eastAsia="Times New Roman" w:cs="Times New Roman"/>
        <w:w w:val="99"/>
        <w:sz w:val="26"/>
        <w:szCs w:val="26"/>
        <w:lang w:val="vi" w:eastAsia="en-US" w:bidi="ar-SA"/>
      </w:rPr>
    </w:lvl>
    <w:lvl w:ilvl="2">
      <w:start w:val="1"/>
      <w:numFmt w:val="decimal"/>
      <w:lvlText w:val="%1.%2.%3"/>
      <w:lvlJc w:val="left"/>
      <w:pPr>
        <w:ind w:left="1465" w:hanging="584"/>
        <w:jc w:val="left"/>
      </w:pPr>
      <w:rPr>
        <w:rFonts w:hint="default" w:ascii="Times New Roman" w:hAnsi="Times New Roman" w:eastAsia="Times New Roman" w:cs="Times New Roman"/>
        <w:w w:val="99"/>
        <w:sz w:val="26"/>
        <w:szCs w:val="26"/>
        <w:lang w:val="vi" w:eastAsia="en-US" w:bidi="ar-SA"/>
      </w:rPr>
    </w:lvl>
    <w:lvl w:ilvl="3">
      <w:start w:val="0"/>
      <w:numFmt w:val="bullet"/>
      <w:lvlText w:val="•"/>
      <w:lvlJc w:val="left"/>
      <w:pPr>
        <w:ind w:left="3545" w:hanging="584"/>
      </w:pPr>
      <w:rPr>
        <w:rFonts w:hint="default"/>
        <w:lang w:val="vi" w:eastAsia="en-US" w:bidi="ar-SA"/>
      </w:rPr>
    </w:lvl>
    <w:lvl w:ilvl="4">
      <w:start w:val="0"/>
      <w:numFmt w:val="bullet"/>
      <w:lvlText w:val="•"/>
      <w:lvlJc w:val="left"/>
      <w:pPr>
        <w:ind w:left="4588" w:hanging="584"/>
      </w:pPr>
      <w:rPr>
        <w:rFonts w:hint="default"/>
        <w:lang w:val="vi" w:eastAsia="en-US" w:bidi="ar-SA"/>
      </w:rPr>
    </w:lvl>
    <w:lvl w:ilvl="5">
      <w:start w:val="0"/>
      <w:numFmt w:val="bullet"/>
      <w:lvlText w:val="•"/>
      <w:lvlJc w:val="left"/>
      <w:pPr>
        <w:ind w:left="5631" w:hanging="584"/>
      </w:pPr>
      <w:rPr>
        <w:rFonts w:hint="default"/>
        <w:lang w:val="vi" w:eastAsia="en-US" w:bidi="ar-SA"/>
      </w:rPr>
    </w:lvl>
    <w:lvl w:ilvl="6">
      <w:start w:val="0"/>
      <w:numFmt w:val="bullet"/>
      <w:lvlText w:val="•"/>
      <w:lvlJc w:val="left"/>
      <w:pPr>
        <w:ind w:left="6674" w:hanging="584"/>
      </w:pPr>
      <w:rPr>
        <w:rFonts w:hint="default"/>
        <w:lang w:val="vi" w:eastAsia="en-US" w:bidi="ar-SA"/>
      </w:rPr>
    </w:lvl>
    <w:lvl w:ilvl="7">
      <w:start w:val="0"/>
      <w:numFmt w:val="bullet"/>
      <w:lvlText w:val="•"/>
      <w:lvlJc w:val="left"/>
      <w:pPr>
        <w:ind w:left="7717" w:hanging="584"/>
      </w:pPr>
      <w:rPr>
        <w:rFonts w:hint="default"/>
        <w:lang w:val="vi" w:eastAsia="en-US" w:bidi="ar-SA"/>
      </w:rPr>
    </w:lvl>
    <w:lvl w:ilvl="8">
      <w:start w:val="0"/>
      <w:numFmt w:val="bullet"/>
      <w:lvlText w:val="•"/>
      <w:lvlJc w:val="left"/>
      <w:pPr>
        <w:ind w:left="8760" w:hanging="584"/>
      </w:pPr>
      <w:rPr>
        <w:rFonts w:hint="default"/>
        <w:lang w:val="vi" w:eastAsia="en-US" w:bidi="ar-SA"/>
      </w:rPr>
    </w:lvl>
  </w:abstractNum>
  <w:num w:numId="46">
    <w:abstractNumId w:val="45"/>
  </w:num>
  <w:num w:numId="45">
    <w:abstractNumId w:val="44"/>
  </w:num>
  <w:num w:numId="44">
    <w:abstractNumId w:val="43"/>
  </w:num>
  <w:num w:numId="43">
    <w:abstractNumId w:val="42"/>
  </w:num>
  <w:num w:numId="42">
    <w:abstractNumId w:val="41"/>
  </w:num>
  <w:num w:numId="41">
    <w:abstractNumId w:val="40"/>
  </w:num>
  <w:num w:numId="40">
    <w:abstractNumId w:val="39"/>
  </w:num>
  <w:num w:numId="39">
    <w:abstractNumId w:val="38"/>
  </w:num>
  <w:num w:numId="38">
    <w:abstractNumId w:val="37"/>
  </w:num>
  <w:num w:numId="37">
    <w:abstractNumId w:val="36"/>
  </w:num>
  <w:num w:numId="36">
    <w:abstractNumId w:val="35"/>
  </w:num>
  <w:num w:numId="35">
    <w:abstractNumId w:val="34"/>
  </w:num>
  <w:num w:numId="34">
    <w:abstractNumId w:val="33"/>
  </w:num>
  <w:num w:numId="33">
    <w:abstractNumId w:val="32"/>
  </w:num>
  <w:num w:numId="32">
    <w:abstractNumId w:val="31"/>
  </w:num>
  <w:num w:numId="31">
    <w:abstractNumId w:val="30"/>
  </w:num>
  <w:num w:numId="30">
    <w:abstractNumId w:val="29"/>
  </w:num>
  <w:num w:numId="29">
    <w:abstractNumId w:val="28"/>
  </w:num>
  <w:num w:numId="28">
    <w:abstractNumId w:val="27"/>
  </w:num>
  <w:num w:numId="27">
    <w:abstractNumId w:val="26"/>
  </w:num>
  <w:num w:numId="26">
    <w:abstractNumId w:val="25"/>
  </w:num>
  <w:num w:numId="25">
    <w:abstractNumId w:val="24"/>
  </w:num>
  <w:num w:numId="24">
    <w:abstractNumId w:val="23"/>
  </w:num>
  <w:num w:numId="23">
    <w:abstractNumId w:val="22"/>
  </w:num>
  <w:num w:numId="22">
    <w:abstractNumId w:val="21"/>
  </w:num>
  <w:num w:numId="21">
    <w:abstractNumId w:val="20"/>
  </w:num>
  <w:num w:numId="20">
    <w:abstractNumId w:val="19"/>
  </w:num>
  <w:num w:numId="19">
    <w:abstractNumId w:val="18"/>
  </w:num>
  <w:num w:numId="18">
    <w:abstractNumId w:val="17"/>
  </w:num>
  <w:num w:numId="17">
    <w:abstractNumId w:val="16"/>
  </w:num>
  <w:num w:numId="16">
    <w:abstractNumId w:val="15"/>
  </w:num>
  <w:num w:numId="11">
    <w:abstractNumId w:val="10"/>
  </w:num>
  <w:num w:numId="15">
    <w:abstractNumId w:val="14"/>
  </w:num>
  <w:num w:numId="10">
    <w:abstractNumId w:val="9"/>
  </w:num>
  <w:num w:numId="9">
    <w:abstractNumId w:val="8"/>
  </w:num>
  <w:num w:numId="14">
    <w:abstractNumId w:val="13"/>
  </w:num>
  <w:num w:numId="13">
    <w:abstractNumId w:val="12"/>
  </w:num>
  <w:num w:numId="12">
    <w:abstractNumId w:val="11"/>
  </w:num>
  <w:num w:numId="8">
    <w:abstractNumId w:val="7"/>
  </w:num>
  <w:num w:numId="7">
    <w:abstractNumId w:val="6"/>
  </w:num>
  <w:num w:numId="6">
    <w:abstractNumId w:val="5"/>
  </w:num>
  <w:num w:numId="5">
    <w:abstractNumId w:val="4"/>
  </w:num>
  <w:num w:numId="4">
    <w:abstractNumId w:val="3"/>
  </w:num>
  <w:num w:numId="3">
    <w:abstractNumId w:val="2"/>
  </w:num>
  <w:num w:numId="2">
    <w:abstractNumId w:val="1"/>
  </w: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drawingGridHorizontalSpacing w:val="110"/>
  <w:displayHorizontalDrawingGridEvery w:val="2"/>
  <w:characterSpacingControl w:val="doNotCompress"/>
  <w:compat>
    <w:ulTrailSpace/>
    <w:shapeLayoutLikeWW8/>
    <w:useFELayout/>
  </w:compat>
</w:settings>
</file>

<file path=word/styles.xml><?xml version="1.0" encoding="utf-8"?>
<w:styles xmlns:r="http://schemas.openxmlformats.org/officeDocument/2006/relationships" xmlns:w="http://schemas.openxmlformats.org/wordprocessingml/2006/main">
  <w:docDefaults>
    <w:rPrDefault>
      <w:rPr>
        <w:rFonts w:cstheme="minorBidi" w:hAnsiTheme="minorHAnsi" w:eastAsiaTheme="minorHAnsi" w:asciiTheme="minorHAnsi"/>
        <w:sz w:val="22"/>
        <w:szCs w:val="22"/>
        <w:lang w:val="en-US" w:bidi="ar-SA" w:eastAsia="en-US"/>
      </w:rPr>
    </w:rPrDefault>
    <w:pPrDefault>
      <w:pPr>
        <w:widowControl w:val="0"/>
        <w:autoSpaceDE w:val="0"/>
        <w:autoSpaceDN w:val="0"/>
        <w:spacing w:lineRule="auto" w:line="240" w:before="0" w:after="0"/>
        <w:ind w:left="0" w:right="0"/>
        <w:jc w:val="left"/>
      </w:pPr>
    </w:pPrDefault>
  </w:docDefaults>
  <w:style w:styleId="DefaultParagraphFont" w:default="1" w:type="character">
    <w:name w:val="Default Paragraph Font"/>
    <w:uiPriority w:val="1"/>
    <w:semiHidden/>
    <w:unhideWhenUsed/>
  </w:style>
  <w:style w:styleId="TableNormal" w:default="1" w:type="table">
    <w:name w:val="Table Normal"/>
    <w:uiPriority w:val="2"/>
    <w:semiHidden/>
    <w:unhideWhenUsed/>
    <w:qFormat/>
    <w:tblPr>
      <w:tblInd w:w="0" w:type="dxa"/>
      <w:tblCellMar>
        <w:top w:w="0" w:type="dxa"/>
        <w:left w:w="0" w:type="dxa"/>
        <w:bottom w:w="0" w:type="dxa"/>
        <w:right w:w="0" w:type="dxa"/>
      </w:tblCellMar>
    </w:tblPr>
  </w:style>
  <w:style w:styleId="NoList" w:default="1" w:type="numbering">
    <w:name w:val="No List"/>
    <w:uiPriority w:val="99"/>
    <w:semiHidden/>
    <w:unhideWhenUsed/>
  </w:style>
  <w:style w:default="1" w:styleId="Normal" w:type="paragraph">
    <w:name w:val="Normal"/>
    <w:uiPriority w:val="1"/>
    <w:qFormat/>
    <w:pPr/>
    <w:rPr>
      <w:rFonts w:ascii="Times New Roman" w:hAnsi="Times New Roman" w:eastAsia="Times New Roman" w:cs="Times New Roman"/>
      <w:lang w:val="vi" w:eastAsia="en-US" w:bidi="ar-SA"/>
    </w:rPr>
  </w:style>
  <w:style w:styleId="TOC1" w:type="paragraph">
    <w:name w:val="TOC 1"/>
    <w:basedOn w:val="Normal"/>
    <w:uiPriority w:val="1"/>
    <w:qFormat/>
    <w:pPr>
      <w:spacing w:before="150"/>
      <w:ind w:left="882"/>
    </w:pPr>
    <w:rPr>
      <w:rFonts w:ascii="Times New Roman" w:hAnsi="Times New Roman" w:eastAsia="Times New Roman" w:cs="Times New Roman"/>
      <w:b/>
      <w:bCs/>
      <w:sz w:val="26"/>
      <w:szCs w:val="26"/>
      <w:lang w:val="vi" w:eastAsia="en-US" w:bidi="ar-SA"/>
    </w:rPr>
  </w:style>
  <w:style w:styleId="TOC2" w:type="paragraph">
    <w:name w:val="TOC 2"/>
    <w:basedOn w:val="Normal"/>
    <w:uiPriority w:val="1"/>
    <w:qFormat/>
    <w:pPr>
      <w:spacing w:before="150"/>
      <w:ind w:left="882"/>
    </w:pPr>
    <w:rPr>
      <w:rFonts w:ascii="Times New Roman" w:hAnsi="Times New Roman" w:eastAsia="Times New Roman" w:cs="Times New Roman"/>
      <w:b/>
      <w:bCs/>
      <w:i/>
      <w:sz w:val="26"/>
      <w:szCs w:val="26"/>
      <w:lang w:val="vi" w:eastAsia="en-US" w:bidi="ar-SA"/>
    </w:rPr>
  </w:style>
  <w:style w:styleId="TOC3" w:type="paragraph">
    <w:name w:val="TOC 3"/>
    <w:basedOn w:val="Normal"/>
    <w:uiPriority w:val="1"/>
    <w:qFormat/>
    <w:pPr>
      <w:spacing w:before="150"/>
      <w:ind w:left="1465" w:hanging="584"/>
    </w:pPr>
    <w:rPr>
      <w:rFonts w:ascii="Times New Roman" w:hAnsi="Times New Roman" w:eastAsia="Times New Roman" w:cs="Times New Roman"/>
      <w:sz w:val="26"/>
      <w:szCs w:val="26"/>
      <w:lang w:val="vi" w:eastAsia="en-US" w:bidi="ar-SA"/>
    </w:rPr>
  </w:style>
  <w:style w:styleId="TOC4" w:type="paragraph">
    <w:name w:val="TOC 4"/>
    <w:basedOn w:val="Normal"/>
    <w:uiPriority w:val="1"/>
    <w:qFormat/>
    <w:pPr>
      <w:spacing w:before="150"/>
      <w:ind w:left="882" w:right="891" w:firstLine="8379"/>
    </w:pPr>
    <w:rPr>
      <w:rFonts w:ascii="Times New Roman" w:hAnsi="Times New Roman" w:eastAsia="Times New Roman" w:cs="Times New Roman"/>
      <w:b/>
      <w:bCs/>
      <w:sz w:val="26"/>
      <w:szCs w:val="26"/>
      <w:lang w:val="vi" w:eastAsia="en-US" w:bidi="ar-SA"/>
    </w:rPr>
  </w:style>
  <w:style w:styleId="BodyText" w:type="paragraph">
    <w:name w:val="Body Text"/>
    <w:basedOn w:val="Normal"/>
    <w:uiPriority w:val="1"/>
    <w:qFormat/>
    <w:pPr/>
    <w:rPr>
      <w:rFonts w:ascii="Times New Roman" w:hAnsi="Times New Roman" w:eastAsia="Times New Roman" w:cs="Times New Roman"/>
      <w:sz w:val="26"/>
      <w:szCs w:val="26"/>
      <w:lang w:val="vi" w:eastAsia="en-US" w:bidi="ar-SA"/>
    </w:rPr>
  </w:style>
  <w:style w:styleId="Heading1" w:type="paragraph">
    <w:name w:val="Heading 1"/>
    <w:basedOn w:val="Normal"/>
    <w:uiPriority w:val="1"/>
    <w:qFormat/>
    <w:pPr>
      <w:ind w:right="952"/>
      <w:jc w:val="center"/>
      <w:outlineLvl w:val="1"/>
    </w:pPr>
    <w:rPr>
      <w:rFonts w:ascii="Times New Roman" w:hAnsi="Times New Roman" w:eastAsia="Times New Roman" w:cs="Times New Roman"/>
      <w:b/>
      <w:bCs/>
      <w:sz w:val="48"/>
      <w:szCs w:val="48"/>
      <w:lang w:val="vi" w:eastAsia="en-US" w:bidi="ar-SA"/>
    </w:rPr>
  </w:style>
  <w:style w:styleId="Heading2" w:type="paragraph">
    <w:name w:val="Heading 2"/>
    <w:basedOn w:val="Normal"/>
    <w:uiPriority w:val="1"/>
    <w:qFormat/>
    <w:pPr>
      <w:spacing w:before="85"/>
      <w:ind w:left="882" w:right="886"/>
      <w:outlineLvl w:val="2"/>
    </w:pPr>
    <w:rPr>
      <w:rFonts w:ascii="Times New Roman" w:hAnsi="Times New Roman" w:eastAsia="Times New Roman" w:cs="Times New Roman"/>
      <w:b/>
      <w:bCs/>
      <w:sz w:val="36"/>
      <w:szCs w:val="36"/>
      <w:lang w:val="vi" w:eastAsia="en-US" w:bidi="ar-SA"/>
    </w:rPr>
  </w:style>
  <w:style w:styleId="Heading3" w:type="paragraph">
    <w:name w:val="Heading 3"/>
    <w:basedOn w:val="Normal"/>
    <w:uiPriority w:val="1"/>
    <w:qFormat/>
    <w:pPr>
      <w:ind w:left="882"/>
      <w:jc w:val="center"/>
      <w:outlineLvl w:val="3"/>
    </w:pPr>
    <w:rPr>
      <w:rFonts w:ascii="Times New Roman" w:hAnsi="Times New Roman" w:eastAsia="Times New Roman" w:cs="Times New Roman"/>
      <w:b/>
      <w:bCs/>
      <w:sz w:val="32"/>
      <w:szCs w:val="32"/>
      <w:lang w:val="vi" w:eastAsia="en-US" w:bidi="ar-SA"/>
    </w:rPr>
  </w:style>
  <w:style w:styleId="Heading4" w:type="paragraph">
    <w:name w:val="Heading 4"/>
    <w:basedOn w:val="Normal"/>
    <w:uiPriority w:val="1"/>
    <w:qFormat/>
    <w:pPr>
      <w:spacing w:before="89"/>
      <w:ind w:left="944" w:right="952"/>
      <w:jc w:val="center"/>
      <w:outlineLvl w:val="4"/>
    </w:pPr>
    <w:rPr>
      <w:rFonts w:ascii="Times New Roman" w:hAnsi="Times New Roman" w:eastAsia="Times New Roman" w:cs="Times New Roman"/>
      <w:b/>
      <w:bCs/>
      <w:sz w:val="28"/>
      <w:szCs w:val="28"/>
      <w:lang w:val="vi" w:eastAsia="en-US" w:bidi="ar-SA"/>
    </w:rPr>
  </w:style>
  <w:style w:styleId="Heading5" w:type="paragraph">
    <w:name w:val="Heading 5"/>
    <w:basedOn w:val="Normal"/>
    <w:uiPriority w:val="1"/>
    <w:qFormat/>
    <w:pPr>
      <w:ind w:left="882" w:right="710"/>
      <w:jc w:val="center"/>
      <w:outlineLvl w:val="5"/>
    </w:pPr>
    <w:rPr>
      <w:rFonts w:ascii="Times New Roman" w:hAnsi="Times New Roman" w:eastAsia="Times New Roman" w:cs="Times New Roman"/>
      <w:sz w:val="28"/>
      <w:szCs w:val="28"/>
      <w:lang w:val="vi" w:eastAsia="en-US" w:bidi="ar-SA"/>
    </w:rPr>
  </w:style>
  <w:style w:styleId="Heading6" w:type="paragraph">
    <w:name w:val="Heading 6"/>
    <w:basedOn w:val="Normal"/>
    <w:uiPriority w:val="1"/>
    <w:qFormat/>
    <w:pPr>
      <w:ind w:left="1465"/>
      <w:jc w:val="both"/>
      <w:outlineLvl w:val="6"/>
    </w:pPr>
    <w:rPr>
      <w:rFonts w:ascii="Times New Roman" w:hAnsi="Times New Roman" w:eastAsia="Times New Roman" w:cs="Times New Roman"/>
      <w:b/>
      <w:bCs/>
      <w:sz w:val="26"/>
      <w:szCs w:val="26"/>
      <w:lang w:val="vi" w:eastAsia="en-US" w:bidi="ar-SA"/>
    </w:rPr>
  </w:style>
  <w:style w:styleId="Heading7" w:type="paragraph">
    <w:name w:val="Heading 7"/>
    <w:basedOn w:val="Normal"/>
    <w:uiPriority w:val="1"/>
    <w:qFormat/>
    <w:pPr>
      <w:ind w:left="882"/>
      <w:jc w:val="both"/>
      <w:outlineLvl w:val="7"/>
    </w:pPr>
    <w:rPr>
      <w:rFonts w:ascii="Times New Roman" w:hAnsi="Times New Roman" w:eastAsia="Times New Roman" w:cs="Times New Roman"/>
      <w:b/>
      <w:bCs/>
      <w:i/>
      <w:sz w:val="26"/>
      <w:szCs w:val="26"/>
      <w:lang w:val="vi" w:eastAsia="en-US" w:bidi="ar-SA"/>
    </w:rPr>
  </w:style>
  <w:style w:styleId="ListParagraph" w:type="paragraph">
    <w:name w:val="List Paragraph"/>
    <w:basedOn w:val="Normal"/>
    <w:uiPriority w:val="1"/>
    <w:qFormat/>
    <w:pPr>
      <w:ind w:left="882"/>
      <w:jc w:val="both"/>
    </w:pPr>
    <w:rPr>
      <w:rFonts w:ascii="Times New Roman" w:hAnsi="Times New Roman" w:eastAsia="Times New Roman" w:cs="Times New Roman"/>
      <w:lang w:val="vi" w:eastAsia="en-US" w:bidi="ar-SA"/>
    </w:rPr>
  </w:style>
  <w:style w:styleId="TableParagraph" w:type="paragraph">
    <w:name w:val="Table Paragraph"/>
    <w:basedOn w:val="Normal"/>
    <w:uiPriority w:val="1"/>
    <w:qFormat/>
    <w:pPr/>
    <w:rPr>
      <w:rFonts w:ascii="Times New Roman" w:hAnsi="Times New Roman" w:eastAsia="Times New Roman" w:cs="Times New Roman"/>
      <w:lang w:val="vi" w:eastAsia="en-US" w:bidi="ar-SA"/>
    </w:rPr>
  </w:style>
</w:style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theme" Target="theme/theme1.xml"/><Relationship Id="rId4" Type="http://schemas.openxmlformats.org/officeDocument/2006/relationships/settings" Target="settings.xml"/><Relationship Id="rId5" Type="http://schemas.openxmlformats.org/officeDocument/2006/relationships/header" Target="header1.xml"/><Relationship Id="rId6" Type="http://schemas.openxmlformats.org/officeDocument/2006/relationships/header" Target="header2.xml"/><Relationship Id="rId7" Type="http://schemas.openxmlformats.org/officeDocument/2006/relationships/header" Target="header3.xml"/><Relationship Id="rId8" Type="http://schemas.openxmlformats.org/officeDocument/2006/relationships/header" Target="header4.xml"/><Relationship Id="rId9" Type="http://schemas.openxmlformats.org/officeDocument/2006/relationships/header" Target="header5.xml"/><Relationship Id="rId10" Type="http://schemas.openxmlformats.org/officeDocument/2006/relationships/image" Target="media/image1.png"/><Relationship Id="rId11"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20" Type="http://schemas.openxmlformats.org/officeDocument/2006/relationships/image" Target="media/image11.png"/><Relationship Id="rId21" Type="http://schemas.openxmlformats.org/officeDocument/2006/relationships/image" Target="media/image12.png"/><Relationship Id="rId22" Type="http://schemas.openxmlformats.org/officeDocument/2006/relationships/image" Target="media/image13.png"/><Relationship Id="rId23" Type="http://schemas.openxmlformats.org/officeDocument/2006/relationships/image" Target="media/image14.png"/><Relationship Id="rId24" Type="http://schemas.openxmlformats.org/officeDocument/2006/relationships/image" Target="media/image15.jpeg"/><Relationship Id="rId25" Type="http://schemas.openxmlformats.org/officeDocument/2006/relationships/image" Target="media/image16.jpeg"/><Relationship Id="rId26" Type="http://schemas.openxmlformats.org/officeDocument/2006/relationships/image" Target="media/image17.png"/><Relationship Id="rId27" Type="http://schemas.openxmlformats.org/officeDocument/2006/relationships/image" Target="media/image18.png"/><Relationship Id="rId28" Type="http://schemas.openxmlformats.org/officeDocument/2006/relationships/image" Target="media/image19.png"/><Relationship Id="rId29" Type="http://schemas.openxmlformats.org/officeDocument/2006/relationships/image" Target="media/image20.png"/><Relationship Id="rId30" Type="http://schemas.openxmlformats.org/officeDocument/2006/relationships/image" Target="media/image21.png"/><Relationship Id="rId31" Type="http://schemas.openxmlformats.org/officeDocument/2006/relationships/image" Target="media/image22.png"/><Relationship Id="rId32" Type="http://schemas.openxmlformats.org/officeDocument/2006/relationships/image" Target="media/image23.png"/><Relationship Id="rId33" Type="http://schemas.openxmlformats.org/officeDocument/2006/relationships/image" Target="media/image24.png"/><Relationship Id="rId34" Type="http://schemas.openxmlformats.org/officeDocument/2006/relationships/hyperlink" Target="http://www.ppiaf.org/documents/toolkits/Portoolkit/Toolkit/index.html" TargetMode="External"/><Relationship Id="rId35" Type="http://schemas.openxmlformats.org/officeDocument/2006/relationships/hyperlink" Target="http://www.vpa.org.vn/vn/category/nang-luc/" TargetMode="External"/><Relationship Id="rId36" Type="http://schemas.openxmlformats.org/officeDocument/2006/relationships/hyperlink" Target="http://giaothongvantai.com.vn/quoc-te/ho-so-tu-lieu/201305/dau-tu-cang-bien-the-nao-cho-hieu-qua-305605/" TargetMode="External"/><Relationship Id="rId37" Type="http://schemas.openxmlformats.org/officeDocument/2006/relationships/hyperlink" Target="https://thuvienphapluat.vn/van-ban/Thuong-mai/Quyet-dinh-200-QD-TTg-Ke-hoach-hanh-dong-nang-cao-nang-luc-canh-tranh-phat-trien-dich-vu-logistics-2017-339610.aspx" TargetMode="External"/><Relationship Id="rId38" Type="http://schemas.openxmlformats.org/officeDocument/2006/relationships/hyperlink" Target="https://thuvienphapluat.vn/van-ban/Giao-thong-Van-tai/Quyet-dinh-1037-QD-TTg-2014-phat-trien-cang-bien-Viet-Nam-den-2020-dinh-huong-den-2030-236912.aspx" TargetMode="External"/><Relationship Id="rId39" Type="http://schemas.openxmlformats.org/officeDocument/2006/relationships/hyperlink" Target="https://vndoc.com/quyet-dinh-2055-qd-ttg-ve-phat-trien-giao-thong-van-tai-vung-kinh-te-trong-diem-phia-nam-den-nam-2020/download" TargetMode="External"/><Relationship Id="rId40" Type="http://schemas.openxmlformats.org/officeDocument/2006/relationships/hyperlink" Target="http://baoquangninh.com.vn/chinh-tri/201904/tham-dinh-nghi-quyet-phat-trien-cang-bien-va-dich-vu-cang-bien-2436188/" TargetMode="External"/><Relationship Id="rId41" Type="http://schemas.openxmlformats.org/officeDocument/2006/relationships/header" Target="header6.xml"/><Relationship Id="rId42" Type="http://schemas.openxmlformats.org/officeDocument/2006/relationships/hyperlink" Target="http://old.vpa.org.vn/vn/members/south/dongnai.htm" TargetMode="External"/><Relationship Id="rId43" Type="http://schemas.openxmlformats.org/officeDocument/2006/relationships/hyperlink" Target="http://old.vpa.org.vn/vn/members/south/saigon.htm" TargetMode="External"/><Relationship Id="rId44" Type="http://schemas.openxmlformats.org/officeDocument/2006/relationships/hyperlink" Target="http://old.vpa.org.vn/vn/members/central/thanhhoa.htm" TargetMode="External"/><Relationship Id="rId45" Type="http://schemas.openxmlformats.org/officeDocument/2006/relationships/hyperlink" Target="http://old.vpa.org.vn/vn/members/central/danang.htm" TargetMode="External"/><Relationship Id="rId46" Type="http://schemas.openxmlformats.org/officeDocument/2006/relationships/hyperlink" Target="http://old.vpa.org.vn/vn/members/north/haiphong.htm" TargetMode="External"/><Relationship Id="rId47" Type="http://schemas.openxmlformats.org/officeDocument/2006/relationships/hyperlink" Target="http://old.vpa.org.vn/vn/members/north/cuacam.htm" TargetMode="External"/><Relationship Id="rId48"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Application>Microsoft Office Word</Application>
  <DocSecurity>0</DocSecurity>
  <ScaleCrop>false</ScaleCrop>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dc:title>ĐỀ CƯƠNG NGHIÊN CỨU KHOA HỌC CỦA THÍ SINH NGHIÊN CỨU SINH</dc:title>
  <dcterms:created xsi:type="dcterms:W3CDTF">2021-10-09T08:04:14Z</dcterms:created>
  <dcterms:modified xsi:type="dcterms:W3CDTF">2021-10-09T08:04:14Z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2021-08-25T00:00:00Z</vt:filetime>
  </property>
  <property fmtid="{D5CDD505-2E9C-101B-9397-08002B2CF9AE}" pid="3" name="Creator">
    <vt:lpwstr>Microsoft® Word for Microsoft 365</vt:lpwstr>
  </property>
  <property fmtid="{D5CDD505-2E9C-101B-9397-08002B2CF9AE}" pid="4" name="LastSaved">
    <vt:filetime>2021-10-09T00:00:00Z</vt:filetime>
  </property>
</Properties>
</file>