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36978" w14:textId="77777777" w:rsidR="00836D52" w:rsidRPr="00362F48" w:rsidRDefault="00836D52"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62F48">
        <w:rPr>
          <w:rFonts w:ascii="Times New Roman" w:eastAsiaTheme="minorEastAsia" w:hAnsi="Times New Roman" w:cs="Times New Roman"/>
          <w:b/>
          <w:spacing w:val="-4"/>
          <w:w w:val="98"/>
          <w:kern w:val="32"/>
          <w:sz w:val="26"/>
          <w:szCs w:val="26"/>
          <w:lang w:eastAsia="vi-VN"/>
        </w:rPr>
        <w:t xml:space="preserve">KHOA ĐIỆN – ĐIỆN TỬ </w:t>
      </w:r>
    </w:p>
    <w:p w14:paraId="6E31DB43" w14:textId="77777777" w:rsidR="00836D52" w:rsidRPr="00362F48" w:rsidRDefault="00836D52"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62F48">
        <w:rPr>
          <w:rFonts w:ascii="Times New Roman" w:eastAsiaTheme="minorEastAsia" w:hAnsi="Times New Roman" w:cs="Times New Roman"/>
          <w:b/>
          <w:spacing w:val="-4"/>
          <w:w w:val="98"/>
          <w:kern w:val="32"/>
          <w:sz w:val="26"/>
          <w:szCs w:val="26"/>
          <w:lang w:eastAsia="vi-VN"/>
        </w:rPr>
        <w:t xml:space="preserve">GIẢI PHÁP ĐỔI MỚI TRONG DẠY HỌC </w:t>
      </w:r>
    </w:p>
    <w:p w14:paraId="09B57BCD" w14:textId="65D268BD" w:rsidR="00836D52" w:rsidRPr="00F6667F" w:rsidRDefault="00BE7FC8" w:rsidP="00836D52">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F6667F">
        <w:rPr>
          <w:rFonts w:ascii="Times New Roman" w:eastAsiaTheme="minorEastAsia" w:hAnsi="Times New Roman" w:cs="Times New Roman"/>
          <w:bCs/>
          <w:spacing w:val="-4"/>
          <w:w w:val="98"/>
          <w:kern w:val="32"/>
          <w:sz w:val="26"/>
          <w:szCs w:val="26"/>
          <w:lang w:eastAsia="vi-VN"/>
        </w:rPr>
        <w:t>FACULTY OF ELECTRICAL AND ELECTRONICS ENGINEERING</w:t>
      </w:r>
    </w:p>
    <w:p w14:paraId="540915D7" w14:textId="2A768B1C" w:rsidR="00BE7FC8" w:rsidRPr="00F6667F" w:rsidRDefault="00C15A92" w:rsidP="00836D52">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F6667F">
        <w:rPr>
          <w:rFonts w:ascii="Times New Roman" w:eastAsiaTheme="minorEastAsia" w:hAnsi="Times New Roman" w:cs="Times New Roman"/>
          <w:bCs/>
          <w:spacing w:val="-4"/>
          <w:w w:val="98"/>
          <w:kern w:val="32"/>
          <w:sz w:val="26"/>
          <w:szCs w:val="26"/>
          <w:lang w:eastAsia="vi-VN"/>
        </w:rPr>
        <w:t>INNOVATION IN TEACHING</w:t>
      </w:r>
    </w:p>
    <w:p w14:paraId="1E62E50F" w14:textId="77777777" w:rsidR="00BE7FC8" w:rsidRPr="00BE7FC8" w:rsidRDefault="00BE7FC8" w:rsidP="00836D52">
      <w:pPr>
        <w:keepNext/>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p>
    <w:tbl>
      <w:tblPr>
        <w:tblStyle w:val="TableGrid7"/>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36D52" w:rsidRPr="00362F48" w14:paraId="76F8FC7F" w14:textId="77777777" w:rsidTr="00EF4960">
        <w:tc>
          <w:tcPr>
            <w:tcW w:w="2552" w:type="dxa"/>
            <w:vAlign w:val="center"/>
          </w:tcPr>
          <w:p w14:paraId="37734699" w14:textId="05EF90FE" w:rsidR="00836D52" w:rsidRPr="00362F48" w:rsidRDefault="00836D52" w:rsidP="003D2D83">
            <w:pPr>
              <w:spacing w:before="40"/>
              <w:rPr>
                <w:rFonts w:ascii="Times New Roman" w:hAnsi="Times New Roman" w:cs="Times New Roman"/>
                <w:b/>
                <w:spacing w:val="-4"/>
                <w:w w:val="98"/>
                <w:sz w:val="21"/>
                <w:szCs w:val="26"/>
              </w:rPr>
            </w:pPr>
          </w:p>
        </w:tc>
        <w:tc>
          <w:tcPr>
            <w:tcW w:w="281" w:type="dxa"/>
            <w:vMerge w:val="restart"/>
            <w:vAlign w:val="center"/>
          </w:tcPr>
          <w:p w14:paraId="5C683917" w14:textId="77777777" w:rsidR="00836D52" w:rsidRPr="00362F48" w:rsidRDefault="00836D52" w:rsidP="00EF4960">
            <w:pPr>
              <w:spacing w:before="40"/>
              <w:jc w:val="both"/>
              <w:rPr>
                <w:rFonts w:ascii="Times New Roman" w:hAnsi="Times New Roman" w:cs="Times New Roman"/>
                <w:spacing w:val="-4"/>
                <w:w w:val="98"/>
                <w:sz w:val="21"/>
                <w:szCs w:val="26"/>
              </w:rPr>
            </w:pPr>
          </w:p>
        </w:tc>
        <w:tc>
          <w:tcPr>
            <w:tcW w:w="6239" w:type="dxa"/>
            <w:vAlign w:val="center"/>
          </w:tcPr>
          <w:p w14:paraId="3D7CC75C" w14:textId="31758EAF" w:rsidR="00836D52" w:rsidRPr="00362F48" w:rsidRDefault="00836D52" w:rsidP="003D2D83">
            <w:pPr>
              <w:spacing w:before="40"/>
              <w:jc w:val="both"/>
              <w:rPr>
                <w:rFonts w:ascii="Times New Roman" w:hAnsi="Times New Roman" w:cs="Times New Roman"/>
                <w:i/>
                <w:spacing w:val="-4"/>
                <w:w w:val="98"/>
                <w:sz w:val="21"/>
                <w:szCs w:val="26"/>
              </w:rPr>
            </w:pPr>
          </w:p>
        </w:tc>
      </w:tr>
      <w:tr w:rsidR="00836D52" w:rsidRPr="00362F48" w14:paraId="06ABA0A9" w14:textId="77777777" w:rsidTr="00EF4960">
        <w:tc>
          <w:tcPr>
            <w:tcW w:w="2552" w:type="dxa"/>
            <w:vAlign w:val="center"/>
          </w:tcPr>
          <w:p w14:paraId="48FB7971" w14:textId="77777777" w:rsidR="00836D52" w:rsidRPr="00362F48" w:rsidRDefault="00836D52" w:rsidP="00EF4960">
            <w:pPr>
              <w:ind w:left="29"/>
              <w:jc w:val="both"/>
              <w:rPr>
                <w:rFonts w:ascii="Times New Roman" w:hAnsi="Times New Roman" w:cs="Times New Roman"/>
                <w:i/>
                <w:spacing w:val="-4"/>
                <w:w w:val="98"/>
                <w:sz w:val="21"/>
                <w:szCs w:val="26"/>
              </w:rPr>
            </w:pPr>
          </w:p>
        </w:tc>
        <w:tc>
          <w:tcPr>
            <w:tcW w:w="281" w:type="dxa"/>
            <w:vMerge/>
            <w:vAlign w:val="center"/>
          </w:tcPr>
          <w:p w14:paraId="726EADB4" w14:textId="77777777" w:rsidR="00836D52" w:rsidRPr="00362F48" w:rsidRDefault="00836D52" w:rsidP="00EF4960">
            <w:pPr>
              <w:spacing w:before="40"/>
              <w:jc w:val="both"/>
              <w:rPr>
                <w:rFonts w:ascii="Times New Roman" w:hAnsi="Times New Roman" w:cs="Times New Roman"/>
                <w:spacing w:val="-4"/>
                <w:w w:val="98"/>
                <w:sz w:val="21"/>
                <w:szCs w:val="26"/>
              </w:rPr>
            </w:pPr>
          </w:p>
        </w:tc>
        <w:tc>
          <w:tcPr>
            <w:tcW w:w="6239" w:type="dxa"/>
            <w:vAlign w:val="center"/>
          </w:tcPr>
          <w:p w14:paraId="1B0AC170" w14:textId="77777777" w:rsidR="00836D52" w:rsidRPr="00362F48" w:rsidRDefault="00836D52" w:rsidP="00EF4960">
            <w:pPr>
              <w:spacing w:before="40"/>
              <w:jc w:val="both"/>
              <w:rPr>
                <w:rFonts w:ascii="Times New Roman" w:hAnsi="Times New Roman" w:cs="Times New Roman"/>
                <w:spacing w:val="-4"/>
                <w:w w:val="98"/>
                <w:sz w:val="21"/>
                <w:szCs w:val="26"/>
              </w:rPr>
            </w:pPr>
          </w:p>
        </w:tc>
      </w:tr>
      <w:tr w:rsidR="00836D52" w:rsidRPr="00362F48" w14:paraId="5E206C6D" w14:textId="77777777" w:rsidTr="00EF4960">
        <w:trPr>
          <w:trHeight w:val="198"/>
        </w:trPr>
        <w:tc>
          <w:tcPr>
            <w:tcW w:w="2552" w:type="dxa"/>
            <w:shd w:val="clear" w:color="auto" w:fill="FFFFFF" w:themeFill="background1"/>
          </w:tcPr>
          <w:p w14:paraId="013F2500" w14:textId="77777777" w:rsidR="00836D52" w:rsidRPr="00362F48" w:rsidRDefault="00836D52" w:rsidP="00EF4960">
            <w:pPr>
              <w:jc w:val="both"/>
              <w:rPr>
                <w:rFonts w:ascii="Times New Roman" w:hAnsi="Times New Roman" w:cs="Times New Roman"/>
                <w:b/>
                <w:spacing w:val="-4"/>
                <w:w w:val="98"/>
                <w:sz w:val="21"/>
                <w:szCs w:val="26"/>
              </w:rPr>
            </w:pPr>
            <w:r w:rsidRPr="00362F48">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E7B2DEA" w14:textId="77777777" w:rsidR="00836D52" w:rsidRPr="00362F48" w:rsidRDefault="00836D52" w:rsidP="00EF496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069D5DB4" w14:textId="77777777" w:rsidR="00836D52" w:rsidRPr="00362F48" w:rsidRDefault="00836D52" w:rsidP="00EF4960">
            <w:pPr>
              <w:spacing w:before="40"/>
              <w:rPr>
                <w:rFonts w:ascii="Times New Roman" w:hAnsi="Times New Roman" w:cs="Times New Roman"/>
                <w:b/>
                <w:spacing w:val="-4"/>
                <w:w w:val="98"/>
                <w:sz w:val="21"/>
                <w:szCs w:val="26"/>
              </w:rPr>
            </w:pPr>
            <w:r w:rsidRPr="00362F48">
              <w:rPr>
                <w:rFonts w:ascii="Times New Roman" w:hAnsi="Times New Roman" w:cs="Times New Roman"/>
                <w:b/>
                <w:spacing w:val="-4"/>
                <w:w w:val="98"/>
                <w:sz w:val="21"/>
                <w:szCs w:val="26"/>
              </w:rPr>
              <w:t>TÓM TẮT:</w:t>
            </w:r>
          </w:p>
        </w:tc>
      </w:tr>
      <w:tr w:rsidR="00836D52" w:rsidRPr="00362F48" w14:paraId="65A96AB7" w14:textId="77777777" w:rsidTr="00EF4960">
        <w:trPr>
          <w:trHeight w:val="854"/>
        </w:trPr>
        <w:tc>
          <w:tcPr>
            <w:tcW w:w="2552" w:type="dxa"/>
          </w:tcPr>
          <w:p w14:paraId="1CEC679E" w14:textId="77777777" w:rsidR="00836D52" w:rsidRPr="00362F48" w:rsidRDefault="00836D52" w:rsidP="00EF4960">
            <w:pPr>
              <w:spacing w:before="40"/>
              <w:ind w:left="28"/>
              <w:jc w:val="both"/>
              <w:rPr>
                <w:rFonts w:ascii="Times New Roman" w:eastAsiaTheme="minorEastAsia" w:hAnsi="Times New Roman" w:cstheme="majorHAnsi"/>
                <w:bCs/>
                <w:spacing w:val="-4"/>
                <w:w w:val="98"/>
                <w:sz w:val="21"/>
                <w:szCs w:val="21"/>
              </w:rPr>
            </w:pPr>
            <w:r w:rsidRPr="00362F48">
              <w:rPr>
                <w:rFonts w:ascii="Times New Roman" w:eastAsiaTheme="minorEastAsia" w:hAnsi="Times New Roman" w:cstheme="majorHAnsi"/>
                <w:bCs/>
                <w:spacing w:val="-4"/>
                <w:w w:val="98"/>
                <w:sz w:val="21"/>
                <w:szCs w:val="21"/>
              </w:rPr>
              <w:t>Industry 4.0, unemployment, innovation, teaching</w:t>
            </w:r>
          </w:p>
          <w:p w14:paraId="344FDFF5" w14:textId="77777777" w:rsidR="00836D52" w:rsidRPr="00362F48" w:rsidRDefault="00836D52" w:rsidP="00EF4960">
            <w:pPr>
              <w:spacing w:before="40"/>
              <w:ind w:left="28"/>
              <w:jc w:val="both"/>
              <w:rPr>
                <w:rFonts w:ascii="Times New Roman" w:hAnsi="Times New Roman" w:cs="Times New Roman"/>
                <w:spacing w:val="-4"/>
                <w:w w:val="98"/>
                <w:sz w:val="21"/>
                <w:szCs w:val="26"/>
              </w:rPr>
            </w:pPr>
          </w:p>
          <w:p w14:paraId="774F7F62" w14:textId="77777777" w:rsidR="00836D52" w:rsidRPr="00362F48" w:rsidRDefault="00836D52" w:rsidP="00EF4960">
            <w:pPr>
              <w:spacing w:before="40"/>
              <w:ind w:left="28"/>
              <w:jc w:val="both"/>
              <w:rPr>
                <w:rFonts w:ascii="Times New Roman" w:hAnsi="Times New Roman" w:cs="Times New Roman"/>
                <w:b/>
                <w:bCs/>
                <w:spacing w:val="-4"/>
                <w:w w:val="98"/>
                <w:sz w:val="21"/>
                <w:szCs w:val="26"/>
              </w:rPr>
            </w:pPr>
            <w:r w:rsidRPr="00362F48">
              <w:rPr>
                <w:rFonts w:ascii="Times New Roman" w:hAnsi="Times New Roman" w:cs="Times New Roman"/>
                <w:b/>
                <w:bCs/>
                <w:spacing w:val="-4"/>
                <w:w w:val="98"/>
                <w:sz w:val="21"/>
                <w:szCs w:val="26"/>
              </w:rPr>
              <w:t xml:space="preserve">Từ khoá: </w:t>
            </w:r>
          </w:p>
          <w:p w14:paraId="3FD6DA72" w14:textId="77777777" w:rsidR="00836D52" w:rsidRPr="00362F48" w:rsidRDefault="00836D52" w:rsidP="00EF4960">
            <w:pPr>
              <w:spacing w:before="40"/>
              <w:ind w:left="28"/>
              <w:jc w:val="both"/>
              <w:rPr>
                <w:rFonts w:ascii="Times New Roman" w:hAnsi="Times New Roman" w:cs="Times New Roman"/>
                <w:spacing w:val="-4"/>
                <w:w w:val="98"/>
                <w:sz w:val="21"/>
                <w:szCs w:val="26"/>
              </w:rPr>
            </w:pPr>
            <w:r w:rsidRPr="00362F48">
              <w:rPr>
                <w:rFonts w:ascii="Times New Roman" w:hAnsi="Times New Roman" w:cs="Times New Roman"/>
                <w:spacing w:val="-4"/>
                <w:w w:val="98"/>
                <w:sz w:val="21"/>
                <w:szCs w:val="26"/>
              </w:rPr>
              <w:t>CMCN 4.0, tỉ lệ thất nghiệp, các giải pháp, dạy học</w:t>
            </w:r>
          </w:p>
        </w:tc>
        <w:tc>
          <w:tcPr>
            <w:tcW w:w="281" w:type="dxa"/>
            <w:vMerge/>
            <w:tcBorders>
              <w:right w:val="single" w:sz="18" w:space="0" w:color="404040" w:themeColor="text1" w:themeTint="BF"/>
            </w:tcBorders>
            <w:shd w:val="clear" w:color="auto" w:fill="FFFFFF" w:themeFill="background1"/>
            <w:vAlign w:val="center"/>
          </w:tcPr>
          <w:p w14:paraId="30872D65"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4CE53755" w14:textId="77777777" w:rsidR="00836D52" w:rsidRPr="00362F48" w:rsidRDefault="00836D52" w:rsidP="00EF4960">
            <w:pPr>
              <w:spacing w:before="40"/>
              <w:jc w:val="both"/>
              <w:rPr>
                <w:rFonts w:ascii="Times New Roman" w:hAnsi="Times New Roman" w:cs="Times New Roman"/>
                <w:spacing w:val="-4"/>
                <w:w w:val="98"/>
                <w:sz w:val="21"/>
                <w:szCs w:val="26"/>
              </w:rPr>
            </w:pPr>
            <w:r w:rsidRPr="00362F48">
              <w:rPr>
                <w:rFonts w:ascii="Times New Roman" w:hAnsi="Times New Roman" w:cs="Times New Roman"/>
                <w:b/>
                <w:spacing w:val="-4"/>
                <w:w w:val="98"/>
                <w:sz w:val="21"/>
                <w:szCs w:val="26"/>
              </w:rPr>
              <w:t>Bối cảnh:</w:t>
            </w:r>
            <w:r w:rsidRPr="00362F48">
              <w:rPr>
                <w:rFonts w:ascii="Times New Roman" w:hAnsi="Times New Roman" w:cs="Times New Roman"/>
                <w:spacing w:val="-4"/>
                <w:w w:val="98"/>
                <w:sz w:val="21"/>
                <w:szCs w:val="26"/>
              </w:rPr>
              <w:t xml:space="preserve"> Cách mạng công nghiệp 4.0 là sự phát triển mạnh mẽ của công nghệ nền tảng như Internet kết nối vạn vật (IoT), trí tuệ nhân tạo (AI), điện toán đám mây (Cloud computing), dữ liệu lớn (big data), chuỗi khối (blockchain), in 3D, robotic… giúp tăng năng suất và hiệu quả sản xuất, dịch vụ. Tỉ lệ thất nghiệp sẽ tăng vọt ở những lao động trình độ thấp. Để tạo ra nguồn nhân lực đáp ứng nhu cầu xã hội, bài viết đề xuất những giải pháp đổi mới trong dạy học.    </w:t>
            </w:r>
          </w:p>
          <w:p w14:paraId="1088A833" w14:textId="77777777" w:rsidR="00836D52" w:rsidRPr="00362F48" w:rsidRDefault="00836D52" w:rsidP="00EF4960">
            <w:pPr>
              <w:spacing w:before="40"/>
              <w:jc w:val="both"/>
              <w:rPr>
                <w:rFonts w:ascii="Times New Roman" w:hAnsi="Times New Roman" w:cs="Times New Roman"/>
                <w:bCs/>
                <w:spacing w:val="-4"/>
                <w:w w:val="98"/>
                <w:sz w:val="21"/>
                <w:szCs w:val="26"/>
              </w:rPr>
            </w:pPr>
            <w:r w:rsidRPr="00362F48">
              <w:rPr>
                <w:rFonts w:ascii="Times New Roman" w:hAnsi="Times New Roman" w:cs="Times New Roman"/>
                <w:b/>
                <w:spacing w:val="-4"/>
                <w:w w:val="98"/>
                <w:sz w:val="21"/>
                <w:szCs w:val="26"/>
              </w:rPr>
              <w:t xml:space="preserve">ABSTRACT: </w:t>
            </w:r>
            <w:r w:rsidRPr="00362F48">
              <w:rPr>
                <w:rFonts w:ascii="Times New Roman" w:hAnsi="Times New Roman" w:cs="Times New Roman"/>
                <w:bCs/>
                <w:spacing w:val="-4"/>
                <w:w w:val="98"/>
                <w:sz w:val="21"/>
                <w:szCs w:val="26"/>
              </w:rPr>
              <w:t xml:space="preserve">Industry 4.0 is a strong development of technology such as Internet of Thing (IoT), Artificial Inteligent (AI), Cloud computing, big data, blockchain, 3D printing, robotic and etc., which helps to increase productivity and efficiency. Unemployment will skyrocket among low – skilled workers. To create human resources to meet social needs, the article proposes some innovative solutions in teaching.  </w:t>
            </w:r>
          </w:p>
        </w:tc>
      </w:tr>
      <w:tr w:rsidR="00836D52" w:rsidRPr="00362F48" w14:paraId="11B4645C" w14:textId="77777777" w:rsidTr="00EF4960">
        <w:trPr>
          <w:trHeight w:val="263"/>
        </w:trPr>
        <w:tc>
          <w:tcPr>
            <w:tcW w:w="2552" w:type="dxa"/>
            <w:shd w:val="clear" w:color="auto" w:fill="FFFFFF" w:themeFill="background1"/>
          </w:tcPr>
          <w:p w14:paraId="2F6FE58B" w14:textId="77777777" w:rsidR="00836D52" w:rsidRPr="00362F48" w:rsidRDefault="00836D52"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2C5D105"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9F0B09E" w14:textId="77777777" w:rsidR="00836D52" w:rsidRPr="00362F48" w:rsidRDefault="00836D52" w:rsidP="00EF4960">
            <w:pPr>
              <w:spacing w:before="40"/>
              <w:jc w:val="both"/>
              <w:rPr>
                <w:rFonts w:ascii="Times New Roman" w:hAnsi="Times New Roman" w:cs="Times New Roman"/>
                <w:spacing w:val="-4"/>
                <w:w w:val="98"/>
                <w:sz w:val="21"/>
                <w:szCs w:val="26"/>
              </w:rPr>
            </w:pPr>
          </w:p>
        </w:tc>
      </w:tr>
      <w:tr w:rsidR="00836D52" w:rsidRPr="00362F48" w14:paraId="686F3182" w14:textId="77777777" w:rsidTr="00EF4960">
        <w:trPr>
          <w:trHeight w:val="706"/>
        </w:trPr>
        <w:tc>
          <w:tcPr>
            <w:tcW w:w="2552" w:type="dxa"/>
          </w:tcPr>
          <w:p w14:paraId="507AD16C" w14:textId="77777777" w:rsidR="00836D52" w:rsidRPr="00362F48" w:rsidRDefault="00836D52"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2C0F853" w14:textId="77777777" w:rsidR="00836D52" w:rsidRPr="00362F48" w:rsidRDefault="00836D52" w:rsidP="00EF496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100344B3" w14:textId="77777777" w:rsidR="00836D52" w:rsidRPr="00362F48" w:rsidRDefault="00836D52" w:rsidP="00EF4960">
            <w:pPr>
              <w:spacing w:before="40"/>
              <w:jc w:val="both"/>
              <w:rPr>
                <w:rFonts w:ascii="Times New Roman" w:hAnsi="Times New Roman" w:cs="Times New Roman"/>
                <w:spacing w:val="-4"/>
                <w:w w:val="98"/>
                <w:sz w:val="21"/>
                <w:szCs w:val="26"/>
              </w:rPr>
            </w:pPr>
          </w:p>
        </w:tc>
      </w:tr>
    </w:tbl>
    <w:p w14:paraId="0CCB480F" w14:textId="77777777" w:rsidR="00836D52" w:rsidRPr="00362F48" w:rsidRDefault="00836D52" w:rsidP="00836D52">
      <w:pPr>
        <w:spacing w:before="40" w:after="0" w:line="240" w:lineRule="auto"/>
        <w:jc w:val="center"/>
        <w:rPr>
          <w:rFonts w:ascii="Times New Roman" w:hAnsi="Times New Roman" w:cs="Times New Roman"/>
          <w:i/>
          <w:spacing w:val="-4"/>
          <w:w w:val="98"/>
          <w:sz w:val="21"/>
          <w:szCs w:val="26"/>
        </w:rPr>
      </w:pPr>
    </w:p>
    <w:p w14:paraId="6D981647" w14:textId="77777777" w:rsidR="00836D52" w:rsidRPr="00362F48" w:rsidRDefault="00836D52" w:rsidP="00836D52">
      <w:pPr>
        <w:spacing w:before="40" w:after="0" w:line="240" w:lineRule="auto"/>
        <w:jc w:val="both"/>
        <w:rPr>
          <w:rFonts w:ascii="Times New Roman" w:hAnsi="Times New Roman" w:cs="Times New Roman"/>
          <w:b/>
          <w:spacing w:val="-4"/>
          <w:w w:val="98"/>
          <w:sz w:val="21"/>
          <w:szCs w:val="26"/>
        </w:rPr>
      </w:pPr>
      <w:r w:rsidRPr="00362F48">
        <w:rPr>
          <w:rFonts w:ascii="Times New Roman" w:hAnsi="Times New Roman" w:cs="Times New Roman"/>
          <w:b/>
          <w:spacing w:val="-4"/>
          <w:w w:val="98"/>
          <w:sz w:val="21"/>
          <w:szCs w:val="26"/>
        </w:rPr>
        <w:t>1. Mở đầu</w:t>
      </w:r>
    </w:p>
    <w:p w14:paraId="7E9B8FC9"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 xml:space="preserve">Cách mạng công nghiệp lần thứ tư là cuộc cách mạng phát triển mạnh mẽ công nghệ. Toàn bộ dữ liệu được số hoá, các quá trình sản xuất không chỉ tự động hoá, mà còn có thể điều khiển qua Internet, và áp dụng công nghệ mới AI và big data để phân tích và xử lý dữ liệu trong thời gian thực. </w:t>
      </w:r>
    </w:p>
    <w:p w14:paraId="30E804B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 xml:space="preserve">Dựa vào công nghệ big data các nhà đầu tư nước ngoài có một hệ thông tin từ mọi góc độ, khía cạnh về môi trường đầu tư tại nước sở tại, các rào cản đầu tư, các nhà đầu tư đã có… Từ đó họ xây dựng các tiêu chí và đưa ra các quyết định đầu tư. Trước khi đưa nhà máy vào Thái Nguyên hoạt động, tập đoàn Samsung đã phân tích hơn 1000 tiêu chí. </w:t>
      </w:r>
    </w:p>
    <w:p w14:paraId="500A7DBB"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 xml:space="preserve">Với công nghệ IoT cho phép việc truyền thông tin và giao tiếp toàn cầu gần như tức thời, cho phép con người giám sát trạng thái hoạt động của các đối tượng vật lý rất chi tiết. Các thiết bị được gắn cảm biến để thu thập dữ liệu, các bộ điều khiển tiếp nhận dữ liệu và ra lệnh cho các thiết bị đầu ra. Mọi hệ thống IoT đều gồm có: thu thập dữ liệu, chia sẻ dữ liệu, xử lý dữ liệu, và đưa ra quyết định. </w:t>
      </w:r>
    </w:p>
    <w:p w14:paraId="3D865C2E"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 xml:space="preserve">Biến đổi khí hậu, nhiệt độ, địa hình và chất lượng đất không đồng đều nên khó định lượng sự khác biệt của các loại thực vật. Theo số liệu dự báo, dân số thế giới năm 2050 có thể chạm ngưỡng 9,8 tỷ người. Mật độ dân số tăng nhanh trong quá trình đô thị hoá làm cho quỹ đất canh tác bị giảm một cách đáng kể. An ninh lương thực bị đe doạ một cách nghiêm trọng. Ứng dụng công nghệ IoT để giám sát, điều khiển, và chăm sóc cây trồng tự động giúp tăng năng suất và chất lượng nông sản. Theo báo cáo của tổ chức nghiên cứu thị trường Allied Market Research, thị trường nông nghiệp thông minh toàn cầu sẽ đạt quy mô 48 tỷ USD vào năm 2025, với mức tăng trưởng trung bình 14,7%/năm. Ông </w:t>
      </w:r>
      <w:r w:rsidRPr="00362F48">
        <w:rPr>
          <w:rFonts w:ascii="Times New Roman" w:hAnsi="Times New Roman" w:cs="Times New Roman"/>
          <w:bCs/>
          <w:spacing w:val="-4"/>
          <w:w w:val="98"/>
          <w:sz w:val="21"/>
          <w:szCs w:val="26"/>
          <w:lang w:val="vi-VN"/>
        </w:rPr>
        <w:t>Trần Quang Cường, Giám đốc và cũng là sáng lập viên của NextFarm</w:t>
      </w:r>
      <w:r w:rsidRPr="00362F48">
        <w:rPr>
          <w:rFonts w:ascii="Times New Roman" w:hAnsi="Times New Roman" w:cs="Times New Roman"/>
          <w:bCs/>
          <w:spacing w:val="-4"/>
          <w:w w:val="98"/>
          <w:sz w:val="21"/>
          <w:szCs w:val="26"/>
        </w:rPr>
        <w:t>, đưa ra c</w:t>
      </w:r>
      <w:r w:rsidRPr="00362F48">
        <w:rPr>
          <w:rFonts w:ascii="Times New Roman" w:hAnsi="Times New Roman" w:cs="Times New Roman"/>
          <w:bCs/>
          <w:spacing w:val="-4"/>
          <w:w w:val="98"/>
          <w:sz w:val="21"/>
          <w:szCs w:val="26"/>
          <w:lang w:val="vi-VN"/>
        </w:rPr>
        <w:t>ông nghệ bón phân thông minh. Giải pháp cho nông nghiệp giúp kiểm soát môi trường, dinh dưỡng, bón phân, thu thập và phân tích dữ liệu, đưa ra các cảnh báo sớm cho người nông dân. Cụ thể, hệ thống thu thập dữ liệu cảm biến về dinh dưỡng theo thời gian thực, cho phép tác động lên tám kênh tưới, có thể triển khai trên diện tích lớn 10 ha, điều khiển bón phân chính xác phù hợp cho cây theo từng giai đoạn sinh trưởng. Sản phẩm của NextFarm tăng năng suất cây trồng và chất lượng đầu ra của nông sản, tối ưu thời gian tưới, tiết kiệm phân bón, kiểm soát được lượng dinh dưỡng, tối ưu chi phí nhân công, tiết kiệm nước và điện, dễ dàng cài đặt và triển khai, truyền thông dữ liệu và điều khiển toàn bộ bằng công nghệ không dây. Ngoài ra, NextFarm còn có các sản phẩm quan trắc môi trường và điều khiển vi khí hậu, truyền thanh thông minh, truy xuất nguồn gốc và số hoá quy trình Nextfarm QR Check. Tập đoàn Viettel hỗ trợ và hợp tác với NextFarm trong triển khai giải pháp nông nghiệp thông minh tại Việt Nam. Với khách hàng lớn nhất của NextFarm là những khu nông nghiệp công nghệ cao, hay các dự án nông nghiệp của Viettel ở Việt Nam, Myanmar, Campuchia, nhỏ nhất là các hộ gia đình với vài sào canh tác. Sản phẩm của NextFarm đã có mặt trên thị trường từ tháng ba năm 2018, startup này vẫn tăng trưởng đều đặn</w:t>
      </w:r>
      <w:r w:rsidRPr="00362F48">
        <w:rPr>
          <w:rFonts w:ascii="Arial" w:eastAsia="Times New Roman" w:hAnsi="Arial" w:cs="Arial"/>
          <w:color w:val="000000"/>
          <w:spacing w:val="-5"/>
          <w:sz w:val="24"/>
          <w:szCs w:val="24"/>
          <w:bdr w:val="none" w:sz="0" w:space="0" w:color="auto" w:frame="1"/>
          <w:lang w:val="vi-VN" w:eastAsia="vi-VN"/>
        </w:rPr>
        <w:t> </w:t>
      </w:r>
      <w:r w:rsidRPr="00362F48">
        <w:rPr>
          <w:rFonts w:ascii="Times New Roman" w:hAnsi="Times New Roman" w:cs="Times New Roman"/>
          <w:bCs/>
          <w:spacing w:val="-4"/>
          <w:w w:val="98"/>
          <w:sz w:val="21"/>
          <w:szCs w:val="26"/>
          <w:lang w:val="vi-VN"/>
        </w:rPr>
        <w:t>bất chấp dịch bệnh Covid – 19. Những tháng cuối năm 2021, NextFarm triển khai dịch vụ cho 200 – 300 khách hàng.</w:t>
      </w:r>
    </w:p>
    <w:p w14:paraId="668B241B"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Từ tháng 07 năm 2021, Tiki đã sử dụng robot tại Trung tâm Vận hành TikiNOW Smart Logistics Nhà Bè (TP.HCM). Toàn bộ quy trình lấy hàng trong kho được tự động hoá nhờ robot. Một robot thông thường có tải trọng đến 800 kg, di chuyển trên hệ thống mã vạch trên sàn nhà đến dưới kệ hàng, nâng kệ và mang đến vị trí người điều phối. Robot đã thay </w:t>
      </w:r>
      <w:r w:rsidRPr="00362F48">
        <w:rPr>
          <w:rFonts w:ascii="Times New Roman" w:hAnsi="Times New Roman" w:cs="Times New Roman"/>
          <w:bCs/>
          <w:spacing w:val="-4"/>
          <w:w w:val="98"/>
          <w:sz w:val="21"/>
          <w:szCs w:val="26"/>
          <w:lang w:val="vi-VN"/>
        </w:rPr>
        <w:lastRenderedPageBreak/>
        <w:t>thế cho một số nhân viên phải đi bộ nhiều cây số mỗi ngày, mang vác đồ nặng, tốc độ lấy hàng hoá trong từng giờ tăng gấp đôi và sai sót gần như bằng không, tối ưu năng suất lao động. Hiện tại Tiki đang lên kế hoạch đầu tư cho ngành hàng TikiNGON, sử dụng robot để lấy hàng trực tiếp từ kho lạnh, giảm thiểu sự làm việc của con người trong môi trường làm việc nhiệt độ thấp.</w:t>
      </w:r>
    </w:p>
    <w:p w14:paraId="02F5000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Ông Lê Văn Thanh, Thứ trưởng Bộ Lao động, Thương binh và Xã hội cho biết "Với Việt Nam, sự bùng nổ ứng dụng công nghệ số, thiết bị thông minh, robot vào sản xuất như hiện nay đang đặt ra nhiều thách thức đối với thị trường lao động Việt Nam như nguồn lao động dồi dào, giá rẻ sẽ không còn là yếu tố tạo nên lợi thế cạnh tranh và thu hút đầu tư nước ngoài. Việt Nam cũng có thể sẽ phải chịu sức ép về vấn đề giải quyết việc làm và sẽ phải đối mặt với sự gia tăng tỷ lệ thất nghiệp hoặc thiếu việc làm vì nước ta có quy mô dân số lớn nhưng chất lượng lao động chưa cao. 46 triệu lao động Việt Nam chưa qua đào tạo sẽ đứng trước nguy cơ không có cơ hội tham gia làm những công việc có mức thu nhập cao do bị thay thế bởi lao động robot, trang thiết bị công nghệ thông minh… Bên cạnh đó, chuyển đổi kỹ thuật số đang định hình lại và chuyển đổi các kỹ năng theo yêu cầu.” </w:t>
      </w:r>
    </w:p>
    <w:p w14:paraId="0C0E7BFD" w14:textId="77777777" w:rsidR="00836D52" w:rsidRPr="00362F48" w:rsidRDefault="00836D52" w:rsidP="00836D52">
      <w:pPr>
        <w:spacing w:before="40" w:after="0" w:line="240" w:lineRule="auto"/>
        <w:jc w:val="both"/>
        <w:rPr>
          <w:rFonts w:ascii="Times New Roman" w:eastAsia="MS Mincho" w:hAnsi="Times New Roman" w:cs="Times New Roman"/>
          <w:b/>
          <w:spacing w:val="-4"/>
          <w:w w:val="98"/>
          <w:sz w:val="21"/>
          <w:szCs w:val="26"/>
          <w:lang w:val="vi-VN"/>
        </w:rPr>
      </w:pPr>
      <w:r w:rsidRPr="00362F48">
        <w:rPr>
          <w:rFonts w:ascii="Times New Roman" w:eastAsia="MS Mincho" w:hAnsi="Times New Roman" w:cs="Times New Roman"/>
          <w:b/>
          <w:spacing w:val="-4"/>
          <w:w w:val="98"/>
          <w:sz w:val="21"/>
          <w:szCs w:val="26"/>
          <w:lang w:val="vi-VN"/>
        </w:rPr>
        <w:t xml:space="preserve">2. Đề xuất giải pháp </w:t>
      </w:r>
    </w:p>
    <w:p w14:paraId="22B746E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Giáo dục được coi là một trong những ngành phải tiên phong trong việc thay đổi để tiếp cận với sự thay đổi của cuộc CMCN 4.0. Ngày 03 tháng 6 năm 2020, Quyết định số 749/QĐ-TTg của Thủ tướng Chính phủ Nguyễn Xuân Phúc phê duyệt: “Chương trình Chuyển đổi số quốc gia đến năm 2025, định hướng đến năm 2030”. Trong quyết định này, Thủ tướng yêu cầu chuyển đổi số trong tám lĩnh vực gồm: Y tế, Giáo dục, Tài chính – Ngân hàng, Nông nghiệp, Giao thông vận tải – logistics, Năng lượng, Tài nguyên và môi trường, Sản xuất công nghiệp. Với mục tiêu của chuyển đổi số trong lĩnh vực giáo dục là: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6C288412"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Như vậy việc chuyển đổi số trong Giáo dục và Đào tạo tập trung vào hai nội dung chính: Chuyển đổi số trong quản lý và chuyển đổi số trong dạy, học, kiểm tra, đánh giá.</w:t>
      </w:r>
    </w:p>
    <w:p w14:paraId="695F87E8"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
          <w:i/>
          <w:iCs/>
          <w:spacing w:val="-4"/>
          <w:w w:val="98"/>
          <w:sz w:val="21"/>
          <w:szCs w:val="26"/>
          <w:lang w:val="vi-VN"/>
        </w:rPr>
        <w:t>Chuyển đổi số trong quản lý</w:t>
      </w:r>
      <w:r w:rsidRPr="00362F48">
        <w:rPr>
          <w:rFonts w:ascii="Times New Roman" w:hAnsi="Times New Roman" w:cs="Times New Roman"/>
          <w:bCs/>
          <w:spacing w:val="-4"/>
          <w:w w:val="98"/>
          <w:sz w:val="21"/>
          <w:szCs w:val="26"/>
          <w:lang w:val="vi-VN"/>
        </w:rPr>
        <w:t xml:space="preserve">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10EDBDF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
          <w:i/>
          <w:iCs/>
          <w:spacing w:val="-4"/>
          <w:w w:val="98"/>
          <w:sz w:val="21"/>
          <w:szCs w:val="26"/>
          <w:lang w:val="vi-VN"/>
        </w:rPr>
        <w:t>Chuyển đổi số trong dạy, học và kiểm tra, đánh giá</w:t>
      </w:r>
      <w:r w:rsidRPr="00362F48">
        <w:rPr>
          <w:rFonts w:ascii="Times New Roman" w:hAnsi="Times New Roman" w:cs="Times New Roman"/>
          <w:bCs/>
          <w:spacing w:val="-4"/>
          <w:w w:val="98"/>
          <w:sz w:val="21"/>
          <w:szCs w:val="26"/>
          <w:lang w:val="vi-VN"/>
        </w:rPr>
        <w:t xml:space="preserve">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B9CF7FC"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tạo ra nguồn nhân lực đáp ứng được nhu cầu xã hội trong cuộc cách mạng công nghiệp lần thứ 4 này, chuyển đổi số trong lĩnh vực giáo dục là điều tất yếu. Chuyển đổi số trong giáo dục và đào tạo phải bắt đầu từ nhận thức của ban lãnh đạo, cán bộ quản lý, giảng viên và sinh viên. Trường Cao đẳng Lý Tự Trọng xác định sinh viên là lực lượng chính lao động sau này, nên sinh viên là trung tâm của chuyển đổi số trong giáo dục và đào tạo. Từ đó, nhà trường đang từng bước tạo lập nên môi trường học tập số, học liệu số. Các giảng viên khoa Điện – Điện tử ngoài việc điều chỉnh lại giáo trình, xây dựng kho học liệu số, còn phải đổi mới phương pháp dạy học cho phù hợp. Muốn đổi mới cách học phải đổi mới cách dạy. Cách dạy chỉ đạo cách học, giáo viên cần hăng hái áp dụng các phương pháp dạy học tích cực đẩy lùi các thói quen học tập thụ động của sinh viên, giúp sinh viên hình thành thói quen tự học.</w:t>
      </w:r>
    </w:p>
    <w:p w14:paraId="1FE236D2"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Sinh viên cần có niềm đam mê, hứng thú trong học tập, động cơ học tập. Giảng viên là người truyền cảm hứng, đam mê nghề nghiệp cho sinh viên. Đặc biệt là các em sinh viên năm nhất, mới bước chân vào học, chưa có định hướng rõ ràng về tương lai nghề nghiệp. Lúc này, giáo viên đóng vai trò như người dẫn đường, người hướng dẫn sinh viên định hướng được các mục tiêu nghề nghiệp. Nhờ vậy, giảm bớt phần nào tình trạng bỏ học sau một thời gian học không định hướng của sinh viên. Do đó, khoa và tổ bộ môn khi lên kế hoạch phân công giảng dạy sinh viên năm nhất phải cân nhắc rất kỹ lưỡng.</w:t>
      </w:r>
    </w:p>
    <w:p w14:paraId="445DD993"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hình thành ở sinh viên văn hóa giáo dục số, gồm các vấn đề về thái độ học tập, hiểu biết về đạo đức học thuật, tính tự giác, ý thức về học tập suốt đời. Đoàn thanh niên, hội sinh viên của Khoa Điện – Điện tử cần tổ chức thêm nhiều buổi giao lưu, chia sẻ kinh nghiệm lập nghiệp của các cựu sinh viên với các em tân sinh viên mới vào, các em sinh viên đang theo học, tạo thêm động lực, tiếp thêm ngọn lửa đam mê học tập.</w:t>
      </w:r>
    </w:p>
    <w:p w14:paraId="5F70BA96"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Học tập là cả một quá trình, cần duy trì tính kỷ luật. Để giúp sinh viên kiểm soát và có trách nhiệm về việc học, ngay từ khi sinh viên nộp hồ sơ, phòng Tuyển sinh đào tạo cần xây dựng hệ thống thông tin sinh viên một cách chính xác. Các kênh thông tin liên lạc quan trọng với sinh viên. Đặc biệt là cha, mẹ và người giám hộ sinh viên để tăng cường công tác kết nối giữa nhà trường và phụ huynh. Sau một tuần, các thông tin phản hồi người học đi học có tham gia đầy đủ các tiết giảng trực tiếp và trực tuyến hay không, có hoàn thành và mức độ hoàn thành các bài tập trước và sau khi học. Gia </w:t>
      </w:r>
      <w:r w:rsidRPr="00362F48">
        <w:rPr>
          <w:rFonts w:ascii="Times New Roman" w:hAnsi="Times New Roman" w:cs="Times New Roman"/>
          <w:bCs/>
          <w:spacing w:val="-4"/>
          <w:w w:val="98"/>
          <w:sz w:val="21"/>
          <w:szCs w:val="26"/>
          <w:lang w:val="vi-VN"/>
        </w:rPr>
        <w:lastRenderedPageBreak/>
        <w:t>đình các em sinh viên sẽ yên tâm hơn khi biết được cụ thể tình hình học tập của các em. Bên cạnh đó, gia đình cũng nắm rõ thông tin học phí từ nhà trường, tránh được những hiểu lầm không đáng có. Từ đó, nhà trường và phụ huynh đồng hành cùng các em sinh viên, tránh tình trạng sinh viên xa nhà, học tập ở môi trường mới bị cảm giác lạc lõng, bỏ rơi, sa đà vào các mối quan hệ xấu. Với dữ liệu hồ sơ học tập của từng sinh viên, có thể theo dõi tình hình học tập của sinh viên và đưa ra những cảnh báo để sinh viên điều chỉnh kịp thời.</w:t>
      </w:r>
    </w:p>
    <w:p w14:paraId="02B2F2B3"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Nhu cầu tìm kiếm và tham khảo tài liệu học tập của sinh viên là rất lớn. Chuyển đổi số trong giáo dục tạo ra kho học liệu mở, nâng cao khả năng tự chủ động học tập của người học. Sinh viên có thể truy cập vào các tài nguyên học tập một cách dễ dàng. Tuy nhiên, các nguồn tài liệu học tập trên internet không được đảm bảo tính chính xác, không được kiểm soát chặt chẽ về mặt chất lượng cũng như nội dung. Các giảng viên khoa Điện – Điện tử đã từng bước xây dựng các bài giảng điện tử, bài giảng trực tuyến, giáo trình điện tử, tài liệu tham khảo điện tử…tạo nguồn học liệu cho sinh viên tham khảo và học tập. Trong đại dịch Covid – 19 vừa qua, các giảng viên vừa phải xây dựng nguồn học liệu số cho sinh viên, vừa phải thực hiện việc dạy học trực tuyến. Thông qua Google Classroom, hệ thống quản lý học tập miễn phí của Google, giảng viên đưa tài liệu cho sinh viên đọc trước, tham khảo trước khi học bài mới, khi gặp giáo viên chỉ trao đổi những vấn đề chưa hiểu rõ, tiết kiệm thời gian. Không những thế, Google Classroom còn giúp giảng viên giao bài tập và sinh viên nộp bài trực tiếp trên ứng dụng, nhắc nhở thời hạn nộp bài, giờ gặp giáo viên hay họp nhóm. Hơn nữa, việc chấm bài của giảng viên vô cùng hiệu quả, mọi hoạt động về bài tập, sửa chữa lỗi sai hay chấm điểm của giảng viên hoàn toàn được đồng bộ ngay trên ứng dụng.</w:t>
      </w:r>
    </w:p>
    <w:p w14:paraId="26156737"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Kiểm tra – đánh giá là khâu quan trọng thúc đẩy hoạt động dạy, hoạt động học và quản lý giáo dục – đào tạo. Để xây dựng ngân hàng câu hỏi trắc nghiệm các môn học, các giảng viên thuộc khoa Điện – Điện tử đã hoàn thiện giáo trình các môn học. Hình thức kiểm tra trắc nghiệm khách quan với những ưu điểm như: thích hợp với quy mô lớn, sinh viên không phải trình bày cách làm, số lượng câu hỏi lớn nên có thể bao quát được kiến thức toàn diện của sinh viên, việc chấm điểm trở nên rất đơn giản dựa trên mẫu đã có sẵn, có thể sử dụng máy để chấm cho kết quả rất nhanh, đảm bảo được tính công bằng, độ tin cậy cao. Song vẫn tồn tại những nhược điểm của hình thức này. Đó là không thể hiện được tối đa tính sáng tạo, lôgic của khoa học và khả năng biểu cảm trước các vấn đề chính trị, xã hội, con người của đất nước, nhiều khi sự lựa chọn còn mang tính may mắn. Do đó, khoa đã rất thận trọng khi xây dựng ngân hàng câu hỏi cũng như lựa chọn các môn học phù hợp để áp dụng hình thức kiểm tra trắc nghiệm.</w:t>
      </w:r>
    </w:p>
    <w:p w14:paraId="1E25669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Từ đổi mới hình thức kiểm tra – đánh giá trong giảng dạy dẫn đến phải thay đổi phương pháp giảng dạy nhằm phát huy tối đa tính tích cực, khả năng tự học, tự nghiên cứu của sinh viên. Giảng viên từ người truyền đạt tri thức trở thành người giúp sinh viên có kỹ năng giải quyết vấn đề, tư duy sáng tạo. Trong thời đại cuộc cách mạng công nghiệp 4.0 bùng nổ, công nghệ thay đổi liên tục thì kỹ năng nhận diện vấn đề sớm và giải quyết vấn đề một cách hợp lý những vấn đề nảy sinh trong thực tiễn cuộc sống, công việc là kỹ năng rất quan trọng. Phương pháp dạy học nêu và giải quyết vấn đề giúp sinh viên phát hiện, đặt ra và giải quyết các vấn đề gặp phải trong học tập, trong nghiên cứu. Tuy nhiên, để nhận diện và đặt ra vấn đề không phải là điều sinh viên có thể làm ngay được. Vì thế, giảng viên khi áp dụng phương pháp nêu và giải quyết vấn đề nên lưu ý bốn mức độ từ dễ đến khó. Mức độ một, giáo viên đặt vấn đề và nêu cách giải quyết vấn đề, sinh viên</w:t>
      </w:r>
      <w:r w:rsidRPr="00362F48">
        <w:rPr>
          <w:rFonts w:ascii="Times New Roman" w:eastAsia="Times New Roman" w:hAnsi="Times New Roman" w:cs="Times New Roman"/>
          <w:color w:val="272727"/>
          <w:sz w:val="21"/>
          <w:szCs w:val="21"/>
          <w:shd w:val="clear" w:color="auto" w:fill="FFFFFF"/>
          <w:lang w:val="vi-VN" w:eastAsia="vi-VN"/>
        </w:rPr>
        <w:t xml:space="preserve"> thực hiện cách giải quyết vấn đề theo hướng dẫn của giáo viên. Sau đó, giáo viên đánh giá kết quả làm việc của </w:t>
      </w:r>
      <w:r w:rsidRPr="00362F48">
        <w:rPr>
          <w:rFonts w:ascii="Times New Roman" w:hAnsi="Times New Roman" w:cs="Times New Roman"/>
          <w:bCs/>
          <w:spacing w:val="-4"/>
          <w:w w:val="98"/>
          <w:sz w:val="21"/>
          <w:szCs w:val="26"/>
          <w:lang w:val="vi-VN"/>
        </w:rPr>
        <w:t>sinh viên</w:t>
      </w:r>
      <w:r w:rsidRPr="00362F48">
        <w:rPr>
          <w:rFonts w:ascii="Times New Roman" w:eastAsia="Times New Roman" w:hAnsi="Times New Roman" w:cs="Times New Roman"/>
          <w:color w:val="272727"/>
          <w:sz w:val="21"/>
          <w:szCs w:val="21"/>
          <w:shd w:val="clear" w:color="auto" w:fill="FFFFFF"/>
          <w:lang w:val="vi-VN" w:eastAsia="vi-VN"/>
        </w:rPr>
        <w:t xml:space="preserve">. </w:t>
      </w:r>
      <w:r w:rsidRPr="00362F48">
        <w:rPr>
          <w:rFonts w:ascii="Times New Roman" w:hAnsi="Times New Roman" w:cs="Times New Roman"/>
          <w:bCs/>
          <w:spacing w:val="-4"/>
          <w:w w:val="98"/>
          <w:sz w:val="21"/>
          <w:szCs w:val="26"/>
          <w:lang w:val="vi-VN"/>
        </w:rPr>
        <w:t xml:space="preserve">Với mức độ hai, giáo viên nêu vấn đề, gợi ý để sinh viên tìm ra cách giải quyết vấn đề, sinh viên thực hiện cách giải quyết vấn đề với sự giúp đỡ của giáo viên khi cần. Sau đó, giáo viên và sinh viên cùng đánh giá. Ở mức độ ba, giáo viên cung cấp thông tin tạo tình huống có vấn đề, sinh viên phát hiện và xác định vấn đề nảy sinh, tự đề xuất các giả thuyết và lựa chọn giải pháp. Sinh viên thực hiện cách giải quyết vấn đề. Sau đó, giáo viên và học sinh cùng đánh giá. Cuối cùng, mức độ bốn, sinh viên tự lực phát hiện vấn đề nảy sinh trong phạm vi bài học, hoàn cảnh của mình hoặc cộng đồng, lựa chọn vấn đề giải quyết. Sinh viên giải quyết vấn đề, tự đánh giá chất lượng, hiệu quả, có ý kiến bổ sung của giáo viên khi kết thúc. Cấu trúc của một bài học được áp dụng phương pháp dạy học nêu và giải quyết vấn đề gồm có: đặt vấn đề, nêu giả thuyết, lập kế hoạch, giải quyết vấn đề, và kết luận, đánh giá. Để có cái nhìn tổng quát hơn về bốn mức độ của phương pháp dạy học nêu và giải quyết vấn đề, cũng như đánh giá được mức độ tham gia của sinh viên vào bài học, vai trò của giảng viên trong từng khâu. </w:t>
      </w:r>
    </w:p>
    <w:tbl>
      <w:tblPr>
        <w:tblStyle w:val="TableGrid7"/>
        <w:tblW w:w="9264" w:type="dxa"/>
        <w:tblLook w:val="04A0" w:firstRow="1" w:lastRow="0" w:firstColumn="1" w:lastColumn="0" w:noHBand="0" w:noVBand="1"/>
      </w:tblPr>
      <w:tblGrid>
        <w:gridCol w:w="1271"/>
        <w:gridCol w:w="1510"/>
        <w:gridCol w:w="1510"/>
        <w:gridCol w:w="1510"/>
        <w:gridCol w:w="1707"/>
        <w:gridCol w:w="1756"/>
      </w:tblGrid>
      <w:tr w:rsidR="00836D52" w:rsidRPr="00362F48" w14:paraId="012F7E0C" w14:textId="77777777" w:rsidTr="00EF4960">
        <w:tc>
          <w:tcPr>
            <w:tcW w:w="1271" w:type="dxa"/>
          </w:tcPr>
          <w:p w14:paraId="1BDCEBB9"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Các mức độ</w:t>
            </w:r>
          </w:p>
        </w:tc>
        <w:tc>
          <w:tcPr>
            <w:tcW w:w="1510" w:type="dxa"/>
          </w:tcPr>
          <w:p w14:paraId="054BD54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Đặt vấn đề</w:t>
            </w:r>
          </w:p>
        </w:tc>
        <w:tc>
          <w:tcPr>
            <w:tcW w:w="1510" w:type="dxa"/>
          </w:tcPr>
          <w:p w14:paraId="4941B9B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Nêu giả thuyết</w:t>
            </w:r>
          </w:p>
        </w:tc>
        <w:tc>
          <w:tcPr>
            <w:tcW w:w="1510" w:type="dxa"/>
          </w:tcPr>
          <w:p w14:paraId="797D9E4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Lập kế hoạch</w:t>
            </w:r>
          </w:p>
        </w:tc>
        <w:tc>
          <w:tcPr>
            <w:tcW w:w="1707" w:type="dxa"/>
          </w:tcPr>
          <w:p w14:paraId="632E07F8"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Giải quyết vấn đề</w:t>
            </w:r>
          </w:p>
        </w:tc>
        <w:tc>
          <w:tcPr>
            <w:tcW w:w="1756" w:type="dxa"/>
          </w:tcPr>
          <w:p w14:paraId="77F4B0CC"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Kết luận, đánh giá</w:t>
            </w:r>
          </w:p>
        </w:tc>
      </w:tr>
      <w:tr w:rsidR="00836D52" w:rsidRPr="00362F48" w14:paraId="16067BDC" w14:textId="77777777" w:rsidTr="00EF4960">
        <w:tc>
          <w:tcPr>
            <w:tcW w:w="1271" w:type="dxa"/>
          </w:tcPr>
          <w:p w14:paraId="16033042"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1</w:t>
            </w:r>
          </w:p>
        </w:tc>
        <w:tc>
          <w:tcPr>
            <w:tcW w:w="1510" w:type="dxa"/>
          </w:tcPr>
          <w:p w14:paraId="135F19AA"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42684AE3"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360DCA88"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707" w:type="dxa"/>
          </w:tcPr>
          <w:p w14:paraId="4A1FA05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3A562642"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r>
      <w:tr w:rsidR="00836D52" w:rsidRPr="00362F48" w14:paraId="1B1443EF" w14:textId="77777777" w:rsidTr="00EF4960">
        <w:tc>
          <w:tcPr>
            <w:tcW w:w="1271" w:type="dxa"/>
          </w:tcPr>
          <w:p w14:paraId="11CA5E26"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2</w:t>
            </w:r>
          </w:p>
        </w:tc>
        <w:tc>
          <w:tcPr>
            <w:tcW w:w="1510" w:type="dxa"/>
          </w:tcPr>
          <w:p w14:paraId="1B8A8643"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2C4D837F"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w:t>
            </w:r>
          </w:p>
        </w:tc>
        <w:tc>
          <w:tcPr>
            <w:tcW w:w="1510" w:type="dxa"/>
          </w:tcPr>
          <w:p w14:paraId="34BA59B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6C11366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6B619EC1"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GV + SV</w:t>
            </w:r>
          </w:p>
        </w:tc>
      </w:tr>
      <w:tr w:rsidR="00836D52" w:rsidRPr="00362F48" w14:paraId="36198AA7" w14:textId="77777777" w:rsidTr="00EF4960">
        <w:tc>
          <w:tcPr>
            <w:tcW w:w="1271" w:type="dxa"/>
          </w:tcPr>
          <w:p w14:paraId="737ED800"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3</w:t>
            </w:r>
          </w:p>
        </w:tc>
        <w:tc>
          <w:tcPr>
            <w:tcW w:w="1510" w:type="dxa"/>
          </w:tcPr>
          <w:p w14:paraId="64317055"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c>
          <w:tcPr>
            <w:tcW w:w="1510" w:type="dxa"/>
          </w:tcPr>
          <w:p w14:paraId="57AF624A"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7E5AA2EC"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7629231B"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2334A7E4"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r>
      <w:tr w:rsidR="00836D52" w:rsidRPr="00362F48" w14:paraId="1781AB7F" w14:textId="77777777" w:rsidTr="00EF4960">
        <w:tc>
          <w:tcPr>
            <w:tcW w:w="1271" w:type="dxa"/>
          </w:tcPr>
          <w:p w14:paraId="0CE904AF"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4</w:t>
            </w:r>
          </w:p>
        </w:tc>
        <w:tc>
          <w:tcPr>
            <w:tcW w:w="1510" w:type="dxa"/>
          </w:tcPr>
          <w:p w14:paraId="6265632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66997DC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510" w:type="dxa"/>
          </w:tcPr>
          <w:p w14:paraId="297AEE05"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07" w:type="dxa"/>
          </w:tcPr>
          <w:p w14:paraId="6C0A0E87" w14:textId="77777777" w:rsidR="00836D52" w:rsidRPr="00362F48" w:rsidRDefault="00836D52" w:rsidP="003D2D83">
            <w:pPr>
              <w:spacing w:before="40"/>
              <w:ind w:firstLine="284"/>
              <w:jc w:val="both"/>
              <w:rPr>
                <w:rFonts w:ascii="Times New Roman" w:hAnsi="Times New Roman" w:cs="Times New Roman"/>
                <w:bCs/>
                <w:spacing w:val="-4"/>
                <w:w w:val="98"/>
                <w:sz w:val="21"/>
                <w:szCs w:val="26"/>
              </w:rPr>
            </w:pPr>
            <w:r w:rsidRPr="00362F48">
              <w:rPr>
                <w:rFonts w:ascii="Times New Roman" w:hAnsi="Times New Roman" w:cs="Times New Roman"/>
                <w:bCs/>
                <w:spacing w:val="-4"/>
                <w:w w:val="98"/>
                <w:sz w:val="21"/>
                <w:szCs w:val="26"/>
              </w:rPr>
              <w:t>SV</w:t>
            </w:r>
          </w:p>
        </w:tc>
        <w:tc>
          <w:tcPr>
            <w:tcW w:w="1756" w:type="dxa"/>
          </w:tcPr>
          <w:p w14:paraId="58DC53A4" w14:textId="77777777" w:rsidR="00836D52" w:rsidRPr="00362F48" w:rsidRDefault="00836D52" w:rsidP="003D2D83">
            <w:pPr>
              <w:spacing w:before="40"/>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rPr>
              <w:t>GV + SV</w:t>
            </w:r>
          </w:p>
        </w:tc>
      </w:tr>
    </w:tbl>
    <w:p w14:paraId="649CF6B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Trong dạy học theo phương pháp nêu và giải quyết vấn đề, sinh viên vừa lĩnh hội được tri thức mới, vừa có được phương pháp lĩnh hội tri thức đó, phát triển tư duy tích cực, sáng tạo, được chuẩn bị một năng lực thích ứng với đời sống xã hội, phát hiện kịp thời và giải quyết hợp lý các vấn đề nảy sinh.</w:t>
      </w:r>
    </w:p>
    <w:p w14:paraId="74B17A35"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 xml:space="preserve">Nhờ vào sự phát triển của công nghệ, sinh viên có thể tiếp thu kiến thức một cách thuận tiện và dễ dàng trên mọi thiết bị như máy tính, laptop, smartphone… Điều này giúp sinh viên tiếp cận các thông tin kiến thức một cách đa chiều </w:t>
      </w:r>
      <w:r w:rsidRPr="00362F48">
        <w:rPr>
          <w:rFonts w:ascii="Times New Roman" w:hAnsi="Times New Roman" w:cs="Times New Roman"/>
          <w:bCs/>
          <w:spacing w:val="-4"/>
          <w:w w:val="98"/>
          <w:sz w:val="21"/>
          <w:szCs w:val="26"/>
          <w:lang w:val="vi-VN"/>
        </w:rPr>
        <w:lastRenderedPageBreak/>
        <w:t xml:space="preserve">nhất, tối ưu thời gian học, nâng cao nhận thức, tư duy của sinh viên. Với những môn cần bảng tương tác như khí cụ điện, trang bị điện, điện công nghiệp… Sinh viên sẽ học bài một cách trực quan sinh động hơn. Tuy nhiên, để đầu tư một bảng tương tác chi phí khá tốn kém. Nhờ vào công nghệ phát triển và thay đổi liên tục, ứng dụng miễn phí Jamboard của Google, Jamboard có thể được sử dụng trực tiếp trên trình duyệt hoặc trên các thiết bị smartphone. Giảng viên có thể trình bày các sơ đồ nguyên lý mạch trên Jamboard, sinh viên trong lớp sử dụng smartphone có thể tương tác cùng với giảng viên trên Jamboard. Giảng viên có thể thêm các nội dung trong lúc trình bày trên Jamboard, bên phía Jamboard của sinh viên ngay lập tức hiển thị nội dung đó. Ngược lại, khi sinh viên trình bày các ý tưởng trên Jamboard, giảng viên cũng có thể theo dõi trên Jamboard của giáo viên. Từ đó, thu hút, lôi cuốn sinh viên vào bài học, sinh viên học bài sẽ cảm thấy thích thú và dễ hiểu hơn, sinh viên được trao quyền chủ động hơn trong học tập. Còn giáo viên sẽ lấy được thông tin phản hồi từ sinh viên một cách chính xác hơn. Không những vậy, toàn bộ nội dung trình bày được lưu trữ trên cloud của Google. Khi cần xem lại, sinh viên có thể truy cập vào một cách dễ dàng. Tuy nhiên, muốn các thiết bị đều đồng bộ hiển thị các nội dung thay đổi trong thời gian trình bày, trong thời gian thực thì cần đường truyền Internet tương đối. Hiện tại, giảng viên áp dụng kỹ thuật dạy học này vào trong thực tế nhưng gặp khó khăn về chất lượng đường truyền Internet. Thậm chí có nhiều thời điểm, giảng viên và sinh viên trình bày nhưng mất đến mười lăm giây mới đồng bộ trên các thiết bị khác làm giảm mức độ tập trung, hứng thú của sinh viên, và mất mạch cảm hứng giảng bài của giáo viên.  </w:t>
      </w:r>
    </w:p>
    <w:p w14:paraId="57AA3824" w14:textId="77777777" w:rsidR="00836D52" w:rsidRPr="00362F48" w:rsidRDefault="00836D52" w:rsidP="00836D52">
      <w:pPr>
        <w:spacing w:before="40" w:after="0" w:line="240" w:lineRule="auto"/>
        <w:jc w:val="both"/>
        <w:rPr>
          <w:rFonts w:ascii="Times New Roman" w:hAnsi="Times New Roman" w:cs="Times New Roman"/>
          <w:b/>
          <w:spacing w:val="-4"/>
          <w:w w:val="98"/>
          <w:sz w:val="21"/>
          <w:szCs w:val="26"/>
          <w:lang w:val="vi-VN"/>
        </w:rPr>
      </w:pPr>
      <w:r w:rsidRPr="00362F48">
        <w:rPr>
          <w:rFonts w:ascii="Times New Roman" w:hAnsi="Times New Roman" w:cs="Times New Roman"/>
          <w:b/>
          <w:spacing w:val="-4"/>
          <w:w w:val="98"/>
          <w:sz w:val="21"/>
          <w:szCs w:val="26"/>
          <w:lang w:val="vi-VN"/>
        </w:rPr>
        <w:t>3. Kết luận</w:t>
      </w:r>
    </w:p>
    <w:p w14:paraId="3838A4B4" w14:textId="77777777" w:rsidR="00836D52" w:rsidRPr="00362F48" w:rsidRDefault="00836D52" w:rsidP="003D2D83">
      <w:pPr>
        <w:spacing w:before="40" w:after="0" w:line="240" w:lineRule="auto"/>
        <w:ind w:firstLine="284"/>
        <w:jc w:val="both"/>
        <w:rPr>
          <w:rFonts w:ascii="Times New Roman" w:hAnsi="Times New Roman" w:cs="Times New Roman"/>
          <w:bCs/>
          <w:spacing w:val="-4"/>
          <w:w w:val="98"/>
          <w:sz w:val="21"/>
          <w:szCs w:val="26"/>
          <w:lang w:val="vi-VN"/>
        </w:rPr>
      </w:pPr>
      <w:r w:rsidRPr="00362F48">
        <w:rPr>
          <w:rFonts w:ascii="Times New Roman" w:hAnsi="Times New Roman" w:cs="Times New Roman"/>
          <w:bCs/>
          <w:spacing w:val="-4"/>
          <w:w w:val="98"/>
          <w:sz w:val="21"/>
          <w:szCs w:val="26"/>
          <w:lang w:val="vi-VN"/>
        </w:rPr>
        <w:t>Để sinh viên thay đổi tư duy, cách thức và phương pháp học tập, để theo kịp với tốc độ phát triển kỹ thuật số hiện nay, đáp ứng các yêu cầu về năng lực và phẩm chất của người lao động, giảng viên phải là tấm gương cho sinh viên noi theo. Giảng viên phải biết không ngừng học tập, tự cập nhật kiến thức liên tục, đào sâu kiến thức, lĩnh vực mà phục vụ công việc giảng dạy, nâng cao trình độ chuyên môn. Bên cạnh đó, bản thân giảng viên phải tăng khả năng ứng dụng công nghệ thông tin để tự nghiên cứu, phát triển kỹ năng và tay nghề. Từ đó, có thể đề ra nhiều phương án giải quyết. Sự sáng tạo và cải tiến từ đó mà hình thành. Trong quá trình nghiên cứu, chắc chắn giảng viên cần trau dồi thêm khả năng ngoại ngữ để cập nhật được các kiến thức mới. “If you are not willing to learn, no one can help you. If you are determined to learn, no one can stop you.</w:t>
      </w:r>
      <w:r w:rsidRPr="00362F48">
        <w:rPr>
          <w:rFonts w:ascii="Times New Roman" w:hAnsi="Times New Roman" w:cs="Times New Roman"/>
          <w:bCs/>
          <w:spacing w:val="-4"/>
          <w:w w:val="98"/>
          <w:sz w:val="21"/>
          <w:szCs w:val="26"/>
        </w:rPr>
        <w:t>” (Zig Ziglar) Tạm dịch là “</w:t>
      </w:r>
      <w:r w:rsidRPr="00362F48">
        <w:rPr>
          <w:rFonts w:ascii="Times New Roman" w:hAnsi="Times New Roman" w:cs="Times New Roman"/>
          <w:bCs/>
          <w:spacing w:val="-4"/>
          <w:w w:val="98"/>
          <w:sz w:val="21"/>
          <w:szCs w:val="26"/>
          <w:lang w:val="vi-VN"/>
        </w:rPr>
        <w:t xml:space="preserve">Nếu bạn không muốn học, không ai có thể giúp bạn. Nếu bạn quyết tâm học, không ai có thể ngăn cản bạn dừng lại.” Như vậy, cả giáo viên và sinh viên phải có động cơ học tập, phải có niềm đam mê với nghề. Công nghệ phát triển thay đổi liên tục, thầy và trò đều phải học cách học để có thể học suốt đời, phải kiên trì xây dựng phương pháp học tập chủ động. </w:t>
      </w:r>
    </w:p>
    <w:p w14:paraId="70136F3F" w14:textId="77777777" w:rsidR="00836D52" w:rsidRDefault="00836D52" w:rsidP="00836D52">
      <w:pPr>
        <w:spacing w:before="40" w:after="0" w:line="240" w:lineRule="auto"/>
        <w:jc w:val="both"/>
        <w:rPr>
          <w:rFonts w:ascii="Times New Roman" w:hAnsi="Times New Roman" w:cs="Times New Roman"/>
          <w:b/>
          <w:spacing w:val="-4"/>
          <w:w w:val="98"/>
          <w:sz w:val="21"/>
          <w:szCs w:val="26"/>
          <w:lang w:val="vi-VN"/>
        </w:rPr>
      </w:pPr>
      <w:bookmarkStart w:id="0" w:name="_Hlk106095718"/>
    </w:p>
    <w:p w14:paraId="349FA645" w14:textId="235E65D1" w:rsidR="00836D52" w:rsidRDefault="00836D52" w:rsidP="00836D52">
      <w:pPr>
        <w:spacing w:before="40" w:after="0" w:line="240" w:lineRule="auto"/>
        <w:jc w:val="both"/>
        <w:rPr>
          <w:rFonts w:ascii="Times New Roman" w:hAnsi="Times New Roman" w:cs="Times New Roman"/>
          <w:b/>
          <w:spacing w:val="-4"/>
          <w:w w:val="98"/>
          <w:sz w:val="21"/>
          <w:szCs w:val="26"/>
          <w:lang w:val="vi-VN"/>
        </w:rPr>
      </w:pPr>
    </w:p>
    <w:p w14:paraId="6BBA6B92" w14:textId="77777777" w:rsidR="00836D52" w:rsidRDefault="00836D52" w:rsidP="00836D52">
      <w:pPr>
        <w:spacing w:before="40" w:after="0" w:line="240" w:lineRule="auto"/>
        <w:jc w:val="both"/>
        <w:rPr>
          <w:rFonts w:ascii="Times New Roman" w:hAnsi="Times New Roman" w:cs="Times New Roman"/>
          <w:b/>
          <w:spacing w:val="-4"/>
          <w:w w:val="98"/>
          <w:sz w:val="21"/>
          <w:szCs w:val="26"/>
          <w:lang w:val="vi-VN"/>
        </w:rPr>
      </w:pPr>
      <w:r w:rsidRPr="00362F48">
        <w:rPr>
          <w:rFonts w:ascii="Times New Roman" w:hAnsi="Times New Roman" w:cs="Times New Roman"/>
          <w:b/>
          <w:spacing w:val="-4"/>
          <w:w w:val="98"/>
          <w:sz w:val="21"/>
          <w:szCs w:val="26"/>
          <w:lang w:val="vi-VN"/>
        </w:rPr>
        <w:t>Tài liệu tham khảo</w:t>
      </w:r>
    </w:p>
    <w:p w14:paraId="69BDBD51" w14:textId="77777777" w:rsidR="00836D52" w:rsidRDefault="00836D52" w:rsidP="003D2D83">
      <w:pPr>
        <w:numPr>
          <w:ilvl w:val="0"/>
          <w:numId w:val="1"/>
        </w:numPr>
        <w:shd w:val="clear" w:color="auto" w:fill="FFFFFF"/>
        <w:spacing w:after="0" w:line="276" w:lineRule="auto"/>
        <w:ind w:left="567" w:hanging="567"/>
        <w:jc w:val="both"/>
        <w:rPr>
          <w:rFonts w:ascii="Times New Roman" w:hAnsi="Times New Roman" w:cs="Times New Roman"/>
          <w:color w:val="333333"/>
          <w:sz w:val="21"/>
          <w:szCs w:val="21"/>
        </w:rPr>
      </w:pPr>
      <w:r w:rsidRPr="00944BF5">
        <w:rPr>
          <w:rFonts w:ascii="Times New Roman" w:hAnsi="Times New Roman" w:cs="Times New Roman"/>
          <w:bCs/>
          <w:spacing w:val="-4"/>
          <w:w w:val="98"/>
          <w:sz w:val="21"/>
          <w:szCs w:val="26"/>
        </w:rPr>
        <w:t xml:space="preserve">Secker, J.(2018). The trouble with terminology: rehabilitating and rethinking “digital literacy” In Digital Literacy Unpacked, pp. 3-16, DOI: </w:t>
      </w:r>
      <w:hyperlink r:id="rId7" w:history="1">
        <w:r w:rsidRPr="00944BF5">
          <w:rPr>
            <w:rFonts w:ascii="Times New Roman" w:hAnsi="Times New Roman" w:cs="Times New Roman"/>
            <w:bCs/>
            <w:spacing w:val="-4"/>
            <w:w w:val="98"/>
            <w:sz w:val="21"/>
            <w:szCs w:val="26"/>
          </w:rPr>
          <w:t>https://doi.org/10.29085/9781783301997</w:t>
        </w:r>
      </w:hyperlink>
    </w:p>
    <w:p w14:paraId="2F14C13E"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PGS., TS. Nguyễn Cúc (2017), Tác động của cuộc CMCN 4.0 đối với cơ sở giáo dục đại học ở Việt Nam và gợi ý chính sách cho Việt Nam - Học viện Chính trị khu vực I;</w:t>
      </w:r>
    </w:p>
    <w:p w14:paraId="4A4621D1"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ThS. Chung Thị Vân Anh (2017), CMCN 4.0 với giáo dục đại học nói chung và Đại học Bà Rịa Vũng Tàu nói riêng;</w:t>
      </w:r>
    </w:p>
    <w:p w14:paraId="7F8C34E6"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GS. Phan Văn Trường, Cố vấn của Chính phủ Pháp về thương mại quốc tế, ngành Giáo dục đón đầu cuộc Cách mạng 4.0 ra sao? Báo điện tử baoquocte.vn, ngày 14/4/2017;</w:t>
      </w:r>
    </w:p>
    <w:p w14:paraId="40D663ED"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TS. Nguyễn Chí Trường (2018), Cuộc CMCN 4.0: Cơ hội, thách thức và giải pháp hai tốc độ cho giáo dục nghề nghiệp; Tổng cục Giáo dục nghề nghiệp (Bộ Lao động Thương binh và Xã hội).</w:t>
      </w:r>
    </w:p>
    <w:p w14:paraId="7BC4450C"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 xml:space="preserve"> Phùng Xuân Nhạ, 2018. Giáo dục Việt Nam trong bối cảnh cuộc cách mạng công nghiệp lần thứ tư. Tập tin Văn bản của đại học Vinh, ngày 15/08/2018.</w:t>
      </w:r>
    </w:p>
    <w:p w14:paraId="3399E847"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Hồ Tú Bảo, 2017. Hiểu về Cách mạng công nghiệp lần thứ 4. Báo điện tử vnexpress.net, ngày 24/4/2017;</w:t>
      </w:r>
    </w:p>
    <w:p w14:paraId="3270BCA4"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Nguyễn Đắc Hưng (2017), Cuộc cách mạng công nghiệp lần thứ tư và vấn đề đặt ra với giáo dục Việt Nam, NXB Quân đội nhân dân, trang 296-328.</w:t>
      </w:r>
    </w:p>
    <w:p w14:paraId="2A01B90B"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Minh Châu, 2017. Bản tin ĐHQG - HCM Giáo dục đại học trong cuộc cách mạng công nghiệp 4.0. Trung tâm đảm bảo chất lượng. Trường Đại học quốc gia TP. HCM</w:t>
      </w:r>
    </w:p>
    <w:p w14:paraId="1F24B031" w14:textId="77777777" w:rsidR="00836D52" w:rsidRDefault="00836D52"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r w:rsidRPr="00944BF5">
        <w:rPr>
          <w:rFonts w:ascii="Times New Roman" w:hAnsi="Times New Roman" w:cs="Times New Roman"/>
          <w:bCs/>
          <w:spacing w:val="-4"/>
          <w:w w:val="98"/>
          <w:sz w:val="21"/>
          <w:szCs w:val="26"/>
          <w:lang w:val="vi-VN"/>
        </w:rPr>
        <w:t>Anealka Aziz Hussin, " Education 4.0 Made Simple: Ideas For Teaching", International Journal of Education &amp; Literacy Studies, volume 6, issue 3, 2020.</w:t>
      </w:r>
    </w:p>
    <w:p w14:paraId="5D880F6E" w14:textId="77777777" w:rsidR="00836D52" w:rsidRPr="00944BF5" w:rsidRDefault="00F6667F" w:rsidP="003D2D83">
      <w:pPr>
        <w:numPr>
          <w:ilvl w:val="0"/>
          <w:numId w:val="1"/>
        </w:numPr>
        <w:shd w:val="clear" w:color="auto" w:fill="FFFFFF"/>
        <w:spacing w:before="40" w:after="0" w:line="240" w:lineRule="auto"/>
        <w:ind w:left="567" w:hanging="567"/>
        <w:jc w:val="both"/>
        <w:rPr>
          <w:rFonts w:ascii="Times New Roman" w:hAnsi="Times New Roman" w:cs="Times New Roman"/>
          <w:bCs/>
          <w:spacing w:val="-4"/>
          <w:w w:val="98"/>
          <w:sz w:val="21"/>
          <w:szCs w:val="26"/>
          <w:lang w:val="vi-VN"/>
        </w:rPr>
      </w:pPr>
      <w:hyperlink r:id="rId8" w:history="1">
        <w:r w:rsidR="00836D52" w:rsidRPr="00944BF5">
          <w:rPr>
            <w:rFonts w:ascii="Times New Roman" w:hAnsi="Times New Roman" w:cs="Times New Roman"/>
            <w:bCs/>
            <w:spacing w:val="-4"/>
            <w:w w:val="98"/>
            <w:sz w:val="21"/>
            <w:szCs w:val="26"/>
            <w:lang w:val="vi-VN"/>
          </w:rPr>
          <w:t>https://forbes.vn/tiki-trien-khai-ung-dung-robot-tai-trung-tam-van-hanh</w:t>
        </w:r>
      </w:hyperlink>
      <w:bookmarkEnd w:id="0"/>
    </w:p>
    <w:p w14:paraId="3A708437" w14:textId="77777777" w:rsidR="00ED6C2D" w:rsidRPr="00836D52" w:rsidRDefault="00ED6C2D">
      <w:pPr>
        <w:rPr>
          <w:lang w:val="vi-VN"/>
        </w:rPr>
      </w:pPr>
    </w:p>
    <w:sectPr w:rsidR="00ED6C2D" w:rsidRPr="00836D52" w:rsidSect="00F078D2">
      <w:headerReference w:type="default" r:id="rId9"/>
      <w:footerReference w:type="default" r:id="rId10"/>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D1237" w14:textId="77777777" w:rsidR="00E22636" w:rsidRDefault="00E22636" w:rsidP="00836D52">
      <w:pPr>
        <w:spacing w:after="0" w:line="240" w:lineRule="auto"/>
      </w:pPr>
      <w:r>
        <w:separator/>
      </w:r>
    </w:p>
  </w:endnote>
  <w:endnote w:type="continuationSeparator" w:id="0">
    <w:p w14:paraId="4A304892" w14:textId="77777777" w:rsidR="00E22636" w:rsidRDefault="00E22636" w:rsidP="0083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16EB1B9A" w14:textId="77777777" w:rsidR="00836D52" w:rsidRDefault="00836D52" w:rsidP="00836D5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6E4F7B2F" w14:textId="77777777" w:rsidR="00836D52" w:rsidRDefault="00836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AE8DF" w14:textId="77777777" w:rsidR="00E22636" w:rsidRDefault="00E22636" w:rsidP="00836D52">
      <w:pPr>
        <w:spacing w:after="0" w:line="240" w:lineRule="auto"/>
      </w:pPr>
      <w:r>
        <w:separator/>
      </w:r>
    </w:p>
  </w:footnote>
  <w:footnote w:type="continuationSeparator" w:id="0">
    <w:p w14:paraId="4CE2BC3F" w14:textId="77777777" w:rsidR="00E22636" w:rsidRDefault="00E22636" w:rsidP="00836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36D52" w:rsidRPr="00B93300" w14:paraId="1E6073E5"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14649E3" w14:textId="77777777" w:rsidR="00836D52" w:rsidRPr="00B93300" w:rsidRDefault="00836D52" w:rsidP="00836D52">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08D78D0" w14:textId="77777777" w:rsidR="00836D52" w:rsidRPr="00B93300" w:rsidRDefault="00836D52" w:rsidP="00836D5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6F5C584" w14:textId="77777777" w:rsidR="00836D52" w:rsidRDefault="00836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C07AB9"/>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4053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52"/>
    <w:rsid w:val="003D2D83"/>
    <w:rsid w:val="00836D52"/>
    <w:rsid w:val="00BE7FC8"/>
    <w:rsid w:val="00C15A92"/>
    <w:rsid w:val="00E22636"/>
    <w:rsid w:val="00ED6C2D"/>
    <w:rsid w:val="00F078D2"/>
    <w:rsid w:val="00F66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E56B"/>
  <w15:chartTrackingRefBased/>
  <w15:docId w15:val="{C56C58AD-2302-46CE-8455-C78C83CA4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D52"/>
  </w:style>
  <w:style w:type="paragraph" w:styleId="Heading4">
    <w:name w:val="heading 4"/>
    <w:basedOn w:val="Normal"/>
    <w:link w:val="Heading4Char"/>
    <w:uiPriority w:val="9"/>
    <w:qFormat/>
    <w:rsid w:val="00BE7FC8"/>
    <w:pPr>
      <w:spacing w:before="100" w:beforeAutospacing="1" w:after="100" w:afterAutospacing="1" w:line="240" w:lineRule="auto"/>
      <w:outlineLvl w:val="3"/>
    </w:pPr>
    <w:rPr>
      <w:rFonts w:ascii="Times New Roman" w:eastAsia="Times New Roman" w:hAnsi="Times New Roman" w:cs="Times New Roman"/>
      <w:b/>
      <w:bCs/>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D52"/>
    <w:rPr>
      <w:color w:val="0563C1" w:themeColor="hyperlink"/>
      <w:u w:val="single"/>
    </w:rPr>
  </w:style>
  <w:style w:type="table" w:customStyle="1" w:styleId="TableGrid7">
    <w:name w:val="Table Grid7"/>
    <w:basedOn w:val="TableNormal"/>
    <w:next w:val="TableGrid"/>
    <w:uiPriority w:val="39"/>
    <w:rsid w:val="00836D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36D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6D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D52"/>
  </w:style>
  <w:style w:type="paragraph" w:styleId="Footer">
    <w:name w:val="footer"/>
    <w:basedOn w:val="Normal"/>
    <w:link w:val="FooterChar"/>
    <w:uiPriority w:val="99"/>
    <w:unhideWhenUsed/>
    <w:rsid w:val="00836D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D52"/>
  </w:style>
  <w:style w:type="character" w:customStyle="1" w:styleId="Heading4Char">
    <w:name w:val="Heading 4 Char"/>
    <w:basedOn w:val="DefaultParagraphFont"/>
    <w:link w:val="Heading4"/>
    <w:uiPriority w:val="9"/>
    <w:rsid w:val="00BE7FC8"/>
    <w:rPr>
      <w:rFonts w:ascii="Times New Roman" w:eastAsia="Times New Roman" w:hAnsi="Times New Roman" w:cs="Times New Roman"/>
      <w:b/>
      <w:bCs/>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4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bes.vn/tiki-trien-khai-ung-dung-robot-tai-trung-tam-van-hanh" TargetMode="External"/><Relationship Id="rId3" Type="http://schemas.openxmlformats.org/officeDocument/2006/relationships/settings" Target="settings.xml"/><Relationship Id="rId7" Type="http://schemas.openxmlformats.org/officeDocument/2006/relationships/hyperlink" Target="https://doi.org/10.29085/9781783301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5</cp:revision>
  <dcterms:created xsi:type="dcterms:W3CDTF">2022-07-20T02:42:00Z</dcterms:created>
  <dcterms:modified xsi:type="dcterms:W3CDTF">2022-07-26T08:29:00Z</dcterms:modified>
</cp:coreProperties>
</file>