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36978" w14:textId="77777777" w:rsidR="00836D52" w:rsidRPr="00362F48" w:rsidRDefault="00836D52"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62F48">
        <w:rPr>
          <w:rFonts w:ascii="Times New Roman" w:eastAsiaTheme="minorEastAsia" w:hAnsi="Times New Roman" w:cs="Times New Roman"/>
          <w:b/>
          <w:spacing w:val="-4"/>
          <w:w w:val="98"/>
          <w:kern w:val="32"/>
          <w:sz w:val="26"/>
          <w:szCs w:val="26"/>
          <w:lang w:eastAsia="vi-VN"/>
        </w:rPr>
        <w:t xml:space="preserve">KHOA ĐIỆN – ĐIỆN TỬ </w:t>
      </w:r>
    </w:p>
    <w:p w14:paraId="6E31DB43" w14:textId="77777777" w:rsidR="00836D52" w:rsidRPr="00362F48" w:rsidRDefault="00836D52"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62F48">
        <w:rPr>
          <w:rFonts w:ascii="Times New Roman" w:eastAsiaTheme="minorEastAsia" w:hAnsi="Times New Roman" w:cs="Times New Roman"/>
          <w:b/>
          <w:spacing w:val="-4"/>
          <w:w w:val="98"/>
          <w:kern w:val="32"/>
          <w:sz w:val="26"/>
          <w:szCs w:val="26"/>
          <w:lang w:eastAsia="vi-VN"/>
        </w:rPr>
        <w:t xml:space="preserve">GIẢI PHÁP ĐỔI MỚI TRONG DẠY HỌC </w:t>
      </w:r>
    </w:p>
    <w:p w14:paraId="09B57BCD" w14:textId="65D268BD" w:rsidR="00836D52" w:rsidRPr="00F6667F" w:rsidRDefault="00BE7FC8" w:rsidP="00836D52">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F6667F">
        <w:rPr>
          <w:rFonts w:ascii="Times New Roman" w:eastAsiaTheme="minorEastAsia" w:hAnsi="Times New Roman" w:cs="Times New Roman"/>
          <w:bCs/>
          <w:spacing w:val="-4"/>
          <w:w w:val="98"/>
          <w:kern w:val="32"/>
          <w:sz w:val="26"/>
          <w:szCs w:val="26"/>
          <w:lang w:eastAsia="vi-VN"/>
        </w:rPr>
        <w:t>FACULTY OF ELECTRICAL AND ELECTRONICS ENGINEERING</w:t>
      </w:r>
    </w:p>
    <w:p w14:paraId="540915D7" w14:textId="2A768B1C" w:rsidR="00BE7FC8" w:rsidRPr="00F6667F" w:rsidRDefault="00C15A92" w:rsidP="00836D52">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F6667F">
        <w:rPr>
          <w:rFonts w:ascii="Times New Roman" w:eastAsiaTheme="minorEastAsia" w:hAnsi="Times New Roman" w:cs="Times New Roman"/>
          <w:bCs/>
          <w:spacing w:val="-4"/>
          <w:w w:val="98"/>
          <w:kern w:val="32"/>
          <w:sz w:val="26"/>
          <w:szCs w:val="26"/>
          <w:lang w:eastAsia="vi-VN"/>
        </w:rPr>
        <w:t>INNOVATION IN TEACHING</w:t>
      </w:r>
    </w:p>
    <w:p w14:paraId="1E62E50F" w14:textId="77777777" w:rsidR="00BE7FC8" w:rsidRPr="00BE7FC8" w:rsidRDefault="00BE7FC8"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p>
    <w:tbl>
      <w:tblPr>
        <w:tblStyle w:val="TableGrid7"/>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36D52" w:rsidRPr="00362F48" w14:paraId="76F8FC7F" w14:textId="77777777" w:rsidTr="00EF4960">
        <w:tc>
          <w:tcPr>
            <w:tcW w:w="2552" w:type="dxa"/>
            <w:vAlign w:val="center"/>
          </w:tcPr>
          <w:p w14:paraId="37734699" w14:textId="05EF90FE" w:rsidR="00836D52" w:rsidRPr="00362F48" w:rsidRDefault="00836D52" w:rsidP="003D2D83">
            <w:pPr>
              <w:spacing w:before="40"/>
              <w:rPr>
                <w:rFonts w:ascii="Times New Roman" w:hAnsi="Times New Roman" w:cs="Times New Roman"/>
                <w:b/>
                <w:spacing w:val="-4"/>
                <w:w w:val="98"/>
                <w:sz w:val="21"/>
                <w:szCs w:val="26"/>
              </w:rPr>
            </w:pPr>
          </w:p>
        </w:tc>
        <w:tc>
          <w:tcPr>
            <w:tcW w:w="281" w:type="dxa"/>
            <w:vMerge w:val="restart"/>
            <w:vAlign w:val="center"/>
          </w:tcPr>
          <w:p w14:paraId="5C683917" w14:textId="77777777" w:rsidR="00836D52" w:rsidRPr="00362F48" w:rsidRDefault="00836D52" w:rsidP="00EF4960">
            <w:pPr>
              <w:spacing w:before="40"/>
              <w:jc w:val="both"/>
              <w:rPr>
                <w:rFonts w:ascii="Times New Roman" w:hAnsi="Times New Roman" w:cs="Times New Roman"/>
                <w:spacing w:val="-4"/>
                <w:w w:val="98"/>
                <w:sz w:val="21"/>
                <w:szCs w:val="26"/>
              </w:rPr>
            </w:pPr>
          </w:p>
        </w:tc>
        <w:tc>
          <w:tcPr>
            <w:tcW w:w="6239" w:type="dxa"/>
            <w:vAlign w:val="center"/>
          </w:tcPr>
          <w:p w14:paraId="3D7CC75C" w14:textId="31758EAF" w:rsidR="00836D52" w:rsidRPr="00362F48" w:rsidRDefault="00836D52" w:rsidP="003D2D83">
            <w:pPr>
              <w:spacing w:before="40"/>
              <w:jc w:val="both"/>
              <w:rPr>
                <w:rFonts w:ascii="Times New Roman" w:hAnsi="Times New Roman" w:cs="Times New Roman"/>
                <w:i/>
                <w:spacing w:val="-4"/>
                <w:w w:val="98"/>
                <w:sz w:val="21"/>
                <w:szCs w:val="26"/>
              </w:rPr>
            </w:pPr>
          </w:p>
        </w:tc>
      </w:tr>
      <w:tr w:rsidR="00836D52" w:rsidRPr="00362F48" w14:paraId="06ABA0A9" w14:textId="77777777" w:rsidTr="00EF4960">
        <w:tc>
          <w:tcPr>
            <w:tcW w:w="2552" w:type="dxa"/>
            <w:vAlign w:val="center"/>
          </w:tcPr>
          <w:p w14:paraId="48FB7971" w14:textId="77777777" w:rsidR="00836D52" w:rsidRPr="00362F48" w:rsidRDefault="00836D52" w:rsidP="00EF4960">
            <w:pPr>
              <w:ind w:left="29"/>
              <w:jc w:val="both"/>
              <w:rPr>
                <w:rFonts w:ascii="Times New Roman" w:hAnsi="Times New Roman" w:cs="Times New Roman"/>
                <w:i/>
                <w:spacing w:val="-4"/>
                <w:w w:val="98"/>
                <w:sz w:val="21"/>
                <w:szCs w:val="26"/>
              </w:rPr>
            </w:pPr>
          </w:p>
        </w:tc>
        <w:tc>
          <w:tcPr>
            <w:tcW w:w="281" w:type="dxa"/>
            <w:vMerge/>
            <w:vAlign w:val="center"/>
          </w:tcPr>
          <w:p w14:paraId="726EADB4" w14:textId="77777777" w:rsidR="00836D52" w:rsidRPr="00362F48" w:rsidRDefault="00836D52" w:rsidP="00EF4960">
            <w:pPr>
              <w:spacing w:before="40"/>
              <w:jc w:val="both"/>
              <w:rPr>
                <w:rFonts w:ascii="Times New Roman" w:hAnsi="Times New Roman" w:cs="Times New Roman"/>
                <w:spacing w:val="-4"/>
                <w:w w:val="98"/>
                <w:sz w:val="21"/>
                <w:szCs w:val="26"/>
              </w:rPr>
            </w:pPr>
          </w:p>
        </w:tc>
        <w:tc>
          <w:tcPr>
            <w:tcW w:w="6239" w:type="dxa"/>
            <w:vAlign w:val="center"/>
          </w:tcPr>
          <w:p w14:paraId="1B0AC170" w14:textId="77777777" w:rsidR="00836D52" w:rsidRPr="00362F48" w:rsidRDefault="00836D52" w:rsidP="00EF4960">
            <w:pPr>
              <w:spacing w:before="40"/>
              <w:jc w:val="both"/>
              <w:rPr>
                <w:rFonts w:ascii="Times New Roman" w:hAnsi="Times New Roman" w:cs="Times New Roman"/>
                <w:spacing w:val="-4"/>
                <w:w w:val="98"/>
                <w:sz w:val="21"/>
                <w:szCs w:val="26"/>
              </w:rPr>
            </w:pPr>
          </w:p>
        </w:tc>
      </w:tr>
      <w:tr w:rsidR="00836D52" w:rsidRPr="00362F48" w14:paraId="5E206C6D" w14:textId="77777777" w:rsidTr="00EF4960">
        <w:trPr>
          <w:trHeight w:val="198"/>
        </w:trPr>
        <w:tc>
          <w:tcPr>
            <w:tcW w:w="2552" w:type="dxa"/>
            <w:shd w:val="clear" w:color="auto" w:fill="FFFFFF" w:themeFill="background1"/>
          </w:tcPr>
          <w:p w14:paraId="013F2500" w14:textId="77777777" w:rsidR="00836D52" w:rsidRPr="00362F48" w:rsidRDefault="00836D52" w:rsidP="00EF4960">
            <w:pPr>
              <w:jc w:val="both"/>
              <w:rPr>
                <w:rFonts w:ascii="Times New Roman" w:hAnsi="Times New Roman" w:cs="Times New Roman"/>
                <w:b/>
                <w:spacing w:val="-4"/>
                <w:w w:val="98"/>
                <w:sz w:val="21"/>
                <w:szCs w:val="26"/>
              </w:rPr>
            </w:pPr>
            <w:r w:rsidRPr="00362F48">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E7B2DEA" w14:textId="77777777" w:rsidR="00836D52" w:rsidRPr="00362F48" w:rsidRDefault="00836D52" w:rsidP="00EF496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069D5DB4" w14:textId="77777777" w:rsidR="00836D52" w:rsidRPr="00362F48" w:rsidRDefault="00836D52" w:rsidP="00EF4960">
            <w:pPr>
              <w:spacing w:before="40"/>
              <w:rPr>
                <w:rFonts w:ascii="Times New Roman" w:hAnsi="Times New Roman" w:cs="Times New Roman"/>
                <w:b/>
                <w:spacing w:val="-4"/>
                <w:w w:val="98"/>
                <w:sz w:val="21"/>
                <w:szCs w:val="26"/>
              </w:rPr>
            </w:pPr>
            <w:r w:rsidRPr="00362F48">
              <w:rPr>
                <w:rFonts w:ascii="Times New Roman" w:hAnsi="Times New Roman" w:cs="Times New Roman"/>
                <w:b/>
                <w:spacing w:val="-4"/>
                <w:w w:val="98"/>
                <w:sz w:val="21"/>
                <w:szCs w:val="26"/>
              </w:rPr>
              <w:t>TÓM TẮT:</w:t>
            </w:r>
          </w:p>
        </w:tc>
      </w:tr>
      <w:tr w:rsidR="00836D52" w:rsidRPr="00362F48" w14:paraId="65A96AB7" w14:textId="77777777" w:rsidTr="00EF4960">
        <w:trPr>
          <w:trHeight w:val="854"/>
        </w:trPr>
        <w:tc>
          <w:tcPr>
            <w:tcW w:w="2552" w:type="dxa"/>
          </w:tcPr>
          <w:p w14:paraId="1CEC679E" w14:textId="77777777" w:rsidR="00836D52" w:rsidRPr="00362F48" w:rsidRDefault="00836D52" w:rsidP="00EF4960">
            <w:pPr>
              <w:spacing w:before="40"/>
              <w:ind w:left="28"/>
              <w:jc w:val="both"/>
              <w:rPr>
                <w:rFonts w:ascii="Times New Roman" w:eastAsiaTheme="minorEastAsia" w:hAnsi="Times New Roman" w:cstheme="majorHAnsi"/>
                <w:bCs/>
                <w:spacing w:val="-4"/>
                <w:w w:val="98"/>
                <w:sz w:val="21"/>
                <w:szCs w:val="21"/>
              </w:rPr>
            </w:pPr>
            <w:r w:rsidRPr="00362F48">
              <w:rPr>
                <w:rFonts w:ascii="Times New Roman" w:eastAsiaTheme="minorEastAsia" w:hAnsi="Times New Roman" w:cstheme="majorHAnsi"/>
                <w:bCs/>
                <w:spacing w:val="-4"/>
                <w:w w:val="98"/>
                <w:sz w:val="21"/>
                <w:szCs w:val="21"/>
              </w:rPr>
              <w:t>Industry 4.0, unemployment, innovation, teaching</w:t>
            </w:r>
          </w:p>
          <w:p w14:paraId="344FDFF5" w14:textId="77777777" w:rsidR="00836D52" w:rsidRPr="00362F48" w:rsidRDefault="00836D52" w:rsidP="00EF4960">
            <w:pPr>
              <w:spacing w:before="40"/>
              <w:ind w:left="28"/>
              <w:jc w:val="both"/>
              <w:rPr>
                <w:rFonts w:ascii="Times New Roman" w:hAnsi="Times New Roman" w:cs="Times New Roman"/>
                <w:spacing w:val="-4"/>
                <w:w w:val="98"/>
                <w:sz w:val="21"/>
                <w:szCs w:val="26"/>
              </w:rPr>
            </w:pPr>
          </w:p>
          <w:p w14:paraId="774F7F62" w14:textId="77777777" w:rsidR="00836D52" w:rsidRPr="00362F48" w:rsidRDefault="00836D52" w:rsidP="00EF4960">
            <w:pPr>
              <w:spacing w:before="40"/>
              <w:ind w:left="28"/>
              <w:jc w:val="both"/>
              <w:rPr>
                <w:rFonts w:ascii="Times New Roman" w:hAnsi="Times New Roman" w:cs="Times New Roman"/>
                <w:b/>
                <w:bCs/>
                <w:spacing w:val="-4"/>
                <w:w w:val="98"/>
                <w:sz w:val="21"/>
                <w:szCs w:val="26"/>
              </w:rPr>
            </w:pPr>
            <w:r w:rsidRPr="00362F48">
              <w:rPr>
                <w:rFonts w:ascii="Times New Roman" w:hAnsi="Times New Roman" w:cs="Times New Roman"/>
                <w:b/>
                <w:bCs/>
                <w:spacing w:val="-4"/>
                <w:w w:val="98"/>
                <w:sz w:val="21"/>
                <w:szCs w:val="26"/>
              </w:rPr>
              <w:t xml:space="preserve">Từ khoá: </w:t>
            </w:r>
          </w:p>
          <w:p w14:paraId="3FD6DA72" w14:textId="77777777" w:rsidR="00836D52" w:rsidRPr="00362F48" w:rsidRDefault="00836D52" w:rsidP="00EF4960">
            <w:pPr>
              <w:spacing w:before="40"/>
              <w:ind w:left="28"/>
              <w:jc w:val="both"/>
              <w:rPr>
                <w:rFonts w:ascii="Times New Roman" w:hAnsi="Times New Roman" w:cs="Times New Roman"/>
                <w:spacing w:val="-4"/>
                <w:w w:val="98"/>
                <w:sz w:val="21"/>
                <w:szCs w:val="26"/>
              </w:rPr>
            </w:pPr>
            <w:r w:rsidRPr="00362F48">
              <w:rPr>
                <w:rFonts w:ascii="Times New Roman" w:hAnsi="Times New Roman" w:cs="Times New Roman"/>
                <w:spacing w:val="-4"/>
                <w:w w:val="98"/>
                <w:sz w:val="21"/>
                <w:szCs w:val="26"/>
              </w:rPr>
              <w:t>CMCN 4.0, tỉ lệ thất nghiệp, các giải pháp, dạy học</w:t>
            </w:r>
          </w:p>
        </w:tc>
        <w:tc>
          <w:tcPr>
            <w:tcW w:w="281" w:type="dxa"/>
            <w:vMerge/>
            <w:tcBorders>
              <w:right w:val="single" w:sz="18" w:space="0" w:color="404040" w:themeColor="text1" w:themeTint="BF"/>
            </w:tcBorders>
            <w:shd w:val="clear" w:color="auto" w:fill="FFFFFF" w:themeFill="background1"/>
            <w:vAlign w:val="center"/>
          </w:tcPr>
          <w:p w14:paraId="30872D65"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4CE53755" w14:textId="77777777" w:rsidR="00836D52" w:rsidRPr="00362F48" w:rsidRDefault="00836D52" w:rsidP="00EF4960">
            <w:pPr>
              <w:spacing w:before="40"/>
              <w:jc w:val="both"/>
              <w:rPr>
                <w:rFonts w:ascii="Times New Roman" w:hAnsi="Times New Roman" w:cs="Times New Roman"/>
                <w:spacing w:val="-4"/>
                <w:w w:val="98"/>
                <w:sz w:val="21"/>
                <w:szCs w:val="26"/>
              </w:rPr>
            </w:pPr>
            <w:r w:rsidRPr="00362F48">
              <w:rPr>
                <w:rFonts w:ascii="Times New Roman" w:hAnsi="Times New Roman" w:cs="Times New Roman"/>
                <w:b/>
                <w:spacing w:val="-4"/>
                <w:w w:val="98"/>
                <w:sz w:val="21"/>
                <w:szCs w:val="26"/>
              </w:rPr>
              <w:t>Bối cảnh:</w:t>
            </w:r>
            <w:r w:rsidRPr="00362F48">
              <w:rPr>
                <w:rFonts w:ascii="Times New Roman" w:hAnsi="Times New Roman" w:cs="Times New Roman"/>
                <w:spacing w:val="-4"/>
                <w:w w:val="98"/>
                <w:sz w:val="21"/>
                <w:szCs w:val="26"/>
              </w:rPr>
              <w:t xml:space="preserve"> Cách mạng công nghiệp 4.0 là sự phát triển mạnh mẽ của công nghệ nền tảng như Internet kết nối vạn vật (IoT), trí tuệ nhân tạo (AI), điện toán đám mây (Cloud computing), dữ liệu lớn (big data), chuỗi khối (blockchain), in 3D, robotic… giúp tăng năng suất và hiệu quả sản xuất, dịch vụ. Tỉ lệ thất nghiệp sẽ tăng vọt ở những lao động trình độ thấp. Để tạo ra nguồn nhân lực đáp ứng nhu cầu xã hội, bài viết đề xuất những giải pháp đổi mới trong dạy học.    </w:t>
            </w:r>
          </w:p>
          <w:p w14:paraId="1088A833" w14:textId="77777777" w:rsidR="00836D52" w:rsidRPr="00362F48" w:rsidRDefault="00836D52" w:rsidP="00EF4960">
            <w:pPr>
              <w:spacing w:before="40"/>
              <w:jc w:val="both"/>
              <w:rPr>
                <w:rFonts w:ascii="Times New Roman" w:hAnsi="Times New Roman" w:cs="Times New Roman"/>
                <w:bCs/>
                <w:spacing w:val="-4"/>
                <w:w w:val="98"/>
                <w:sz w:val="21"/>
                <w:szCs w:val="26"/>
              </w:rPr>
            </w:pPr>
            <w:r w:rsidRPr="00362F48">
              <w:rPr>
                <w:rFonts w:ascii="Times New Roman" w:hAnsi="Times New Roman" w:cs="Times New Roman"/>
                <w:b/>
                <w:spacing w:val="-4"/>
                <w:w w:val="98"/>
                <w:sz w:val="21"/>
                <w:szCs w:val="26"/>
              </w:rPr>
              <w:t xml:space="preserve">ABSTRACT: </w:t>
            </w:r>
            <w:r w:rsidRPr="00362F48">
              <w:rPr>
                <w:rFonts w:ascii="Times New Roman" w:hAnsi="Times New Roman" w:cs="Times New Roman"/>
                <w:bCs/>
                <w:spacing w:val="-4"/>
                <w:w w:val="98"/>
                <w:sz w:val="21"/>
                <w:szCs w:val="26"/>
              </w:rPr>
              <w:t xml:space="preserve">Industry 4.0 is a strong development of technology such as Internet of Thing (IoT), Artificial Inteligent (AI), Cloud computing, big data, blockchain, 3D printing, robotic and etc., which helps to increase productivity and efficiency. Unemployment will skyrocket among low – skilled workers. To create human resources to meet social needs, the article proposes some innovative solutions in teaching.  </w:t>
            </w:r>
          </w:p>
        </w:tc>
      </w:tr>
      <w:tr w:rsidR="00836D52" w:rsidRPr="00362F48" w14:paraId="11B4645C" w14:textId="77777777" w:rsidTr="00EF4960">
        <w:trPr>
          <w:trHeight w:val="263"/>
        </w:trPr>
        <w:tc>
          <w:tcPr>
            <w:tcW w:w="2552" w:type="dxa"/>
            <w:shd w:val="clear" w:color="auto" w:fill="FFFFFF" w:themeFill="background1"/>
          </w:tcPr>
          <w:p w14:paraId="2F6FE58B" w14:textId="77777777" w:rsidR="00836D52" w:rsidRPr="00362F48" w:rsidRDefault="00836D52"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2C5D105"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9F0B09E" w14:textId="77777777" w:rsidR="00836D52" w:rsidRPr="00362F48" w:rsidRDefault="00836D52" w:rsidP="00EF4960">
            <w:pPr>
              <w:spacing w:before="40"/>
              <w:jc w:val="both"/>
              <w:rPr>
                <w:rFonts w:ascii="Times New Roman" w:hAnsi="Times New Roman" w:cs="Times New Roman"/>
                <w:spacing w:val="-4"/>
                <w:w w:val="98"/>
                <w:sz w:val="21"/>
                <w:szCs w:val="26"/>
              </w:rPr>
            </w:pPr>
          </w:p>
        </w:tc>
      </w:tr>
      <w:tr w:rsidR="00836D52" w:rsidRPr="00362F48" w14:paraId="686F3182" w14:textId="77777777" w:rsidTr="00EF4960">
        <w:trPr>
          <w:trHeight w:val="706"/>
        </w:trPr>
        <w:tc>
          <w:tcPr>
            <w:tcW w:w="2552" w:type="dxa"/>
          </w:tcPr>
          <w:p w14:paraId="507AD16C" w14:textId="77777777" w:rsidR="00836D52" w:rsidRPr="00362F48" w:rsidRDefault="00836D52"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2C0F853"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00344B3" w14:textId="77777777" w:rsidR="00836D52" w:rsidRPr="00362F48" w:rsidRDefault="00836D52" w:rsidP="00EF4960">
            <w:pPr>
              <w:spacing w:before="40"/>
              <w:jc w:val="both"/>
              <w:rPr>
                <w:rFonts w:ascii="Times New Roman" w:hAnsi="Times New Roman" w:cs="Times New Roman"/>
                <w:spacing w:val="-4"/>
                <w:w w:val="98"/>
                <w:sz w:val="21"/>
                <w:szCs w:val="26"/>
              </w:rPr>
            </w:pPr>
          </w:p>
        </w:tc>
      </w:tr>
    </w:tbl>
    <w:p w14:paraId="0CCB480F" w14:textId="77777777" w:rsidR="00836D52" w:rsidRPr="00362F48" w:rsidRDefault="00836D52" w:rsidP="00836D52">
      <w:pPr>
        <w:spacing w:before="40" w:after="0" w:line="240" w:lineRule="auto"/>
        <w:jc w:val="center"/>
        <w:rPr>
          <w:rFonts w:ascii="Times New Roman" w:hAnsi="Times New Roman" w:cs="Times New Roman"/>
          <w:i/>
          <w:spacing w:val="-4"/>
          <w:w w:val="98"/>
          <w:sz w:val="21"/>
          <w:szCs w:val="26"/>
        </w:rPr>
      </w:pPr>
    </w:p>
    <w:p w14:paraId="6D981647" w14:textId="77777777" w:rsidR="00836D52" w:rsidRPr="00362F48" w:rsidRDefault="00836D52" w:rsidP="00836D52">
      <w:pPr>
        <w:spacing w:before="40" w:after="0" w:line="240" w:lineRule="auto"/>
        <w:jc w:val="both"/>
        <w:rPr>
          <w:rFonts w:ascii="Times New Roman" w:hAnsi="Times New Roman" w:cs="Times New Roman"/>
          <w:b/>
          <w:spacing w:val="-4"/>
          <w:w w:val="98"/>
          <w:sz w:val="21"/>
          <w:szCs w:val="26"/>
        </w:rPr>
      </w:pPr>
      <w:r w:rsidRPr="00362F48">
        <w:rPr>
          <w:rFonts w:ascii="Times New Roman" w:hAnsi="Times New Roman" w:cs="Times New Roman"/>
          <w:b/>
          <w:spacing w:val="-4"/>
          <w:w w:val="98"/>
          <w:sz w:val="21"/>
          <w:szCs w:val="26"/>
        </w:rPr>
        <w:t>1. Mở đầu</w:t>
      </w:r>
    </w:p>
    <w:p w14:paraId="7E9B8FC9"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proofErr w:type="gramStart"/>
      <w:r w:rsidRPr="00362F48">
        <w:rPr>
          <w:rFonts w:ascii="Times New Roman" w:hAnsi="Times New Roman" w:cs="Times New Roman"/>
          <w:bCs/>
          <w:spacing w:val="-4"/>
          <w:w w:val="98"/>
          <w:sz w:val="21"/>
          <w:szCs w:val="26"/>
        </w:rPr>
        <w:t>Cách mạng công nghiệp lần thứ tư là cuộc cách mạng phát triển mạnh mẽ công nghệ.</w:t>
      </w:r>
      <w:proofErr w:type="gramEnd"/>
      <w:r w:rsidRPr="00362F48">
        <w:rPr>
          <w:rFonts w:ascii="Times New Roman" w:hAnsi="Times New Roman" w:cs="Times New Roman"/>
          <w:bCs/>
          <w:spacing w:val="-4"/>
          <w:w w:val="98"/>
          <w:sz w:val="21"/>
          <w:szCs w:val="26"/>
        </w:rPr>
        <w:t xml:space="preserve"> Toàn bộ dữ liệu được số hoá, các quá trình sản xuất không chỉ tự động hoá, mà còn có thể điều khiển qua Internet, và áp dụng công nghệ mới AI và big data để phân tích và xử lý dữ liệu trong thời gian thực. </w:t>
      </w:r>
    </w:p>
    <w:p w14:paraId="30E804B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Dựa vào công nghệ big data các nhà đầu tư nước ngoài có một hệ thông tin từ mọi góc độ, khía cạnh về môi trường đầu tư tại nước sở tại, các rào cản đầu tư, các nhà đầu tư đã có… Từ đó họ xây dựng các tiêu chí và đưa ra các quyết định đầu </w:t>
      </w:r>
      <w:proofErr w:type="gramStart"/>
      <w:r w:rsidRPr="00362F48">
        <w:rPr>
          <w:rFonts w:ascii="Times New Roman" w:hAnsi="Times New Roman" w:cs="Times New Roman"/>
          <w:bCs/>
          <w:spacing w:val="-4"/>
          <w:w w:val="98"/>
          <w:sz w:val="21"/>
          <w:szCs w:val="26"/>
        </w:rPr>
        <w:t>tư</w:t>
      </w:r>
      <w:proofErr w:type="gramEnd"/>
      <w:r w:rsidRPr="00610131">
        <w:rPr>
          <w:rFonts w:ascii="Times New Roman" w:hAnsi="Times New Roman" w:cs="Times New Roman"/>
          <w:bCs/>
          <w:spacing w:val="-4"/>
          <w:w w:val="98"/>
          <w:sz w:val="21"/>
          <w:szCs w:val="26"/>
          <w:highlight w:val="yellow"/>
        </w:rPr>
        <w:t xml:space="preserve">. </w:t>
      </w:r>
      <w:proofErr w:type="gramStart"/>
      <w:r w:rsidRPr="00610131">
        <w:rPr>
          <w:rFonts w:ascii="Times New Roman" w:hAnsi="Times New Roman" w:cs="Times New Roman"/>
          <w:bCs/>
          <w:spacing w:val="-4"/>
          <w:w w:val="98"/>
          <w:sz w:val="21"/>
          <w:szCs w:val="26"/>
          <w:highlight w:val="yellow"/>
        </w:rPr>
        <w:t>Trước khi đưa nhà máy vào Thái Nguyên hoạt động, tập đoàn Samsung đã phân tích hơn 1000 tiêu chí.</w:t>
      </w:r>
      <w:proofErr w:type="gramEnd"/>
      <w:r w:rsidRPr="00362F48">
        <w:rPr>
          <w:rFonts w:ascii="Times New Roman" w:hAnsi="Times New Roman" w:cs="Times New Roman"/>
          <w:bCs/>
          <w:spacing w:val="-4"/>
          <w:w w:val="98"/>
          <w:sz w:val="21"/>
          <w:szCs w:val="26"/>
        </w:rPr>
        <w:t xml:space="preserve"> </w:t>
      </w:r>
    </w:p>
    <w:p w14:paraId="500A7DBB"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Với công nghệ IoT cho phép việc truyền thông tin và giao tiếp toàn cầu gần như tức thời, cho phép con người giám sát trạng thái hoạt động của các đối tượng vật lý rất chi tiết. Các thiết bị được gắn cảm biến để </w:t>
      </w:r>
      <w:proofErr w:type="gramStart"/>
      <w:r w:rsidRPr="00362F48">
        <w:rPr>
          <w:rFonts w:ascii="Times New Roman" w:hAnsi="Times New Roman" w:cs="Times New Roman"/>
          <w:bCs/>
          <w:spacing w:val="-4"/>
          <w:w w:val="98"/>
          <w:sz w:val="21"/>
          <w:szCs w:val="26"/>
        </w:rPr>
        <w:t>thu</w:t>
      </w:r>
      <w:proofErr w:type="gramEnd"/>
      <w:r w:rsidRPr="00362F48">
        <w:rPr>
          <w:rFonts w:ascii="Times New Roman" w:hAnsi="Times New Roman" w:cs="Times New Roman"/>
          <w:bCs/>
          <w:spacing w:val="-4"/>
          <w:w w:val="98"/>
          <w:sz w:val="21"/>
          <w:szCs w:val="26"/>
        </w:rPr>
        <w:t xml:space="preserve"> thập dữ liệu, các bộ điều khiển tiếp nhận dữ liệu và ra lệnh cho các thiết bị đầu ra. Mọi hệ thống IoT đều gồm có: </w:t>
      </w:r>
      <w:proofErr w:type="gramStart"/>
      <w:r w:rsidRPr="00362F48">
        <w:rPr>
          <w:rFonts w:ascii="Times New Roman" w:hAnsi="Times New Roman" w:cs="Times New Roman"/>
          <w:bCs/>
          <w:spacing w:val="-4"/>
          <w:w w:val="98"/>
          <w:sz w:val="21"/>
          <w:szCs w:val="26"/>
        </w:rPr>
        <w:t>thu</w:t>
      </w:r>
      <w:proofErr w:type="gramEnd"/>
      <w:r w:rsidRPr="00362F48">
        <w:rPr>
          <w:rFonts w:ascii="Times New Roman" w:hAnsi="Times New Roman" w:cs="Times New Roman"/>
          <w:bCs/>
          <w:spacing w:val="-4"/>
          <w:w w:val="98"/>
          <w:sz w:val="21"/>
          <w:szCs w:val="26"/>
        </w:rPr>
        <w:t xml:space="preserve"> thập dữ liệu, chia sẻ dữ liệu, xử lý dữ liệu, và đưa ra quyết định. </w:t>
      </w:r>
    </w:p>
    <w:p w14:paraId="3D865C2E"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proofErr w:type="gramStart"/>
      <w:r w:rsidRPr="00362F48">
        <w:rPr>
          <w:rFonts w:ascii="Times New Roman" w:hAnsi="Times New Roman" w:cs="Times New Roman"/>
          <w:bCs/>
          <w:spacing w:val="-4"/>
          <w:w w:val="98"/>
          <w:sz w:val="21"/>
          <w:szCs w:val="26"/>
        </w:rPr>
        <w:t>Biến đổi khí hậu, nhiệt độ, địa hình và chất lượng đất không đồng đều nên khó định lượng sự khác biệt của các loại thực vật.</w:t>
      </w:r>
      <w:proofErr w:type="gramEnd"/>
      <w:r w:rsidRPr="00362F48">
        <w:rPr>
          <w:rFonts w:ascii="Times New Roman" w:hAnsi="Times New Roman" w:cs="Times New Roman"/>
          <w:bCs/>
          <w:spacing w:val="-4"/>
          <w:w w:val="98"/>
          <w:sz w:val="21"/>
          <w:szCs w:val="26"/>
        </w:rPr>
        <w:t xml:space="preserve"> Theo số liệu dự báo, dân số thế giới năm 2050 có thể chạm ngưỡng 9</w:t>
      </w:r>
      <w:proofErr w:type="gramStart"/>
      <w:r w:rsidRPr="00362F48">
        <w:rPr>
          <w:rFonts w:ascii="Times New Roman" w:hAnsi="Times New Roman" w:cs="Times New Roman"/>
          <w:bCs/>
          <w:spacing w:val="-4"/>
          <w:w w:val="98"/>
          <w:sz w:val="21"/>
          <w:szCs w:val="26"/>
        </w:rPr>
        <w:t>,8</w:t>
      </w:r>
      <w:proofErr w:type="gramEnd"/>
      <w:r w:rsidRPr="00362F48">
        <w:rPr>
          <w:rFonts w:ascii="Times New Roman" w:hAnsi="Times New Roman" w:cs="Times New Roman"/>
          <w:bCs/>
          <w:spacing w:val="-4"/>
          <w:w w:val="98"/>
          <w:sz w:val="21"/>
          <w:szCs w:val="26"/>
        </w:rPr>
        <w:t xml:space="preserve"> tỷ người. Mật độ dân số tăng nhanh trong quá trình đô thị hoá làm cho quỹ đất canh tác bị giảm một cách đáng kể. </w:t>
      </w:r>
      <w:proofErr w:type="gramStart"/>
      <w:r w:rsidRPr="00362F48">
        <w:rPr>
          <w:rFonts w:ascii="Times New Roman" w:hAnsi="Times New Roman" w:cs="Times New Roman"/>
          <w:bCs/>
          <w:spacing w:val="-4"/>
          <w:w w:val="98"/>
          <w:sz w:val="21"/>
          <w:szCs w:val="26"/>
        </w:rPr>
        <w:t>An</w:t>
      </w:r>
      <w:proofErr w:type="gramEnd"/>
      <w:r w:rsidRPr="00362F48">
        <w:rPr>
          <w:rFonts w:ascii="Times New Roman" w:hAnsi="Times New Roman" w:cs="Times New Roman"/>
          <w:bCs/>
          <w:spacing w:val="-4"/>
          <w:w w:val="98"/>
          <w:sz w:val="21"/>
          <w:szCs w:val="26"/>
        </w:rPr>
        <w:t xml:space="preserve"> ninh lương thực bị đe doạ một cách nghiêm trọng. Ứng dụng công nghệ IoT để giám sát, điều khiển, và chăm sóc cây trồng tự động giúp tăng năng suất và chất lượng nông sản. Theo báo cáo của tổ chức nghiên cứu thị trường Allied Market Research, thị trường nông nghiệp thông minh toàn cầu sẽ đạt quy mô 48 tỷ USD vào năm 2025, với mức tăng trưởng trung bình 14,7%/năm. Ông </w:t>
      </w:r>
      <w:r w:rsidRPr="00362F48">
        <w:rPr>
          <w:rFonts w:ascii="Times New Roman" w:hAnsi="Times New Roman" w:cs="Times New Roman"/>
          <w:bCs/>
          <w:spacing w:val="-4"/>
          <w:w w:val="98"/>
          <w:sz w:val="21"/>
          <w:szCs w:val="26"/>
          <w:lang w:val="vi-VN"/>
        </w:rPr>
        <w:t>Trần Quang Cường, Giám đốc và cũng là sáng lập viên của NextFarm</w:t>
      </w:r>
      <w:r w:rsidRPr="00362F48">
        <w:rPr>
          <w:rFonts w:ascii="Times New Roman" w:hAnsi="Times New Roman" w:cs="Times New Roman"/>
          <w:bCs/>
          <w:spacing w:val="-4"/>
          <w:w w:val="98"/>
          <w:sz w:val="21"/>
          <w:szCs w:val="26"/>
        </w:rPr>
        <w:t>, đưa ra c</w:t>
      </w:r>
      <w:r w:rsidRPr="00362F48">
        <w:rPr>
          <w:rFonts w:ascii="Times New Roman" w:hAnsi="Times New Roman" w:cs="Times New Roman"/>
          <w:bCs/>
          <w:spacing w:val="-4"/>
          <w:w w:val="98"/>
          <w:sz w:val="21"/>
          <w:szCs w:val="26"/>
          <w:lang w:val="vi-VN"/>
        </w:rPr>
        <w:t>ông nghệ bón phân thông minh. Giải pháp cho nông nghiệp giúp kiểm soát môi trường, dinh dưỡng, bón phân, thu thập và phân tích dữ liệu, đưa ra các cảnh báo sớm cho người nông dân. Cụ thể, hệ thống thu thập dữ liệu cảm biến về dinh dưỡng theo thời gian thực, cho phép tác động lên tám kênh tưới, có thể triển khai trên diện tích lớn 10 ha, điều khiển bón phân chính xác phù hợp cho cây theo từng giai đoạn sinh trưởng. Sản phẩm của NextFarm tăng năng suất cây trồng và chất lượng đầu ra của nông sản, tối ưu thời gian tưới, tiết kiệm phân bón, kiểm soát được lượng dinh dưỡng, tối ưu chi phí nhân công, tiết kiệm nước và điện, dễ dàng cài đặt và triển khai, truyền thông dữ liệu và điều khiển toàn bộ bằng công nghệ không dây. Ngoài ra, NextFarm còn có các sản phẩm quan trắc môi trường và điều khiển vi khí hậu, truyền thanh thông minh, truy xuất nguồn gốc và số hoá quy trình Nextfarm QR Check. Tập đoàn Viettel hỗ trợ và hợp tác với NextFarm trong triển khai giải pháp nông nghiệp thông minh tại Việt Nam. Với khách hàng lớn nhất của NextFarm là những khu nông nghiệp công nghệ cao, hay các dự án nông nghiệp của Viettel ở Việt Nam, Myanmar, Campuchia, nhỏ nhất là các hộ gia đình với vài sào canh tác. Sản phẩm của NextFarm đã có mặt trên thị trường từ tháng ba năm 2018, startup này vẫn tăng trưởng đều đặn</w:t>
      </w:r>
      <w:r w:rsidRPr="00362F48">
        <w:rPr>
          <w:rFonts w:ascii="Arial" w:eastAsia="Times New Roman" w:hAnsi="Arial" w:cs="Arial"/>
          <w:color w:val="000000"/>
          <w:spacing w:val="-5"/>
          <w:sz w:val="24"/>
          <w:szCs w:val="24"/>
          <w:bdr w:val="none" w:sz="0" w:space="0" w:color="auto" w:frame="1"/>
          <w:lang w:val="vi-VN" w:eastAsia="vi-VN"/>
        </w:rPr>
        <w:t> </w:t>
      </w:r>
      <w:r w:rsidRPr="00362F48">
        <w:rPr>
          <w:rFonts w:ascii="Times New Roman" w:hAnsi="Times New Roman" w:cs="Times New Roman"/>
          <w:bCs/>
          <w:spacing w:val="-4"/>
          <w:w w:val="98"/>
          <w:sz w:val="21"/>
          <w:szCs w:val="26"/>
          <w:lang w:val="vi-VN"/>
        </w:rPr>
        <w:t>bất chấp dịch bệnh Covid – 19. Những tháng cuối năm 2021, NextFarm triển khai dịch vụ cho 200 – 300 khách hàng.</w:t>
      </w:r>
    </w:p>
    <w:p w14:paraId="668B241B"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Từ tháng 07 năm 2021, Tiki đã sử dụng robot tại Trung tâm Vận hành TikiNOW Smart Logistics Nhà Bè (TP.HCM). Toàn bộ quy trình lấy hàng trong kho được tự động hoá nhờ robot. Một robot thông thường có tải trọng </w:t>
      </w:r>
      <w:r w:rsidRPr="00362F48">
        <w:rPr>
          <w:rFonts w:ascii="Times New Roman" w:hAnsi="Times New Roman" w:cs="Times New Roman"/>
          <w:bCs/>
          <w:spacing w:val="-4"/>
          <w:w w:val="98"/>
          <w:sz w:val="21"/>
          <w:szCs w:val="26"/>
          <w:lang w:val="vi-VN"/>
        </w:rPr>
        <w:lastRenderedPageBreak/>
        <w:t>đến 800 kg, di chuyển trên hệ thống mã vạch trên sàn nhà đến dưới kệ hàng, nâng kệ và mang đến vị trí người điều phối. Robot đã thay thế cho một số nhân viên phải đi bộ nhiều cây số mỗi ngày, mang vác đồ nặng, tốc độ lấy hàng hoá trong từng giờ tăng gấp đôi và sai sót gần như bằng không, tối ưu năng suất lao động. Hiện tại Tiki đang lên kế hoạch đầu tư cho ngành hàng TikiNGON, sử dụng robot để lấy hàng trực tiếp từ kho lạnh, giảm thiểu sự làm việc của con người trong môi trường làm việc nhiệt độ thấp.</w:t>
      </w:r>
    </w:p>
    <w:p w14:paraId="02F5000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Ông Lê Văn Thanh, Thứ trưởng Bộ Lao động, Thương binh và Xã hội cho biết "Với Việt Nam, sự bùng nổ ứng dụng công nghệ số, thiết bị thông minh, robot vào sản xuất như hiện nay đang đặt ra nhiều thách thức đối với thị trường lao động Việt Nam như nguồn lao động dồi dào, giá rẻ sẽ không còn là yếu tố tạo nên lợi thế cạnh tranh và thu hút đầu tư nước ngoài. Việt Nam cũng có thể sẽ phải chịu sức ép về vấn đề giải quyết việc làm và sẽ phải đối mặt với sự gia tăng tỷ lệ thất nghiệp hoặc thiếu việc làm vì nước ta có quy mô dân số lớn nhưng chất lượng lao động chưa cao. 46 triệu lao động Việt Nam chưa qua đào tạo sẽ đứng trước nguy cơ không có cơ hội tham gia làm những công việc có mức thu nhập cao do bị thay thế bởi lao động robot, trang thiết bị công nghệ thông minh… Bên cạnh đó, chuyển đổi kỹ thuật số đang định hình lại và chuyển đổi các kỹ năng theo yêu cầu.” </w:t>
      </w:r>
    </w:p>
    <w:p w14:paraId="0C0E7BFD" w14:textId="77777777" w:rsidR="00836D52" w:rsidRPr="00362F48" w:rsidRDefault="00836D52" w:rsidP="00836D52">
      <w:pPr>
        <w:spacing w:before="40" w:after="0" w:line="240" w:lineRule="auto"/>
        <w:jc w:val="both"/>
        <w:rPr>
          <w:rFonts w:ascii="Times New Roman" w:eastAsia="MS Mincho" w:hAnsi="Times New Roman" w:cs="Times New Roman"/>
          <w:b/>
          <w:spacing w:val="-4"/>
          <w:w w:val="98"/>
          <w:sz w:val="21"/>
          <w:szCs w:val="26"/>
          <w:lang w:val="vi-VN"/>
        </w:rPr>
      </w:pPr>
      <w:r w:rsidRPr="00362F48">
        <w:rPr>
          <w:rFonts w:ascii="Times New Roman" w:eastAsia="MS Mincho" w:hAnsi="Times New Roman" w:cs="Times New Roman"/>
          <w:b/>
          <w:spacing w:val="-4"/>
          <w:w w:val="98"/>
          <w:sz w:val="21"/>
          <w:szCs w:val="26"/>
          <w:lang w:val="vi-VN"/>
        </w:rPr>
        <w:t xml:space="preserve">2. Đề xuất giải pháp </w:t>
      </w:r>
    </w:p>
    <w:p w14:paraId="22B746E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Giáo dục được coi là một trong những ngành phải tiên phong trong việc thay đổi để tiếp cận với sự thay đổi của cuộc CMCN 4.0. Ngày 03 tháng 6 năm 2020, Quyết định số 749/QĐ-TTg của Thủ tướng Chính phủ Nguyễn Xuân Phúc phê duyệt: “Chương trình Chuyển đổi số quốc gia đến năm 2025, định hướng đến năm 2030”. Trong quyết định này, Thủ tướng yêu cầu chuyển đổi số trong tám lĩnh vực gồm: Y tế, Giáo dục, Tài chính – Ngân hàng, Nông nghiệp, Giao thông vận tải – logistics, Năng lượng, Tài nguyên và môi trường, Sản xuất công nghiệp. Với mục tiêu của chuyển đổi số trong lĩnh vực giáo dục là: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6C288412"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Như vậy việc chuyển đổi số trong Giáo dục và Đào tạo tập trung vào hai nội dung chính: Chuyển đổi số trong quản lý và chuyển đổi số trong dạy, học, kiểm tra, đánh giá.</w:t>
      </w:r>
    </w:p>
    <w:p w14:paraId="695F87E8"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
          <w:i/>
          <w:iCs/>
          <w:spacing w:val="-4"/>
          <w:w w:val="98"/>
          <w:sz w:val="21"/>
          <w:szCs w:val="26"/>
          <w:lang w:val="vi-VN"/>
        </w:rPr>
        <w:t>Chuyển đổi số trong quản lý</w:t>
      </w:r>
      <w:r w:rsidRPr="00362F48">
        <w:rPr>
          <w:rFonts w:ascii="Times New Roman" w:hAnsi="Times New Roman" w:cs="Times New Roman"/>
          <w:bCs/>
          <w:spacing w:val="-4"/>
          <w:w w:val="98"/>
          <w:sz w:val="21"/>
          <w:szCs w:val="26"/>
          <w:lang w:val="vi-VN"/>
        </w:rPr>
        <w:t xml:space="preserve"> là số hóa thông tin quản lý, tạo ra những hệ thống cơ sở dữ liệu lớn liên thông, triển khai các dịch vụ công trực tuyến, ứng dụng các công nghệ 4.0 (AI, blockchain, phân tích dữ </w:t>
      </w:r>
      <w:r w:rsidRPr="00610131">
        <w:rPr>
          <w:rFonts w:ascii="Times New Roman" w:hAnsi="Times New Roman" w:cs="Times New Roman"/>
          <w:bCs/>
          <w:spacing w:val="-4"/>
          <w:w w:val="98"/>
          <w:sz w:val="21"/>
          <w:szCs w:val="26"/>
          <w:highlight w:val="yellow"/>
          <w:lang w:val="vi-VN"/>
        </w:rPr>
        <w:t>liệu, ..)</w:t>
      </w:r>
      <w:r w:rsidRPr="00362F48">
        <w:rPr>
          <w:rFonts w:ascii="Times New Roman" w:hAnsi="Times New Roman" w:cs="Times New Roman"/>
          <w:bCs/>
          <w:spacing w:val="-4"/>
          <w:w w:val="98"/>
          <w:sz w:val="21"/>
          <w:szCs w:val="26"/>
          <w:lang w:val="vi-VN"/>
        </w:rPr>
        <w:t xml:space="preserve"> để quản lý, điều hành, dự báo, hỗ trợ các cấp lãnh đạo, quản lý ra quyết định trong lãnh đạo, điều hành.</w:t>
      </w:r>
    </w:p>
    <w:p w14:paraId="10EDBDF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
          <w:i/>
          <w:iCs/>
          <w:spacing w:val="-4"/>
          <w:w w:val="98"/>
          <w:sz w:val="21"/>
          <w:szCs w:val="26"/>
          <w:lang w:val="vi-VN"/>
        </w:rPr>
        <w:t>Chuyển đổi số trong dạy, học và kiểm tra, đánh giá</w:t>
      </w:r>
      <w:r w:rsidRPr="00362F48">
        <w:rPr>
          <w:rFonts w:ascii="Times New Roman" w:hAnsi="Times New Roman" w:cs="Times New Roman"/>
          <w:bCs/>
          <w:spacing w:val="-4"/>
          <w:w w:val="98"/>
          <w:sz w:val="21"/>
          <w:szCs w:val="26"/>
          <w:lang w:val="vi-VN"/>
        </w:rPr>
        <w:t xml:space="preserve"> là số hóa học liệu (sách giáo khoa điện tử, bài giảng điện tử, kho bài giảng e-learning, ngân hàng câu hỏi trắc nghiệm), thư viện số, phòng thí nghiệm ảo, triển khai hệ thống đào tạo trực tuyến</w:t>
      </w:r>
      <w:r w:rsidRPr="00610131">
        <w:rPr>
          <w:rFonts w:ascii="Times New Roman" w:hAnsi="Times New Roman" w:cs="Times New Roman"/>
          <w:bCs/>
          <w:spacing w:val="-4"/>
          <w:w w:val="98"/>
          <w:sz w:val="21"/>
          <w:szCs w:val="26"/>
          <w:highlight w:val="yellow"/>
          <w:lang w:val="vi-VN"/>
        </w:rPr>
        <w:t>…; chuyển</w:t>
      </w:r>
      <w:r w:rsidRPr="00362F48">
        <w:rPr>
          <w:rFonts w:ascii="Times New Roman" w:hAnsi="Times New Roman" w:cs="Times New Roman"/>
          <w:bCs/>
          <w:spacing w:val="-4"/>
          <w:w w:val="98"/>
          <w:sz w:val="21"/>
          <w:szCs w:val="26"/>
          <w:lang w:val="vi-VN"/>
        </w:rPr>
        <w:t xml:space="preserve"> đổi toàn bộ cách thức, phương pháp giảng dạy, kỹ thuật quản lý lớp học, tương tác với người học sang không gian số, khai thác công nghệ thông tin để tổ chức giảng dạy thành công.</w:t>
      </w:r>
    </w:p>
    <w:p w14:paraId="0B9CF7F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tạo ra nguồn nhân lực đáp ứng được nhu cầu xã hội trong cuộc cách mạng công nghiệp lần thứ 4 này, chuyển đổi số trong lĩnh vực giáo dục là điều tất yếu. Chuyển đổi số trong giáo dục và đào tạo phải bắt đầu từ nhận thức của ban lãnh đạo, cán bộ quản lý, giảng viên và sinh viên. Trường Cao đẳng Lý Tự Trọng xác định sinh viên là lực lượng chính lao động sau này, nên sinh viên là trung tâm của chuyển đổi số trong giáo dục và đào tạo. Từ đó, nhà trường đang từng bước tạo lập nên môi trường học tập số, học liệu số. Các giảng viên khoa Điện – Điện tử ngoài việc điều chỉnh lại giáo trình, xây dựng kho học liệu số, còn phải đổi mới phương pháp dạy học cho phù hợp. Muốn đổi mới cách học phải đổi mới cách dạy. Cách dạy chỉ đạo cách học, giáo viên cần hăng hái áp dụng các phương pháp dạy học tích cực đẩy lùi các thói quen học tập thụ động của sinh viên, giúp sinh viên hình thành thói quen tự học.</w:t>
      </w:r>
    </w:p>
    <w:p w14:paraId="1FE236D2"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Sinh viên cần có niềm đam mê, hứng thú trong học tập, động cơ học tập. Giảng viên là người truyền cảm hứng, đam mê nghề nghiệp cho sinh viên. Đặc biệt là các em sinh viên năm nhất, mới bước chân vào học, chưa có định hướng rõ ràng về tương lai nghề nghiệp. Lúc này, giáo viên đóng vai trò như người dẫn đường, người hướng dẫn sinh viên định hướng được các mục tiêu nghề nghiệp. Nhờ vậy, giảm bớt phần nào tình trạng bỏ học sau một thời gian học không định hướng của sinh viên. Do đó, khoa và tổ bộ môn khi lên kế hoạch phân công giảng dạy sinh viên năm nhất phải cân nhắc rất kỹ lưỡng.</w:t>
      </w:r>
    </w:p>
    <w:p w14:paraId="445DD993"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hình thành ở sinh viên văn hóa giáo dục số, gồm các vấn đề về thái độ học tập, hiểu biết về đạo đức học thuật, tính tự giác, ý thức về học tập suốt đời. Đoàn thanh niên, hội sinh viên của Khoa Điện – Điện tử cần tổ chức thêm nhiều buổi giao lưu, chia sẻ kinh nghiệm lập nghiệp của các cựu sinh viên với các em tân sinh viên mới vào, các em sinh viên đang theo học, tạo thêm động lực, tiếp thêm ngọn lửa đam mê học tập.</w:t>
      </w:r>
    </w:p>
    <w:p w14:paraId="5F70BA96"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Học tập là cả một quá trình, cần duy trì tính kỷ luật. Để giúp sinh viên kiểm soát và có trách nhiệm về việc học, ngay từ khi sinh viên nộp hồ sơ, phòng Tuyển sinh đào tạo cần xây dựng hệ thống thông tin sinh viên một cách chính xác. Các kênh thông tin liên lạc quan trọng với sinh viên. Đặc biệt là cha, mẹ và người giám hộ sinh viên để tăng cường công tác kết nối giữa nhà trường và phụ huynh. Sau một tuần, các thông tin phản hồi người học đi học có tham </w:t>
      </w:r>
      <w:r w:rsidRPr="00362F48">
        <w:rPr>
          <w:rFonts w:ascii="Times New Roman" w:hAnsi="Times New Roman" w:cs="Times New Roman"/>
          <w:bCs/>
          <w:spacing w:val="-4"/>
          <w:w w:val="98"/>
          <w:sz w:val="21"/>
          <w:szCs w:val="26"/>
          <w:lang w:val="vi-VN"/>
        </w:rPr>
        <w:lastRenderedPageBreak/>
        <w:t>gia đầy đủ các tiết giảng trực tiếp và trực tuyến hay không, có hoàn thành và mức độ hoàn thành các bài tập trước và sau khi học. Gia đình các em sinh viên sẽ yên tâm hơn khi biết được cụ thể tình hình học tập của các em. Bên cạnh đó, gia đình cũng nắm rõ thông tin học phí từ nhà trường, tránh được những hiểu lầm không đáng có. Từ đó, nhà trường và phụ huynh đồng hành cùng các em sinh viên, tránh tình trạng sinh viên xa nhà, học tập ở môi trường mới bị cảm giác lạc lõng, bỏ rơi, sa đà vào các mối quan hệ xấu. Với dữ liệu hồ sơ học tập của từng sinh viên, có thể theo dõi tình hình học tập của sinh viên và đưa ra những cảnh báo để sinh viên điều chỉnh kịp thời.</w:t>
      </w:r>
    </w:p>
    <w:p w14:paraId="02B2F2B3"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Nhu cầu tìm kiếm và tham khảo tài liệu học tập của sinh viên là rất lớn. Chuyển đổi số trong giáo dục tạo ra kho học liệu mở, nâng cao khả năng tự chủ động học tập của người học. Sinh viên có thể truy cập vào các tài nguyên học tập một cách dễ dàng. Tuy nhiên, các nguồn tài liệu học tập trên internet không được đảm bảo tính chính xác, không được kiểm soát chặt chẽ về mặt chất lượng cũng như nội dung. Các giảng viên khoa Điện – Điện tử đã từng bước xây dựng các bài giảng điện tử, bài giảng trực tuyến, giáo trình điện tử, tài liệu tham khảo điện tử…tạo nguồn học liệu cho sinh viên tham khảo và học tập. Trong đại dịch Covid – 19 vừa qua, các giảng viên vừa phải xây dựng nguồn học liệu số cho sinh viên, vừa phải thực hiện việc dạy học trực tuyến. Thông qua Google Classroom, hệ thống quản lý học tập miễn phí của Google, giảng viên đưa tài liệu cho sinh viên đọc trước, tham khảo trước khi học bài mới, khi gặp giáo viên chỉ trao đổi những vấn đề chưa hiểu rõ, tiết kiệm thời gian. Không những thế, Google Classroom còn giúp giảng viên giao bài tập và sinh viên nộp bài trực tiếp trên ứng dụng, nhắc nhở thời hạn nộp bài, giờ gặp giáo viên hay họp nhóm. Hơn nữa, việc chấm bài của giảng viên vô cùng hiệu quả, mọi hoạt động về bài tập, sửa chữa lỗi sai hay chấm điểm của giảng viên hoàn toàn được đồng bộ ngay trên ứng dụng.</w:t>
      </w:r>
    </w:p>
    <w:p w14:paraId="26156737"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Kiểm tra – đánh giá là khâu quan trọng thúc đẩy hoạt động dạy, hoạt động học và quản lý giáo dục – đào tạo. Để xây dựng ngân hàng câu hỏi trắc nghiệm các môn học, các giảng viên thuộc khoa Điện – Điện tử đã hoàn thiện giáo trình các môn học. Hình thức kiểm tra trắc nghiệm khách quan với những ưu điểm như: thích hợp với quy mô lớn, sinh viên không phải trình bày cách làm, số lượng câu hỏi lớn nên có thể bao quát được kiến thức toàn diện của sinh viên, việc chấm điểm trở nên rất đơn giản dựa trên mẫu đã có sẵn, có thể sử dụng máy để chấm cho kết quả rất nhanh, đảm bảo được tính công bằng, độ tin cậy cao. Song vẫn tồn tại những nhược điểm của hình thức này. Đó là không thể hiện được tối đa tính sáng tạo, lôgic của khoa học và khả năng biểu cảm trước các vấn đề chính trị, xã hội, con người của đất nước, nhiều khi sự lựa chọn còn mang tính may mắn. Do đó, khoa đã rất thận trọng khi xây dựng ngân hàng câu hỏi cũng như lựa chọn các môn học phù hợp để áp dụng hình thức kiểm tra trắc nghiệm.</w:t>
      </w:r>
    </w:p>
    <w:p w14:paraId="1E25669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Từ đổi mới hình thức kiểm tra – đánh giá trong giảng dạy dẫn đến phải thay đổi phương pháp giảng dạy nhằm phát huy tối đa tính tích cực, khả năng tự học, tự nghiên cứu của sinh viên. Giảng viên từ người truyền đạt tri thức trở thành người giúp sinh viên có kỹ năng giải quyết vấn đề, tư duy sáng tạo. Trong thời đại cuộc cách mạng công nghiệp 4.0 bùng nổ, công nghệ thay đổi liên tục thì kỹ năng nhận diện vấn đề sớm và giải quyết vấn đề một cách hợp lý những vấn đề nảy sinh trong thực tiễn cuộc sống, công việc là kỹ năng rất quan trọng. Phương pháp dạy học nêu và giải quyết vấn đề giúp sinh viên phát hiện, đặt ra và giải quyết các vấn đề gặp phải trong học tập, trong nghiên cứu. Tuy nhiên, để nhận diện và đặt ra vấn đề không phải là điều sinh viên có thể làm ngay được. Vì thế, giảng viên khi áp dụng phương pháp nêu và giải quyết vấn đề nên lưu ý bốn mức độ từ dễ đến khó. Mức độ một, giáo viên đặt vấn đề và nêu cách giải quyết vấn đề, sinh viên</w:t>
      </w:r>
      <w:r w:rsidRPr="00362F48">
        <w:rPr>
          <w:rFonts w:ascii="Times New Roman" w:eastAsia="Times New Roman" w:hAnsi="Times New Roman" w:cs="Times New Roman"/>
          <w:color w:val="272727"/>
          <w:sz w:val="21"/>
          <w:szCs w:val="21"/>
          <w:shd w:val="clear" w:color="auto" w:fill="FFFFFF"/>
          <w:lang w:val="vi-VN" w:eastAsia="vi-VN"/>
        </w:rPr>
        <w:t xml:space="preserve"> thực hiện cách giải quyết vấn đề theo hướng dẫn của giáo viên. Sau đó, giáo viên đánh giá kết quả làm việc của </w:t>
      </w:r>
      <w:r w:rsidRPr="00362F48">
        <w:rPr>
          <w:rFonts w:ascii="Times New Roman" w:hAnsi="Times New Roman" w:cs="Times New Roman"/>
          <w:bCs/>
          <w:spacing w:val="-4"/>
          <w:w w:val="98"/>
          <w:sz w:val="21"/>
          <w:szCs w:val="26"/>
          <w:lang w:val="vi-VN"/>
        </w:rPr>
        <w:t>sinh viên</w:t>
      </w:r>
      <w:r w:rsidRPr="00362F48">
        <w:rPr>
          <w:rFonts w:ascii="Times New Roman" w:eastAsia="Times New Roman" w:hAnsi="Times New Roman" w:cs="Times New Roman"/>
          <w:color w:val="272727"/>
          <w:sz w:val="21"/>
          <w:szCs w:val="21"/>
          <w:shd w:val="clear" w:color="auto" w:fill="FFFFFF"/>
          <w:lang w:val="vi-VN" w:eastAsia="vi-VN"/>
        </w:rPr>
        <w:t xml:space="preserve">. </w:t>
      </w:r>
      <w:r w:rsidRPr="00362F48">
        <w:rPr>
          <w:rFonts w:ascii="Times New Roman" w:hAnsi="Times New Roman" w:cs="Times New Roman"/>
          <w:bCs/>
          <w:spacing w:val="-4"/>
          <w:w w:val="98"/>
          <w:sz w:val="21"/>
          <w:szCs w:val="26"/>
          <w:lang w:val="vi-VN"/>
        </w:rPr>
        <w:t xml:space="preserve">Với mức độ hai, giáo viên nêu vấn đề, gợi ý để sinh viên tìm ra cách giải quyết vấn đề, sinh viên thực hiện cách giải quyết vấn đề với sự giúp đỡ của giáo viên khi cần. Sau đó, giáo viên và sinh viên cùng đánh giá. Ở mức độ ba, giáo viên cung cấp thông tin tạo tình huống có vấn đề, sinh viên phát hiện và xác định vấn đề nảy sinh, tự đề xuất các giả thuyết và lựa chọn giải pháp. Sinh viên thực hiện cách giải quyết vấn đề. Sau đó, giáo viên và học sinh cùng đánh giá. Cuối cùng, mức độ bốn, sinh viên tự lực phát hiện vấn đề nảy sinh trong phạm vi bài học, hoàn cảnh của mình hoặc cộng đồng, lựa chọn vấn đề giải quyết. Sinh viên giải quyết vấn đề, tự đánh giá chất lượng, hiệu quả, có ý kiến bổ sung của giáo viên khi kết thúc. Cấu trúc của một bài học được áp dụng phương pháp dạy học nêu và giải quyết vấn đề gồm </w:t>
      </w:r>
      <w:r w:rsidRPr="00610131">
        <w:rPr>
          <w:rFonts w:ascii="Times New Roman" w:hAnsi="Times New Roman" w:cs="Times New Roman"/>
          <w:bCs/>
          <w:spacing w:val="-4"/>
          <w:w w:val="98"/>
          <w:sz w:val="21"/>
          <w:szCs w:val="26"/>
          <w:highlight w:val="yellow"/>
          <w:lang w:val="vi-VN"/>
        </w:rPr>
        <w:t>có: đặt</w:t>
      </w:r>
      <w:r w:rsidRPr="00362F48">
        <w:rPr>
          <w:rFonts w:ascii="Times New Roman" w:hAnsi="Times New Roman" w:cs="Times New Roman"/>
          <w:bCs/>
          <w:spacing w:val="-4"/>
          <w:w w:val="98"/>
          <w:sz w:val="21"/>
          <w:szCs w:val="26"/>
          <w:lang w:val="vi-VN"/>
        </w:rPr>
        <w:t xml:space="preserve"> vấn đề, nêu giả thuyết, lập kế hoạch, giải quyết vấn đề, và kết luận, đánh giá. Để có cái nhìn tổng quát hơn về bốn mức độ của phương pháp dạy học nêu và giải quyết vấn đề, cũng như đánh giá được mức độ tham gia của sinh viên vào bài học, vai trò của giảng viên trong từng khâu. </w:t>
      </w:r>
    </w:p>
    <w:tbl>
      <w:tblPr>
        <w:tblStyle w:val="TableGrid7"/>
        <w:tblW w:w="9264" w:type="dxa"/>
        <w:tblLook w:val="04A0" w:firstRow="1" w:lastRow="0" w:firstColumn="1" w:lastColumn="0" w:noHBand="0" w:noVBand="1"/>
      </w:tblPr>
      <w:tblGrid>
        <w:gridCol w:w="1271"/>
        <w:gridCol w:w="1510"/>
        <w:gridCol w:w="1510"/>
        <w:gridCol w:w="1510"/>
        <w:gridCol w:w="1707"/>
        <w:gridCol w:w="1756"/>
      </w:tblGrid>
      <w:tr w:rsidR="00836D52" w:rsidRPr="00362F48" w14:paraId="012F7E0C" w14:textId="77777777" w:rsidTr="00EF4960">
        <w:tc>
          <w:tcPr>
            <w:tcW w:w="1271" w:type="dxa"/>
          </w:tcPr>
          <w:p w14:paraId="1BDCEBB9"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Các mức độ</w:t>
            </w:r>
          </w:p>
        </w:tc>
        <w:tc>
          <w:tcPr>
            <w:tcW w:w="1510" w:type="dxa"/>
          </w:tcPr>
          <w:p w14:paraId="054BD54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Đặt vấn đề</w:t>
            </w:r>
          </w:p>
        </w:tc>
        <w:tc>
          <w:tcPr>
            <w:tcW w:w="1510" w:type="dxa"/>
          </w:tcPr>
          <w:p w14:paraId="4941B9B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Nêu giả thuyết</w:t>
            </w:r>
          </w:p>
        </w:tc>
        <w:tc>
          <w:tcPr>
            <w:tcW w:w="1510" w:type="dxa"/>
          </w:tcPr>
          <w:p w14:paraId="797D9E4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Lập kế hoạch</w:t>
            </w:r>
          </w:p>
        </w:tc>
        <w:tc>
          <w:tcPr>
            <w:tcW w:w="1707" w:type="dxa"/>
          </w:tcPr>
          <w:p w14:paraId="632E07F8"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Giải quyết vấn đề</w:t>
            </w:r>
          </w:p>
        </w:tc>
        <w:tc>
          <w:tcPr>
            <w:tcW w:w="1756" w:type="dxa"/>
          </w:tcPr>
          <w:p w14:paraId="77F4B0CC"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Kết luận, đánh giá</w:t>
            </w:r>
          </w:p>
        </w:tc>
      </w:tr>
      <w:tr w:rsidR="00836D52" w:rsidRPr="00362F48" w14:paraId="16067BDC" w14:textId="77777777" w:rsidTr="00EF4960">
        <w:tc>
          <w:tcPr>
            <w:tcW w:w="1271" w:type="dxa"/>
          </w:tcPr>
          <w:p w14:paraId="16033042"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1</w:t>
            </w:r>
          </w:p>
        </w:tc>
        <w:tc>
          <w:tcPr>
            <w:tcW w:w="1510" w:type="dxa"/>
          </w:tcPr>
          <w:p w14:paraId="135F19AA"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42684AE3"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360DCA88"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707" w:type="dxa"/>
          </w:tcPr>
          <w:p w14:paraId="4A1FA05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3A562642"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r>
      <w:tr w:rsidR="00836D52" w:rsidRPr="00362F48" w14:paraId="1B1443EF" w14:textId="77777777" w:rsidTr="00EF4960">
        <w:tc>
          <w:tcPr>
            <w:tcW w:w="1271" w:type="dxa"/>
          </w:tcPr>
          <w:p w14:paraId="11CA5E26"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2</w:t>
            </w:r>
          </w:p>
        </w:tc>
        <w:tc>
          <w:tcPr>
            <w:tcW w:w="1510" w:type="dxa"/>
          </w:tcPr>
          <w:p w14:paraId="1B8A8643"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2C4D837F"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34BA59B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6C11366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6B619EC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 + SV</w:t>
            </w:r>
          </w:p>
        </w:tc>
      </w:tr>
      <w:tr w:rsidR="00836D52" w:rsidRPr="00362F48" w14:paraId="36198AA7" w14:textId="77777777" w:rsidTr="00EF4960">
        <w:tc>
          <w:tcPr>
            <w:tcW w:w="1271" w:type="dxa"/>
          </w:tcPr>
          <w:p w14:paraId="737ED800"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3</w:t>
            </w:r>
          </w:p>
        </w:tc>
        <w:tc>
          <w:tcPr>
            <w:tcW w:w="1510" w:type="dxa"/>
          </w:tcPr>
          <w:p w14:paraId="64317055"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c>
          <w:tcPr>
            <w:tcW w:w="1510" w:type="dxa"/>
          </w:tcPr>
          <w:p w14:paraId="57AF624A"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7E5AA2EC"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7629231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2334A7E4"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r>
      <w:tr w:rsidR="00836D52" w:rsidRPr="00362F48" w14:paraId="1781AB7F" w14:textId="77777777" w:rsidTr="00EF4960">
        <w:tc>
          <w:tcPr>
            <w:tcW w:w="1271" w:type="dxa"/>
          </w:tcPr>
          <w:p w14:paraId="0CE904AF"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4</w:t>
            </w:r>
          </w:p>
        </w:tc>
        <w:tc>
          <w:tcPr>
            <w:tcW w:w="1510" w:type="dxa"/>
          </w:tcPr>
          <w:p w14:paraId="6265632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66997DC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297AEE0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6C0A0E8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58DC53A4"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r>
    </w:tbl>
    <w:p w14:paraId="649CF6B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Trong dạy học theo phương pháp nêu và giải quyết vấn đề, sinh viên vừa lĩnh hội được tri thức mới, vừa có được phương pháp lĩnh hội tri thức đó, phát triển tư duy tích cực, sáng tạo, được chuẩn bị một năng lực thích ứng với đời sống xã hội, phát hiện kịp thời và giải quyết hợp lý các vấn đề nảy sinh.</w:t>
      </w:r>
    </w:p>
    <w:p w14:paraId="74B17A3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lastRenderedPageBreak/>
        <w:t xml:space="preserve">Nhờ vào sự phát triển của công nghệ, sinh viên có thể tiếp thu kiến thức một cách thuận tiện và dễ dàng trên mọi thiết bị như máy tính, laptop, smartphone… Điều này giúp sinh viên tiếp cận các thông tin kiến thức một cách đa chiều nhất, tối ưu thời gian học, nâng cao nhận thức, tư duy của sinh viên. Với những môn cần bảng tương tác như khí cụ điện, trang bị điện, điện công nghiệp… Sinh viên sẽ học bài một cách trực quan sinh động hơn. Tuy nhiên, để đầu tư một bảng tương tác chi phí khá tốn kém. Nhờ vào công nghệ phát triển và thay đổi liên tục, ứng dụng miễn phí Jamboard của Google, Jamboard có thể được sử dụng trực tiếp trên trình duyệt hoặc trên các thiết bị smartphone. Giảng viên có thể trình bày các sơ đồ nguyên lý mạch trên Jamboard, sinh viên trong lớp sử dụng smartphone có thể tương tác cùng với giảng viên trên Jamboard. Giảng viên có thể thêm các nội dung trong lúc trình bày trên Jamboard, bên phía Jamboard của sinh viên ngay lập tức hiển thị nội dung đó. Ngược lại, khi sinh viên trình bày các ý tưởng trên Jamboard, giảng viên cũng có thể theo dõi trên Jamboard của giáo viên. Từ đó, thu hút, lôi cuốn sinh viên vào bài học, sinh viên học bài sẽ cảm thấy thích thú và dễ hiểu hơn, sinh viên được trao quyền chủ động hơn trong học tập. Còn giáo viên sẽ lấy được thông tin phản hồi từ sinh viên một cách chính xác hơn. Không những vậy, toàn bộ nội dung trình bày được lưu trữ trên cloud của Google. Khi cần xem lại, sinh viên có thể truy cập vào một cách dễ dàng. Tuy nhiên, muốn các thiết bị đều đồng bộ hiển thị các nội dung thay đổi trong thời gian trình bày, trong thời gian thực thì cần đường truyền Internet tương đối. Hiện tại, giảng viên áp dụng kỹ thuật dạy học này vào trong thực tế nhưng gặp khó khăn về chất lượng đường truyền Internet. Thậm chí có nhiều thời điểm, giảng viên và sinh viên trình bày nhưng mất đến mười lăm giây mới đồng bộ trên các thiết bị khác làm giảm mức độ tập trung, hứng thú của sinh viên, và mất mạch cảm hứng giảng bài của giáo viên.  </w:t>
      </w:r>
    </w:p>
    <w:p w14:paraId="57AA3824" w14:textId="77777777" w:rsidR="00836D52" w:rsidRPr="00362F48" w:rsidRDefault="00836D52" w:rsidP="00836D52">
      <w:pPr>
        <w:spacing w:before="40" w:after="0" w:line="240" w:lineRule="auto"/>
        <w:jc w:val="both"/>
        <w:rPr>
          <w:rFonts w:ascii="Times New Roman" w:hAnsi="Times New Roman" w:cs="Times New Roman"/>
          <w:b/>
          <w:spacing w:val="-4"/>
          <w:w w:val="98"/>
          <w:sz w:val="21"/>
          <w:szCs w:val="26"/>
          <w:lang w:val="vi-VN"/>
        </w:rPr>
      </w:pPr>
      <w:r w:rsidRPr="00362F48">
        <w:rPr>
          <w:rFonts w:ascii="Times New Roman" w:hAnsi="Times New Roman" w:cs="Times New Roman"/>
          <w:b/>
          <w:spacing w:val="-4"/>
          <w:w w:val="98"/>
          <w:sz w:val="21"/>
          <w:szCs w:val="26"/>
          <w:lang w:val="vi-VN"/>
        </w:rPr>
        <w:t>3. Kết luận</w:t>
      </w:r>
    </w:p>
    <w:p w14:paraId="3838A4B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sinh viên thay đổi tư duy, cách thức và phương pháp học tập, để theo kịp với tốc độ phát triển kỹ thuật số hiện nay, đáp ứng các yêu cầu về năng lực và phẩm chất của người lao động, giảng viên phải là tấm gương cho sinh viên noi theo. Giảng viên phải biết không ngừng học tập, tự cập nhật kiến thức liên tục, đào sâu kiến thức, lĩnh vực mà phục vụ công việc giảng dạy, nâng cao trình độ chuyên môn. Bên cạnh đó, bản thân giảng viên phải tăng khả năng ứng dụng công nghệ thông tin để tự nghiên cứu, phát triển kỹ năng và tay nghề. Từ đó, có thể đề ra nhiều phương án giải quyết. Sự sáng tạo và cải tiến từ đó mà hình thành. Trong quá trình nghiên cứu, chắc chắn giảng viên cần trau dồi thêm khả năng ngoại ngữ để cập nhật được các kiến thức mới. “If you are not willing to learn, no one can help you. If you are determined to learn, no one can stop you.</w:t>
      </w:r>
      <w:r w:rsidRPr="00362F48">
        <w:rPr>
          <w:rFonts w:ascii="Times New Roman" w:hAnsi="Times New Roman" w:cs="Times New Roman"/>
          <w:bCs/>
          <w:spacing w:val="-4"/>
          <w:w w:val="98"/>
          <w:sz w:val="21"/>
          <w:szCs w:val="26"/>
        </w:rPr>
        <w:t xml:space="preserve">” (Zig Ziglar) </w:t>
      </w:r>
      <w:proofErr w:type="gramStart"/>
      <w:r w:rsidRPr="00362F48">
        <w:rPr>
          <w:rFonts w:ascii="Times New Roman" w:hAnsi="Times New Roman" w:cs="Times New Roman"/>
          <w:bCs/>
          <w:spacing w:val="-4"/>
          <w:w w:val="98"/>
          <w:sz w:val="21"/>
          <w:szCs w:val="26"/>
        </w:rPr>
        <w:t>Tạm dịch là “</w:t>
      </w:r>
      <w:r w:rsidRPr="00362F48">
        <w:rPr>
          <w:rFonts w:ascii="Times New Roman" w:hAnsi="Times New Roman" w:cs="Times New Roman"/>
          <w:bCs/>
          <w:spacing w:val="-4"/>
          <w:w w:val="98"/>
          <w:sz w:val="21"/>
          <w:szCs w:val="26"/>
          <w:lang w:val="vi-VN"/>
        </w:rPr>
        <w:t>Nếu bạn không muốn học, không ai có thể giúp bạn.</w:t>
      </w:r>
      <w:proofErr w:type="gramEnd"/>
      <w:r w:rsidRPr="00362F48">
        <w:rPr>
          <w:rFonts w:ascii="Times New Roman" w:hAnsi="Times New Roman" w:cs="Times New Roman"/>
          <w:bCs/>
          <w:spacing w:val="-4"/>
          <w:w w:val="98"/>
          <w:sz w:val="21"/>
          <w:szCs w:val="26"/>
          <w:lang w:val="vi-VN"/>
        </w:rPr>
        <w:t xml:space="preserve"> Nếu bạn quyết tâm học, không ai có thể ngăn cản bạn dừng lại.” Như vậy, cả giáo viên và sinh viên phải có động cơ học tập, phải có niềm đam mê với nghề. Công nghệ phát triển thay đổi liên tục, thầy và trò đều phải học cách học để có thể học suốt đời, phải kiên trì xây dựng phương pháp học tập chủ động. </w:t>
      </w:r>
    </w:p>
    <w:p w14:paraId="70136F3F" w14:textId="77777777" w:rsidR="00836D52" w:rsidRDefault="00836D52" w:rsidP="00836D52">
      <w:pPr>
        <w:spacing w:before="40" w:after="0" w:line="240" w:lineRule="auto"/>
        <w:jc w:val="both"/>
        <w:rPr>
          <w:rFonts w:ascii="Times New Roman" w:hAnsi="Times New Roman" w:cs="Times New Roman"/>
          <w:b/>
          <w:spacing w:val="-4"/>
          <w:w w:val="98"/>
          <w:sz w:val="21"/>
          <w:szCs w:val="26"/>
          <w:lang w:val="vi-VN"/>
        </w:rPr>
      </w:pPr>
      <w:bookmarkStart w:id="0" w:name="_Hlk106095718"/>
    </w:p>
    <w:p w14:paraId="349FA645" w14:textId="235E65D1" w:rsidR="00836D52" w:rsidRDefault="00836D52" w:rsidP="00836D52">
      <w:pPr>
        <w:spacing w:before="40" w:after="0" w:line="240" w:lineRule="auto"/>
        <w:jc w:val="both"/>
        <w:rPr>
          <w:rFonts w:ascii="Times New Roman" w:hAnsi="Times New Roman" w:cs="Times New Roman"/>
          <w:b/>
          <w:spacing w:val="-4"/>
          <w:w w:val="98"/>
          <w:sz w:val="21"/>
          <w:szCs w:val="26"/>
          <w:lang w:val="vi-VN"/>
        </w:rPr>
      </w:pPr>
    </w:p>
    <w:p w14:paraId="6BBA6B92" w14:textId="77777777" w:rsidR="00836D52" w:rsidRDefault="00836D52" w:rsidP="00836D52">
      <w:pPr>
        <w:spacing w:before="40" w:after="0" w:line="240" w:lineRule="auto"/>
        <w:jc w:val="both"/>
        <w:rPr>
          <w:rFonts w:ascii="Times New Roman" w:hAnsi="Times New Roman" w:cs="Times New Roman"/>
          <w:b/>
          <w:spacing w:val="-4"/>
          <w:w w:val="98"/>
          <w:sz w:val="21"/>
          <w:szCs w:val="26"/>
          <w:lang w:val="vi-VN"/>
        </w:rPr>
      </w:pPr>
      <w:r w:rsidRPr="00362F48">
        <w:rPr>
          <w:rFonts w:ascii="Times New Roman" w:hAnsi="Times New Roman" w:cs="Times New Roman"/>
          <w:b/>
          <w:spacing w:val="-4"/>
          <w:w w:val="98"/>
          <w:sz w:val="21"/>
          <w:szCs w:val="26"/>
          <w:lang w:val="vi-VN"/>
        </w:rPr>
        <w:t>Tài liệu tham khảo</w:t>
      </w:r>
    </w:p>
    <w:p w14:paraId="69BDBD51" w14:textId="77777777" w:rsidR="00836D52" w:rsidRDefault="00836D52" w:rsidP="003D2D83">
      <w:pPr>
        <w:numPr>
          <w:ilvl w:val="0"/>
          <w:numId w:val="1"/>
        </w:numPr>
        <w:shd w:val="clear" w:color="auto" w:fill="FFFFFF"/>
        <w:spacing w:after="0" w:line="276" w:lineRule="auto"/>
        <w:ind w:left="567" w:hanging="567"/>
        <w:jc w:val="both"/>
        <w:rPr>
          <w:rFonts w:ascii="Times New Roman" w:hAnsi="Times New Roman" w:cs="Times New Roman"/>
          <w:color w:val="333333"/>
          <w:sz w:val="21"/>
          <w:szCs w:val="21"/>
        </w:rPr>
      </w:pPr>
      <w:r w:rsidRPr="00944BF5">
        <w:rPr>
          <w:rFonts w:ascii="Times New Roman" w:hAnsi="Times New Roman" w:cs="Times New Roman"/>
          <w:bCs/>
          <w:spacing w:val="-4"/>
          <w:w w:val="98"/>
          <w:sz w:val="21"/>
          <w:szCs w:val="26"/>
        </w:rPr>
        <w:t>Secker, J</w:t>
      </w:r>
      <w:proofErr w:type="gramStart"/>
      <w:r w:rsidRPr="00944BF5">
        <w:rPr>
          <w:rFonts w:ascii="Times New Roman" w:hAnsi="Times New Roman" w:cs="Times New Roman"/>
          <w:bCs/>
          <w:spacing w:val="-4"/>
          <w:w w:val="98"/>
          <w:sz w:val="21"/>
          <w:szCs w:val="26"/>
        </w:rPr>
        <w:t>.(</w:t>
      </w:r>
      <w:proofErr w:type="gramEnd"/>
      <w:r w:rsidRPr="00944BF5">
        <w:rPr>
          <w:rFonts w:ascii="Times New Roman" w:hAnsi="Times New Roman" w:cs="Times New Roman"/>
          <w:bCs/>
          <w:spacing w:val="-4"/>
          <w:w w:val="98"/>
          <w:sz w:val="21"/>
          <w:szCs w:val="26"/>
        </w:rPr>
        <w:t xml:space="preserve">2018). The trouble with terminology: rehabilitating and rethinking “digital literacy” In Digital Literacy Unpacked, pp. 3-16, DOI: </w:t>
      </w:r>
      <w:hyperlink r:id="rId8" w:history="1">
        <w:r w:rsidRPr="00944BF5">
          <w:rPr>
            <w:rFonts w:ascii="Times New Roman" w:hAnsi="Times New Roman" w:cs="Times New Roman"/>
            <w:bCs/>
            <w:spacing w:val="-4"/>
            <w:w w:val="98"/>
            <w:sz w:val="21"/>
            <w:szCs w:val="26"/>
          </w:rPr>
          <w:t>https://doi.org/10.29085/9781783301997</w:t>
        </w:r>
      </w:hyperlink>
    </w:p>
    <w:p w14:paraId="2F14C13E"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PGS., TS. Nguyễn Cúc (2017), Tác động của cuộc CMCN 4.0 đối với cơ sở giáo dục đại học ở Việt Nam và gợi ý chính sách cho Việt Nam - Học viện Chính trị khu vực I;</w:t>
      </w:r>
    </w:p>
    <w:p w14:paraId="4A4621D1"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ThS. Chung Thị Vân Anh (2017), CMCN 4.0 với giáo dục đại học nói chung và Đại học Bà Rịa Vũng Tàu nói riêng;</w:t>
      </w:r>
    </w:p>
    <w:p w14:paraId="7F8C34E6"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GS. Phan Văn Trường, Cố vấn của Chính phủ Pháp về thương mại quốc tế, ngành Giáo dục đón đầu cuộc Cách mạng 4.0 ra sao? Báo điện tử baoquocte.vn, ngày 14/4/2017;</w:t>
      </w:r>
    </w:p>
    <w:p w14:paraId="40D663ED"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TS. Nguyễn Chí Trường (2018), Cuộc CMCN 4.0: Cơ hội, thách thức và giải pháp hai tốc độ cho giáo dục nghề nghiệp; Tổng cục Giáo dục nghề nghiệp (Bộ Lao động Thương binh và Xã hội).</w:t>
      </w:r>
    </w:p>
    <w:p w14:paraId="7BC4450C"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 xml:space="preserve"> Phùng Xuân Nhạ, 2018. Giáo dục Việt Nam trong bối cảnh cuộc cách mạng công nghiệp lần thứ tư. Tập tin Văn bản của đại học Vinh, ngày 15/08/2018.</w:t>
      </w:r>
    </w:p>
    <w:p w14:paraId="3399E847"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Hồ Tú Bảo, 2017. Hiểu về Cách mạng công nghiệp lần thứ 4. Báo điện tử vnexpress.net, ngày 24/4/2017;</w:t>
      </w:r>
    </w:p>
    <w:p w14:paraId="3270BCA4"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Nguyễn Đắc Hưng (2017), Cuộc cách mạng công nghiệp lần thứ tư và vấn đề đặt ra với giáo dục Việt Nam, NXB Quân đội nhân dân, trang 296-328.</w:t>
      </w:r>
    </w:p>
    <w:p w14:paraId="2A01B90B"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Minh Châu, 2017. Bản tin ĐHQG - HCM Giáo dục đại học trong cuộc cách mạng công nghiệp 4.0. Trung tâm đảm bảo chất lượng. Trường Đại học quốc gia TP. HCM</w:t>
      </w:r>
    </w:p>
    <w:p w14:paraId="1F24B031"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Anealka Aziz Hussin, " Education 4.0 Made Simple: Ideas For Teaching", International Journal of Education &amp; Literacy Studies, volume 6, issue 3, 2020.</w:t>
      </w:r>
    </w:p>
    <w:p w14:paraId="5D880F6E" w14:textId="77777777" w:rsidR="00836D52" w:rsidRPr="00944BF5" w:rsidRDefault="00745F83"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hyperlink r:id="rId9" w:history="1">
        <w:r w:rsidR="00836D52" w:rsidRPr="00944BF5">
          <w:rPr>
            <w:rFonts w:ascii="Times New Roman" w:hAnsi="Times New Roman" w:cs="Times New Roman"/>
            <w:bCs/>
            <w:spacing w:val="-4"/>
            <w:w w:val="98"/>
            <w:sz w:val="21"/>
            <w:szCs w:val="26"/>
            <w:lang w:val="vi-VN"/>
          </w:rPr>
          <w:t>https://forbes.vn/tiki-trien-khai-ung-dung-robot-tai-trung-tam-van-hanh</w:t>
        </w:r>
      </w:hyperlink>
      <w:bookmarkEnd w:id="0"/>
    </w:p>
    <w:p w14:paraId="3A708437" w14:textId="77777777" w:rsidR="00ED6C2D" w:rsidRPr="00836D52" w:rsidRDefault="00ED6C2D">
      <w:pPr>
        <w:rPr>
          <w:lang w:val="vi-VN"/>
        </w:rPr>
      </w:pPr>
      <w:bookmarkStart w:id="1" w:name="_GoBack"/>
      <w:bookmarkEnd w:id="1"/>
    </w:p>
    <w:sectPr w:rsidR="00ED6C2D" w:rsidRPr="00836D52" w:rsidSect="00F078D2">
      <w:headerReference w:type="default" r:id="rId10"/>
      <w:footerReference w:type="default" r:id="rId11"/>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DA907" w14:textId="77777777" w:rsidR="00745F83" w:rsidRDefault="00745F83" w:rsidP="00836D52">
      <w:pPr>
        <w:spacing w:after="0" w:line="240" w:lineRule="auto"/>
      </w:pPr>
      <w:r>
        <w:separator/>
      </w:r>
    </w:p>
  </w:endnote>
  <w:endnote w:type="continuationSeparator" w:id="0">
    <w:p w14:paraId="15CC2F43" w14:textId="77777777" w:rsidR="00745F83" w:rsidRDefault="00745F83" w:rsidP="0083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16EB1B9A" w14:textId="77777777" w:rsidR="00836D52" w:rsidRDefault="00836D52" w:rsidP="00836D5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10131">
          <w:rPr>
            <w:rFonts w:ascii="Times New Roman" w:hAnsi="Times New Roman" w:cs="Times New Roman"/>
            <w:noProof/>
          </w:rPr>
          <w:t>1</w:t>
        </w:r>
        <w:r w:rsidRPr="00DB79C2">
          <w:rPr>
            <w:rFonts w:ascii="Times New Roman" w:hAnsi="Times New Roman" w:cs="Times New Roman"/>
            <w:noProof/>
          </w:rPr>
          <w:fldChar w:fldCharType="end"/>
        </w:r>
      </w:p>
    </w:sdtContent>
  </w:sdt>
  <w:p w14:paraId="6E4F7B2F" w14:textId="77777777" w:rsidR="00836D52" w:rsidRDefault="00836D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0C43BE" w14:textId="77777777" w:rsidR="00745F83" w:rsidRDefault="00745F83" w:rsidP="00836D52">
      <w:pPr>
        <w:spacing w:after="0" w:line="240" w:lineRule="auto"/>
      </w:pPr>
      <w:r>
        <w:separator/>
      </w:r>
    </w:p>
  </w:footnote>
  <w:footnote w:type="continuationSeparator" w:id="0">
    <w:p w14:paraId="7FFD7532" w14:textId="77777777" w:rsidR="00745F83" w:rsidRDefault="00745F83" w:rsidP="00836D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836D52" w:rsidRPr="00B93300" w14:paraId="1E6073E5"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14649E3" w14:textId="77777777" w:rsidR="00836D52" w:rsidRPr="00B93300" w:rsidRDefault="00836D52" w:rsidP="00836D5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08D78D0" w14:textId="77777777" w:rsidR="00836D52" w:rsidRPr="00B93300" w:rsidRDefault="00836D52" w:rsidP="00836D5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6F5C584" w14:textId="77777777" w:rsidR="00836D52" w:rsidRDefault="00836D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07AB9"/>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D52"/>
    <w:rsid w:val="00330413"/>
    <w:rsid w:val="003D2D83"/>
    <w:rsid w:val="00610131"/>
    <w:rsid w:val="00745F83"/>
    <w:rsid w:val="0075629C"/>
    <w:rsid w:val="00836D52"/>
    <w:rsid w:val="00BE7FC8"/>
    <w:rsid w:val="00C15A92"/>
    <w:rsid w:val="00DB2CFB"/>
    <w:rsid w:val="00E22636"/>
    <w:rsid w:val="00ED6C2D"/>
    <w:rsid w:val="00F078D2"/>
    <w:rsid w:val="00F66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D52"/>
  </w:style>
  <w:style w:type="paragraph" w:styleId="Heading4">
    <w:name w:val="heading 4"/>
    <w:basedOn w:val="Normal"/>
    <w:link w:val="Heading4Char"/>
    <w:uiPriority w:val="9"/>
    <w:qFormat/>
    <w:rsid w:val="00BE7FC8"/>
    <w:pPr>
      <w:spacing w:before="100" w:beforeAutospacing="1" w:after="100" w:afterAutospacing="1" w:line="240" w:lineRule="auto"/>
      <w:outlineLvl w:val="3"/>
    </w:pPr>
    <w:rPr>
      <w:rFonts w:ascii="Times New Roman" w:eastAsia="Times New Roman" w:hAnsi="Times New Roman" w:cs="Times New Roman"/>
      <w:b/>
      <w:bCs/>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D52"/>
    <w:rPr>
      <w:color w:val="0563C1" w:themeColor="hyperlink"/>
      <w:u w:val="single"/>
    </w:rPr>
  </w:style>
  <w:style w:type="table" w:customStyle="1" w:styleId="TableGrid7">
    <w:name w:val="Table Grid7"/>
    <w:basedOn w:val="TableNormal"/>
    <w:next w:val="TableGrid"/>
    <w:uiPriority w:val="39"/>
    <w:rsid w:val="00836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36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6D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D52"/>
  </w:style>
  <w:style w:type="paragraph" w:styleId="Footer">
    <w:name w:val="footer"/>
    <w:basedOn w:val="Normal"/>
    <w:link w:val="FooterChar"/>
    <w:uiPriority w:val="99"/>
    <w:unhideWhenUsed/>
    <w:rsid w:val="00836D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D52"/>
  </w:style>
  <w:style w:type="character" w:customStyle="1" w:styleId="Heading4Char">
    <w:name w:val="Heading 4 Char"/>
    <w:basedOn w:val="DefaultParagraphFont"/>
    <w:link w:val="Heading4"/>
    <w:uiPriority w:val="9"/>
    <w:rsid w:val="00BE7FC8"/>
    <w:rPr>
      <w:rFonts w:ascii="Times New Roman" w:eastAsia="Times New Roman" w:hAnsi="Times New Roman" w:cs="Times New Roman"/>
      <w:b/>
      <w:bCs/>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D52"/>
  </w:style>
  <w:style w:type="paragraph" w:styleId="Heading4">
    <w:name w:val="heading 4"/>
    <w:basedOn w:val="Normal"/>
    <w:link w:val="Heading4Char"/>
    <w:uiPriority w:val="9"/>
    <w:qFormat/>
    <w:rsid w:val="00BE7FC8"/>
    <w:pPr>
      <w:spacing w:before="100" w:beforeAutospacing="1" w:after="100" w:afterAutospacing="1" w:line="240" w:lineRule="auto"/>
      <w:outlineLvl w:val="3"/>
    </w:pPr>
    <w:rPr>
      <w:rFonts w:ascii="Times New Roman" w:eastAsia="Times New Roman" w:hAnsi="Times New Roman" w:cs="Times New Roman"/>
      <w:b/>
      <w:bCs/>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D52"/>
    <w:rPr>
      <w:color w:val="0563C1" w:themeColor="hyperlink"/>
      <w:u w:val="single"/>
    </w:rPr>
  </w:style>
  <w:style w:type="table" w:customStyle="1" w:styleId="TableGrid7">
    <w:name w:val="Table Grid7"/>
    <w:basedOn w:val="TableNormal"/>
    <w:next w:val="TableGrid"/>
    <w:uiPriority w:val="39"/>
    <w:rsid w:val="00836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36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6D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D52"/>
  </w:style>
  <w:style w:type="paragraph" w:styleId="Footer">
    <w:name w:val="footer"/>
    <w:basedOn w:val="Normal"/>
    <w:link w:val="FooterChar"/>
    <w:uiPriority w:val="99"/>
    <w:unhideWhenUsed/>
    <w:rsid w:val="00836D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D52"/>
  </w:style>
  <w:style w:type="character" w:customStyle="1" w:styleId="Heading4Char">
    <w:name w:val="Heading 4 Char"/>
    <w:basedOn w:val="DefaultParagraphFont"/>
    <w:link w:val="Heading4"/>
    <w:uiPriority w:val="9"/>
    <w:rsid w:val="00BE7FC8"/>
    <w:rPr>
      <w:rFonts w:ascii="Times New Roman" w:eastAsia="Times New Roman" w:hAnsi="Times New Roman" w:cs="Times New Roman"/>
      <w:b/>
      <w:bCs/>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4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9085/9781783301997"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orbes.vn/tiki-trien-khai-ung-dung-robot-tai-trung-tam-van-ha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FNU LNU</dc:creator>
  <cp:lastModifiedBy>Liem</cp:lastModifiedBy>
  <cp:revision>3</cp:revision>
  <dcterms:created xsi:type="dcterms:W3CDTF">2022-08-12T00:45:00Z</dcterms:created>
  <dcterms:modified xsi:type="dcterms:W3CDTF">2022-08-15T06:57:00Z</dcterms:modified>
</cp:coreProperties>
</file>