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55D0A" w14:textId="77777777" w:rsidR="00696EF8" w:rsidRPr="005C3870" w:rsidRDefault="00696EF8" w:rsidP="00696EF8">
      <w:pPr>
        <w:spacing w:after="0" w:line="240" w:lineRule="auto"/>
        <w:ind w:firstLine="284"/>
        <w:jc w:val="center"/>
        <w:rPr>
          <w:rFonts w:ascii="Times New Roman" w:eastAsia="Calibri" w:hAnsi="Times New Roman" w:cs="Times New Roman"/>
          <w:b/>
          <w:color w:val="000000"/>
          <w:sz w:val="26"/>
          <w:szCs w:val="26"/>
        </w:rPr>
      </w:pPr>
      <w:bookmarkStart w:id="0" w:name="_GoBack"/>
      <w:r w:rsidRPr="005C3870">
        <w:rPr>
          <w:rFonts w:ascii="Times New Roman" w:eastAsia="Calibri" w:hAnsi="Times New Roman" w:cs="Times New Roman"/>
          <w:b/>
          <w:color w:val="000000"/>
          <w:sz w:val="26"/>
          <w:szCs w:val="26"/>
        </w:rPr>
        <w:t>GIẢI PHÁP CHUYỂN ĐỔI SỐ TẠI</w:t>
      </w:r>
    </w:p>
    <w:p w14:paraId="10DF09E6" w14:textId="49C41A07" w:rsidR="00696EF8" w:rsidRDefault="00696EF8" w:rsidP="00696EF8">
      <w:pPr>
        <w:spacing w:after="0" w:line="240" w:lineRule="auto"/>
        <w:ind w:firstLine="284"/>
        <w:jc w:val="center"/>
        <w:rPr>
          <w:rFonts w:ascii="Times New Roman" w:eastAsia="Calibri" w:hAnsi="Times New Roman" w:cs="Times New Roman"/>
          <w:b/>
          <w:color w:val="000000"/>
          <w:sz w:val="26"/>
          <w:szCs w:val="26"/>
        </w:rPr>
      </w:pPr>
      <w:r w:rsidRPr="005C3870">
        <w:rPr>
          <w:rFonts w:ascii="Times New Roman" w:eastAsia="Calibri" w:hAnsi="Times New Roman" w:cs="Times New Roman"/>
          <w:b/>
          <w:color w:val="000000"/>
          <w:sz w:val="26"/>
          <w:szCs w:val="26"/>
        </w:rPr>
        <w:t>TRƯỜNG CAO ĐẲNG LÝ TỰ TRỌNG THÀNH PHỐ HỒ CHÍ MINH</w:t>
      </w:r>
    </w:p>
    <w:p w14:paraId="03275C0F" w14:textId="7B923C00" w:rsidR="00F332C1" w:rsidRPr="005C3870" w:rsidRDefault="00D90D43" w:rsidP="00F332C1">
      <w:pPr>
        <w:spacing w:after="0" w:line="240" w:lineRule="auto"/>
        <w:ind w:firstLine="284"/>
        <w:jc w:val="center"/>
        <w:rPr>
          <w:rFonts w:ascii="Times New Roman" w:eastAsia="Calibri" w:hAnsi="Times New Roman" w:cs="Times New Roman"/>
          <w:b/>
          <w:color w:val="000000"/>
          <w:sz w:val="26"/>
          <w:szCs w:val="26"/>
        </w:rPr>
      </w:pPr>
      <w:r>
        <w:rPr>
          <w:rFonts w:ascii="Times New Roman" w:eastAsia="Calibri" w:hAnsi="Times New Roman" w:cs="Times New Roman"/>
          <w:b/>
          <w:color w:val="000000"/>
          <w:sz w:val="26"/>
          <w:szCs w:val="26"/>
        </w:rPr>
        <w:t>DIGITAL TRANSFORMATION</w:t>
      </w:r>
      <w:r w:rsidR="00F332C1" w:rsidRPr="00F332C1">
        <w:rPr>
          <w:rFonts w:ascii="Times New Roman" w:eastAsia="Calibri" w:hAnsi="Times New Roman" w:cs="Times New Roman"/>
          <w:b/>
          <w:color w:val="000000"/>
          <w:sz w:val="26"/>
          <w:szCs w:val="26"/>
        </w:rPr>
        <w:t xml:space="preserve"> SOLUTION AT</w:t>
      </w:r>
      <w:r>
        <w:rPr>
          <w:rFonts w:ascii="Times New Roman" w:eastAsia="Calibri" w:hAnsi="Times New Roman" w:cs="Times New Roman"/>
          <w:b/>
          <w:color w:val="000000"/>
          <w:sz w:val="26"/>
          <w:szCs w:val="26"/>
        </w:rPr>
        <w:t xml:space="preserve"> </w:t>
      </w:r>
      <w:r w:rsidR="00B00D52" w:rsidRPr="00F332C1">
        <w:rPr>
          <w:rFonts w:ascii="Times New Roman" w:eastAsia="Calibri" w:hAnsi="Times New Roman" w:cs="Times New Roman"/>
          <w:b/>
          <w:color w:val="000000"/>
          <w:sz w:val="26"/>
          <w:szCs w:val="26"/>
        </w:rPr>
        <w:t>HO CHI MINH CITY</w:t>
      </w:r>
      <w:r w:rsidR="00B00D52" w:rsidRPr="00F332C1">
        <w:rPr>
          <w:rFonts w:ascii="Times New Roman" w:eastAsia="Calibri" w:hAnsi="Times New Roman" w:cs="Times New Roman"/>
          <w:b/>
          <w:color w:val="000000"/>
          <w:sz w:val="26"/>
          <w:szCs w:val="26"/>
        </w:rPr>
        <w:t xml:space="preserve"> </w:t>
      </w:r>
      <w:r w:rsidR="00F332C1" w:rsidRPr="00F332C1">
        <w:rPr>
          <w:rFonts w:ascii="Times New Roman" w:eastAsia="Calibri" w:hAnsi="Times New Roman" w:cs="Times New Roman"/>
          <w:b/>
          <w:color w:val="000000"/>
          <w:sz w:val="26"/>
          <w:szCs w:val="26"/>
        </w:rPr>
        <w:t xml:space="preserve">LY TU </w:t>
      </w:r>
      <w:r w:rsidR="00B00D52" w:rsidRPr="00F332C1">
        <w:rPr>
          <w:rFonts w:ascii="Times New Roman" w:eastAsia="Calibri" w:hAnsi="Times New Roman" w:cs="Times New Roman"/>
          <w:b/>
          <w:color w:val="000000"/>
          <w:sz w:val="26"/>
          <w:szCs w:val="26"/>
        </w:rPr>
        <w:t>TRONG</w:t>
      </w:r>
      <w:r w:rsidR="00B00D52" w:rsidRPr="00F332C1">
        <w:rPr>
          <w:rFonts w:ascii="Times New Roman" w:eastAsia="Calibri" w:hAnsi="Times New Roman" w:cs="Times New Roman"/>
          <w:b/>
          <w:color w:val="000000"/>
          <w:sz w:val="26"/>
          <w:szCs w:val="26"/>
        </w:rPr>
        <w:t xml:space="preserve"> </w:t>
      </w:r>
      <w:r w:rsidR="00F332C1" w:rsidRPr="00F332C1">
        <w:rPr>
          <w:rFonts w:ascii="Times New Roman" w:eastAsia="Calibri" w:hAnsi="Times New Roman" w:cs="Times New Roman"/>
          <w:b/>
          <w:color w:val="000000"/>
          <w:sz w:val="26"/>
          <w:szCs w:val="26"/>
        </w:rPr>
        <w:t xml:space="preserve">COLLEGE </w:t>
      </w:r>
    </w:p>
    <w:p w14:paraId="578B780C"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p>
    <w:tbl>
      <w:tblPr>
        <w:tblStyle w:val="TableGrid6"/>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96EF8" w:rsidRPr="00836287" w14:paraId="3B801CD6" w14:textId="77777777" w:rsidTr="00EF4960">
        <w:trPr>
          <w:trHeight w:val="666"/>
        </w:trPr>
        <w:tc>
          <w:tcPr>
            <w:tcW w:w="2552" w:type="dxa"/>
            <w:vAlign w:val="center"/>
          </w:tcPr>
          <w:p w14:paraId="1C8946BE" w14:textId="77777777" w:rsidR="00696EF8" w:rsidRDefault="00696EF8" w:rsidP="00AB0CC6">
            <w:pPr>
              <w:jc w:val="both"/>
              <w:rPr>
                <w:rFonts w:eastAsia="Calibri"/>
                <w:b/>
                <w:color w:val="000000"/>
                <w:sz w:val="21"/>
                <w:szCs w:val="21"/>
              </w:rPr>
            </w:pPr>
            <w:r w:rsidRPr="00B7725F">
              <w:rPr>
                <w:rFonts w:eastAsia="Calibri"/>
                <w:b/>
                <w:color w:val="000000"/>
                <w:sz w:val="21"/>
                <w:szCs w:val="21"/>
              </w:rPr>
              <w:t>Đặng Đức Minh</w:t>
            </w:r>
          </w:p>
          <w:p w14:paraId="596BAD74" w14:textId="77777777" w:rsidR="00696EF8" w:rsidRPr="007E2A7D" w:rsidRDefault="00696EF8" w:rsidP="00AB0CC6">
            <w:pPr>
              <w:jc w:val="both"/>
              <w:rPr>
                <w:b/>
                <w:spacing w:val="-4"/>
                <w:w w:val="98"/>
                <w:sz w:val="21"/>
                <w:szCs w:val="26"/>
              </w:rPr>
            </w:pPr>
            <w:r>
              <w:rPr>
                <w:b/>
                <w:spacing w:val="-4"/>
                <w:w w:val="98"/>
                <w:sz w:val="21"/>
                <w:szCs w:val="26"/>
              </w:rPr>
              <w:t>Nguyễn Thị Tố Nga</w:t>
            </w:r>
          </w:p>
        </w:tc>
        <w:tc>
          <w:tcPr>
            <w:tcW w:w="281" w:type="dxa"/>
            <w:vMerge w:val="restart"/>
            <w:vAlign w:val="center"/>
          </w:tcPr>
          <w:p w14:paraId="12EA3175" w14:textId="77777777" w:rsidR="00696EF8" w:rsidRPr="00B7725F" w:rsidRDefault="00696EF8" w:rsidP="00EF4960">
            <w:pPr>
              <w:ind w:firstLine="284"/>
              <w:jc w:val="both"/>
              <w:rPr>
                <w:spacing w:val="-4"/>
                <w:w w:val="98"/>
                <w:sz w:val="21"/>
                <w:szCs w:val="26"/>
              </w:rPr>
            </w:pPr>
          </w:p>
        </w:tc>
        <w:tc>
          <w:tcPr>
            <w:tcW w:w="6239" w:type="dxa"/>
            <w:vAlign w:val="center"/>
          </w:tcPr>
          <w:p w14:paraId="3D7801B6" w14:textId="77777777" w:rsidR="00696EF8" w:rsidRPr="00B7725F" w:rsidRDefault="00696EF8" w:rsidP="00EF4960">
            <w:pPr>
              <w:ind w:firstLine="284"/>
              <w:jc w:val="both"/>
              <w:rPr>
                <w:spacing w:val="-4"/>
                <w:w w:val="98"/>
                <w:sz w:val="21"/>
                <w:szCs w:val="26"/>
              </w:rPr>
            </w:pPr>
            <w:r w:rsidRPr="00B7725F">
              <w:rPr>
                <w:spacing w:val="-4"/>
                <w:w w:val="98"/>
                <w:sz w:val="21"/>
                <w:szCs w:val="26"/>
              </w:rPr>
              <w:t xml:space="preserve">Trường Cao đẳng Lý Tự Trọng TP. HCM </w:t>
            </w:r>
          </w:p>
          <w:p w14:paraId="094BC98F" w14:textId="428627E7" w:rsidR="00696EF8" w:rsidRPr="00B7725F" w:rsidRDefault="00696EF8" w:rsidP="00AB0CC6">
            <w:pPr>
              <w:ind w:firstLine="284"/>
              <w:jc w:val="both"/>
              <w:rPr>
                <w:i/>
                <w:spacing w:val="-4"/>
                <w:w w:val="98"/>
                <w:sz w:val="21"/>
                <w:szCs w:val="26"/>
              </w:rPr>
            </w:pPr>
            <w:r w:rsidRPr="00B7725F">
              <w:rPr>
                <w:i/>
                <w:spacing w:val="-4"/>
                <w:w w:val="98"/>
                <w:sz w:val="21"/>
                <w:szCs w:val="26"/>
              </w:rPr>
              <w:t>Email:</w:t>
            </w:r>
            <w:r w:rsidRPr="00B7725F">
              <w:rPr>
                <w:rFonts w:eastAsia="Calibri"/>
                <w:i/>
                <w:color w:val="0070C0"/>
                <w:sz w:val="21"/>
                <w:szCs w:val="21"/>
              </w:rPr>
              <w:t xml:space="preserve"> </w:t>
            </w:r>
            <w:hyperlink r:id="rId7" w:history="1">
              <w:r w:rsidR="00AB0CC6" w:rsidRPr="001D3C21">
                <w:rPr>
                  <w:rStyle w:val="Hyperlink"/>
                  <w:rFonts w:eastAsia="Calibri"/>
                  <w:i/>
                  <w:sz w:val="21"/>
                  <w:szCs w:val="21"/>
                </w:rPr>
                <w:t>dangducminh@lttc.edu.vn</w:t>
              </w:r>
            </w:hyperlink>
            <w:r w:rsidR="00AB0CC6">
              <w:rPr>
                <w:rFonts w:eastAsia="Calibri"/>
                <w:i/>
                <w:sz w:val="21"/>
                <w:szCs w:val="21"/>
              </w:rPr>
              <w:t xml:space="preserve">; </w:t>
            </w:r>
            <w:r w:rsidR="00CC50C1">
              <w:rPr>
                <w:rFonts w:eastAsia="Calibri"/>
                <w:i/>
                <w:sz w:val="21"/>
                <w:szCs w:val="21"/>
              </w:rPr>
              <w:t xml:space="preserve">, </w:t>
            </w:r>
            <w:r>
              <w:rPr>
                <w:rFonts w:eastAsia="Calibri"/>
                <w:i/>
                <w:sz w:val="21"/>
                <w:szCs w:val="21"/>
              </w:rPr>
              <w:t>nguyenthitonga</w:t>
            </w:r>
            <w:r w:rsidRPr="00B7725F">
              <w:rPr>
                <w:rFonts w:eastAsia="Calibri"/>
                <w:i/>
                <w:sz w:val="21"/>
                <w:szCs w:val="21"/>
              </w:rPr>
              <w:t>@lttc.edu.vn</w:t>
            </w:r>
          </w:p>
        </w:tc>
      </w:tr>
      <w:tr w:rsidR="00696EF8" w:rsidRPr="00836287" w14:paraId="2F1DD975" w14:textId="77777777" w:rsidTr="00EF4960">
        <w:tc>
          <w:tcPr>
            <w:tcW w:w="2552" w:type="dxa"/>
            <w:vAlign w:val="center"/>
          </w:tcPr>
          <w:p w14:paraId="3CDF05D3" w14:textId="77777777" w:rsidR="00696EF8" w:rsidRPr="00B7725F" w:rsidRDefault="00696EF8" w:rsidP="00EF4960">
            <w:pPr>
              <w:ind w:firstLine="284"/>
              <w:jc w:val="both"/>
              <w:rPr>
                <w:i/>
                <w:spacing w:val="-4"/>
                <w:w w:val="98"/>
                <w:sz w:val="21"/>
                <w:szCs w:val="26"/>
              </w:rPr>
            </w:pPr>
          </w:p>
        </w:tc>
        <w:tc>
          <w:tcPr>
            <w:tcW w:w="281" w:type="dxa"/>
            <w:vMerge/>
            <w:vAlign w:val="center"/>
          </w:tcPr>
          <w:p w14:paraId="52EF3F73" w14:textId="77777777" w:rsidR="00696EF8" w:rsidRPr="00B7725F" w:rsidRDefault="00696EF8" w:rsidP="00EF4960">
            <w:pPr>
              <w:ind w:firstLine="284"/>
              <w:jc w:val="both"/>
              <w:rPr>
                <w:spacing w:val="-4"/>
                <w:w w:val="98"/>
                <w:sz w:val="21"/>
                <w:szCs w:val="26"/>
              </w:rPr>
            </w:pPr>
          </w:p>
        </w:tc>
        <w:tc>
          <w:tcPr>
            <w:tcW w:w="6239" w:type="dxa"/>
            <w:vAlign w:val="center"/>
          </w:tcPr>
          <w:p w14:paraId="3F6209C6" w14:textId="77777777" w:rsidR="00696EF8" w:rsidRPr="00B7725F" w:rsidRDefault="00696EF8" w:rsidP="00EF4960">
            <w:pPr>
              <w:ind w:firstLine="284"/>
              <w:jc w:val="both"/>
              <w:rPr>
                <w:spacing w:val="-4"/>
                <w:w w:val="98"/>
                <w:sz w:val="21"/>
                <w:szCs w:val="26"/>
              </w:rPr>
            </w:pPr>
          </w:p>
        </w:tc>
      </w:tr>
      <w:tr w:rsidR="00696EF8" w:rsidRPr="00836287" w14:paraId="0ABAE3A2" w14:textId="77777777" w:rsidTr="00EF4960">
        <w:trPr>
          <w:trHeight w:val="2166"/>
        </w:trPr>
        <w:tc>
          <w:tcPr>
            <w:tcW w:w="2552" w:type="dxa"/>
            <w:shd w:val="clear" w:color="auto" w:fill="FFFFFF"/>
          </w:tcPr>
          <w:p w14:paraId="5DCCEF44" w14:textId="049EACE0" w:rsidR="00AB0CC6" w:rsidRPr="00861EAE" w:rsidRDefault="00861EAE" w:rsidP="00AB0CC6">
            <w:pPr>
              <w:jc w:val="both"/>
              <w:rPr>
                <w:b/>
                <w:bCs/>
                <w:color w:val="FF0000"/>
                <w:spacing w:val="-4"/>
                <w:w w:val="98"/>
                <w:sz w:val="21"/>
              </w:rPr>
            </w:pPr>
            <w:r w:rsidRPr="00861EAE">
              <w:rPr>
                <w:b/>
                <w:bCs/>
                <w:color w:val="FF0000"/>
                <w:spacing w:val="-4"/>
                <w:w w:val="98"/>
                <w:sz w:val="21"/>
              </w:rPr>
              <w:t>Từ khoá:</w:t>
            </w:r>
          </w:p>
          <w:p w14:paraId="02179FE5" w14:textId="679CF71A" w:rsidR="00900F42" w:rsidRDefault="00696EF8" w:rsidP="00AB0CC6">
            <w:pPr>
              <w:jc w:val="both"/>
              <w:rPr>
                <w:color w:val="FF0000"/>
                <w:spacing w:val="-4"/>
                <w:w w:val="98"/>
                <w:sz w:val="21"/>
              </w:rPr>
            </w:pPr>
            <w:r w:rsidRPr="00B7725F">
              <w:rPr>
                <w:spacing w:val="-4"/>
                <w:w w:val="98"/>
                <w:sz w:val="21"/>
              </w:rPr>
              <w:t xml:space="preserve">Chuyển đổi số trong giáo dục nghề nghiệp, </w:t>
            </w:r>
            <w:r w:rsidR="00D90D43">
              <w:rPr>
                <w:spacing w:val="-4"/>
                <w:w w:val="98"/>
                <w:sz w:val="21"/>
              </w:rPr>
              <w:t xml:space="preserve">công nghệ số, </w:t>
            </w:r>
            <w:r w:rsidR="00C726F9">
              <w:rPr>
                <w:spacing w:val="-4"/>
                <w:w w:val="98"/>
                <w:sz w:val="21"/>
              </w:rPr>
              <w:t xml:space="preserve">Cuộc </w:t>
            </w:r>
            <w:r w:rsidR="00D90D43">
              <w:rPr>
                <w:spacing w:val="-4"/>
                <w:w w:val="98"/>
                <w:sz w:val="21"/>
              </w:rPr>
              <w:t xml:space="preserve">cách mạng </w:t>
            </w:r>
            <w:r w:rsidR="008A751B">
              <w:rPr>
                <w:spacing w:val="-4"/>
                <w:w w:val="98"/>
                <w:sz w:val="21"/>
              </w:rPr>
              <w:t xml:space="preserve">công nghiệp lần thứ tư, </w:t>
            </w:r>
            <w:r w:rsidR="00C726F9">
              <w:rPr>
                <w:spacing w:val="-4"/>
                <w:w w:val="98"/>
                <w:sz w:val="21"/>
              </w:rPr>
              <w:t xml:space="preserve">Kết </w:t>
            </w:r>
            <w:r w:rsidR="008A751B">
              <w:rPr>
                <w:spacing w:val="-4"/>
                <w:w w:val="98"/>
                <w:sz w:val="21"/>
              </w:rPr>
              <w:t>nối vạn vật</w:t>
            </w:r>
            <w:r w:rsidR="00861EAE">
              <w:rPr>
                <w:spacing w:val="-4"/>
                <w:w w:val="98"/>
                <w:sz w:val="21"/>
              </w:rPr>
              <w:t xml:space="preserve">, </w:t>
            </w:r>
            <w:r w:rsidR="00C726F9" w:rsidRPr="00B7725F">
              <w:rPr>
                <w:rFonts w:eastAsia="Calibri"/>
                <w:w w:val="98"/>
                <w:sz w:val="21"/>
                <w:szCs w:val="21"/>
                <w:shd w:val="clear" w:color="auto" w:fill="FFFFFF"/>
              </w:rPr>
              <w:t>Ứng dụng công nghệ thông tin trong quản lý</w:t>
            </w:r>
            <w:r w:rsidR="00C726F9">
              <w:rPr>
                <w:rFonts w:eastAsia="Calibri"/>
                <w:w w:val="98"/>
                <w:sz w:val="21"/>
                <w:szCs w:val="21"/>
                <w:shd w:val="clear" w:color="auto" w:fill="FFFFFF"/>
              </w:rPr>
              <w:t>, phương pháp giảng dạy</w:t>
            </w:r>
          </w:p>
          <w:p w14:paraId="2DD35C3F" w14:textId="77777777" w:rsidR="00861EAE" w:rsidRDefault="00861EAE" w:rsidP="00AB0CC6">
            <w:pPr>
              <w:jc w:val="both"/>
              <w:rPr>
                <w:rFonts w:eastAsia="SimSun"/>
                <w:b/>
                <w:bCs/>
                <w:spacing w:val="-4"/>
                <w:w w:val="98"/>
                <w:sz w:val="21"/>
                <w:szCs w:val="21"/>
              </w:rPr>
            </w:pPr>
          </w:p>
          <w:p w14:paraId="59FAE3A0" w14:textId="08FB5AB4" w:rsidR="00861EAE" w:rsidRPr="00861EAE" w:rsidRDefault="00861EAE" w:rsidP="00AB0CC6">
            <w:pPr>
              <w:jc w:val="both"/>
              <w:rPr>
                <w:color w:val="FF0000"/>
                <w:spacing w:val="-4"/>
                <w:w w:val="98"/>
                <w:sz w:val="21"/>
              </w:rPr>
            </w:pPr>
            <w:r w:rsidRPr="00861EAE">
              <w:rPr>
                <w:rFonts w:eastAsia="SimSun"/>
                <w:b/>
                <w:bCs/>
                <w:color w:val="FF0000"/>
                <w:spacing w:val="-4"/>
                <w:w w:val="98"/>
                <w:sz w:val="21"/>
                <w:szCs w:val="21"/>
              </w:rPr>
              <w:t>Keywords:</w:t>
            </w:r>
            <w:r w:rsidRPr="00861EAE">
              <w:rPr>
                <w:color w:val="FF0000"/>
                <w:spacing w:val="-4"/>
                <w:w w:val="98"/>
                <w:sz w:val="21"/>
              </w:rPr>
              <w:t xml:space="preserve"> </w:t>
            </w:r>
          </w:p>
          <w:p w14:paraId="272C1FE4" w14:textId="00332503" w:rsidR="00696EF8" w:rsidRPr="00900F42" w:rsidRDefault="00D90D43" w:rsidP="00AB0CC6">
            <w:pPr>
              <w:jc w:val="both"/>
              <w:rPr>
                <w:spacing w:val="-4"/>
                <w:w w:val="98"/>
                <w:sz w:val="21"/>
              </w:rPr>
            </w:pPr>
            <w:r>
              <w:rPr>
                <w:spacing w:val="-4"/>
                <w:w w:val="98"/>
                <w:sz w:val="21"/>
              </w:rPr>
              <w:t xml:space="preserve">Digital </w:t>
            </w:r>
            <w:r w:rsidR="00861EAE">
              <w:rPr>
                <w:spacing w:val="-4"/>
                <w:w w:val="98"/>
                <w:sz w:val="21"/>
              </w:rPr>
              <w:t xml:space="preserve">Transformation </w:t>
            </w:r>
            <w:r>
              <w:rPr>
                <w:spacing w:val="-4"/>
                <w:w w:val="98"/>
                <w:sz w:val="21"/>
              </w:rPr>
              <w:t xml:space="preserve">in </w:t>
            </w:r>
            <w:r w:rsidR="00861EAE">
              <w:rPr>
                <w:spacing w:val="-4"/>
                <w:w w:val="98"/>
                <w:sz w:val="21"/>
              </w:rPr>
              <w:t>Education</w:t>
            </w:r>
            <w:r>
              <w:rPr>
                <w:spacing w:val="-4"/>
                <w:w w:val="98"/>
                <w:sz w:val="21"/>
              </w:rPr>
              <w:t>,</w:t>
            </w:r>
            <w:r w:rsidR="00861EAE">
              <w:rPr>
                <w:spacing w:val="-4"/>
                <w:w w:val="98"/>
                <w:sz w:val="21"/>
              </w:rPr>
              <w:t xml:space="preserve"> Digital </w:t>
            </w:r>
            <w:r>
              <w:rPr>
                <w:spacing w:val="-4"/>
                <w:w w:val="98"/>
                <w:sz w:val="21"/>
              </w:rPr>
              <w:t>technologies</w:t>
            </w:r>
            <w:r w:rsidR="008A751B">
              <w:rPr>
                <w:spacing w:val="-4"/>
                <w:w w:val="98"/>
                <w:sz w:val="21"/>
              </w:rPr>
              <w:t xml:space="preserve">, </w:t>
            </w:r>
            <w:r w:rsidR="008A751B" w:rsidRPr="008A7984">
              <w:rPr>
                <w:rFonts w:eastAsia="Calibri"/>
                <w:w w:val="98"/>
                <w:sz w:val="21"/>
                <w:szCs w:val="21"/>
                <w:shd w:val="clear" w:color="auto" w:fill="FFFFFF"/>
              </w:rPr>
              <w:t>Fourth Industrial</w:t>
            </w:r>
            <w:r w:rsidR="00861EAE">
              <w:rPr>
                <w:rFonts w:eastAsia="Calibri"/>
                <w:w w:val="98"/>
                <w:sz w:val="21"/>
                <w:szCs w:val="21"/>
                <w:shd w:val="clear" w:color="auto" w:fill="FFFFFF"/>
              </w:rPr>
              <w:t xml:space="preserve"> </w:t>
            </w:r>
            <w:r w:rsidR="008A751B" w:rsidRPr="008A7984">
              <w:rPr>
                <w:rFonts w:eastAsia="Calibri"/>
                <w:w w:val="98"/>
                <w:sz w:val="21"/>
                <w:szCs w:val="21"/>
                <w:shd w:val="clear" w:color="auto" w:fill="FFFFFF"/>
              </w:rPr>
              <w:t>Revolution</w:t>
            </w:r>
            <w:r w:rsidR="008A751B">
              <w:rPr>
                <w:rFonts w:eastAsia="Calibri"/>
                <w:w w:val="98"/>
                <w:sz w:val="21"/>
                <w:szCs w:val="21"/>
                <w:shd w:val="clear" w:color="auto" w:fill="FFFFFF"/>
              </w:rPr>
              <w:t>, Internet of things (IoT)</w:t>
            </w:r>
            <w:r w:rsidR="00861EAE">
              <w:rPr>
                <w:rFonts w:eastAsia="Calibri"/>
                <w:w w:val="98"/>
                <w:sz w:val="21"/>
                <w:szCs w:val="21"/>
                <w:shd w:val="clear" w:color="auto" w:fill="FFFFFF"/>
              </w:rPr>
              <w:t xml:space="preserve">, </w:t>
            </w:r>
            <w:r w:rsidR="00C726F9" w:rsidRPr="008A7984">
              <w:rPr>
                <w:spacing w:val="-4"/>
                <w:w w:val="98"/>
                <w:sz w:val="21"/>
                <w:szCs w:val="21"/>
                <w:shd w:val="clear" w:color="auto" w:fill="FFFFFF"/>
              </w:rPr>
              <w:t>application of information technology in management</w:t>
            </w:r>
            <w:r w:rsidR="00C726F9">
              <w:rPr>
                <w:spacing w:val="-4"/>
                <w:w w:val="98"/>
                <w:sz w:val="21"/>
                <w:szCs w:val="21"/>
                <w:shd w:val="clear" w:color="auto" w:fill="FFFFFF"/>
              </w:rPr>
              <w:t xml:space="preserve">, </w:t>
            </w:r>
            <w:r w:rsidR="00C726F9" w:rsidRPr="008A7984">
              <w:rPr>
                <w:spacing w:val="-4"/>
                <w:w w:val="98"/>
                <w:sz w:val="21"/>
                <w:szCs w:val="21"/>
                <w:shd w:val="clear" w:color="auto" w:fill="FFFFFF"/>
              </w:rPr>
              <w:t>Teaching methods</w:t>
            </w:r>
            <w:r w:rsidR="00696EF8" w:rsidRPr="00B7725F">
              <w:rPr>
                <w:spacing w:val="-4"/>
                <w:w w:val="98"/>
                <w:sz w:val="21"/>
              </w:rPr>
              <w:t>.</w:t>
            </w:r>
          </w:p>
        </w:tc>
        <w:tc>
          <w:tcPr>
            <w:tcW w:w="281" w:type="dxa"/>
            <w:vMerge/>
            <w:tcBorders>
              <w:right w:val="single" w:sz="18" w:space="0" w:color="404040"/>
            </w:tcBorders>
            <w:shd w:val="clear" w:color="auto" w:fill="FFFFFF"/>
            <w:vAlign w:val="center"/>
          </w:tcPr>
          <w:p w14:paraId="62D0451E" w14:textId="77777777" w:rsidR="00696EF8" w:rsidRPr="00B7725F" w:rsidRDefault="00696EF8" w:rsidP="00EF4960">
            <w:pPr>
              <w:ind w:firstLine="284"/>
              <w:jc w:val="both"/>
              <w:rPr>
                <w:b/>
                <w:spacing w:val="-4"/>
                <w:w w:val="98"/>
                <w:sz w:val="21"/>
                <w:szCs w:val="26"/>
              </w:rPr>
            </w:pPr>
          </w:p>
        </w:tc>
        <w:tc>
          <w:tcPr>
            <w:tcW w:w="6239" w:type="dxa"/>
            <w:tcBorders>
              <w:left w:val="single" w:sz="18" w:space="0" w:color="404040"/>
            </w:tcBorders>
            <w:shd w:val="clear" w:color="auto" w:fill="auto"/>
            <w:vAlign w:val="center"/>
          </w:tcPr>
          <w:p w14:paraId="2BDB7AF7" w14:textId="3DEC6228" w:rsidR="00AB0CC6" w:rsidRDefault="00016D78" w:rsidP="00016D78">
            <w:pPr>
              <w:spacing w:after="200"/>
              <w:jc w:val="both"/>
              <w:rPr>
                <w:rFonts w:eastAsia="Calibri"/>
                <w:b/>
                <w:w w:val="98"/>
                <w:sz w:val="21"/>
                <w:szCs w:val="21"/>
                <w:shd w:val="clear" w:color="auto" w:fill="FFFFFF"/>
              </w:rPr>
            </w:pPr>
            <w:r w:rsidRPr="00B7725F">
              <w:rPr>
                <w:rFonts w:eastAsia="Calibri"/>
                <w:b/>
                <w:w w:val="98"/>
                <w:sz w:val="21"/>
                <w:szCs w:val="21"/>
                <w:shd w:val="clear" w:color="auto" w:fill="FFFFFF"/>
              </w:rPr>
              <w:t>Tóm tắt</w:t>
            </w:r>
          </w:p>
          <w:p w14:paraId="1C7509E0" w14:textId="77777777" w:rsidR="00016D78" w:rsidRDefault="00AB0CC6" w:rsidP="00AB0CC6">
            <w:pPr>
              <w:spacing w:after="200"/>
              <w:jc w:val="both"/>
              <w:rPr>
                <w:rFonts w:eastAsia="Calibri"/>
                <w:w w:val="98"/>
                <w:sz w:val="21"/>
                <w:szCs w:val="21"/>
                <w:shd w:val="clear" w:color="auto" w:fill="FFFFFF"/>
              </w:rPr>
            </w:pPr>
            <w:r w:rsidRPr="00B7725F">
              <w:rPr>
                <w:rFonts w:eastAsia="Calibri"/>
                <w:w w:val="98"/>
                <w:sz w:val="21"/>
                <w:szCs w:val="21"/>
                <w:shd w:val="clear" w:color="auto" w:fill="FFFFFF"/>
              </w:rPr>
              <w:t>Cuộc cách mạng công nghệ đang diễn ra, còn được nhiều chuyên gia gọi là “Cuộc cách mạng công nghiệp lần thứ tư”, đã bắt đầu từ những năm 2000, đặc trưng bởi sự hợp nhất, không có ranh giới giữa các lĩnh vực công nghệ, vật lý, kỹ thuật số và sinh học. Đây là xu hướng kết hợp giữa các hệ thống ảo và thực thể, vạn vật kết nối Internet (IoT) và các hệ thống kết nối Internet (IoS).</w:t>
            </w:r>
          </w:p>
          <w:p w14:paraId="1E091845" w14:textId="51089CCF" w:rsidR="00AB0CC6" w:rsidRDefault="00016D78" w:rsidP="00AB0CC6">
            <w:pPr>
              <w:spacing w:after="200"/>
              <w:jc w:val="both"/>
              <w:rPr>
                <w:rFonts w:eastAsia="Calibri"/>
                <w:w w:val="98"/>
                <w:sz w:val="21"/>
                <w:szCs w:val="21"/>
                <w:shd w:val="clear" w:color="auto" w:fill="FFFFFF"/>
              </w:rPr>
            </w:pPr>
            <w:r w:rsidRPr="00B7725F">
              <w:rPr>
                <w:rFonts w:eastAsia="Calibri"/>
                <w:w w:val="98"/>
                <w:sz w:val="21"/>
                <w:szCs w:val="21"/>
                <w:shd w:val="clear" w:color="auto" w:fill="FFFFFF"/>
              </w:rPr>
              <w:t>Dựa vào sự phát triển của cuộc cách mạng công nghệ việc Chuyển đổi số trong giáo dục nghề nghiệp (</w:t>
            </w:r>
            <w:r w:rsidRPr="00B7725F">
              <w:rPr>
                <w:rFonts w:eastAsia="Calibri"/>
                <w:w w:val="98"/>
                <w:sz w:val="21"/>
                <w:szCs w:val="21"/>
                <w:shd w:val="clear" w:color="auto" w:fill="FFFFFF"/>
                <w:lang w:val="vi-VN"/>
              </w:rPr>
              <w:t>GDNN</w:t>
            </w:r>
            <w:r w:rsidRPr="00B7725F">
              <w:rPr>
                <w:rFonts w:eastAsia="Calibri"/>
                <w:w w:val="98"/>
                <w:sz w:val="21"/>
                <w:szCs w:val="21"/>
                <w:shd w:val="clear" w:color="auto" w:fill="FFFFFF"/>
              </w:rPr>
              <w:t>)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2748126" w14:textId="77E2155C" w:rsidR="00016D78" w:rsidRPr="00016D78" w:rsidRDefault="00016D78" w:rsidP="00AB0CC6">
            <w:pPr>
              <w:spacing w:after="200"/>
              <w:jc w:val="both"/>
              <w:rPr>
                <w:rFonts w:eastAsia="Calibri"/>
                <w:b/>
                <w:bCs/>
                <w:w w:val="98"/>
                <w:sz w:val="21"/>
                <w:szCs w:val="21"/>
                <w:shd w:val="clear" w:color="auto" w:fill="FFFFFF"/>
              </w:rPr>
            </w:pPr>
            <w:r w:rsidRPr="00016D78">
              <w:rPr>
                <w:rFonts w:eastAsia="Calibri"/>
                <w:b/>
                <w:bCs/>
                <w:w w:val="98"/>
                <w:sz w:val="21"/>
                <w:szCs w:val="21"/>
                <w:shd w:val="clear" w:color="auto" w:fill="FFFFFF"/>
              </w:rPr>
              <w:t>Abstract</w:t>
            </w:r>
          </w:p>
          <w:p w14:paraId="15811641" w14:textId="2C96FC44" w:rsidR="008A7984" w:rsidRPr="00B7725F" w:rsidRDefault="008A7984" w:rsidP="00AB0CC6">
            <w:pPr>
              <w:spacing w:after="200"/>
              <w:jc w:val="both"/>
              <w:rPr>
                <w:rFonts w:eastAsia="Calibri"/>
                <w:w w:val="98"/>
                <w:sz w:val="21"/>
                <w:szCs w:val="21"/>
                <w:shd w:val="clear" w:color="auto" w:fill="FFFFFF"/>
              </w:rPr>
            </w:pPr>
            <w:r w:rsidRPr="008A7984">
              <w:rPr>
                <w:rFonts w:eastAsia="Calibri"/>
                <w:w w:val="98"/>
                <w:sz w:val="21"/>
                <w:szCs w:val="21"/>
                <w:shd w:val="clear" w:color="auto" w:fill="FFFFFF"/>
              </w:rPr>
              <w:t>The ongoing technological revolution, also known by many experts as the "Fourth Industrial Revolution", has been around since the 2000s, characterized by unification, without boundaries between sectors. technology, physics, digital and biology. This is the trend of combining virtual and entity systems, Internet of Things (IoT) and Internet of Things (IoS) systems.</w:t>
            </w:r>
          </w:p>
          <w:p w14:paraId="220A931F" w14:textId="33BCC72E" w:rsidR="008A7984" w:rsidRPr="00B7725F" w:rsidRDefault="008A7984" w:rsidP="00861EAE">
            <w:pPr>
              <w:spacing w:after="200"/>
              <w:jc w:val="both"/>
              <w:rPr>
                <w:spacing w:val="-4"/>
                <w:w w:val="98"/>
                <w:sz w:val="21"/>
                <w:szCs w:val="21"/>
                <w:shd w:val="clear" w:color="auto" w:fill="FFFFFF"/>
              </w:rPr>
            </w:pPr>
            <w:r w:rsidRPr="008A7984">
              <w:rPr>
                <w:spacing w:val="-4"/>
                <w:w w:val="98"/>
                <w:sz w:val="21"/>
                <w:szCs w:val="21"/>
                <w:shd w:val="clear" w:color="auto" w:fill="FFFFFF"/>
              </w:rPr>
              <w:t>Based on the development of the technological revolution, the Digital Transformation in Vocational Education (TVET) aims to deploy vocational education activities in the digital environment, promote the application of information technology in management, Teaching activities, teaching methods, testing and evaluation help to increase the effectiveness of management and expand methods and opportunities to access vocational education, creating a breakthrough in quality, rapidly increasing the number of students. training contributes to improving the quality of skilled human resources, increasing labor productivity and national competitiveness in the context of international integration.</w:t>
            </w:r>
          </w:p>
        </w:tc>
      </w:tr>
    </w:tbl>
    <w:p w14:paraId="0EDDE4A8" w14:textId="403849C3"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p>
    <w:p w14:paraId="7199B9F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đang từng bước tham gia vào trong mọi lĩnh vực, ngành nghề, từ kinh tế, sản xuất, kỹ thuật công nghệ đến văn hóa, đời sống. Trong ngành giáo dục và đào tạo – lĩnh vực mang tầm ảnh hưởng quan trọng trong việc đảm bảo sự phát triển của đời sống kinh tế xã hội, chuyển đổi số cũng là một mối quan tâm đang được chú trọng.</w:t>
      </w:r>
    </w:p>
    <w:p w14:paraId="31808775"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Vậy chuyển đổi số là gì?</w:t>
      </w:r>
    </w:p>
    <w:p w14:paraId="2AD9730A"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Một số chuyên gia cho rằng chuyển đổi số là việc sử dụng các công nghệ số để thay đổi mô hình kinh doanh, tạo ra những cơ hội, doanh thu và giá trị mới. Microsoft lại định nghĩa chuyển đổi số là việc tư duy lại cách thức các tổ chức tập hợp mọi người, dữ liệu và quy trình để tạo những giá trị mới.</w:t>
      </w:r>
    </w:p>
    <w:p w14:paraId="731F10C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(CMCN 4.0) hiện nay.</w:t>
      </w:r>
    </w:p>
    <w:p w14:paraId="09D4CEA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Trên thế giới nhiều quốc gia đã và đang triển khai các chiến lược quốc gia về chuyển đổi số như tại Anh, Úc, Đan Mạch, Estonia…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w:t>
      </w:r>
    </w:p>
    <w:p w14:paraId="4408EDC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Do cách tiếp cận từ các giác độ khác nhau nên cách diễn đạt của các định nghĩa trên không giống nhau. Nhưng, về nội hàm tất cả các định nghĩa trên đều có điểm chung, đó là chuyển các hoạt động của chúng ta từ thế giới thực sang thế giới ảo ở trên môi trường mạng.</w:t>
      </w:r>
    </w:p>
    <w:p w14:paraId="2597CB7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khác với số hóa. "Số hóa" là việc biến đổi các giá trị thực sang dạng số, còn "chuyển đổi số" là khi có dữ liệu được số hoá rồi, chúng ta phải sử dụng các công nghệ như AI, Big Data... để phân tích dữ liệu, biến đổi nó và tạo ra một giá trị khác.</w:t>
      </w:r>
    </w:p>
    <w:p w14:paraId="4B651641"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Chuyển đổi số trong giáo dục là gì?</w:t>
      </w:r>
    </w:p>
    <w:p w14:paraId="001391C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“Chương trình Chuyển đổi số quốc gia đến năm 2025, định hướng đến năm 2030” được phê duyệt tại Quyết định số 749/QĐ-TTg ngày 03/06/2020 của Thủ tướng Chính phủ như sau:</w:t>
      </w:r>
    </w:p>
    <w:p w14:paraId="09CC7B2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049D445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Theo đó, Giáo dục là lĩnh vực được ưu tiên chuyển đổi số thứ 2 sau lĩnh vực Y tế. Điều đó cho thấy tầm quan trọng của giáo dục và chuyển đổi số trong lĩnh vực giáo dục đóng vai trò hết sức quan trọng, không chỉ đối với ngành mà còn tác động rất lớn đối với đất nước. Như vậy việc chuyển đổi số trong Giáo dục và Đào tạo (GDĐT) sẽ tập trung vào hai nội dung chính: Chuyển đổi số trong quản lý và chuyển đổi số trong dạy, học, kiểm tra, đánh giá.</w:t>
      </w:r>
    </w:p>
    <w:p w14:paraId="20527A9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1735A5C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024958A"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bdr w:val="none" w:sz="0" w:space="0" w:color="auto" w:frame="1"/>
        </w:rPr>
        <w:t>Các điều kiện đảm bảo cho chuyển đổi số trong giáo dục đào tạo</w:t>
      </w:r>
    </w:p>
    <w:p w14:paraId="168979F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với khoảng 24 triệu giáo viên, học sinh, sinh viên, để đảm bảo thành công chuyển đổi số trước tiên cần phải tuyên truyền, thống nhất, thông suốt về nhận thức trong toàn ngành, đến từng nhà trường, mỗi cá nhân. Nhận định chuyển đổi số là xu thế tất yếu của ngành, diễn ra với tốc độ rất nhanh, do đó cần có sự chuẩn bị, đầu tư xứng tầm, tạo sức mạnh cộng hưởng và quyết tâm cao.</w:t>
      </w:r>
    </w:p>
    <w:p w14:paraId="3319DB3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Cơ chế, chính sách, hành lang pháp lý phải được hoàn thiện, tạo hành lang pháp lý thuận lợi cho chuyển đổi số trong toàn ngành. Đó là các chính sách liên quan đến học liệu như sở hữu trí tuệ, bản quyền tác giả; liên quan đến chất lượng việc dạy học trên môi trường mạng như an toàn thông tin mạng; liên quan đến chính trị, tư tưởng, đạo đức người dạy, người học như bảo vệ thông tin cá nhân, an ninh thông tin trên môi trường mạng; và các quy định liên quan đến điều kiện tổ chức dạy - học trên mạng, kiểm định chất lượng, tính pháp lý và công nhận kết quả khi dạy - học trực tuyến.</w:t>
      </w:r>
    </w:p>
    <w:p w14:paraId="01FBC24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đảm bảo môi trường mạng thông suốt, ổn định, an toàn thông tin. Thực hiện việc này cần huy động được các nguồn lực xã hội chung tay hỗ trợ trang thiết bị đầu cuối và tham gia cung cấp các hệ thống, giải pháp đáp ứng yêu cầu chuyển đổi số.</w:t>
      </w:r>
    </w:p>
    <w:p w14:paraId="3259D08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Cuối cùng cần bồi dưỡng được đội ngũ nhân lực (cán bộ quản lý, giáo viên, giảng viên, học sinh sinh viên) có kiến thức, kỹ năng đáp ứng yêu cầu chuyển đổi số. Trước hết là kỹ năng sử dụng CNTT, kỹ năng an toàn thông tin, kỹ năng khai thác, sử dụng hiệu quả các ứng dụng phục vụ công việc dạy - học.</w:t>
      </w:r>
    </w:p>
    <w:p w14:paraId="3AA27D21" w14:textId="204ED089" w:rsidR="00696EF8" w:rsidRPr="00AB0CC6" w:rsidRDefault="00696EF8" w:rsidP="00AB0CC6">
      <w:pPr>
        <w:pStyle w:val="ListParagraph"/>
        <w:numPr>
          <w:ilvl w:val="0"/>
          <w:numId w:val="1"/>
        </w:numPr>
        <w:tabs>
          <w:tab w:val="left" w:pos="284"/>
        </w:tabs>
        <w:spacing w:after="0" w:line="240" w:lineRule="auto"/>
        <w:ind w:left="0" w:firstLine="0"/>
        <w:jc w:val="both"/>
        <w:rPr>
          <w:rFonts w:ascii="Times New Roman" w:eastAsia="Times New Roman" w:hAnsi="Times New Roman" w:cs="Times New Roman"/>
          <w:color w:val="000000"/>
          <w:sz w:val="21"/>
          <w:szCs w:val="21"/>
        </w:rPr>
      </w:pPr>
      <w:r w:rsidRPr="00AB0CC6">
        <w:rPr>
          <w:rFonts w:ascii="Times New Roman" w:eastAsia="Times New Roman" w:hAnsi="Times New Roman" w:cs="Times New Roman"/>
          <w:b/>
          <w:bCs/>
          <w:color w:val="000000"/>
          <w:sz w:val="21"/>
          <w:szCs w:val="21"/>
          <w:bdr w:val="none" w:sz="0" w:space="0" w:color="auto" w:frame="1"/>
        </w:rPr>
        <w:t>Thực trạng chuyển đổi số trong giáo dục đào tạo hiện nay ở nước ta</w:t>
      </w:r>
    </w:p>
    <w:p w14:paraId="06A7258C"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lastRenderedPageBreak/>
        <w:t xml:space="preserve">Đến nay, toàn ngành giáo dục đã chủ  trương, xác định ứng dụng CNTT là 1 trong 9 nhóm nhiệm vụ trọng tâm triển khai có hiệu quả Nghị quyết số 29 của Ban chấp hành Trung ương Đảng về đổi mới căn bản toàn diện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Thủ tướng Chính phủ cũng đã ban hành Đề án tăng cường ứng dụng CNTT trong quản lý giáo dục, hỗ trợ đổi mới dạy - học, nghiên cứu khoa học triển khai trong toàn ngành. Hàng loạt chính sách thúc đẩy chuyển đổi số giáo dục được ban hành, dần hoàn thiện hành lang pháp lý như các quy định ứng dụng CNTT trong quản lý, tổ chức đào tạo qua mạng, quy chế đào tạo từ xa trình độ đại học, quy định quản lý, vận hành sử dụng hệ thống CSDL toàn ngành, mô hình ứng dụng CNTT trường phổ thông, chuẩn dữ liệu kết nối; hướng dẫn nhiệm vụ CNNT cho khối đại học, phổ thông hàng năm và nhiều văn bản chỉ đạo điều hành khác3.</w:t>
      </w:r>
    </w:p>
    <w:p w14:paraId="5558151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quản lý giáo dục, toàn ngành đã triển khai số hóa, xây dựng cơ sở dữ liệu dùng chung từ Trung ương đến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710 phòng GDĐT và khoảng 53.000 cơ sở giáo dục. Hiện nay đã số hóa và định danh dữ liệu của khoảng 53.000 trường học, 1,4 triệu giáo viên, 23 triệu học sinh. Cơ sở dữ liệu này vừa qua đã hỗ trợ đắc lực công tác tuyển sinh và thống kê, báo cáo trong toàn ngành; giúp các cấp quản lý ban hành chính sách quản lý có hiệu quả, vừa qua đã góp phần giải quyết vấn đề thừa thiếu giáo viên ở các nhà trường theo từng địa phương, môn học. Khối phổ thông khoảng 82% các trường sử dụng phần mềm quản lý trường học, sổ điểm điện tử, học bạ điện tử và hầu hết các cơ sở giáo dục đại học đều sử dụng phần mềm quản trị nhà trường. Hệ thống quản lý hành chính điện tử kết nối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và hơn 300 trường đại học, cao đẳng trên cả nước với Bộ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hoạt động thông suốt, ổn định, phát huy hiệu quả tích cực.</w:t>
      </w:r>
    </w:p>
    <w:p w14:paraId="2F2D29A2" w14:textId="77777777" w:rsidR="00696EF8" w:rsidRPr="005C3870" w:rsidRDefault="00696EF8" w:rsidP="00AB0CC6">
      <w:pPr>
        <w:spacing w:after="0" w:line="240" w:lineRule="auto"/>
        <w:jc w:val="both"/>
        <w:rPr>
          <w:rFonts w:ascii="Times New Roman" w:eastAsia="Times New Roman" w:hAnsi="Times New Roman" w:cs="Times New Roman"/>
          <w:b/>
          <w:bCs/>
          <w:color w:val="000000"/>
          <w:sz w:val="21"/>
          <w:szCs w:val="21"/>
        </w:rPr>
      </w:pPr>
      <w:r w:rsidRPr="005C3870">
        <w:rPr>
          <w:rFonts w:ascii="Times New Roman" w:eastAsia="Times New Roman" w:hAnsi="Times New Roman" w:cs="Times New Roman"/>
          <w:b/>
          <w:bCs/>
          <w:color w:val="000000"/>
          <w:sz w:val="21"/>
          <w:szCs w:val="21"/>
        </w:rPr>
        <w:t>5. Chuyển đổi số trong giáo dục nghề nghiệp</w:t>
      </w:r>
    </w:p>
    <w:p w14:paraId="72A2FA6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Ngày 30/12/2021, Thủ tướng Chính phủ ban hành Quyết định số 2222/QĐ-TTg về phê duyệt “Chương trình chuyển đổi số trong giáo dục nghề nghiệp đến năm 2025 và định hướng đến năm 2030.”</w:t>
      </w:r>
    </w:p>
    <w:p w14:paraId="716C1C8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Chương trình chuyển đổi số trong giáo dục nghề nghiệp được phê duyệt với mục tiêu chung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B8E3C6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Để đạt được mục tiêu chung, Chương trình đã chỉ rõ 04 chỉ tiêu cơ bản để thực hiện chuyển đổi số trong giáo dục nghề nghiệp, cụ thể:</w:t>
      </w:r>
    </w:p>
    <w:p w14:paraId="7AB1316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1) Phát triển năng lực số cho đội ngũ nhà giáo và cán bộ quản lý giáo dục nghề nghiệp:</w:t>
      </w:r>
      <w:r w:rsidRPr="005C3870">
        <w:rPr>
          <w:rFonts w:ascii="Times New Roman" w:eastAsia="Times New Roman" w:hAnsi="Times New Roman" w:cs="Times New Roman"/>
          <w:color w:val="000000"/>
          <w:sz w:val="21"/>
          <w:szCs w:val="21"/>
        </w:rPr>
        <w:t> Phấn đấu 50% đến năm 2025 và 100% đến năm 2030 nhà giáo và cán bộ quản lý được đào tạo bổ sung nâng cao năng lực số, kỹ năng, phương pháp sư phạm phù hợp để triển khai đào tạo trên môi trường số. Phấn đấu 50% đến năm 2025 và 100% đến năm 2030 nhà giáo của các cơ sở giáo dục nghề nghiệp được đào tạo phát triển học liệu số.</w:t>
      </w:r>
    </w:p>
    <w:p w14:paraId="7AC06C3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2) Đổi mới và phát triển chương trình đào tạo:</w:t>
      </w:r>
      <w:r w:rsidRPr="005C3870">
        <w:rPr>
          <w:rFonts w:ascii="Times New Roman" w:eastAsia="Times New Roman" w:hAnsi="Times New Roman" w:cs="Times New Roman"/>
          <w:color w:val="000000"/>
          <w:sz w:val="21"/>
          <w:szCs w:val="21"/>
        </w:rPr>
        <w:t> Phấn đấu 70% vào năm 2025 và 100% vào năm 2030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4305793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3) Hạ tầng, nền tảng và học liệu số</w:t>
      </w:r>
      <w:r w:rsidRPr="005C3870">
        <w:rPr>
          <w:rFonts w:ascii="Times New Roman" w:eastAsia="Times New Roman" w:hAnsi="Times New Roman" w:cs="Times New Roman"/>
          <w:i/>
          <w:iCs/>
          <w:color w:val="000000"/>
          <w:sz w:val="21"/>
          <w:szCs w:val="21"/>
        </w:rPr>
        <w:t>.</w:t>
      </w:r>
      <w:r w:rsidRPr="005C3870">
        <w:rPr>
          <w:rFonts w:ascii="Times New Roman" w:eastAsia="Times New Roman" w:hAnsi="Times New Roman" w:cs="Times New Roman"/>
          <w:color w:val="000000"/>
          <w:sz w:val="21"/>
          <w:szCs w:val="21"/>
        </w:rPr>
        <w:t> Hình thành nền tảng số giáo dục nghề nghiệp quốc gia và kho học liệu, tài nguyên số dùng chung phục vụ cho hoạt động dạy và học vào năm 2025. Phấn đấu 50% vào năm 2025 và 100% vào năm 2030 trường cao đẳng, trường trung cấp có hạ tầng số, nền tảng số để kết nối, khai thác với nền tảng số giáo dục nghề nghiệp quốc gia.</w:t>
      </w:r>
    </w:p>
    <w:p w14:paraId="4408F699"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4) Quản lý số và quản trị số. </w:t>
      </w:r>
      <w:r w:rsidRPr="005C3870">
        <w:rPr>
          <w:rFonts w:ascii="Times New Roman" w:eastAsia="Times New Roman" w:hAnsi="Times New Roman" w:cs="Times New Roman"/>
          <w:color w:val="000000"/>
          <w:sz w:val="21"/>
          <w:szCs w:val="21"/>
        </w:rPr>
        <w:t>Phấn đấu 100% dịch vụ công trực tuyến mức độ 4, được tích hợp lên Cổng Dịch vụ công quốc gia, tích hợp vào Cổng dịch vụ công và Hệ thống thông tin điện tử của Bộ Lao động - Thương binh và Xã hội vào năm 2023. Phấn đấu 100% trường cao đẳng, trung cấp năm 2025, 100% cơ sở giáo dục nghề nghiệp đến năm 2030 số hóa quá trình học tập, kết quả học tập, văn bằng giáo dục nghề nghiệp của người học và kết nối, tích hợp dữ liệu lên môi trường số. Có 50% vào năm 2025 và 70% vào năm 2030 hoạt động kiểm tra chuyên ngành về giáo dục nghề nghiệp được thực hiện thông qua môi trường số và hệ thống thông tin của cơ quan quản lý. Hình thành bản đồ số mạng lưới cơ sở giáo dục nghề nghiệp vào năm 2025 và liên kết bản đồ số mạng lưới cơ sở giáo dục nghề nghiệp với các hệ thống chứng thực và tra cứu thông tin giáo dục nghề nghiệp vào năm 2030. Phấn đấu 100% báo cáo định kỳ và báo cáo thống kê về giáo dục nghề nghiệp được thực hiện trên môi trường số và kết nối, tích hợp, chia sẻ dữ liệu số trên Hệ thống thông tin báo cáo Chính phủ vào năm 2025. Phấn đấu ít nhất 50% đến năm 2025 và 100% đến năm 2030 các trường chất lượng cao là trường học số.</w:t>
      </w:r>
    </w:p>
    <w:p w14:paraId="26E9127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Chương trình cũng chỉ rõ cần thực hiện 8 nhóm nhiệm vụ và giải pháp chủ yếu để đạt được các mục tiêu đề ra, cụ thể:</w:t>
      </w:r>
    </w:p>
    <w:p w14:paraId="567632A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Xây dựng hoàn thiện thể chế, cơ chế chính sách phục vụ chuyển đổi số trong lĩnh vực giáo dục nghề nghiệp</w:t>
      </w:r>
      <w:r w:rsidRPr="005C3870">
        <w:rPr>
          <w:rFonts w:ascii="Times New Roman" w:eastAsia="Times New Roman" w:hAnsi="Times New Roman" w:cs="Times New Roman"/>
          <w:color w:val="000000"/>
          <w:sz w:val="21"/>
          <w:szCs w:val="21"/>
        </w:rPr>
        <w:t xml:space="preserve"> với các nhiệm vụ: Rà soát, hoàn thiện hệ thống văn bản quy phạm pháp luật liên quan và chuyên ngành giáo dục nghề nghiệp để đáp ứng yêu cầu chuyển đổi số; Ban hành các tiêu chuẩn về trường học số, hạ tầng số, phòng thực hành số, giáo trình số, chương trình đào tạo số, ứng dụng công nghệ thực tế ảo, thực tế ảo tăng cường, thực tế hỗn hợp trong hoạt động giáo dục nghề nghiệp; Xây dựng văn bản quy định về cơ sở dữ liệu giáo </w:t>
      </w:r>
      <w:r w:rsidRPr="005C3870">
        <w:rPr>
          <w:rFonts w:ascii="Times New Roman" w:eastAsia="Times New Roman" w:hAnsi="Times New Roman" w:cs="Times New Roman"/>
          <w:color w:val="000000"/>
          <w:sz w:val="21"/>
          <w:szCs w:val="21"/>
        </w:rPr>
        <w:lastRenderedPageBreak/>
        <w:t>dục nghề nghiệp đảm bảo kết nối chia sẻ dữ liệu theo quy định của Chính phủ, Bộ Thông tin và Truyền thông; Có cơ chế, chính sách thu hút tổ chức, doanh nghiệp, cá nhân tham gia đầu tư phát triển, xây dựng hệ sinh thái số giáo dục nghề nghiệp; khuyến khích việc tài trợ và đóng góp, ủng hộ vật chất cũng như các điều kiện khác thực hiện chuyển đổi số hoạt động giáo dục nghề nghiệp; Nghiên cứu, đề xuất các chính sách hỗ trợ cho người dạy, người học, cơ sở giáo dục nghề nghiệp trong chuyển đổi số giáo dục nghề nghiệp.</w:t>
      </w:r>
    </w:p>
    <w:p w14:paraId="0F810456"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chương trình, nội dung đào tạo các cấp trình độ giáo dục nghề nghiệp phù hợp với yêu cầu của chuyển đổi số trong nền kinh tế và hội nhập quốc tế</w:t>
      </w:r>
      <w:r w:rsidRPr="005C3870">
        <w:rPr>
          <w:rFonts w:ascii="Times New Roman" w:eastAsia="Times New Roman" w:hAnsi="Times New Roman" w:cs="Times New Roman"/>
          <w:color w:val="000000"/>
          <w:sz w:val="21"/>
          <w:szCs w:val="21"/>
        </w:rPr>
        <w:t>, với các nhiệm vụ: 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 Xây dựng các bộ công cụ thích hợp để phân tích dữ liệu lớn. Dự báo các năng lực và kỹ năng số cần có của ngành, nghề, đặc biệt là các ngành nghề phục vụ cuộc cách mạng công nghiệp lần thứ tư. Cập nhật, bổ sung, chỉnh sửa và xây dựng mới chuẩn kiến thức, năng lực thực hiện cho các ngành nghề đáp ứng yêu cầu của chuyển đổi số. Phát triển các chương trình đào tạo chất lượng cao, các ngành nghề chuyên về công nghệ thông tin, công nghệ số phục vụ phát triển chính phủ số, kinh tế số, xã hội số.</w:t>
      </w:r>
    </w:p>
    <w:p w14:paraId="6390136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hạ tầng, nền tảng, thiết bị và học liệu số</w:t>
      </w:r>
      <w:r w:rsidRPr="005C3870">
        <w:rPr>
          <w:rFonts w:ascii="Times New Roman" w:eastAsia="Times New Roman" w:hAnsi="Times New Roman" w:cs="Times New Roman"/>
          <w:color w:val="000000"/>
          <w:sz w:val="21"/>
          <w:szCs w:val="21"/>
        </w:rPr>
        <w:t>, trong đó nêu rõ nhiệm vụ về hạ tầng số, hạ tầng dữ liệu, nền tảng và học liệu số để thực hiện xây dựng đồng bộ về hạ tầng, trang thiết bị, các phần mềm ứng dụng để hình thành cơ sở dữ liệu phục vụ công tác quản lý, chỉ đạo điều hành, công tác dạy và học.</w:t>
      </w:r>
    </w:p>
    <w:p w14:paraId="2945778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năng lực số cho đội ngũ nhà giáo và cán bộ quản lý giáo dục nghề nghiệp và đổi mới phương pháp dạy và học</w:t>
      </w:r>
      <w:r w:rsidRPr="005C3870">
        <w:rPr>
          <w:rFonts w:ascii="Times New Roman" w:eastAsia="Times New Roman" w:hAnsi="Times New Roman" w:cs="Times New Roman"/>
          <w:color w:val="000000"/>
          <w:sz w:val="21"/>
          <w:szCs w:val="21"/>
        </w:rPr>
        <w:t>, với các nhiệm vụ: Đào tạo, bồi dưỡng, cập nhật kiến thức, kỹ năng số cho nhà giáo, cán bộ quản lý giáo dục nghề nghiệp. 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p>
    <w:p w14:paraId="6906CAA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Chuyển đổi số hoạt động quản lý nhà nước và quản trị nhà trường</w:t>
      </w:r>
      <w:r w:rsidRPr="005C3870">
        <w:rPr>
          <w:rFonts w:ascii="Times New Roman" w:eastAsia="Times New Roman" w:hAnsi="Times New Roman" w:cs="Times New Roman"/>
          <w:color w:val="000000"/>
          <w:sz w:val="21"/>
          <w:szCs w:val="21"/>
        </w:rPr>
        <w:t>. </w:t>
      </w:r>
    </w:p>
    <w:p w14:paraId="449988B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a) Chuyển đổi số hoạt động quản lý nhà nước là: Xây dựng, nâng cấp các dịch vụ công trực tuyến, các phần mềm quản lý phục vụ cho công tác quản lý nhà nước về giáo dục nghề nghiệp. Điều hành hoạt động giáo dục nghề nghiệp dựa trên hệ thống thông tin và cơ sở dữ liệu giáo dục nghề nghiệp thông qua Trung tâm thông tin tích hợp (IOC). Xây dựng công cụ và triển khai hoạt động kiểm tra, hoạt động đảm bảo chất lượng, hoạt động đánh giá kỹ năng nghề thông qua môi trường số và hệ thống thông tin của cơ quan quản lý. Nâng cấp Cổng thông tin điện tử giáo dục nghề nghiệp, phần mềm kết nối, chia sẻ dữ liệu phục vụ công tác báo cáo định kỳ và báo cáo thống kê về giáo dục nghề nghiệp và kết nối, tích hợp, chia sẻ dữ liệu số trên Hệ thống thông tin báo cáo Chính phủ. Xây dựng mã định danh điện tử đảm bảo đồng bộ, kết nối với khung chính phủ điện tử và mã định danh điện tử của Chính phủ.</w:t>
      </w:r>
    </w:p>
    <w:p w14:paraId="511EADB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b) Chuyển đổi số trong quản trị của các cơ sở giáo dục nghề nghiệp là: Phát triển, nâng cấp và hoàn thiện cơ sở dữ liệu đồng bộ, thống nhất, đảm bảo kết nối, khai thác phục vụ xử lý thông tin theo yêu cầu quản lý, quản trị. Số hóa hoạt động của nhà trường, trong đó chú trọng đến quản lý tuyển sinh, đào tạo, đảm bảo chất lượng, phát triển chương trình, quản lý nhà giáo, quản lý học sinh, sinh viên, kết nối doanh nghiệp. Đẩy mạnh việc đảm bảo chất lượng đối với việc dạy học trực tuyến. Triển khai việc kiểm tra đánh giá kết quả học tập, đánh giá kỹ năng nghề trên môi trường số.</w:t>
      </w:r>
    </w:p>
    <w:p w14:paraId="20FB527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Huy động nguồn lực cho quá trình chuyển đổi số giáo dục nghề nghiệp</w:t>
      </w:r>
      <w:r w:rsidRPr="005C3870">
        <w:rPr>
          <w:rFonts w:ascii="Times New Roman" w:eastAsia="Times New Roman" w:hAnsi="Times New Roman" w:cs="Times New Roman"/>
          <w:color w:val="000000"/>
          <w:sz w:val="21"/>
          <w:szCs w:val="21"/>
        </w:rPr>
        <w:t>, trên cơ sở ưu tiên nguồn kinh phí từ ngân sách nhà nước, huy động nguồn lực đầu tư, khuyến khích hợp tác theo đối tác công tư từ các tổ chức, doanh nghiệp, từng bước hình thành mô hình cơ sở giáo dục nghề nghiệp trong doanh nghiệp; Tăng cường vận động sự ủng hộ của các tổ chức quốc tế cho hoạt động chuyển đổi số giáo dục nghề nghiệp.</w:t>
      </w:r>
    </w:p>
    <w:p w14:paraId="6498A621"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Nâng cao nhận thức và hợp tác quốc tế</w:t>
      </w:r>
      <w:r w:rsidRPr="005C3870">
        <w:rPr>
          <w:rFonts w:ascii="Times New Roman" w:eastAsia="Times New Roman" w:hAnsi="Times New Roman" w:cs="Times New Roman"/>
          <w:color w:val="000000"/>
          <w:sz w:val="21"/>
          <w:szCs w:val="21"/>
        </w:rPr>
        <w:t>, trong đó: Nâng cao nhận thức của các cấp lãnh đạo, cán bộ quản lý, nhà giáo từ trung ương đến địa phương về vai trò quan trọng và yêu cầu sớm triển khai chuyển đổi số trong hệ thống giáo dục nghề nghiệp nhằm xây dựng, hình thành hệ sinh thái số giáo dục nghề nghiệp, đáp ứng nhu cầu của người học và mọi người dân trong nền kinh tế số, xã hội số. Tăng cường tuyên truyền, phổ biến về chuyển đổi số trong giáo dục nghề nghiệp thông qua phương tiện thông tin đại chúng và các hình thức khác, lồng ghép trong các hoạt động, sự kiện liên quan; chú trọng biểu dương, tôn vinh những tập thể, cá nhân có kết quả tích cực, mang lại hiệu quả trong công tác quản lý, dạy và học từ chuyển đổi số để lan tỏa, nhân rộng. Tăng cường trao đổi, học tập chia sẻ kinh nghiệm về chuyển đổi số trong lĩnh vực giáo dục nghề nghiệp với các quốc gia, tổ chức quốc tế…</w:t>
      </w:r>
    </w:p>
    <w:p w14:paraId="4F2A319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Các nhiệm vụ, giải pháp về bảo đảm an toàn, an ninh mạng: </w:t>
      </w:r>
      <w:r w:rsidRPr="005C3870">
        <w:rPr>
          <w:rFonts w:ascii="Times New Roman" w:eastAsia="Times New Roman" w:hAnsi="Times New Roman" w:cs="Times New Roman"/>
          <w:color w:val="000000"/>
          <w:sz w:val="21"/>
          <w:szCs w:val="21"/>
        </w:rPr>
        <w:t xml:space="preserve">Triển khai các biện pháp bảo đảm an toàn, an ninh mạng; quản lý và giám sát an toàn thông tin; bảo mật dữ liệu, bảo đảm cơ chế sao lưu, phục hồi máy chủ, máy trạm, các thiết bị đầu cuối liên quan. Xây dựng hạ tầng, nền tảng số, dữ liệu số bảo đảm thông tin tin cậy, an toàn, lành mạnh; phát triển hệ thống nền tảng, hạ tầng, mạng lưới gắn với bảo đảm an toàn, an ninh mạng, có khả năng tự sàng lọc, phát hiện mã độc tấn công, bảo vệ ở mức căn bản. Định kỳ tổ chức kiểm tra, đánh giá mức </w:t>
      </w:r>
      <w:r w:rsidRPr="005C3870">
        <w:rPr>
          <w:rFonts w:ascii="Times New Roman" w:eastAsia="Times New Roman" w:hAnsi="Times New Roman" w:cs="Times New Roman"/>
          <w:color w:val="000000"/>
          <w:sz w:val="21"/>
          <w:szCs w:val="21"/>
        </w:rPr>
        <w:lastRenderedPageBreak/>
        <w:t>độ an toàn, an ninh, các lỗ hổng bảo mật của hệ thống phần mềm và dữ liệu, kịp thời phát hiện và có biện pháp xử lý kịp thời. Tổ chức lực lượng ứng cứu sự cố an toàn, an ninh mạng.</w:t>
      </w:r>
    </w:p>
    <w:p w14:paraId="20BCE2B2" w14:textId="77777777" w:rsidR="00696EF8" w:rsidRPr="005C3870" w:rsidRDefault="00696EF8" w:rsidP="00AB0CC6">
      <w:pPr>
        <w:spacing w:after="0" w:line="240" w:lineRule="auto"/>
        <w:jc w:val="both"/>
        <w:rPr>
          <w:rFonts w:ascii="Times New Roman" w:eastAsia="Times New Roman" w:hAnsi="Times New Roman" w:cs="Times New Roman"/>
          <w:b/>
          <w:color w:val="000000"/>
          <w:sz w:val="21"/>
          <w:szCs w:val="21"/>
        </w:rPr>
      </w:pPr>
      <w:r w:rsidRPr="005C3870">
        <w:rPr>
          <w:rFonts w:ascii="Times New Roman" w:eastAsia="Times New Roman" w:hAnsi="Times New Roman" w:cs="Times New Roman"/>
          <w:b/>
          <w:color w:val="000000"/>
          <w:sz w:val="21"/>
          <w:szCs w:val="21"/>
        </w:rPr>
        <w:t>6. Quá trình chuyển đổi số tại trường Cao Đẳng Lý Tự Trọng Tp.Hồ Chí Minh</w:t>
      </w:r>
    </w:p>
    <w:p w14:paraId="095177A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Trong thời gian vừa qua, khi dịch Covid-19 xảy ra trên toàn cầu đã ảnh hưởng đến mọi lĩnh vực của cuộc sống, giáo dục đào tạo không là ngoại lệ.</w:t>
      </w:r>
    </w:p>
    <w:p w14:paraId="1568AD0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Tại Việt Nam, nhiều cơ sở giáo dục và các trường học áp dụng giảng dạy online trong suốt thời gian diễn ra dịch Covid-19 và thời gian sau đó, song phương pháp trực tuyến vẫn gặp thách thức về công nghệ, cách đánh giá năng lực người học...</w:t>
      </w:r>
    </w:p>
    <w:p w14:paraId="6BC260B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1B06679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Tuy nhiên, với xu thế phát triển công nghệ hiện nay, việc tiếp cận công nghệ vào giảng dạy và học tập trở nên dễ dàng và thuận tiện hơn. Sự phát triển của các ứng dụng trên nền tảng di động, mạng xã hội giúp người dùng dễ dàng tương tác mọi lúc mọi nơi, đã tạo điều kiện cho giáo dục trực tuyến phát triển lên bậc cao hơn.…</w:t>
      </w:r>
    </w:p>
    <w:p w14:paraId="5FC1BEF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Năm học 2019-2020, 2020-2021 và 2021-2022 là 3 năm học có rất nhiều khó khăn với Thầy, Cô và sinh viên trường CĐ Lý Tự Trọng Tp.HCM . Đại dịch Covid bùng phát làm  xáo trộn việc giảng dạy của giảng  viên lẫn việc học của sinh viên. Trường CĐ Lý Tự Trọng Tp.HCM cũng đã có những bối rối  ở những buổi đầu khi chuyển sang dạy học trực tuyến nhưng đã được nhanh chóng khắc phục do việc giảng dạy trực tuyến đã được Nhà trường lên kế hoạch  từ  lâu và đã có sự chuẩn bị về cơ sở vật chất tuy chưa hoàn thiện . Thực sự, dạy học trực tuyến là do đại dịch Covid nhưng cũng là một cơ hội để thay đổi nhận thức, kĩ năng chuyển đổi số của đội ngũ giảng viên Nhà trường và năng lực số của sinh viên (những công dân tương lai của đất nước và toàn cầu). </w:t>
      </w:r>
    </w:p>
    <w:p w14:paraId="26C8B84B"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không gian học tập:</w:t>
      </w:r>
    </w:p>
    <w:p w14:paraId="7D52DA8D"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Tại tất cả các phòng học lý thuyết đã được trang bị màn hình LCD cỡ lớn đáp ứng việc ứng dụng CNTT vào bài giảng.</w:t>
      </w:r>
    </w:p>
    <w:p w14:paraId="6E97541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3E822D1B" w14:textId="77777777" w:rsidR="00696EF8"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AF4D802" wp14:editId="7E0FB706">
            <wp:extent cx="5642579" cy="36576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59861" cy="3668802"/>
                    </a:xfrm>
                    <a:prstGeom prst="rect">
                      <a:avLst/>
                    </a:prstGeom>
                  </pic:spPr>
                </pic:pic>
              </a:graphicData>
            </a:graphic>
          </wp:inline>
        </w:drawing>
      </w:r>
    </w:p>
    <w:p w14:paraId="23093F8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4D7B66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Thư viện trường được mở rộng cả về không gian và thời gian, tạo cho sinh viên có điều kiện học tập tốt nhất. Tăng đầu tư và nâng cao hiệu quả sừ dụng CNTT, xây dựng, hoàn thiện hệ thống thông tin tư liệu thư viện để hỗ trợ phát triển năng lực tự nghiên cứu của sinh viên.</w:t>
      </w:r>
    </w:p>
    <w:p w14:paraId="527E41E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50B2E74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3BED6128" wp14:editId="6AAA0C57">
            <wp:extent cx="4310712" cy="28800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10712" cy="2880000"/>
                    </a:xfrm>
                    <a:prstGeom prst="rect">
                      <a:avLst/>
                    </a:prstGeom>
                  </pic:spPr>
                </pic:pic>
              </a:graphicData>
            </a:graphic>
          </wp:inline>
        </w:drawing>
      </w:r>
    </w:p>
    <w:p w14:paraId="7A5F56A5"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68BFF90"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6B661F25" wp14:editId="2B7DD41D">
            <wp:extent cx="4339646" cy="2880000"/>
            <wp:effectExtent l="0" t="0" r="381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339646" cy="2880000"/>
                    </a:xfrm>
                    <a:prstGeom prst="rect">
                      <a:avLst/>
                    </a:prstGeom>
                  </pic:spPr>
                </pic:pic>
              </a:graphicData>
            </a:graphic>
          </wp:inline>
        </w:drawing>
      </w:r>
    </w:p>
    <w:p w14:paraId="33D8087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01C965D9"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8ACB7AD" wp14:editId="36880BFF">
            <wp:extent cx="4342362" cy="2103632"/>
            <wp:effectExtent l="0" t="0" r="127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370996" cy="2117503"/>
                    </a:xfrm>
                    <a:prstGeom prst="rect">
                      <a:avLst/>
                    </a:prstGeom>
                  </pic:spPr>
                </pic:pic>
              </a:graphicData>
            </a:graphic>
          </wp:inline>
        </w:drawing>
      </w:r>
    </w:p>
    <w:p w14:paraId="2654D42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1F5CB1D8"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21F80B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1213543F" wp14:editId="69665B90">
            <wp:extent cx="4471191" cy="2880000"/>
            <wp:effectExtent l="0" t="0" r="5715"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71191" cy="2880000"/>
                    </a:xfrm>
                    <a:prstGeom prst="rect">
                      <a:avLst/>
                    </a:prstGeom>
                  </pic:spPr>
                </pic:pic>
              </a:graphicData>
            </a:graphic>
          </wp:inline>
        </w:drawing>
      </w:r>
    </w:p>
    <w:p w14:paraId="4D9AA14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40294F9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thiết bị học tập:</w:t>
      </w:r>
    </w:p>
    <w:p w14:paraId="0BDE71C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Các phòng thực hành được nhà trường đầu tư trọng điểm, tiếp cận những công nghệ kỹ thuật mới nhất.</w:t>
      </w:r>
    </w:p>
    <w:p w14:paraId="6FBF9BA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4C471DA"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F1BD908" wp14:editId="3EC21282">
            <wp:extent cx="4474719" cy="3189427"/>
            <wp:effectExtent l="0" t="0" r="254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487889" cy="3198814"/>
                    </a:xfrm>
                    <a:prstGeom prst="rect">
                      <a:avLst/>
                    </a:prstGeom>
                  </pic:spPr>
                </pic:pic>
              </a:graphicData>
            </a:graphic>
          </wp:inline>
        </w:drawing>
      </w:r>
    </w:p>
    <w:p w14:paraId="1F50739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6C70297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Nhằm mục đích hoàn thiện các bài giảng trực tuyến, nhà trường đã đầu tư hệ thống phòng Zoom có đầy đủ trang thiết bị, đồng thời có nhân viên kỹ thuật hỗ trợ cho việc giảng dạy trực tuyến.</w:t>
      </w:r>
    </w:p>
    <w:p w14:paraId="25F2EB5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Wifi đã phủ sóng khắp toàn trường, mạng dây đã kết nối đến từng lớp học trực tiếp và các khoa, phòng bộ môn.</w:t>
      </w:r>
    </w:p>
    <w:p w14:paraId="733AEB8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Tăng cường về chất lượng các phòng học chuẩn với đầy đủ trang thiết bị hiện đại, phù hợp đổi mới công nghệ giảng dạy. Đầu tư trang bị cung cấp kỹ thuật số, đào tạo từ xa như chương trình mô phỏng, thực tế ảo hoặc trí tuệ nhân tạo.</w:t>
      </w:r>
    </w:p>
    <w:p w14:paraId="366A771B"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D68115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2A1AF72B" wp14:editId="6C18E37F">
            <wp:extent cx="4037143" cy="2880000"/>
            <wp:effectExtent l="0" t="0" r="1905"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37143" cy="2880000"/>
                    </a:xfrm>
                    <a:prstGeom prst="rect">
                      <a:avLst/>
                    </a:prstGeom>
                  </pic:spPr>
                </pic:pic>
              </a:graphicData>
            </a:graphic>
          </wp:inline>
        </w:drawing>
      </w:r>
    </w:p>
    <w:p w14:paraId="0C6EEC5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166E5B84"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EA45039" wp14:editId="02120868">
            <wp:extent cx="4023360" cy="28799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51617" cy="2900197"/>
                    </a:xfrm>
                    <a:prstGeom prst="rect">
                      <a:avLst/>
                    </a:prstGeom>
                  </pic:spPr>
                </pic:pic>
              </a:graphicData>
            </a:graphic>
          </wp:inline>
        </w:drawing>
      </w:r>
    </w:p>
    <w:p w14:paraId="22B9A57B"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70E20F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bCs/>
          <w:color w:val="000000"/>
          <w:sz w:val="21"/>
          <w:szCs w:val="21"/>
        </w:rPr>
      </w:pPr>
      <w:r w:rsidRPr="005C3870">
        <w:rPr>
          <w:rFonts w:ascii="Times New Roman" w:eastAsia="Calibri" w:hAnsi="Times New Roman" w:cs="Times New Roman"/>
          <w:bCs/>
          <w:color w:val="000000"/>
          <w:sz w:val="21"/>
          <w:szCs w:val="21"/>
        </w:rPr>
        <w:t>Về chương trình và đánh giá</w:t>
      </w:r>
    </w:p>
    <w:p w14:paraId="0412C5C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Đổi mới chương trình đào tạo định hướng, tăng cường cung cáp các kỹ năng nền tảng như kỹ năng kỹ thuật số, kỹ năng cơ bản và giao tiếp xã hội. Học tập ở Singapore đã triển khai Chương trình xúc tiến kỹ năng công nghệ (TeSA) nhằm: (1) Phát triển và nuôi dưỡng các nhà lãnh đạo chuyển đổi số: (2) Nâng cao kỹ năng cho nhân lực ngành công nghệ thông tin - truyền thông: (3) Hỗ trợ nhân lực ngoài ngành chuyển sang ngành công nghệ thông tin - truyền thông….</w:t>
      </w:r>
    </w:p>
    <w:p w14:paraId="5F39F8F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Tăng cường ứng dụng CNTT nghiên cứu cải tiến hệ thống quản lý đào tạo đáp ứng với sự phát triển của quy mô đào tạo và phù hợp với bối cảnh xã hội và cải tiến phương pháp đánh giá kết quả học tập, tập trung xây dựng kho dữ liệu câu hỏi trắc nghiệm cho các môn học lý thuyết. </w:t>
      </w:r>
    </w:p>
    <w:p w14:paraId="4E1048B6"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7. Các giải pháp trong quá trình chuyển đổi số tại trường Cao đẳng Lý Tự trọng Tp.HCM:</w:t>
      </w:r>
    </w:p>
    <w:p w14:paraId="61C23E10" w14:textId="14C03A3F"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Đội ngũ giảng viên, cán bộ và nhân viên là nguồn lực quan trọng nhất của nhà trường. Việc đảm bảo cho đội ngũ giảng viên, cán bộ và nhân viên không chỉ hoàn thành nhiệm vụ mà còn có thời gian tự học, tự nghiên cứu nhằm nâng cao trình độ chuyên môn, năng lực nghiệp vụ nhằm đảm đương nhiệm vụ trong quá trình chuyển đổi số tại nhà trường. Quy hoạch phát triển đội ngũ giảng viên, cán bộ và nhân viên có có năng lực, trình độ CNTT là nhiệm vụ then chốt.</w:t>
      </w:r>
    </w:p>
    <w:p w14:paraId="73D3E4B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Bồi dưỡng, nâng cao trình độ, năng lực chuyên môn bằng việc tập huấn với các chuyên gia đầu ngành. Nâng cao năng lực sử dụng các phương pháp giảng dạy tích cực, phù hợp với năng lực bản thân của giảng viên. Động viên giảng viên chủ động tham gia các hình thúc đào tạo tiên tiến, đào tạo trực tuyến để vừa nâng cao trình độ, vừa tiếp cận các mô hình dạy học mới.</w:t>
      </w:r>
    </w:p>
    <w:p w14:paraId="22FB53A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 xml:space="preserve">- Hiện đại hóa hạ tầng ICT (Công nghệ thông tin và truyền thông) phục vụ công tác quản lý và điều hành, xây dựng trung tâm quản lý và điều hành dữ liệu trong nhà trường. Đầu tư các thiết bị, hệ thống thông tin quản lý cơ sỏ dữ liệu. Đầu tư hệ thống thiết bị mô phỏng, thực tế ảo và các thiết bị dạy học hiện đại. </w:t>
      </w:r>
    </w:p>
    <w:p w14:paraId="1EC5B0B3"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8. Kết luận</w:t>
      </w:r>
    </w:p>
    <w:p w14:paraId="211873E2" w14:textId="5AF5A5C2"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Trước sự tác động mạnh mẽ, sâu  rộng của quá trình chuyển đổi số trường Cao đẳng Lý Tự Trọng Tp.HCM vẫn là lá cờ đầu, vẫn là nơi cung cấp nguồn nhân lực kỹ thuật có tay nghề cho Tp.HCM và cho cả nước. Để tiếp tục thực hiện sứ mệnh trong công cuộc chuyển đổi số của ngành trường Cao đẳng Lý Tự Trọng Tp.HCM cần  phải tiến hành đồng bộ các giải pháp: quy hoạch cán bộ, xây dựng năng lực giảng viên và phát triển hạ tầng ICT. Thực hiện đồng bộ các giải pháp trên sẽ góp phần quan trọng nâng cao chất lượng trong việc chuyển đổi số của Nhà trường.</w:t>
      </w:r>
    </w:p>
    <w:p w14:paraId="21540F4D" w14:textId="77777777" w:rsidR="00AB0CC6" w:rsidRDefault="00AB0CC6" w:rsidP="00AB0CC6">
      <w:pPr>
        <w:spacing w:after="200" w:line="276" w:lineRule="auto"/>
        <w:jc w:val="both"/>
        <w:rPr>
          <w:rFonts w:ascii="Times New Roman" w:eastAsia="Calibri" w:hAnsi="Times New Roman" w:cs="Times New Roman"/>
          <w:color w:val="000000"/>
          <w:sz w:val="21"/>
          <w:szCs w:val="21"/>
        </w:rPr>
      </w:pPr>
    </w:p>
    <w:p w14:paraId="3D255AFC" w14:textId="1A03DD78" w:rsidR="00696EF8" w:rsidRDefault="00696EF8" w:rsidP="00AB0CC6">
      <w:pPr>
        <w:spacing w:after="200" w:line="276" w:lineRule="auto"/>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Tài liệu tham khảo</w:t>
      </w:r>
    </w:p>
    <w:p w14:paraId="5D205D05" w14:textId="77777777" w:rsidR="00696EF8" w:rsidRPr="00B7725F" w:rsidRDefault="00696EF8" w:rsidP="004003EA">
      <w:pPr>
        <w:numPr>
          <w:ilvl w:val="0"/>
          <w:numId w:val="3"/>
        </w:numPr>
        <w:shd w:val="clear" w:color="auto" w:fill="FFFFFF"/>
        <w:spacing w:before="40" w:after="0" w:line="276" w:lineRule="auto"/>
        <w:ind w:left="567" w:hanging="577"/>
        <w:jc w:val="both"/>
        <w:rPr>
          <w:rFonts w:ascii="Times New Roman" w:hAnsi="Times New Roman" w:cs="Times New Roman"/>
          <w:bCs/>
          <w:spacing w:val="-4"/>
          <w:w w:val="98"/>
          <w:sz w:val="21"/>
          <w:szCs w:val="26"/>
          <w:lang w:val="vi-VN"/>
        </w:rPr>
      </w:pPr>
      <w:r w:rsidRPr="005C3870">
        <w:rPr>
          <w:rFonts w:ascii="Times New Roman" w:eastAsia="Calibri" w:hAnsi="Times New Roman" w:cs="Times New Roman"/>
          <w:sz w:val="21"/>
          <w:szCs w:val="21"/>
          <w:bdr w:val="none" w:sz="0" w:space="0" w:color="auto" w:frame="1"/>
        </w:rPr>
        <w:t>Báo cáo quốc gia năm 2020. Hội đồng quốc gia</w:t>
      </w:r>
    </w:p>
    <w:p w14:paraId="3D9D831A"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bdr w:val="none" w:sz="0" w:space="0" w:color="auto" w:frame="1"/>
          <w:lang w:val="vi-VN"/>
        </w:rPr>
      </w:pPr>
      <w:r w:rsidRPr="00696EF8">
        <w:rPr>
          <w:rFonts w:ascii="Times New Roman" w:eastAsia="Calibri" w:hAnsi="Times New Roman" w:cs="Times New Roman"/>
          <w:sz w:val="21"/>
          <w:szCs w:val="21"/>
          <w:lang w:val="vi-VN"/>
        </w:rPr>
        <w:t>Bộ Giáo dục và Đào tạo (12.2020), Chuyển đổi số trong giáo dục và đào tạo, https:// moet.gov.vn/tintuc/Pages/tin-tong-hop.aspx?ItemID=7123</w:t>
      </w:r>
    </w:p>
    <w:p w14:paraId="5EBB40B4"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bdr w:val="none" w:sz="0" w:space="0" w:color="auto" w:frame="1"/>
          <w:lang w:val="vi-VN"/>
        </w:rPr>
        <w:t>Đề án Ngoại ngữ Quốc Gia. 2020. Những ‘điểm sáng’ của ngành giáo dục năm 2020.</w:t>
      </w:r>
    </w:p>
    <w:p w14:paraId="50AE2570"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Nghị quyết 52-NQ/TW ngày 27/9/2019 của Bộ Chính trị về một số chủ trương, chính sách chủ động tham gia cuộc Cách mạng Công nghiệp lần thứ 4.</w:t>
      </w:r>
    </w:p>
    <w:p w14:paraId="43DF10AE"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749/QĐ-TTg ngày 03/6/2020 của Thủ tướng Chính phủ về việc phê duyệt “Chương trình Chuyển đổi số quốc gia đến năm 2025, định hướng đến năm 2030”.</w:t>
      </w:r>
    </w:p>
    <w:p w14:paraId="5F8FB8A1"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27AAD507"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Phát triển đội ngũ giảng viên, cán bộ và nhân vieentrong quá trình chuyển đổi mô hình đào tạo của nhà trường thông minh – TS Phạm Hữu Lộc, CĐ Lý Tự Trọng Tp.HCM.</w:t>
      </w:r>
    </w:p>
    <w:p w14:paraId="5FBB2D88" w14:textId="77777777" w:rsid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bdr w:val="none" w:sz="0" w:space="0" w:color="auto" w:frame="1"/>
        </w:rPr>
      </w:pPr>
      <w:r w:rsidRPr="00B7725F">
        <w:rPr>
          <w:rFonts w:ascii="Times New Roman" w:eastAsia="Calibri" w:hAnsi="Times New Roman" w:cs="Times New Roman"/>
          <w:sz w:val="21"/>
          <w:szCs w:val="21"/>
          <w:bdr w:val="none" w:sz="0" w:space="0" w:color="auto" w:frame="1"/>
        </w:rPr>
        <w:t>ttps://laodong.vn/ban-doc/chuyen-doi-so-trong-giao-duc-la-gi-992458.ldo</w:t>
      </w:r>
    </w:p>
    <w:p w14:paraId="58804A1F" w14:textId="77777777" w:rsidR="004003EA" w:rsidRDefault="00805944"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6" w:history="1">
        <w:r w:rsidR="00696EF8" w:rsidRPr="00B7725F">
          <w:rPr>
            <w:rFonts w:ascii="Times New Roman" w:eastAsia="Calibri" w:hAnsi="Times New Roman" w:cs="Times New Roman"/>
            <w:sz w:val="21"/>
            <w:szCs w:val="21"/>
          </w:rPr>
          <w:t>http://hvcsnd.edu.vn/nghien-cuu-trao-doi/dai-hoc-40/chuyen-doi-so-trong-linh-vuc-giao-duc-va-dao-tao-thuc-trang-va-giai-phap-6886</w:t>
        </w:r>
      </w:hyperlink>
    </w:p>
    <w:p w14:paraId="52CC3E8A" w14:textId="18615399" w:rsidR="00696EF8" w:rsidRPr="004003EA" w:rsidRDefault="00805944"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7" w:history="1">
        <w:r w:rsidR="004003EA" w:rsidRPr="00A53BC4">
          <w:rPr>
            <w:rStyle w:val="Hyperlink"/>
            <w:rFonts w:ascii="Times New Roman" w:eastAsia="Calibri" w:hAnsi="Times New Roman" w:cs="Times New Roman"/>
            <w:sz w:val="21"/>
            <w:szCs w:val="21"/>
          </w:rPr>
          <w:t>https://baochinhphu.vn/chuyen-doi-so-trong-giao-duc-nghe-nghiep-102306478.htm</w:t>
        </w:r>
      </w:hyperlink>
      <w:bookmarkEnd w:id="0"/>
    </w:p>
    <w:sectPr w:rsidR="00696EF8" w:rsidRPr="004003EA" w:rsidSect="00F078D2">
      <w:headerReference w:type="default" r:id="rId18"/>
      <w:footerReference w:type="default" r:id="rId19"/>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F23F4" w14:textId="77777777" w:rsidR="00805944" w:rsidRDefault="00805944" w:rsidP="00696EF8">
      <w:pPr>
        <w:spacing w:after="0" w:line="240" w:lineRule="auto"/>
      </w:pPr>
      <w:r>
        <w:separator/>
      </w:r>
    </w:p>
  </w:endnote>
  <w:endnote w:type="continuationSeparator" w:id="0">
    <w:p w14:paraId="711C66DA" w14:textId="77777777" w:rsidR="00805944" w:rsidRDefault="00805944" w:rsidP="00696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400690"/>
      <w:docPartObj>
        <w:docPartGallery w:val="Page Numbers (Bottom of Page)"/>
        <w:docPartUnique/>
      </w:docPartObj>
    </w:sdtPr>
    <w:sdtEndPr>
      <w:rPr>
        <w:noProof/>
      </w:rPr>
    </w:sdtEndPr>
    <w:sdtContent>
      <w:p w14:paraId="541BE94A" w14:textId="77777777" w:rsidR="00696EF8" w:rsidRDefault="00696EF8" w:rsidP="00696E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28AEEA56" w14:textId="77777777" w:rsidR="00696EF8" w:rsidRDefault="00696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535DE" w14:textId="77777777" w:rsidR="00805944" w:rsidRDefault="00805944" w:rsidP="00696EF8">
      <w:pPr>
        <w:spacing w:after="0" w:line="240" w:lineRule="auto"/>
      </w:pPr>
      <w:r>
        <w:separator/>
      </w:r>
    </w:p>
  </w:footnote>
  <w:footnote w:type="continuationSeparator" w:id="0">
    <w:p w14:paraId="0A90A568" w14:textId="77777777" w:rsidR="00805944" w:rsidRDefault="00805944" w:rsidP="00696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696EF8" w:rsidRPr="00B93300" w14:paraId="40946379"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319EDC1" w14:textId="77777777" w:rsidR="00696EF8" w:rsidRPr="00B93300" w:rsidRDefault="00696EF8" w:rsidP="00696E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4C2CF39" w14:textId="77777777" w:rsidR="00696EF8" w:rsidRPr="00B93300" w:rsidRDefault="00696EF8" w:rsidP="00696E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5C621C7" w14:textId="77777777" w:rsidR="00696EF8" w:rsidRDefault="00696E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40DC3"/>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9724BA"/>
    <w:multiLevelType w:val="hybridMultilevel"/>
    <w:tmpl w:val="515A6852"/>
    <w:lvl w:ilvl="0" w:tplc="511AEA76">
      <w:start w:val="5"/>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5C9C0425"/>
    <w:multiLevelType w:val="hybridMultilevel"/>
    <w:tmpl w:val="FF9A6FAE"/>
    <w:lvl w:ilvl="0" w:tplc="1342258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EF8"/>
    <w:rsid w:val="00016D78"/>
    <w:rsid w:val="003316C1"/>
    <w:rsid w:val="004003EA"/>
    <w:rsid w:val="004106AD"/>
    <w:rsid w:val="00547EBC"/>
    <w:rsid w:val="00606B7E"/>
    <w:rsid w:val="00696EF8"/>
    <w:rsid w:val="00805944"/>
    <w:rsid w:val="00861EAE"/>
    <w:rsid w:val="008A751B"/>
    <w:rsid w:val="008A7984"/>
    <w:rsid w:val="00900F42"/>
    <w:rsid w:val="009E1AF0"/>
    <w:rsid w:val="00AB0CC6"/>
    <w:rsid w:val="00B00D52"/>
    <w:rsid w:val="00B65DD7"/>
    <w:rsid w:val="00C726F9"/>
    <w:rsid w:val="00CC50C1"/>
    <w:rsid w:val="00D90D43"/>
    <w:rsid w:val="00EB6B70"/>
    <w:rsid w:val="00ED6C2D"/>
    <w:rsid w:val="00F078D2"/>
    <w:rsid w:val="00F33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69FE"/>
  <w15:chartTrackingRefBased/>
  <w15:docId w15:val="{2509C59B-44A4-433C-A983-9AE40FD83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696EF8"/>
    <w:pPr>
      <w:ind w:left="720"/>
      <w:contextualSpacing/>
    </w:pPr>
  </w:style>
  <w:style w:type="table" w:customStyle="1" w:styleId="TableGrid6">
    <w:name w:val="Table Grid6"/>
    <w:basedOn w:val="TableNormal"/>
    <w:next w:val="TableGrid"/>
    <w:uiPriority w:val="39"/>
    <w:rsid w:val="00696EF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696EF8"/>
  </w:style>
  <w:style w:type="table" w:styleId="TableGrid">
    <w:name w:val="Table Grid"/>
    <w:basedOn w:val="TableNormal"/>
    <w:uiPriority w:val="39"/>
    <w:rsid w:val="00696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6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EF8"/>
  </w:style>
  <w:style w:type="paragraph" w:styleId="Footer">
    <w:name w:val="footer"/>
    <w:basedOn w:val="Normal"/>
    <w:link w:val="FooterChar"/>
    <w:uiPriority w:val="99"/>
    <w:unhideWhenUsed/>
    <w:rsid w:val="00696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EF8"/>
  </w:style>
  <w:style w:type="character" w:styleId="Hyperlink">
    <w:name w:val="Hyperlink"/>
    <w:basedOn w:val="DefaultParagraphFont"/>
    <w:uiPriority w:val="99"/>
    <w:unhideWhenUsed/>
    <w:rsid w:val="00AB0CC6"/>
    <w:rPr>
      <w:color w:val="0563C1" w:themeColor="hyperlink"/>
      <w:u w:val="single"/>
    </w:rPr>
  </w:style>
  <w:style w:type="character" w:styleId="UnresolvedMention">
    <w:name w:val="Unresolved Mention"/>
    <w:basedOn w:val="DefaultParagraphFont"/>
    <w:uiPriority w:val="99"/>
    <w:semiHidden/>
    <w:unhideWhenUsed/>
    <w:rsid w:val="00AB0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angducminh@lttc.edu.vn" TargetMode="External"/><Relationship Id="rId12" Type="http://schemas.openxmlformats.org/officeDocument/2006/relationships/image" Target="media/image5.png"/><Relationship Id="rId17" Type="http://schemas.openxmlformats.org/officeDocument/2006/relationships/hyperlink" Target="https://baochinhphu.vn/chuyen-doi-so-trong-giao-duc-nghe-nghiep-102306478.htm" TargetMode="External"/><Relationship Id="rId2" Type="http://schemas.openxmlformats.org/officeDocument/2006/relationships/styles" Target="styles.xml"/><Relationship Id="rId16" Type="http://schemas.openxmlformats.org/officeDocument/2006/relationships/hyperlink" Target="http://hvcsnd.edu.vn/nghien-cuu-trao-doi/dai-hoc-40/chuyen-doi-so-trong-linh-vuc-giao-duc-va-dao-tao-thuc-trang-va-giai-phap-688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4093</Words>
  <Characters>23336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Nga Nguyễn Thị Tố</cp:lastModifiedBy>
  <cp:revision>5</cp:revision>
  <dcterms:created xsi:type="dcterms:W3CDTF">2022-07-21T05:47:00Z</dcterms:created>
  <dcterms:modified xsi:type="dcterms:W3CDTF">2022-07-21T23:55:00Z</dcterms:modified>
</cp:coreProperties>
</file>