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Georgia" w:hAnsi="Georgia"/>
          <w:b/>
          <w:sz w:val="72"/>
          <w:szCs w:val="72"/>
        </w:rPr>
      </w:pPr>
      <w:r>
        <w:rPr>
          <w:rFonts w:ascii="Georgia" w:hAnsi="Georgia"/>
          <w:b/>
          <w:sz w:val="48"/>
          <w:szCs w:val="48"/>
        </w:rPr>
        <w:drawing>
          <wp:inline distT="0" distB="0" distL="0" distR="0">
            <wp:extent cx="1986915" cy="19932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1987459" cy="1993392"/>
                    </a:xfrm>
                    <a:prstGeom prst="rect">
                      <a:avLst/>
                    </a:prstGeom>
                    <a:noFill/>
                    <a:ln>
                      <a:noFill/>
                    </a:ln>
                  </pic:spPr>
                </pic:pic>
              </a:graphicData>
            </a:graphic>
          </wp:inline>
        </w:drawing>
      </w:r>
    </w:p>
    <w:p>
      <w:pPr>
        <w:jc w:val="center"/>
        <w:rPr>
          <w:rFonts w:ascii="Georgia" w:hAnsi="Georgia"/>
          <w:b/>
          <w:sz w:val="72"/>
          <w:szCs w:val="72"/>
        </w:rPr>
      </w:pPr>
    </w:p>
    <w:p>
      <w:pPr>
        <w:rPr>
          <w:rFonts w:ascii="Arial" w:hAnsi="Arial" w:cs="Arial"/>
          <w:b/>
          <w:sz w:val="72"/>
          <w:szCs w:val="72"/>
        </w:rPr>
      </w:pPr>
    </w:p>
    <w:p>
      <w:pPr>
        <w:rPr>
          <w:rFonts w:ascii="Arial" w:hAnsi="Arial" w:cs="Arial"/>
          <w:b/>
          <w:sz w:val="72"/>
          <w:szCs w:val="72"/>
        </w:rPr>
      </w:pPr>
      <w:r>
        <w:rPr>
          <w:rFonts w:ascii="Arial" w:hAnsi="Arial" w:cs="Arial"/>
          <w:b/>
          <w:sz w:val="52"/>
          <w:szCs w:val="52"/>
        </w:rPr>
        <w:t xml:space="preserve">MẪU BÁO CÁO ĐÁNH GIÁ </w:t>
      </w:r>
      <w:r>
        <w:rPr>
          <w:rFonts w:hint="default" w:ascii="Arial" w:hAnsi="Arial" w:cs="Arial"/>
          <w:b/>
          <w:sz w:val="52"/>
          <w:szCs w:val="52"/>
          <w:lang w:val="en-US"/>
        </w:rPr>
        <w:t xml:space="preserve">MỨC ĐỘ </w:t>
      </w:r>
      <w:r>
        <w:rPr>
          <w:rFonts w:ascii="Arial" w:hAnsi="Arial" w:cs="Arial"/>
          <w:b/>
          <w:sz w:val="52"/>
          <w:szCs w:val="52"/>
        </w:rPr>
        <w:t>SẴN SÀNG</w:t>
      </w:r>
    </w:p>
    <w:p>
      <w:pPr>
        <w:rPr>
          <w:rFonts w:ascii="Arial" w:hAnsi="Arial" w:cs="Arial"/>
          <w:sz w:val="36"/>
          <w:szCs w:val="36"/>
        </w:rPr>
      </w:pPr>
      <w:r>
        <w:rPr>
          <w:rFonts w:ascii="Arial" w:hAnsi="Arial" w:cs="Arial"/>
          <w:sz w:val="36"/>
          <w:szCs w:val="36"/>
        </w:rPr>
        <w:t>Chu kỳ đánh giá mức độ sẵn sàng 2023-2024</w:t>
      </w:r>
    </w:p>
    <w:p>
      <w:pPr>
        <w:rPr>
          <w:rFonts w:ascii="Arial" w:hAnsi="Arial" w:cs="Arial"/>
          <w:b/>
          <w:sz w:val="36"/>
          <w:szCs w:val="36"/>
        </w:rPr>
      </w:pPr>
    </w:p>
    <w:p>
      <w:pPr>
        <w:rPr>
          <w:rFonts w:ascii="Arial" w:hAnsi="Arial" w:cs="Arial"/>
          <w:i/>
          <w:sz w:val="28"/>
          <w:szCs w:val="28"/>
        </w:rPr>
      </w:pPr>
      <w:r>
        <w:rPr>
          <w:rFonts w:ascii="Arial" w:hAnsi="Arial" w:cs="Arial"/>
          <w:i/>
          <w:sz w:val="28"/>
          <w:szCs w:val="28"/>
        </w:rPr>
        <w:t xml:space="preserve">Trích từ Bảng câu hỏi tự </w:t>
      </w:r>
      <w:r>
        <w:rPr>
          <w:rFonts w:ascii="Arial" w:hAnsi="Arial" w:cs="Arial"/>
          <w:i/>
          <w:sz w:val="28"/>
          <w:szCs w:val="28"/>
          <w:lang w:val="en-US"/>
        </w:rPr>
        <w:t>đ</w:t>
      </w:r>
      <w:r>
        <w:rPr>
          <w:rFonts w:hint="default" w:ascii="Arial" w:hAnsi="Arial" w:cs="Arial"/>
          <w:i/>
          <w:sz w:val="28"/>
          <w:szCs w:val="28"/>
          <w:lang w:val="en-US"/>
        </w:rPr>
        <w:t>ánh giá</w:t>
      </w:r>
      <w:r>
        <w:rPr>
          <w:rFonts w:ascii="Arial" w:hAnsi="Arial" w:cs="Arial"/>
          <w:i/>
          <w:sz w:val="28"/>
          <w:szCs w:val="28"/>
        </w:rPr>
        <w:t xml:space="preserve"> ETAC 2022-23</w:t>
      </w:r>
    </w:p>
    <w:p>
      <w:pPr>
        <w:rPr>
          <w:rFonts w:ascii="Arial" w:hAnsi="Arial" w:cs="Arial"/>
          <w:b/>
          <w:sz w:val="36"/>
          <w:szCs w:val="36"/>
        </w:rPr>
      </w:pPr>
    </w:p>
    <w:p>
      <w:pPr>
        <w:rPr>
          <w:rFonts w:ascii="Arial" w:hAnsi="Arial" w:cs="Arial"/>
          <w:b/>
          <w:sz w:val="28"/>
          <w:szCs w:val="28"/>
        </w:rPr>
      </w:pPr>
    </w:p>
    <w:p>
      <w:pPr>
        <w:rPr>
          <w:rFonts w:ascii="Arial" w:hAnsi="Arial" w:cs="Arial"/>
          <w:sz w:val="28"/>
          <w:szCs w:val="28"/>
        </w:rPr>
      </w:pPr>
      <w:r>
        <w:rPr>
          <w:rFonts w:ascii="Arial" w:hAnsi="Arial" w:cs="Arial"/>
          <w:b/>
          <w:sz w:val="28"/>
          <w:szCs w:val="28"/>
        </w:rPr>
        <w:t>ỦY BAN CÔNG NHẬN CÔNG NGHỆ KỸ THUẬT (ETAC)</w:t>
      </w:r>
    </w:p>
    <w:p>
      <w:pPr>
        <w:rPr>
          <w:rFonts w:ascii="Arial" w:hAnsi="Arial" w:cs="Arial"/>
          <w:sz w:val="28"/>
          <w:szCs w:val="28"/>
        </w:rPr>
      </w:pPr>
    </w:p>
    <w:p>
      <w:pPr>
        <w:rPr>
          <w:rFonts w:ascii="Arial" w:hAnsi="Arial" w:cs="Arial"/>
          <w:sz w:val="28"/>
          <w:szCs w:val="28"/>
        </w:rPr>
      </w:pPr>
    </w:p>
    <w:p>
      <w:pPr>
        <w:rPr>
          <w:rFonts w:ascii="Arial" w:hAnsi="Arial" w:cs="Arial"/>
          <w:b/>
        </w:rPr>
      </w:pPr>
      <w:r>
        <w:rPr>
          <w:rFonts w:ascii="Arial" w:hAnsi="Arial" w:cs="Arial"/>
          <w:b/>
        </w:rPr>
        <w:t>ABET</w:t>
      </w:r>
    </w:p>
    <w:p>
      <w:pPr>
        <w:rPr>
          <w:rFonts w:ascii="Arial" w:hAnsi="Arial" w:cs="Arial"/>
        </w:rPr>
      </w:pPr>
      <w:r>
        <w:rPr>
          <w:rFonts w:ascii="Arial" w:hAnsi="Arial" w:cs="Arial"/>
        </w:rPr>
        <w:t>415 N. Charles St.</w:t>
      </w:r>
    </w:p>
    <w:p>
      <w:pPr>
        <w:rPr>
          <w:rFonts w:ascii="Arial" w:hAnsi="Arial" w:cs="Arial"/>
        </w:rPr>
      </w:pPr>
      <w:r>
        <w:rPr>
          <w:rFonts w:ascii="Arial" w:hAnsi="Arial" w:cs="Arial"/>
        </w:rPr>
        <w:t>Baltimore, MD 21201</w:t>
      </w:r>
    </w:p>
    <w:p>
      <w:pPr>
        <w:rPr>
          <w:rFonts w:ascii="Arial" w:hAnsi="Arial" w:cs="Arial"/>
        </w:rPr>
      </w:pPr>
      <w:r>
        <w:rPr>
          <w:rFonts w:ascii="Arial" w:hAnsi="Arial" w:cs="Arial"/>
        </w:rPr>
        <w:t>Điện thoại: 410-347-7700</w:t>
      </w:r>
    </w:p>
    <w:p>
      <w:pPr>
        <w:rPr>
          <w:rFonts w:ascii="Arial" w:hAnsi="Arial" w:cs="Arial"/>
        </w:rPr>
      </w:pPr>
      <w:r>
        <w:rPr>
          <w:rFonts w:ascii="Arial" w:hAnsi="Arial" w:cs="Arial"/>
        </w:rPr>
        <w:t xml:space="preserve">Email: </w:t>
      </w:r>
      <w:r>
        <w:fldChar w:fldCharType="begin"/>
      </w:r>
      <w:r>
        <w:instrText xml:space="preserve"> HYPERLINK "mailto:etac@abet.org" </w:instrText>
      </w:r>
      <w:r>
        <w:fldChar w:fldCharType="separate"/>
      </w:r>
      <w:r>
        <w:rPr>
          <w:rStyle w:val="26"/>
          <w:rFonts w:ascii="Arial" w:hAnsi="Arial" w:cs="Arial"/>
          <w:color w:val="696867"/>
        </w:rPr>
        <w:t xml:space="preserve">ReadinessReview </w:t>
      </w:r>
      <w:r>
        <w:rPr>
          <w:rStyle w:val="26"/>
          <w:rFonts w:ascii="Arial" w:hAnsi="Arial" w:cs="Arial"/>
          <w:color w:val="696867"/>
        </w:rPr>
        <w:fldChar w:fldCharType="end"/>
      </w:r>
      <w:r>
        <w:fldChar w:fldCharType="begin"/>
      </w:r>
      <w:r>
        <w:instrText xml:space="preserve"> HYPERLINK "mailto:etac@abet.org" </w:instrText>
      </w:r>
      <w:r>
        <w:fldChar w:fldCharType="separate"/>
      </w:r>
      <w:r>
        <w:rPr>
          <w:rStyle w:val="26"/>
          <w:rFonts w:ascii="Arial" w:hAnsi="Arial" w:cs="Arial"/>
          <w:color w:val="696867"/>
        </w:rPr>
        <w:t>@abet.org</w:t>
      </w:r>
      <w:r>
        <w:rPr>
          <w:rStyle w:val="26"/>
          <w:rFonts w:ascii="Arial" w:hAnsi="Arial" w:cs="Arial"/>
          <w:color w:val="696867"/>
        </w:rPr>
        <w:fldChar w:fldCharType="end"/>
      </w:r>
    </w:p>
    <w:p>
      <w:pPr>
        <w:rPr>
          <w:rStyle w:val="26"/>
          <w:rFonts w:ascii="Arial" w:hAnsi="Arial" w:cs="Arial"/>
          <w:color w:val="FF6C2C"/>
        </w:rPr>
      </w:pPr>
      <w:r>
        <w:rPr>
          <w:rFonts w:ascii="Arial" w:hAnsi="Arial" w:cs="Arial"/>
        </w:rPr>
        <w:t xml:space="preserve">Trang web: </w:t>
      </w:r>
      <w:r>
        <w:fldChar w:fldCharType="begin"/>
      </w:r>
      <w:r>
        <w:instrText xml:space="preserve"> HYPERLINK "http://www.abet.org" </w:instrText>
      </w:r>
      <w:r>
        <w:fldChar w:fldCharType="separate"/>
      </w:r>
      <w:r>
        <w:rPr>
          <w:rStyle w:val="26"/>
          <w:rFonts w:ascii="Arial" w:hAnsi="Arial" w:cs="Arial"/>
          <w:color w:val="FF6C2C"/>
        </w:rPr>
        <w:t>http://www.abet.org</w:t>
      </w:r>
      <w:r>
        <w:rPr>
          <w:rStyle w:val="26"/>
          <w:rFonts w:ascii="Arial" w:hAnsi="Arial" w:cs="Arial"/>
          <w:color w:val="FF6C2C"/>
        </w:rPr>
        <w:fldChar w:fldCharType="end"/>
      </w:r>
    </w:p>
    <w:p>
      <w:pPr>
        <w:rPr>
          <w:rStyle w:val="26"/>
          <w:rFonts w:ascii="Arial" w:hAnsi="Arial" w:cs="Arial"/>
          <w:color w:val="FF6C2C"/>
        </w:rPr>
      </w:pPr>
    </w:p>
    <w:p>
      <w:pPr>
        <w:pStyle w:val="2"/>
      </w:pPr>
      <w:r>
        <w:br w:type="page"/>
      </w:r>
      <w:bookmarkStart w:id="0" w:name="_Toc268163160"/>
      <w:r>
        <w:t>Giới thiệu về</w:t>
      </w:r>
      <w:bookmarkEnd w:id="0"/>
    </w:p>
    <w:p>
      <w:r>
        <w:t xml:space="preserve">Mẫu báo cáo đánh giá mức độ sẵn sàng này phần lớn được trích xuất từ Mẫu báo cáo </w:t>
      </w:r>
      <w:r>
        <w:rPr>
          <w:lang w:val="en-US"/>
        </w:rPr>
        <w:t>tự đánh giá</w:t>
      </w:r>
      <w:r>
        <w:rPr>
          <w:rFonts w:hint="default"/>
          <w:lang w:val="en-US"/>
        </w:rPr>
        <w:t xml:space="preserve"> </w:t>
      </w:r>
      <w:r>
        <w:t xml:space="preserve">được sử dụng để chuẩn bị </w:t>
      </w:r>
      <w:r>
        <w:rPr>
          <w:lang w:val="en-US"/>
        </w:rPr>
        <w:t>tự đánh giá</w:t>
      </w:r>
      <w:r>
        <w:rPr>
          <w:rFonts w:hint="default"/>
          <w:lang w:val="en-US"/>
        </w:rPr>
        <w:t xml:space="preserve"> </w:t>
      </w:r>
      <w:r>
        <w:t>cho đánh giá ABET.</w:t>
      </w:r>
    </w:p>
    <w:p/>
    <w:p>
      <w:r>
        <w:t>Báo cáo đánh giá mức độ sẵn sàng sẽ được sử dụng cho Ủy ban đánh giá mức độ sẵn sàng để:</w:t>
      </w:r>
    </w:p>
    <w:p>
      <w:pPr>
        <w:numPr>
          <w:ilvl w:val="0"/>
          <w:numId w:val="1"/>
        </w:numPr>
      </w:pPr>
      <w:r>
        <w:t>xác định xem chương trình có hiểu các yêu cầu chính để được công nhận hay không, đặc biệt là các yêu cầu về tên chương trình, Tiêu chí 1 đến Tiêu chí 6 và các tiêu chí của chương trình nếu có,</w:t>
      </w:r>
    </w:p>
    <w:p>
      <w:pPr>
        <w:numPr>
          <w:ilvl w:val="0"/>
          <w:numId w:val="1"/>
        </w:numPr>
      </w:pPr>
      <w:r>
        <w:t>hiểu liệu chương trình đã sẵn sàng để bắt đầu đánh giá chính thức hay chưa trước khi tổ chức của chương trình đầu tư một lượng đáng kể nguồn lực và thời gian nhân sự để chuẩn bị cho đánh giá chính thức của Ủy ban,</w:t>
      </w:r>
    </w:p>
    <w:p>
      <w:pPr>
        <w:numPr>
          <w:ilvl w:val="0"/>
          <w:numId w:val="1"/>
        </w:numPr>
      </w:pPr>
      <w:r>
        <w:t>xác định các lĩnh vực mà chương trình có thể cần thêm thời gian để giải quyết các vấn đề liên quan đến việc tuân thủ các tiêu chí trước khi đánh giá chính thức và</w:t>
      </w:r>
    </w:p>
    <w:p>
      <w:pPr>
        <w:pStyle w:val="50"/>
        <w:numPr>
          <w:ilvl w:val="0"/>
          <w:numId w:val="1"/>
        </w:numPr>
      </w:pPr>
      <w:r>
        <w:t>cung cấp cho chương trình thông tin phản hồi phù hợp liên quan đến trạng thái sẵn sàng cho đánh giá công nhận chính thức.</w:t>
      </w:r>
    </w:p>
    <w:p/>
    <w:p>
      <w:r>
        <w:t>Báo cáo đánh giá mức độ sẵn sàng phải phản ánh mức độ mà chương trình đáp ứng các tiêu chí và chính sách ABET hiện hành. Vì lý do này, Báo cáo cần đề cập đến tất cả các phương pháp phân phối hướng dẫn được sử dụng cho chương trình, tất cả các con đường khả thi mà sinh viên có thể thực hiện để hoàn thành bằng cấp và mọi dịch vụ từ xa có sẵn cho sinh viên trong chương trình.</w:t>
      </w:r>
    </w:p>
    <w:p/>
    <w:p>
      <w:r>
        <w:t xml:space="preserve">ABET cung cấp một mẫu cho mỗi </w:t>
      </w:r>
      <w:r>
        <w:rPr>
          <w:rFonts w:hint="default"/>
          <w:lang w:val="en-US"/>
        </w:rPr>
        <w:t>nhiệm vụ</w:t>
      </w:r>
      <w:r>
        <w:t xml:space="preserve"> để hỗ trợ chương trình hoàn thành Báo cáo đánh giá mức độ sẵn sàng.</w:t>
      </w:r>
    </w:p>
    <w:p>
      <w:pPr>
        <w:pStyle w:val="2"/>
      </w:pPr>
      <w:bookmarkStart w:id="1" w:name="_Toc268163161"/>
      <w:r>
        <w:t>Yêu cầu và chuẩn bị</w:t>
      </w:r>
      <w:bookmarkEnd w:id="1"/>
    </w:p>
    <w:p>
      <w:r>
        <w:t xml:space="preserve">Tên chương trình được sử dụng trên trang bìa của Báo cáo đánh giá mức độ sẵn sàng </w:t>
      </w:r>
      <w:r>
        <w:rPr>
          <w:b/>
        </w:rPr>
        <w:t xml:space="preserve">phải </w:t>
      </w:r>
      <w:r>
        <w:t>giống với tên được sử dụng trong các ấn phẩm của tổ chức, trên Yêu cầu đánh giá mức độ sẵn sàng của ABET ( RREv ) và trên bảng điểm của sinh viên tốt nghiệp/sinh viên. Điều này sẽ đảm bảo rằng chương trình được xác định chính xác trong hồ sơ ABET.</w:t>
      </w:r>
    </w:p>
    <w:p/>
    <w:p>
      <w:r>
        <w:t xml:space="preserve">Phải hoàn thành Đánh giá mức độ sẵn sàng cho (các) chương trình trong một tổ chức không có các chương trình được ABET công nhận trước đó trong một </w:t>
      </w:r>
      <w:r>
        <w:rPr>
          <w:lang w:val="en-US"/>
        </w:rPr>
        <w:t>nhiệm vụ</w:t>
      </w:r>
      <w:r>
        <w:t xml:space="preserve"> nhất định.</w:t>
      </w:r>
    </w:p>
    <w:p/>
    <w:p>
      <w:r>
        <w:t xml:space="preserve">Mặc dù </w:t>
      </w:r>
      <w:r>
        <w:rPr>
          <w:i/>
        </w:rPr>
        <w:t xml:space="preserve">Mẫu chủ yếu tập trung vào các tiêu chí công nhận, nhưng nó cũng bao gồm các câu hỏi liên quan đến một số phần nhất định trong Sổ tay Thủ tục và Chính sách Công nhận </w:t>
      </w:r>
      <w:r>
        <w:t>ABET (APPM).</w:t>
      </w:r>
    </w:p>
    <w:p/>
    <w:p>
      <w:r>
        <w:t xml:space="preserve">Mặc dù điều quan trọng là cấu trúc tổng thể trong </w:t>
      </w:r>
      <w:r>
        <w:rPr>
          <w:i/>
        </w:rPr>
        <w:t xml:space="preserve">Mẫu </w:t>
      </w:r>
      <w:r>
        <w:t>được lưu giữ, không cần thiết phải lưu giữ các ghi chú hoặc trang hướng dẫn về việc chuẩn bị Báo cáo đánh giá mức độ sẵn sàng.</w:t>
      </w:r>
    </w:p>
    <w:p/>
    <w:p>
      <w:r>
        <w:t xml:space="preserve">Một chương trình có thể sử dụng thuật ngữ khác với thuật ngữ được sử dụng trong </w:t>
      </w:r>
      <w:r>
        <w:rPr>
          <w:i/>
        </w:rPr>
        <w:t xml:space="preserve">Bản mẫu </w:t>
      </w:r>
      <w:r>
        <w:t xml:space="preserve">. Nếu thuật ngữ khác được sử dụng, điều quan trọng là Báo cáo đánh giá mức độ sẵn sàng cung cấp các ghi chú giải thích để liên kết rõ ràng thuật ngữ trong Báo cáo với thuật ngữ được sử dụng trong </w:t>
      </w:r>
      <w:r>
        <w:rPr>
          <w:i/>
        </w:rPr>
        <w:t xml:space="preserve">Mẫu </w:t>
      </w:r>
      <w:r>
        <w:t>.</w:t>
      </w:r>
    </w:p>
    <w:p/>
    <w:p>
      <w:r>
        <w:t xml:space="preserve">Các bảng trong </w:t>
      </w:r>
      <w:r>
        <w:rPr>
          <w:i/>
        </w:rPr>
        <w:t xml:space="preserve">Mẫu </w:t>
      </w:r>
      <w:r>
        <w:t>có thể được sửa đổi về định dạng để trình bày rõ ràng hơn</w:t>
      </w:r>
      <w:r>
        <w:rPr>
          <w:sz w:val="28"/>
          <w:szCs w:val="28"/>
        </w:rPr>
        <w:t xml:space="preserve"> </w:t>
      </w:r>
      <w:r>
        <w:t>thông tin cho chương trình. Khi điều này được thực hiện, nên đưa vào một chú thích giải thích ngắn gọn về lý do tại sao bảng được sửa đổi. Các hàng có thể được thêm vào hoặc xóa khỏi bảng để chứa thông tin chương trình tốt hơn.</w:t>
      </w:r>
    </w:p>
    <w:p/>
    <w:p>
      <w:bookmarkStart w:id="2" w:name="_Toc268163162"/>
      <w:r>
        <w:t xml:space="preserve">Đơn </w:t>
      </w:r>
      <w:r>
        <w:rPr>
          <w:b/>
        </w:rPr>
        <w:t xml:space="preserve">vị giáo dục </w:t>
      </w:r>
      <w:r>
        <w:t xml:space="preserve">là đơn vị hành chính có trách nhiệm học tập đối với (các) chương trình đang trải qua Đánh giá mức độ sẵn sàng liên quan đến Ủy ban ABET nhất định. Ví dụ: nếu một chương trình đơn lẻ đang được chuẩn bị để đánh giá mức độ sẵn sàng, đơn vị giáo dục có thể là bộ. Nếu có nhiều hơn một chương trình đang được xem xét, thì đơn vị giáo dục là đơn vị hành chính chịu trách nhiệm về nhóm tập thể các chương trình đang trải qua </w:t>
      </w:r>
      <w:r>
        <w:rPr>
          <w:lang w:val="en-US"/>
        </w:rPr>
        <w:t>Đánh giá Mức độ Sẵn sàng</w:t>
      </w:r>
      <w:r>
        <w:t xml:space="preserve"> liên quan đến Ủy ban đó.</w:t>
      </w:r>
    </w:p>
    <w:p>
      <w:pPr>
        <w:pStyle w:val="2"/>
      </w:pPr>
      <w:r>
        <w:t>Tài liệu bổ sung</w:t>
      </w:r>
      <w:bookmarkEnd w:id="2"/>
    </w:p>
    <w:p>
      <w:r>
        <w:rPr>
          <w:b/>
          <w:bCs/>
          <w:u w:val="single"/>
        </w:rPr>
        <w:t>Không</w:t>
      </w:r>
      <w:r>
        <w:t xml:space="preserve"> </w:t>
      </w:r>
      <w:r>
        <w:rPr>
          <w:b w:val="0"/>
          <w:bCs/>
          <w:u w:val="none"/>
        </w:rPr>
        <w:t xml:space="preserve">gửi </w:t>
      </w:r>
      <w:r>
        <w:t xml:space="preserve">tài liệu bổ sung cho </w:t>
      </w:r>
      <w:r>
        <w:rPr>
          <w:lang w:val="en-US"/>
        </w:rPr>
        <w:t>Đánh giá Mức độ Sẵn sàng</w:t>
      </w:r>
      <w:r>
        <w:t>.</w:t>
      </w:r>
    </w:p>
    <w:p>
      <w:pPr>
        <w:pStyle w:val="2"/>
      </w:pPr>
      <w:bookmarkStart w:id="3" w:name="_Toc268163163"/>
      <w:r>
        <w:t>Đệ trình và Phân phối Báo cáo đánh giá mức độ sẵn sàng</w:t>
      </w:r>
      <w:bookmarkEnd w:id="3"/>
    </w:p>
    <w:p>
      <w:pPr>
        <w:rPr>
          <w:b/>
          <w:color w:val="595959" w:themeColor="text1" w:themeTint="A6"/>
          <w14:textFill>
            <w14:solidFill>
              <w14:schemeClr w14:val="tx1">
                <w14:lumMod w14:val="65000"/>
                <w14:lumOff w14:val="35000"/>
              </w14:schemeClr>
            </w14:solidFill>
          </w14:textFill>
        </w:rPr>
      </w:pPr>
      <w:r>
        <w:rPr>
          <w:b/>
          <w:color w:val="595959" w:themeColor="text1" w:themeTint="A6"/>
          <w14:textFill>
            <w14:solidFill>
              <w14:schemeClr w14:val="tx1">
                <w14:lumMod w14:val="65000"/>
                <w14:lumOff w14:val="35000"/>
              </w14:schemeClr>
            </w14:solidFill>
          </w14:textFill>
        </w:rPr>
        <w:t xml:space="preserve">Báo cáo đánh giá mức độ sẵn sàng và thông tin bảng điểm phải được gửi qua liên kết do ABET cung cấp </w:t>
      </w:r>
      <w:r>
        <w:rPr>
          <w:b/>
          <w:color w:val="595959" w:themeColor="text1" w:themeTint="A6"/>
          <w:u w:val="single"/>
          <w14:textFill>
            <w14:solidFill>
              <w14:schemeClr w14:val="tx1">
                <w14:lumMod w14:val="65000"/>
                <w14:lumOff w14:val="35000"/>
              </w14:schemeClr>
            </w14:solidFill>
          </w14:textFill>
        </w:rPr>
        <w:t xml:space="preserve">trước ngày 1 tháng 10 </w:t>
      </w:r>
      <w:r>
        <w:rPr>
          <w:b/>
          <w:color w:val="595959" w:themeColor="text1" w:themeTint="A6"/>
          <w14:textFill>
            <w14:solidFill>
              <w14:schemeClr w14:val="tx1">
                <w14:lumMod w14:val="65000"/>
                <w14:lumOff w14:val="35000"/>
              </w14:schemeClr>
            </w14:solidFill>
          </w14:textFill>
        </w:rPr>
        <w:t xml:space="preserve">. Quyền truy cập vào liên kết này cùng với hướng dẫn gửi sẽ được cung cấp sau khi Yêu cầu </w:t>
      </w:r>
      <w:r>
        <w:rPr>
          <w:b/>
          <w:color w:val="595959" w:themeColor="text1" w:themeTint="A6"/>
          <w:lang w:val="en-US"/>
          <w14:textFill>
            <w14:solidFill>
              <w14:schemeClr w14:val="tx1">
                <w14:lumMod w14:val="65000"/>
                <w14:lumOff w14:val="35000"/>
              </w14:schemeClr>
            </w14:solidFill>
          </w14:textFill>
        </w:rPr>
        <w:t>Đánh giá Mức độ Sẵn sàng</w:t>
      </w:r>
      <w:r>
        <w:rPr>
          <w:b/>
          <w:color w:val="595959" w:themeColor="text1" w:themeTint="A6"/>
          <w14:textFill>
            <w14:solidFill>
              <w14:schemeClr w14:val="tx1">
                <w14:lumMod w14:val="65000"/>
                <w14:lumOff w14:val="35000"/>
              </w14:schemeClr>
            </w14:solidFill>
          </w14:textFill>
        </w:rPr>
        <w:t xml:space="preserve"> ( RREv ) được chấp nhận. Không chấp nhận gửi email, thẻ dữ liệu hoặc giấy tờ.</w:t>
      </w:r>
    </w:p>
    <w:p>
      <w:pPr>
        <w:rPr>
          <w:color w:val="595959"/>
        </w:rPr>
      </w:pPr>
    </w:p>
    <w:p>
      <w:pPr>
        <w:rPr>
          <w:color w:val="595959"/>
        </w:rPr>
      </w:pPr>
      <w:r>
        <w:rPr>
          <w:color w:val="595959"/>
        </w:rPr>
        <w:t xml:space="preserve">Xem Phần </w:t>
      </w:r>
      <w:r>
        <w:rPr>
          <w:b/>
          <w:color w:val="595959"/>
        </w:rPr>
        <w:t xml:space="preserve">1.G </w:t>
      </w:r>
      <w:r>
        <w:rPr>
          <w:color w:val="595959"/>
        </w:rPr>
        <w:t xml:space="preserve">. bên dưới để biết thông tin liên quan đến bảng điểm phải được gửi cho </w:t>
      </w:r>
      <w:r>
        <w:rPr>
          <w:color w:val="595959"/>
          <w:lang w:val="en-US"/>
        </w:rPr>
        <w:t>Đánh giá Mức độ Sẵn sàng</w:t>
      </w:r>
      <w:r>
        <w:rPr>
          <w:color w:val="595959"/>
        </w:rPr>
        <w:t>.</w:t>
      </w:r>
    </w:p>
    <w:p>
      <w:pPr>
        <w:tabs>
          <w:tab w:val="left" w:pos="3675"/>
        </w:tabs>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ab/>
      </w:r>
    </w:p>
    <w:p>
      <w:r>
        <w:rPr>
          <w:color w:val="595959" w:themeColor="text1" w:themeTint="A6"/>
          <w14:textFill>
            <w14:solidFill>
              <w14:schemeClr w14:val="tx1">
                <w14:lumMod w14:val="65000"/>
                <w14:lumOff w14:val="35000"/>
              </w14:schemeClr>
            </w14:solidFill>
          </w14:textFill>
        </w:rPr>
        <w:t>Nếu bạn có bất kỳ câu hỏi nào, xin vui lòng gửi email đến</w:t>
      </w:r>
      <w:r>
        <w:t xml:space="preserve"> </w:t>
      </w:r>
      <w:r>
        <w:fldChar w:fldCharType="begin"/>
      </w:r>
      <w:r>
        <w:instrText xml:space="preserve"> HYPERLINK "mailto:ReadinessReview@abet.org" </w:instrText>
      </w:r>
      <w:r>
        <w:fldChar w:fldCharType="separate"/>
      </w:r>
      <w:r>
        <w:rPr>
          <w:rStyle w:val="26"/>
          <w:color w:val="595959" w:themeColor="text1" w:themeTint="A6"/>
          <w14:textFill>
            <w14:solidFill>
              <w14:schemeClr w14:val="tx1">
                <w14:lumMod w14:val="65000"/>
                <w14:lumOff w14:val="35000"/>
              </w14:schemeClr>
            </w14:solidFill>
          </w14:textFill>
        </w:rPr>
        <w:t xml:space="preserve">ReadinessReview@abet.org </w:t>
      </w:r>
      <w:r>
        <w:rPr>
          <w:rStyle w:val="26"/>
          <w:color w:val="595959" w:themeColor="text1" w:themeTint="A6"/>
          <w14:textFill>
            <w14:solidFill>
              <w14:schemeClr w14:val="tx1">
                <w14:lumMod w14:val="65000"/>
                <w14:lumOff w14:val="35000"/>
              </w14:schemeClr>
            </w14:solidFill>
          </w14:textFill>
        </w:rPr>
        <w:fldChar w:fldCharType="end"/>
      </w:r>
      <w:r>
        <w:rPr>
          <w:rStyle w:val="26"/>
          <w:color w:val="595959" w:themeColor="text1" w:themeTint="A6"/>
          <w14:textFill>
            <w14:solidFill>
              <w14:schemeClr w14:val="tx1">
                <w14:lumMod w14:val="65000"/>
                <w14:lumOff w14:val="35000"/>
              </w14:schemeClr>
            </w14:solidFill>
          </w14:textFill>
        </w:rPr>
        <w:t>.</w:t>
      </w:r>
      <w:r>
        <w:t xml:space="preserve"> </w:t>
      </w:r>
      <w:bookmarkStart w:id="4" w:name="_Toc268163164"/>
    </w:p>
    <w:p>
      <w:pPr>
        <w:rPr>
          <w:sz w:val="28"/>
          <w:szCs w:val="28"/>
        </w:rPr>
      </w:pPr>
    </w:p>
    <w:p>
      <w:pPr>
        <w:spacing w:before="240"/>
        <w:rPr>
          <w:rFonts w:ascii="Arial" w:hAnsi="Arial" w:cs="Arial"/>
          <w:b/>
          <w:color w:val="F47914"/>
          <w:sz w:val="28"/>
          <w:szCs w:val="28"/>
        </w:rPr>
      </w:pPr>
      <w:r>
        <w:rPr>
          <w:rFonts w:ascii="Arial" w:hAnsi="Arial" w:cs="Arial"/>
          <w:b/>
          <w:color w:val="F47914"/>
          <w:sz w:val="28"/>
          <w:szCs w:val="28"/>
        </w:rPr>
        <w:t>BẢO MẬT</w:t>
      </w:r>
      <w:bookmarkEnd w:id="4"/>
    </w:p>
    <w:p>
      <w:r>
        <w:t xml:space="preserve">Tất cả thông tin được cung cấp là dành cho việc sử dụng </w:t>
      </w:r>
      <w:r>
        <w:rPr>
          <w:lang w:val="en-US"/>
        </w:rPr>
        <w:t>nội bộ</w:t>
      </w:r>
      <w:r>
        <w:t xml:space="preserve"> của ABET và các đại lý được ủy quyền của ABET. Nó sẽ không được tiết lộ mà không có sự cho phép của tổ chức có liên quan, ngoại trừ dữ liệu tóm tắt không thể nhận dạng đối với một tổ chức cụ thể hoặc tài liệu trong phạm vi công cộng.</w:t>
      </w:r>
    </w:p>
    <w:p>
      <w:pPr>
        <w:pStyle w:val="2"/>
      </w:pPr>
      <w:bookmarkStart w:id="5" w:name="_Toc268163165"/>
      <w:r>
        <w:t>Bản mẫu</w:t>
      </w:r>
      <w:bookmarkEnd w:id="5"/>
    </w:p>
    <w:p>
      <w:r>
        <w:t>Mẫu cho Báo cáo đánh giá mức độ sẵn sàng bắt đầu trên trang tiếp theo.</w:t>
      </w:r>
    </w:p>
    <w:p/>
    <w:p>
      <w:pPr>
        <w:rPr>
          <w:b/>
        </w:rPr>
      </w:pPr>
      <w:r>
        <w:rPr>
          <w:b/>
        </w:rPr>
        <w:t xml:space="preserve">LƯU Ý: </w:t>
      </w:r>
      <w:r>
        <w:rPr>
          <w:rFonts w:hint="default"/>
          <w:b/>
          <w:lang w:val="en-US"/>
        </w:rPr>
        <w:t>Có</w:t>
      </w:r>
      <w:r>
        <w:rPr>
          <w:b/>
        </w:rPr>
        <w:t xml:space="preserve"> những phần </w:t>
      </w:r>
      <w:r>
        <w:rPr>
          <w:b/>
          <w:lang w:val="en-US"/>
        </w:rPr>
        <w:t>đượ</w:t>
      </w:r>
      <w:r>
        <w:rPr>
          <w:rFonts w:hint="default"/>
          <w:b/>
          <w:lang w:val="en-US"/>
        </w:rPr>
        <w:t>c</w:t>
      </w:r>
      <w:r>
        <w:rPr>
          <w:b/>
        </w:rPr>
        <w:t xml:space="preserve"> hướng dẫn </w:t>
      </w:r>
      <w:r>
        <w:rPr>
          <w:rFonts w:hint="default"/>
          <w:b/>
          <w:lang w:val="en-US"/>
        </w:rPr>
        <w:t xml:space="preserve">rằng </w:t>
      </w:r>
      <w:r>
        <w:rPr>
          <w:b/>
        </w:rPr>
        <w:t>bạn không</w:t>
      </w:r>
      <w:r>
        <w:rPr>
          <w:rFonts w:hint="default"/>
          <w:b/>
          <w:lang w:val="en-US"/>
        </w:rPr>
        <w:t xml:space="preserve"> cần</w:t>
      </w:r>
      <w:r>
        <w:rPr>
          <w:b/>
        </w:rPr>
        <w:t xml:space="preserve"> hoàn thành phần đó cho Đánh giá mức độ sẵn sàng, mục đích là để làm nổi bật các phần của Mẫu </w:t>
      </w:r>
      <w:r>
        <w:rPr>
          <w:b/>
          <w:lang w:val="en-US"/>
        </w:rPr>
        <w:t>tự đánh giá</w:t>
      </w:r>
      <w:r>
        <w:rPr>
          <w:rFonts w:hint="default"/>
          <w:b/>
          <w:lang w:val="en-US"/>
        </w:rPr>
        <w:t xml:space="preserve"> </w:t>
      </w:r>
      <w:r>
        <w:rPr>
          <w:b/>
        </w:rPr>
        <w:t>không áp dụng/bắt buộc cho Đánh giá mức độ sẵn sàng.</w:t>
      </w:r>
    </w:p>
    <w:p>
      <w:pPr>
        <w:rPr>
          <w:rFonts w:ascii="Georgia" w:hAnsi="Georgia"/>
        </w:rPr>
      </w:pPr>
    </w:p>
    <w:p>
      <w:pP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br w:type="page"/>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ETAC của ABET</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Báo cáo đánh giá mức độ sẵn sàng</w:t>
      </w: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cho</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&lt;Tên chương trình&gt;</w:t>
      </w: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Tại</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&lt;Tên tổ chức&gt;</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&lt;Vị trí&gt;</w:t>
      </w: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&lt;Ngày&gt;</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BẢO MẬT</w:t>
      </w:r>
    </w:p>
    <w:p>
      <w:pPr>
        <w:jc w:val="center"/>
        <w:rPr>
          <w:rFonts w:ascii="Georgia" w:hAnsi="Georgia"/>
        </w:rPr>
      </w:pPr>
    </w:p>
    <w:p>
      <w:r>
        <w:t xml:space="preserve">Thông tin được cung cấp trong Báo cáo đánh giá mức độ sẵn sàng này là dành cho việc sử dụng </w:t>
      </w:r>
      <w:r>
        <w:rPr>
          <w:lang w:val="en-US"/>
        </w:rPr>
        <w:t>nội bộ</w:t>
      </w:r>
      <w:r>
        <w:t xml:space="preserve"> của ABET và các đại lý được ủy quyền của ABET và sẽ không được tiết lộ nếu không có sự cho phép của tổ chức liên quan, ngoại trừ dữ liệu tóm tắt không thể nhận dạng đối với một tổ chức cụ thể.</w:t>
      </w:r>
    </w:p>
    <w:p>
      <w:pPr>
        <w:jc w:val="center"/>
        <w:rPr>
          <w:rFonts w:ascii="Georgia" w:hAnsi="Georgia"/>
        </w:rPr>
      </w:pPr>
      <w:bookmarkStart w:id="6" w:name="_Toc268163166"/>
      <w:bookmarkStart w:id="7" w:name="_Toc267903776"/>
    </w:p>
    <w:p>
      <w:pPr>
        <w:pStyle w:val="2"/>
      </w:pPr>
      <w:r>
        <w:t>THÔNG TIN LAI LỊCH</w:t>
      </w:r>
      <w:bookmarkEnd w:id="6"/>
      <w:bookmarkEnd w:id="7"/>
    </w:p>
    <w:p>
      <w:pPr>
        <w:pStyle w:val="3"/>
        <w:rPr>
          <w:rFonts w:cs="Arial"/>
        </w:rPr>
      </w:pPr>
      <w:r>
        <w:rPr>
          <w:rFonts w:cs="Arial"/>
        </w:rPr>
        <w:t>A. Thông tin liên hệ</w:t>
      </w:r>
    </w:p>
    <w:p>
      <w:pPr>
        <w:ind w:left="360"/>
      </w:pPr>
      <w:r>
        <w:t>Liệt kê tên, địa chỉ gửi thư, số điện thoại, số fax và địa chỉ e-mail cho người liên hệ chính trước chuyến thăm của chương trình.</w:t>
      </w:r>
    </w:p>
    <w:p>
      <w:pPr>
        <w:pStyle w:val="3"/>
        <w:rPr>
          <w:rFonts w:cs="Arial"/>
        </w:rPr>
      </w:pPr>
      <w:r>
        <w:rPr>
          <w:rFonts w:cs="Arial"/>
        </w:rPr>
        <w:t>B. Lịch sử chương trình</w:t>
      </w:r>
    </w:p>
    <w:p>
      <w:pPr>
        <w:ind w:left="360"/>
      </w:pPr>
      <w:r>
        <w:t xml:space="preserve">Bao gồm năm khi chương trình được thực hiện. Tóm tắt những thay đổi chính của chương trình với sự nhấn mạnh vào những thay đổi xảy ra xung quanh việc đệ trình </w:t>
      </w:r>
      <w:r>
        <w:rPr>
          <w:lang w:val="en-US"/>
        </w:rPr>
        <w:t>Đánh giá Mức độ Sẵn sàng</w:t>
      </w:r>
      <w:r>
        <w:t>.</w:t>
      </w:r>
    </w:p>
    <w:p>
      <w:pPr>
        <w:pStyle w:val="3"/>
        <w:rPr>
          <w:rFonts w:cs="Arial"/>
        </w:rPr>
      </w:pPr>
      <w:r>
        <w:rPr>
          <w:rFonts w:cs="Arial"/>
        </w:rPr>
        <w:t>C. Tùy chọn</w:t>
      </w:r>
    </w:p>
    <w:p>
      <w:pPr>
        <w:ind w:left="360"/>
      </w:pPr>
      <w:r>
        <w:t>Liệt kê và mô tả mọi tùy chọn, bản nhạc, nồng độ, v.v. có trong chương trình.</w:t>
      </w:r>
    </w:p>
    <w:p>
      <w:pPr>
        <w:pStyle w:val="3"/>
        <w:rPr>
          <w:rFonts w:cs="Arial"/>
        </w:rPr>
      </w:pPr>
      <w:r>
        <w:rPr>
          <w:rFonts w:cs="Arial"/>
        </w:rPr>
        <w:t>D. Chế độ phân phối chương trình</w:t>
      </w:r>
    </w:p>
    <w:p>
      <w:pPr>
        <w:ind w:left="360"/>
      </w:pPr>
      <w:r>
        <w:t>Mô tả các chế độ phân phối được sử dụng bởi chương trình này, ví dụ: ngày, buổi tối, cuối tuần, giáo dục hợp tác, bài giảng/phòng thí nghiệm truyền thống, ngoài khuôn viên trường, giáo dục từ xa, dựa trên web, v.v.</w:t>
      </w:r>
    </w:p>
    <w:p>
      <w:pPr>
        <w:pStyle w:val="3"/>
        <w:rPr>
          <w:rFonts w:cs="Arial"/>
        </w:rPr>
      </w:pPr>
      <w:r>
        <w:rPr>
          <w:rFonts w:cs="Arial"/>
        </w:rPr>
        <w:t>E. Địa điểm Chương trình</w:t>
      </w:r>
    </w:p>
    <w:p>
      <w:pPr>
        <w:ind w:left="360"/>
      </w:pPr>
      <w:r>
        <w:t>Bao gồm tất cả các địa điểm nơi chương trình hoặc một phần của chương trình được cung cấp thường xuyên (điều này cũng sẽ bao gồm bằng cấp kép, quan hệ đối tác quốc tế, v.v.).</w:t>
      </w:r>
    </w:p>
    <w:p>
      <w:pPr>
        <w:pStyle w:val="3"/>
        <w:rPr>
          <w:rFonts w:cs="Arial"/>
        </w:rPr>
      </w:pPr>
      <w:r>
        <w:rPr>
          <w:rFonts w:cs="Arial"/>
        </w:rPr>
        <w:t>F. Tiết Lộ Công Khai</w:t>
      </w:r>
    </w:p>
    <w:p>
      <w:pPr>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Cung cấp thông tin liên quan đến tất cả những nơi mà Mục tiêu Giáo dục Chương trình (PEO), Kết quả của Học sinh (SO), dữ liệu ghi danh và tốt nghiệp hàng năm của học sinh được công khai. Nếu thông tin này được đăng lên Web, vui lòng cung cấp các URL.</w:t>
      </w:r>
    </w:p>
    <w:p>
      <w:pPr>
        <w:pStyle w:val="3"/>
        <w:rPr>
          <w:rFonts w:cs="Arial"/>
        </w:rPr>
      </w:pPr>
      <w:r>
        <w:rPr>
          <w:rFonts w:cs="Arial"/>
        </w:rPr>
        <w:t>G. Các Thiếu sót, Điểm yếu hoặc Mối quan tâm từ (các) Đánh giá Trước đó và các Hành động được Thực hiện để Giải quyết Chúng</w:t>
      </w:r>
    </w:p>
    <w:p>
      <w:pPr>
        <w:pStyle w:val="3"/>
        <w:ind w:left="0" w:firstLine="360"/>
        <w:rPr>
          <w:color w:val="595959" w:themeColor="text1" w:themeTint="A6"/>
          <w14:textFill>
            <w14:solidFill>
              <w14:schemeClr w14:val="tx1">
                <w14:lumMod w14:val="65000"/>
                <w14:lumOff w14:val="35000"/>
              </w14:schemeClr>
            </w14:solidFill>
          </w14:textFill>
        </w:rPr>
      </w:pPr>
      <w:r>
        <w:rPr>
          <w:rFonts w:ascii="Times New Roman" w:hAnsi="Times New Roman"/>
          <w:b w:val="0"/>
          <w:sz w:val="24"/>
          <w:szCs w:val="24"/>
        </w:rPr>
        <w:t xml:space="preserve">Phần này </w:t>
      </w:r>
      <w:r>
        <w:rPr>
          <w:rFonts w:ascii="Times New Roman" w:hAnsi="Times New Roman"/>
          <w:sz w:val="24"/>
          <w:szCs w:val="24"/>
          <w:u w:val="single"/>
        </w:rPr>
        <w:t xml:space="preserve">không </w:t>
      </w:r>
      <w:r>
        <w:rPr>
          <w:rFonts w:ascii="Times New Roman" w:hAnsi="Times New Roman"/>
          <w:b w:val="0"/>
          <w:sz w:val="24"/>
          <w:szCs w:val="24"/>
        </w:rPr>
        <w:t>áp dụng cho Đánh giá mức độ sẵn sàng.</w:t>
      </w:r>
    </w:p>
    <w:p>
      <w:pPr>
        <w:pStyle w:val="3"/>
        <w:ind w:left="0" w:firstLine="0"/>
        <w:rPr>
          <w:color w:val="595959" w:themeColor="text1" w:themeTint="A6"/>
          <w14:textFill>
            <w14:solidFill>
              <w14:schemeClr w14:val="tx1">
                <w14:lumMod w14:val="65000"/>
                <w14:lumOff w14:val="35000"/>
              </w14:schemeClr>
            </w14:solidFill>
          </w14:textFill>
        </w:rPr>
      </w:pPr>
    </w:p>
    <w:p>
      <w:pPr>
        <w:ind w:left="360"/>
        <w:rPr>
          <w:rFonts w:ascii="Georgia" w:hAnsi="Georgia"/>
          <w:color w:val="595959" w:themeColor="text1" w:themeTint="A6"/>
          <w14:textFill>
            <w14:solidFill>
              <w14:schemeClr w14:val="tx1">
                <w14:lumMod w14:val="65000"/>
                <w14:lumOff w14:val="35000"/>
              </w14:schemeClr>
            </w14:solidFill>
          </w14:textFill>
        </w:rPr>
      </w:pPr>
    </w:p>
    <w:p>
      <w:pPr>
        <w:rPr>
          <w:rFonts w:ascii="Georgia" w:hAnsi="Georgia"/>
          <w:color w:val="595959" w:themeColor="text1" w:themeTint="A6"/>
          <w14:textFill>
            <w14:solidFill>
              <w14:schemeClr w14:val="tx1">
                <w14:lumMod w14:val="65000"/>
                <w14:lumOff w14:val="35000"/>
              </w14:schemeClr>
            </w14:solidFill>
          </w14:textFill>
        </w:rPr>
      </w:pPr>
      <w:r>
        <w:rPr>
          <w:rFonts w:ascii="Georgia" w:hAnsi="Georgia"/>
          <w:color w:val="595959" w:themeColor="text1" w:themeTint="A6"/>
          <w14:textFill>
            <w14:solidFill>
              <w14:schemeClr w14:val="tx1">
                <w14:lumMod w14:val="65000"/>
                <w14:lumOff w14:val="35000"/>
              </w14:schemeClr>
            </w14:solidFill>
          </w14:textFill>
        </w:rPr>
        <w:br w:type="page"/>
      </w:r>
    </w:p>
    <w:p>
      <w:pPr>
        <w:rPr>
          <w:rFonts w:ascii="Georgia" w:hAnsi="Georgia"/>
          <w:color w:val="595959" w:themeColor="text1" w:themeTint="A6"/>
          <w14:textFill>
            <w14:solidFill>
              <w14:schemeClr w14:val="tx1">
                <w14:lumMod w14:val="65000"/>
                <w14:lumOff w14:val="35000"/>
              </w14:schemeClr>
            </w14:solidFill>
          </w14:textFill>
        </w:rPr>
      </w:pPr>
    </w:p>
    <w:p>
      <w:pPr>
        <w:jc w:val="center"/>
        <w:rPr>
          <w:rFonts w:ascii="Arial" w:hAnsi="Arial" w:cs="Arial"/>
          <w:color w:val="595959" w:themeColor="text1" w:themeTint="A6"/>
          <w:sz w:val="28"/>
          <w:szCs w:val="28"/>
          <w14:textFill>
            <w14:solidFill>
              <w14:schemeClr w14:val="tx1">
                <w14:lumMod w14:val="65000"/>
                <w14:lumOff w14:val="35000"/>
              </w14:schemeClr>
            </w14:solidFill>
          </w14:textFill>
        </w:rPr>
      </w:pPr>
      <w:bookmarkStart w:id="8" w:name="_Toc268163167"/>
      <w:bookmarkStart w:id="9" w:name="_Toc267903789"/>
      <w:r>
        <w:rPr>
          <w:rFonts w:ascii="Arial" w:hAnsi="Arial" w:cs="Arial"/>
          <w:b/>
          <w:color w:val="595959" w:themeColor="text1" w:themeTint="A6"/>
          <w:sz w:val="28"/>
          <w:szCs w:val="28"/>
          <w14:textFill>
            <w14:solidFill>
              <w14:schemeClr w14:val="tx1">
                <w14:lumMod w14:val="65000"/>
                <w14:lumOff w14:val="35000"/>
              </w14:schemeClr>
            </w14:solidFill>
          </w14:textFill>
        </w:rPr>
        <w:t>TIÊU CHÍ CHUNG</w:t>
      </w:r>
      <w:bookmarkEnd w:id="8"/>
      <w:bookmarkEnd w:id="9"/>
    </w:p>
    <w:p>
      <w:pPr>
        <w:pStyle w:val="2"/>
      </w:pPr>
      <w:bookmarkStart w:id="10" w:name="_Toc267903790"/>
      <w:bookmarkStart w:id="11" w:name="_Toc268163168"/>
      <w:r>
        <w:t>TIÊU CHÍ 1. HỌC VIÊN</w:t>
      </w:r>
      <w:bookmarkEnd w:id="10"/>
      <w:bookmarkEnd w:id="11"/>
    </w:p>
    <w:p>
      <w:pPr>
        <w:rPr>
          <w:rFonts w:ascii="Georgia" w:hAnsi="Georgia"/>
        </w:rPr>
      </w:pPr>
    </w:p>
    <w:p>
      <w:pPr>
        <w:rPr>
          <w:rFonts w:ascii="Georgia" w:hAnsi="Georgia"/>
        </w:rPr>
      </w:pPr>
    </w:p>
    <w:p>
      <w:r>
        <w:t>Đối với các phần bên dưới, hãy đính kèm bất kỳ chính sách bằng văn bản nào được áp dụng.</w:t>
      </w:r>
    </w:p>
    <w:p>
      <w:pPr>
        <w:pStyle w:val="3"/>
        <w:rPr>
          <w:rFonts w:cs="Arial"/>
        </w:rPr>
      </w:pPr>
      <w:bookmarkStart w:id="12" w:name="_Toc267902260"/>
      <w:bookmarkEnd w:id="12"/>
      <w:bookmarkStart w:id="13" w:name="_Toc267902575"/>
      <w:bookmarkEnd w:id="13"/>
      <w:bookmarkStart w:id="14" w:name="_Toc267902685"/>
      <w:bookmarkEnd w:id="14"/>
      <w:bookmarkStart w:id="15" w:name="_Toc267902765"/>
      <w:bookmarkEnd w:id="15"/>
      <w:bookmarkStart w:id="16" w:name="_Toc267902132"/>
      <w:bookmarkEnd w:id="16"/>
      <w:bookmarkStart w:id="17" w:name="_Toc267903553"/>
      <w:bookmarkEnd w:id="17"/>
      <w:bookmarkStart w:id="18" w:name="_Toc267903791"/>
      <w:bookmarkEnd w:id="18"/>
      <w:bookmarkStart w:id="19" w:name="_Toc267903442"/>
      <w:bookmarkEnd w:id="19"/>
      <w:bookmarkStart w:id="20" w:name="_Toc267902829"/>
      <w:bookmarkEnd w:id="20"/>
      <w:bookmarkStart w:id="21" w:name="_Toc267903792"/>
      <w:bookmarkEnd w:id="21"/>
      <w:bookmarkStart w:id="22" w:name="_Toc267902048"/>
      <w:bookmarkEnd w:id="22"/>
      <w:bookmarkStart w:id="23" w:name="_Toc267902894"/>
      <w:bookmarkEnd w:id="23"/>
      <w:bookmarkStart w:id="24" w:name="_Toc267903441"/>
      <w:bookmarkEnd w:id="24"/>
      <w:bookmarkStart w:id="25" w:name="_Toc267903108"/>
      <w:bookmarkEnd w:id="25"/>
      <w:bookmarkStart w:id="26" w:name="_Toc267903554"/>
      <w:bookmarkEnd w:id="26"/>
      <w:bookmarkStart w:id="27" w:name="_Toc267902959"/>
      <w:bookmarkEnd w:id="27"/>
      <w:bookmarkStart w:id="28" w:name="_Toc267903443"/>
      <w:bookmarkEnd w:id="28"/>
      <w:bookmarkStart w:id="29" w:name="_Toc267903793"/>
      <w:bookmarkEnd w:id="29"/>
      <w:bookmarkStart w:id="30" w:name="_Toc267903794"/>
      <w:bookmarkEnd w:id="30"/>
      <w:bookmarkStart w:id="31" w:name="_Toc267903556"/>
      <w:bookmarkEnd w:id="31"/>
      <w:bookmarkStart w:id="32" w:name="_Toc267903555"/>
      <w:bookmarkEnd w:id="32"/>
      <w:bookmarkStart w:id="33" w:name="_Toc267903444"/>
      <w:bookmarkEnd w:id="33"/>
      <w:r>
        <w:rPr>
          <w:rFonts w:cs="Arial"/>
        </w:rPr>
        <w:t>A. Tuyển Sinh</w:t>
      </w:r>
    </w:p>
    <w:p>
      <w:pPr>
        <w:ind w:left="360"/>
      </w:pPr>
      <w:r>
        <w:t>Tóm tắt các yêu cầu và quy trình tiếp nhận sinh viên mới vào chương trình.</w:t>
      </w:r>
    </w:p>
    <w:p>
      <w:pPr>
        <w:ind w:left="360"/>
        <w:rPr>
          <w:rFonts w:ascii="Georgia" w:hAnsi="Georgia"/>
        </w:rPr>
      </w:pPr>
    </w:p>
    <w:p>
      <w:pPr>
        <w:pStyle w:val="3"/>
        <w:rPr>
          <w:rFonts w:cs="Arial"/>
        </w:rPr>
      </w:pPr>
      <w:r>
        <w:rPr>
          <w:rFonts w:cs="Arial"/>
        </w:rPr>
        <w:t>B. Đánh giá kết quả học tập của học sinh</w:t>
      </w:r>
    </w:p>
    <w:p>
      <w:pPr>
        <w:tabs>
          <w:tab w:val="left" w:pos="360"/>
        </w:tabs>
        <w:spacing w:before="120"/>
      </w:pPr>
      <w:r>
        <w:tab/>
      </w:r>
      <w:r>
        <w:rPr>
          <w:b/>
          <w:bCs/>
          <w:u w:val="single"/>
        </w:rPr>
        <w:t>Không gửi</w:t>
      </w:r>
      <w:r>
        <w:rPr>
          <w:b/>
          <w:u w:val="single"/>
        </w:rPr>
        <w:t xml:space="preserve"> </w:t>
      </w:r>
      <w:r>
        <w:t xml:space="preserve">cho Đánh giá </w:t>
      </w:r>
      <w:r>
        <w:rPr>
          <w:rFonts w:hint="default"/>
          <w:lang w:val="en-US"/>
        </w:rPr>
        <w:t xml:space="preserve">mức độ </w:t>
      </w:r>
      <w:r>
        <w:t>sẵn sàng.</w:t>
      </w:r>
    </w:p>
    <w:p>
      <w:pPr>
        <w:ind w:left="360"/>
        <w:rPr>
          <w:rFonts w:ascii="Georgia" w:hAnsi="Georgia"/>
        </w:rPr>
      </w:pPr>
    </w:p>
    <w:p>
      <w:pPr>
        <w:pStyle w:val="3"/>
        <w:rPr>
          <w:rFonts w:cs="Arial"/>
        </w:rPr>
      </w:pPr>
      <w:r>
        <w:rPr>
          <w:rFonts w:cs="Arial"/>
        </w:rPr>
        <w:t>C. Học Sinh Chuyển Trường và Các Khóa Học Chuyển Tiếp</w:t>
      </w:r>
    </w:p>
    <w:p>
      <w:pPr>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Tổng hợp các yêu cầu và quy trình tiếp nhận sinh viên chuyển trường và chuyển tín chỉ. Bao gồm bất kỳ yêu cầu khớp nối bắt buộc nào có ảnh hưởng đến chương trình.</w:t>
      </w:r>
    </w:p>
    <w:p>
      <w:pPr>
        <w:ind w:left="360"/>
        <w:rPr>
          <w:rFonts w:ascii="Georgia" w:hAnsi="Georgia"/>
        </w:rPr>
      </w:pPr>
    </w:p>
    <w:p>
      <w:pPr>
        <w:pStyle w:val="3"/>
        <w:rPr>
          <w:rFonts w:cs="Arial"/>
        </w:rPr>
      </w:pPr>
      <w:r>
        <w:rPr>
          <w:rFonts w:cs="Arial"/>
        </w:rPr>
        <w:t>D. Tư vấn và Hướng nghiệp</w:t>
      </w:r>
    </w:p>
    <w:p>
      <w:pPr>
        <w:ind w:left="360"/>
      </w:pPr>
      <w:r>
        <w:t>Tóm tắt quy trình tư vấn, hướng nghiệp cho học sinh. Bao gồm thông tin về tần suất sinh viên được tư vấn, ai cung cấp tư vấn (giảng viên chương trình, bộ phận, cố vấn cao đẳng hoặc đại học).</w:t>
      </w:r>
    </w:p>
    <w:p>
      <w:pPr>
        <w:ind w:left="360"/>
        <w:rPr>
          <w:rFonts w:ascii="Georgia" w:hAnsi="Georgia"/>
        </w:rPr>
      </w:pPr>
    </w:p>
    <w:p>
      <w:pPr>
        <w:pStyle w:val="3"/>
        <w:rPr>
          <w:rFonts w:cs="Arial"/>
        </w:rPr>
      </w:pPr>
      <w:r>
        <w:rPr>
          <w:rFonts w:cs="Arial"/>
        </w:rPr>
        <w:t>E. Làm việc thay cho các khóa học</w:t>
      </w:r>
    </w:p>
    <w:p>
      <w:pPr>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Tóm tắt các yêu cầu và quy trình cấp tín chỉ cho công việc thay cho các khóa học. Điều này có thể bao gồm những thứ như kinh nghiệm sống, Vị trí nâng cao, đăng ký kép, kiểm tra, kinh nghiệm quân sự, v.v.</w:t>
      </w:r>
    </w:p>
    <w:p>
      <w:pPr>
        <w:ind w:left="360"/>
        <w:rPr>
          <w:rFonts w:ascii="Georgia" w:hAnsi="Georgia"/>
        </w:rPr>
      </w:pPr>
    </w:p>
    <w:p>
      <w:pPr>
        <w:pStyle w:val="3"/>
        <w:rPr>
          <w:rFonts w:cs="Arial"/>
        </w:rPr>
      </w:pPr>
      <w:r>
        <w:rPr>
          <w:rFonts w:cs="Arial"/>
        </w:rPr>
        <w:t>F. Điều Kiện Tốt Nghiệp</w:t>
      </w:r>
    </w:p>
    <w:p>
      <w:pPr>
        <w:ind w:left="360"/>
      </w:pPr>
      <w:r>
        <w:t>Tóm tắt các yêu cầu tốt nghiệp cho chương trình và quy trình đảm bảo và ghi lại rằng mỗi sinh viên tốt nghiệp hoàn thành tất cả các yêu cầu tốt nghiệp cho chương trình. Nêu rõ tên của bằng cấp được trao (ví dụ: Cử nhân Khoa học Công nghệ Kỹ thuật Điện, Bằng Cao đẳng Khoa học Công nghệ Kỹ thuật, Bằng Cao đẳng Khoa học Ứng dụng Công nghệ Kỹ thuật Xây dựng).</w:t>
      </w:r>
    </w:p>
    <w:p>
      <w:pPr>
        <w:ind w:left="360"/>
        <w:rPr>
          <w:rFonts w:ascii="Georgia" w:hAnsi="Georgia"/>
        </w:rPr>
      </w:pPr>
    </w:p>
    <w:p>
      <w:pPr>
        <w:pStyle w:val="3"/>
        <w:rPr>
          <w:rFonts w:cs="Arial"/>
        </w:rPr>
      </w:pPr>
      <w:r>
        <w:rPr>
          <w:rFonts w:cs="Arial"/>
        </w:rPr>
        <w:t>G. Hồ sơ Bài làm/Bảng điểm của Học sinh</w:t>
      </w:r>
    </w:p>
    <w:p>
      <w:pPr>
        <w:pStyle w:val="50"/>
        <w:tabs>
          <w:tab w:val="left" w:pos="360"/>
        </w:tabs>
        <w:ind w:left="360"/>
      </w:pPr>
      <w:r>
        <w:t xml:space="preserve">Đối với </w:t>
      </w:r>
      <w:r>
        <w:rPr>
          <w:lang w:val="en-US"/>
        </w:rPr>
        <w:t>Đánh giá Mức độ Sẵn sàng</w:t>
      </w:r>
      <w:r>
        <w:t xml:space="preserve">, chương trình phải bao gồm bảng điểm </w:t>
      </w:r>
      <w:r>
        <w:rPr>
          <w:i/>
        </w:rPr>
        <w:t xml:space="preserve">chính thức </w:t>
      </w:r>
      <w:r>
        <w:t xml:space="preserve">của một </w:t>
      </w:r>
      <w:r>
        <w:rPr>
          <w:u w:val="single"/>
        </w:rPr>
        <w:t xml:space="preserve">sinh viên tốt nghiệp </w:t>
      </w:r>
      <w:r>
        <w:t xml:space="preserve">từ lớp tốt nghiệp gần đây nhất tại thời điểm nộp hồ sơ. Nếu chương trình không có bất kỳ sinh viên tốt nghiệp nào vào thời điểm nộp </w:t>
      </w:r>
      <w:r>
        <w:rPr>
          <w:lang w:val="en-US"/>
        </w:rPr>
        <w:t>Đánh giá Mức độ Sẵn sàng</w:t>
      </w:r>
      <w:r>
        <w:t>, vui lòng gửi kèm bảng điểm của một sinh viên hiện đang học lớp tốt nghiệp tiếp theo hoặc trong năm cuối của chương trình học. Vui lòng giữ ẩn danh tên của sinh viên tốt nghiệp / sinh viên. Bảng điểm phải được cung cấp thông qua liên kết do ABET cung cấp như được đề cập trong Trang 3 “Nộp và phân phối Báo cáo đánh giá mức độ sẵn sàng.”</w:t>
      </w:r>
    </w:p>
    <w:p>
      <w:pPr>
        <w:pStyle w:val="50"/>
        <w:tabs>
          <w:tab w:val="left" w:pos="360"/>
        </w:tabs>
        <w:ind w:left="360"/>
      </w:pPr>
    </w:p>
    <w:p>
      <w:pPr>
        <w:tabs>
          <w:tab w:val="left" w:pos="720"/>
        </w:tabs>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Nếu có nhiều tùy chọn trong chương trình, vui lòng gửi kèm một bản sao cho mỗi tùy chọn.</w:t>
      </w:r>
      <w:r>
        <w:rPr>
          <w:color w:val="595959" w:themeColor="text1" w:themeTint="A6"/>
          <w:highlight w:val="yellow"/>
          <w14:textFill>
            <w14:solidFill>
              <w14:schemeClr w14:val="tx1">
                <w14:lumMod w14:val="65000"/>
                <w14:lumOff w14:val="35000"/>
              </w14:schemeClr>
            </w14:solidFill>
          </w14:textFill>
        </w:rPr>
        <w:t xml:space="preserve">  </w:t>
      </w:r>
    </w:p>
    <w:p>
      <w:pPr>
        <w:pStyle w:val="50"/>
        <w:tabs>
          <w:tab w:val="left" w:pos="360"/>
        </w:tabs>
        <w:ind w:left="360"/>
      </w:pPr>
    </w:p>
    <w:p>
      <w:pPr>
        <w:pStyle w:val="50"/>
        <w:tabs>
          <w:tab w:val="left" w:pos="360"/>
        </w:tabs>
        <w:ind w:left="360"/>
      </w:pPr>
      <w:r>
        <w:t>Nếu chương trình của bạn nằm ngoài Hoa Kỳ và thông tin về bằng cấp thường không có trong bảng điểm của sinh viên tốt nghiệp của bạn, vui lòng gửi kèm bản sao chứng chỉ tốt nghiệp/bằng tốt nghiệp/tài liệu hoàn thành/v.v. chứa thông tin liên quan đến bằng cấp được trao cho cùng một sinh viên tốt nghiệp. Tất cả thông tin phải được cung cấp bằng tiếng Anh hoặc đi kèm với bản dịch tiếng Anh nếu tiếng Anh không phải là ngôn ngữ mẹ đẻ ở quốc gia của chương trình.</w:t>
      </w:r>
    </w:p>
    <w:p>
      <w:pPr>
        <w:pStyle w:val="50"/>
        <w:ind w:left="360"/>
        <w:rPr>
          <w:color w:val="595959" w:themeColor="text1" w:themeTint="A6"/>
          <w14:textFill>
            <w14:solidFill>
              <w14:schemeClr w14:val="tx1">
                <w14:lumMod w14:val="65000"/>
                <w14:lumOff w14:val="35000"/>
              </w14:schemeClr>
            </w14:solidFill>
          </w14:textFill>
        </w:rPr>
      </w:pPr>
    </w:p>
    <w:p>
      <w:pPr>
        <w:pStyle w:val="50"/>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Câu hỏi? Liên hệ với </w:t>
      </w:r>
      <w:r>
        <w:fldChar w:fldCharType="begin"/>
      </w:r>
      <w:r>
        <w:instrText xml:space="preserve"> HYPERLINK "mailto:ReadinessReview@abet.org" </w:instrText>
      </w:r>
      <w:r>
        <w:fldChar w:fldCharType="separate"/>
      </w:r>
      <w:r>
        <w:rPr>
          <w:rStyle w:val="26"/>
          <w:color w:val="595959" w:themeColor="text1" w:themeTint="A6"/>
          <w14:textFill>
            <w14:solidFill>
              <w14:schemeClr w14:val="tx1">
                <w14:lumMod w14:val="65000"/>
                <w14:lumOff w14:val="35000"/>
              </w14:schemeClr>
            </w14:solidFill>
          </w14:textFill>
        </w:rPr>
        <w:t xml:space="preserve">ReadinessReview@abet.org </w:t>
      </w:r>
      <w:r>
        <w:rPr>
          <w:rStyle w:val="26"/>
          <w:color w:val="595959" w:themeColor="text1" w:themeTint="A6"/>
          <w14:textFill>
            <w14:solidFill>
              <w14:schemeClr w14:val="tx1">
                <w14:lumMod w14:val="65000"/>
                <w14:lumOff w14:val="35000"/>
              </w14:schemeClr>
            </w14:solidFill>
          </w14:textFill>
        </w:rPr>
        <w:fldChar w:fldCharType="end"/>
      </w:r>
      <w:r>
        <w:rPr>
          <w:color w:val="595959" w:themeColor="text1" w:themeTint="A6"/>
          <w14:textFill>
            <w14:solidFill>
              <w14:schemeClr w14:val="tx1">
                <w14:lumMod w14:val="65000"/>
                <w14:lumOff w14:val="35000"/>
              </w14:schemeClr>
            </w14:solidFill>
          </w14:textFill>
        </w:rPr>
        <w:t>.</w:t>
      </w:r>
    </w:p>
    <w:p>
      <w:pPr>
        <w:pStyle w:val="50"/>
        <w:ind w:left="360"/>
        <w:rPr>
          <w:color w:val="595959" w:themeColor="text1" w:themeTint="A6"/>
          <w14:textFill>
            <w14:solidFill>
              <w14:schemeClr w14:val="tx1">
                <w14:lumMod w14:val="65000"/>
                <w14:lumOff w14:val="35000"/>
              </w14:schemeClr>
            </w14:solidFill>
          </w14:textFill>
        </w:rPr>
      </w:pPr>
    </w:p>
    <w:p>
      <w:pPr>
        <w:pStyle w:val="50"/>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Vui lòng chú ý đến Hướng dẫn thủ tục và chính sách công nhận (APPM; </w:t>
      </w:r>
      <w:r>
        <w:fldChar w:fldCharType="begin"/>
      </w:r>
      <w:r>
        <w:instrText xml:space="preserve"> HYPERLINK "https://www.abet.org/accreditation/accreditation-criteria/" </w:instrText>
      </w:r>
      <w:r>
        <w:fldChar w:fldCharType="separate"/>
      </w:r>
      <w:r>
        <w:rPr>
          <w:rStyle w:val="26"/>
          <w:color w:val="595959" w:themeColor="text1" w:themeTint="A6"/>
          <w14:textFill>
            <w14:solidFill>
              <w14:schemeClr w14:val="tx1">
                <w14:lumMod w14:val="65000"/>
                <w14:lumOff w14:val="35000"/>
              </w14:schemeClr>
            </w14:solidFill>
          </w14:textFill>
        </w:rPr>
        <w:t xml:space="preserve">https://www.abet.org/accreditation/accreditation-criteria/ </w:t>
      </w:r>
      <w:r>
        <w:rPr>
          <w:rStyle w:val="26"/>
          <w:color w:val="595959" w:themeColor="text1" w:themeTint="A6"/>
          <w14:textFill>
            <w14:solidFill>
              <w14:schemeClr w14:val="tx1">
                <w14:lumMod w14:val="65000"/>
                <w14:lumOff w14:val="35000"/>
              </w14:schemeClr>
            </w14:solidFill>
          </w14:textFill>
        </w:rPr>
        <w:fldChar w:fldCharType="end"/>
      </w:r>
      <w:r>
        <w:rPr>
          <w:color w:val="595959" w:themeColor="text1" w:themeTint="A6"/>
          <w14:textFill>
            <w14:solidFill>
              <w14:schemeClr w14:val="tx1">
                <w14:lumMod w14:val="65000"/>
                <w14:lumOff w14:val="35000"/>
              </w14:schemeClr>
            </w14:solidFill>
          </w14:textFill>
        </w:rPr>
        <w:t>) Phần IC2. và IC4. về các yêu cầu liên quan đến bảng điểm.</w:t>
      </w:r>
    </w:p>
    <w:p>
      <w:pPr>
        <w:pStyle w:val="50"/>
        <w:ind w:left="360"/>
      </w:pPr>
    </w:p>
    <w:p>
      <w:pPr>
        <w:ind w:left="360"/>
        <w:rPr>
          <w:rFonts w:ascii="Georgia" w:hAnsi="Georgia"/>
        </w:rPr>
      </w:pPr>
      <w:r>
        <w:rPr>
          <w:color w:val="595959" w:themeColor="text1" w:themeTint="A6"/>
          <w14:textFill>
            <w14:solidFill>
              <w14:schemeClr w14:val="tx1">
                <w14:lumMod w14:val="65000"/>
                <w14:lumOff w14:val="35000"/>
              </w14:schemeClr>
            </w14:solidFill>
          </w14:textFill>
        </w:rPr>
        <w:t xml:space="preserve"> </w:t>
      </w:r>
    </w:p>
    <w:p>
      <w:pPr>
        <w:rPr>
          <w:rFonts w:ascii="Georgia" w:hAnsi="Georgia"/>
        </w:rPr>
      </w:pPr>
      <w:r>
        <w:rPr>
          <w:rFonts w:ascii="Georgia" w:hAnsi="Georgia"/>
        </w:rPr>
        <w:br w:type="page"/>
      </w:r>
    </w:p>
    <w:p>
      <w:pPr>
        <w:pStyle w:val="2"/>
      </w:pPr>
      <w:bookmarkStart w:id="34" w:name="_Toc267903802"/>
      <w:bookmarkStart w:id="35" w:name="_Toc268163169"/>
      <w:r>
        <w:t>TIÊU CHÍ 2. MỤC TIÊU GIÁO DỤC CỦA CHƯƠNG TRÌNH</w:t>
      </w:r>
      <w:bookmarkEnd w:id="34"/>
      <w:bookmarkEnd w:id="35"/>
    </w:p>
    <w:p>
      <w:pPr>
        <w:rPr>
          <w:rFonts w:ascii="Georgia" w:hAnsi="Georgia"/>
        </w:rPr>
      </w:pPr>
    </w:p>
    <w:p>
      <w:pPr>
        <w:pStyle w:val="3"/>
        <w:rPr>
          <w:rFonts w:cs="Arial"/>
        </w:rPr>
      </w:pPr>
      <w:r>
        <w:rPr>
          <w:rFonts w:cs="Arial"/>
        </w:rPr>
        <w:t>A. Tuyên Bố Sứ Mệnh</w:t>
      </w:r>
    </w:p>
    <w:p>
      <w:pPr>
        <w:ind w:left="360"/>
      </w:pPr>
      <w:r>
        <w:rPr>
          <w:b/>
          <w:bCs/>
          <w:u w:val="single"/>
        </w:rPr>
        <w:t>Không g</w:t>
      </w:r>
      <w:r>
        <w:rPr>
          <w:b/>
          <w:u w:val="single"/>
        </w:rPr>
        <w:t xml:space="preserve">ửi </w:t>
      </w:r>
      <w:r>
        <w:t xml:space="preserve">cho </w:t>
      </w:r>
      <w:r>
        <w:rPr>
          <w:lang w:val="en-US"/>
        </w:rPr>
        <w:t>Đánh giá Mức độ Sẵn sàng</w:t>
      </w:r>
      <w:r>
        <w:t>.</w:t>
      </w:r>
    </w:p>
    <w:p>
      <w:pPr>
        <w:ind w:left="360"/>
        <w:rPr>
          <w:rFonts w:ascii="Georgia" w:hAnsi="Georgia"/>
        </w:rPr>
      </w:pPr>
    </w:p>
    <w:p>
      <w:pPr>
        <w:pStyle w:val="3"/>
        <w:rPr>
          <w:rFonts w:cs="Arial"/>
        </w:rPr>
      </w:pPr>
      <w:r>
        <w:rPr>
          <w:rFonts w:cs="Arial"/>
        </w:rPr>
        <w:t>B. Mục tiêu giáo dục của chương trình</w:t>
      </w:r>
    </w:p>
    <w:p>
      <w:pPr>
        <w:ind w:left="360"/>
        <w:rPr>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pPr>
      <w:r>
        <w:t xml:space="preserve">Liệt kê các mục tiêu giáo dục của chương trình và cho biết công chúng có thể tìm thấy những mục tiêu này ở đâu . </w:t>
      </w:r>
      <w:r>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t>Đây thường là một trang web dễ tìm được liên kết rõ ràng với trang web của chương trình.</w:t>
      </w:r>
    </w:p>
    <w:p>
      <w:pPr>
        <w:ind w:left="360"/>
        <w:rPr>
          <w:rFonts w:ascii="Georgia" w:hAnsi="Georgia"/>
        </w:rPr>
      </w:pPr>
    </w:p>
    <w:p>
      <w:pPr>
        <w:pStyle w:val="3"/>
        <w:rPr>
          <w:rFonts w:cs="Arial"/>
        </w:rPr>
      </w:pPr>
      <w:r>
        <w:rPr>
          <w:rFonts w:cs="Arial"/>
        </w:rPr>
        <w:t>C. Tính nhất quán của Mục tiêu giáo dục của Chương trình với Sứ mệnh của Cơ sở giáo dục</w:t>
      </w:r>
    </w:p>
    <w:p>
      <w:pPr>
        <w:ind w:left="360"/>
      </w:pPr>
      <w:r>
        <w:rPr>
          <w:b/>
          <w:bCs/>
          <w:u w:val="single"/>
        </w:rPr>
        <w:t>Không</w:t>
      </w:r>
      <w:r>
        <w:t xml:space="preserve"> </w:t>
      </w:r>
      <w:r>
        <w:rPr>
          <w:b/>
          <w:u w:val="single"/>
        </w:rPr>
        <w:t xml:space="preserve">gửi </w:t>
      </w:r>
      <w:r>
        <w:t xml:space="preserve">cho </w:t>
      </w:r>
      <w:r>
        <w:rPr>
          <w:lang w:val="en-US"/>
        </w:rPr>
        <w:t>Đánh giá Mức độ Sẵn sàng</w:t>
      </w:r>
      <w:r>
        <w:t>.</w:t>
      </w:r>
    </w:p>
    <w:p>
      <w:pPr>
        <w:ind w:left="360"/>
        <w:rPr>
          <w:rFonts w:ascii="Georgia" w:hAnsi="Georgia"/>
        </w:rPr>
      </w:pPr>
    </w:p>
    <w:p>
      <w:pPr>
        <w:pStyle w:val="3"/>
        <w:rPr>
          <w:rFonts w:cs="Arial"/>
        </w:rPr>
      </w:pPr>
      <w:r>
        <w:rPr>
          <w:rFonts w:cs="Arial"/>
        </w:rPr>
        <w:t xml:space="preserve">D. </w:t>
      </w:r>
      <w:r>
        <w:rPr>
          <w:rFonts w:hint="default" w:cs="Arial"/>
          <w:lang w:val="en-US"/>
        </w:rPr>
        <w:t>Các bên liên quan</w:t>
      </w:r>
      <w:r>
        <w:rPr>
          <w:rFonts w:cs="Arial"/>
        </w:rPr>
        <w:t xml:space="preserve"> của chương trình</w:t>
      </w:r>
    </w:p>
    <w:p>
      <w:pPr>
        <w:ind w:left="360"/>
      </w:pPr>
      <w:r>
        <w:t>Liệt kê các thành phần chính của chương trình liên quan đến việc xem xét các mục tiêu giáo dục của chương trình. Mô tả cách các mục tiêu giáo dục của chương trình đáp ứng nhu cầu của các đối tượng này.</w:t>
      </w:r>
    </w:p>
    <w:p>
      <w:pPr>
        <w:ind w:left="360"/>
        <w:rPr>
          <w:rFonts w:ascii="Georgia" w:hAnsi="Georgia"/>
        </w:rPr>
      </w:pPr>
    </w:p>
    <w:p>
      <w:pPr>
        <w:pStyle w:val="3"/>
        <w:rPr>
          <w:rFonts w:cs="Arial"/>
        </w:rPr>
      </w:pPr>
      <w:r>
        <w:rPr>
          <w:rFonts w:cs="Arial"/>
        </w:rPr>
        <w:t>E. Quy trình Đánh giá Mục tiêu Giáo dục của Chương trình</w:t>
      </w:r>
    </w:p>
    <w:p>
      <w:pPr>
        <w:ind w:left="360"/>
      </w:pPr>
      <w:r>
        <w:t>Mô tả quá trình xem xét định kỳ các mục tiêu giáo dục của chương trình bao gồm cách các thành phần khác nhau của chương trình tham gia vào quá trình này. Mô tả quá trình này được sử dụng một cách có hệ thống như thế nào để đảm bảo rằng các mục tiêu giáo dục của chương trình vẫn nhất quán với sứ mệnh của cơ sở, nhu cầu của các thành phần chương trình và các tiêu chí này.</w:t>
      </w:r>
    </w:p>
    <w:p>
      <w:pPr>
        <w:ind w:left="360"/>
      </w:pPr>
    </w:p>
    <w:p>
      <w:pPr>
        <w:ind w:left="360"/>
        <w:rPr>
          <w:rFonts w:ascii="Egyptienne F LT Std" w:hAnsi="Egyptienne F LT Std"/>
          <w:i/>
          <w:color w:val="808080" w:themeColor="text1" w:themeTint="80"/>
          <w14:textFill>
            <w14:solidFill>
              <w14:schemeClr w14:val="tx1">
                <w14:lumMod w14:val="50000"/>
                <w14:lumOff w14:val="50000"/>
              </w14:schemeClr>
            </w14:solidFill>
          </w14:textFill>
        </w:rPr>
      </w:pPr>
      <w:r>
        <w:rPr>
          <w:rFonts w:ascii="Egyptienne F LT Std" w:hAnsi="Egyptienne F LT Std"/>
          <w:i/>
          <w:color w:val="808080" w:themeColor="text1" w:themeTint="80"/>
          <w14:textFill>
            <w14:solidFill>
              <w14:schemeClr w14:val="tx1">
                <w14:lumMod w14:val="50000"/>
                <w14:lumOff w14:val="50000"/>
              </w14:schemeClr>
            </w14:solidFill>
          </w14:textFill>
        </w:rPr>
        <w:t>Mặc dù không bắt buộc nhưng một bảng minh họa những điều sau đây có thể hữu ích để tóm tắt quy trình xem xét:</w:t>
      </w:r>
    </w:p>
    <w:p>
      <w:pPr>
        <w:ind w:left="720"/>
        <w:rPr>
          <w:rFonts w:ascii="Egyptienne F LT Std" w:hAnsi="Egyptienne F LT Std"/>
          <w:i/>
          <w:color w:val="808080" w:themeColor="text1" w:themeTint="80"/>
          <w14:textFill>
            <w14:solidFill>
              <w14:schemeClr w14:val="tx1">
                <w14:lumMod w14:val="50000"/>
                <w14:lumOff w14:val="50000"/>
              </w14:schemeClr>
            </w14:solidFill>
          </w14:textFill>
        </w:rPr>
      </w:pPr>
      <w:r>
        <w:rPr>
          <w:rFonts w:ascii="Egyptienne F LT Std" w:hAnsi="Egyptienne F LT Std"/>
          <w:i/>
          <w:color w:val="808080" w:themeColor="text1" w:themeTint="80"/>
          <w14:textFill>
            <w14:solidFill>
              <w14:schemeClr w14:val="tx1">
                <w14:lumMod w14:val="50000"/>
                <w14:lumOff w14:val="50000"/>
              </w14:schemeClr>
            </w14:solidFill>
          </w14:textFill>
        </w:rPr>
        <w:t>Các thành phần chính tham gia vào việc xem xét các PEO</w:t>
      </w:r>
    </w:p>
    <w:p>
      <w:pPr>
        <w:ind w:left="720"/>
        <w:rPr>
          <w:rFonts w:ascii="Egyptienne F LT Std" w:hAnsi="Egyptienne F LT Std"/>
          <w:i/>
          <w:color w:val="808080" w:themeColor="text1" w:themeTint="80"/>
          <w14:textFill>
            <w14:solidFill>
              <w14:schemeClr w14:val="tx1">
                <w14:lumMod w14:val="50000"/>
                <w14:lumOff w14:val="50000"/>
              </w14:schemeClr>
            </w14:solidFill>
          </w14:textFill>
        </w:rPr>
      </w:pPr>
      <w:r>
        <w:rPr>
          <w:rFonts w:ascii="Egyptienne F LT Std" w:hAnsi="Egyptienne F LT Std"/>
          <w:i/>
          <w:color w:val="808080" w:themeColor="text1" w:themeTint="80"/>
          <w14:textFill>
            <w14:solidFill>
              <w14:schemeClr w14:val="tx1">
                <w14:lumMod w14:val="50000"/>
                <w14:lumOff w14:val="50000"/>
              </w14:schemeClr>
            </w14:solidFill>
          </w14:textFill>
        </w:rPr>
        <w:t>Thời gian biểu cho việc xem xét PEO của các thành phần đó (lịch trình và khi hoàn thành lần cuối)</w:t>
      </w:r>
    </w:p>
    <w:p>
      <w:pPr>
        <w:ind w:left="720"/>
        <w:rPr>
          <w:rFonts w:ascii="Egyptienne F LT Std" w:hAnsi="Egyptienne F LT Std"/>
          <w:i/>
          <w:color w:val="808080" w:themeColor="text1" w:themeTint="80"/>
          <w14:textFill>
            <w14:solidFill>
              <w14:schemeClr w14:val="tx1">
                <w14:lumMod w14:val="50000"/>
                <w14:lumOff w14:val="50000"/>
              </w14:schemeClr>
            </w14:solidFill>
          </w14:textFill>
        </w:rPr>
      </w:pPr>
      <w:r>
        <w:rPr>
          <w:rFonts w:ascii="Egyptienne F LT Std" w:hAnsi="Egyptienne F LT Std"/>
          <w:i/>
          <w:color w:val="808080" w:themeColor="text1" w:themeTint="80"/>
          <w14:textFill>
            <w14:solidFill>
              <w14:schemeClr w14:val="tx1">
                <w14:lumMod w14:val="50000"/>
                <w14:lumOff w14:val="50000"/>
              </w14:schemeClr>
            </w14:solidFill>
          </w14:textFill>
        </w:rPr>
        <w:t>Cách thức Đánh giá (công cụ hoặc quy trình)</w:t>
      </w:r>
    </w:p>
    <w:p>
      <w:pPr>
        <w:ind w:left="720"/>
        <w:rPr>
          <w:rFonts w:ascii="Egyptienne F LT Std" w:hAnsi="Egyptienne F LT Std"/>
          <w:i/>
          <w:color w:val="808080" w:themeColor="text1" w:themeTint="80"/>
          <w14:textFill>
            <w14:solidFill>
              <w14:schemeClr w14:val="tx1">
                <w14:lumMod w14:val="50000"/>
                <w14:lumOff w14:val="50000"/>
              </w14:schemeClr>
            </w14:solidFill>
          </w14:textFill>
        </w:rPr>
      </w:pPr>
      <w:r>
        <w:rPr>
          <w:rFonts w:ascii="Egyptienne F LT Std" w:hAnsi="Egyptienne F LT Std"/>
          <w:i/>
          <w:color w:val="808080" w:themeColor="text1" w:themeTint="80"/>
          <w14:textFill>
            <w14:solidFill>
              <w14:schemeClr w14:val="tx1">
                <w14:lumMod w14:val="50000"/>
                <w14:lumOff w14:val="50000"/>
              </w14:schemeClr>
            </w14:solidFill>
          </w14:textFill>
        </w:rPr>
        <w:t>Kết quả đánh giá được sử dụng cho ai/như thế nào</w:t>
      </w:r>
    </w:p>
    <w:p>
      <w:pPr>
        <w:rPr>
          <w:rFonts w:ascii="Egyptienne F LT Std" w:hAnsi="Egyptienne F LT Std"/>
          <w:i/>
          <w:color w:val="808080" w:themeColor="text1" w:themeTint="80"/>
          <w14:textFill>
            <w14:solidFill>
              <w14:schemeClr w14:val="tx1">
                <w14:lumMod w14:val="50000"/>
                <w14:lumOff w14:val="50000"/>
              </w14:schemeClr>
            </w14:solidFill>
          </w14:textFill>
        </w:rPr>
      </w:pPr>
    </w:p>
    <w:p>
      <w:pPr>
        <w:ind w:left="360"/>
      </w:pPr>
      <w:r>
        <w:rPr>
          <w:rFonts w:ascii="Egyptienne F LT Std" w:hAnsi="Egyptienne F LT Std"/>
          <w:i/>
          <w:color w:val="808080" w:themeColor="text1" w:themeTint="80"/>
          <w14:textFill>
            <w14:solidFill>
              <w14:schemeClr w14:val="tx1">
                <w14:lumMod w14:val="50000"/>
                <w14:lumOff w14:val="50000"/>
              </w14:schemeClr>
            </w14:solidFill>
          </w14:textFill>
        </w:rPr>
        <w:t>Ngoài ra, sẽ rất hữu ích nếu bạn cung cấp thông tin về cách ghi lại các quy trình được mô tả ở trên, bằng chứng về những quy trình này sẽ cần thiết trong quy trình xem xét ABET.</w:t>
      </w:r>
    </w:p>
    <w:p>
      <w:pPr>
        <w:ind w:left="360"/>
        <w:rPr>
          <w:rFonts w:ascii="Georgia" w:hAnsi="Georgia"/>
        </w:rPr>
      </w:pPr>
    </w:p>
    <w:p>
      <w:pPr>
        <w:rPr>
          <w:rFonts w:ascii="Georgia" w:hAnsi="Georgia"/>
        </w:rPr>
      </w:pPr>
      <w:r>
        <w:rPr>
          <w:rFonts w:ascii="Georgia" w:hAnsi="Georgia"/>
        </w:rPr>
        <w:br w:type="page"/>
      </w:r>
    </w:p>
    <w:p>
      <w:pPr>
        <w:pStyle w:val="2"/>
      </w:pPr>
      <w:bookmarkStart w:id="36" w:name="_Toc268163170"/>
      <w:r>
        <w:t>TIÊU CHÍ 3. KẾT QUẢ CỦA HỌC SINH</w:t>
      </w:r>
      <w:bookmarkEnd w:id="36"/>
      <w:r>
        <w:t xml:space="preserve"> </w:t>
      </w:r>
    </w:p>
    <w:p>
      <w:pPr>
        <w:rPr>
          <w:rFonts w:ascii="Georgia" w:hAnsi="Georgia"/>
        </w:rPr>
      </w:pPr>
    </w:p>
    <w:p>
      <w:pPr>
        <w:pStyle w:val="3"/>
        <w:rPr>
          <w:rFonts w:cs="Arial"/>
        </w:rPr>
      </w:pPr>
      <w:r>
        <w:rPr>
          <w:rFonts w:cs="Arial"/>
        </w:rPr>
        <w:t>A. Quy trình Thiết lập và Sửa đổi Kết quả của Học sinh</w:t>
      </w:r>
    </w:p>
    <w:p>
      <w:pPr>
        <w:ind w:left="360"/>
      </w:pPr>
      <w:r>
        <w:t>Mô tả quy trình được sử dụng để thiết lập, xem xét và sửa đổi kết quả của học sinh.</w:t>
      </w:r>
    </w:p>
    <w:p>
      <w:pPr>
        <w:ind w:left="360"/>
        <w:rPr>
          <w:rFonts w:ascii="Georgia" w:hAnsi="Georgia"/>
        </w:rPr>
      </w:pPr>
    </w:p>
    <w:p>
      <w:pPr>
        <w:pStyle w:val="3"/>
        <w:rPr>
          <w:rFonts w:cs="Arial"/>
        </w:rPr>
      </w:pPr>
      <w:r>
        <w:rPr>
          <w:rFonts w:cs="Arial"/>
        </w:rPr>
        <w:t>B. Kết quả của Học sinh</w:t>
      </w:r>
    </w:p>
    <w:p>
      <w:pPr>
        <w:ind w:left="360"/>
        <w:rPr>
          <w:rFonts w:ascii="Egyptienne F LT Std" w:hAnsi="Egyptienne F LT Std"/>
          <w:color w:val="808080" w:themeColor="text1" w:themeTint="80"/>
          <w14:textFill>
            <w14:solidFill>
              <w14:schemeClr w14:val="tx1">
                <w14:lumMod w14:val="50000"/>
                <w14:lumOff w14:val="50000"/>
              </w14:schemeClr>
            </w14:solidFill>
          </w14:textFill>
        </w:rPr>
      </w:pPr>
      <w:r>
        <w:t xml:space="preserve">Liệt kê các kết quả của sinh viên cho chương trình. Cho biết nơi kết quả của học sinh được ghi lại và công khai. </w:t>
      </w:r>
      <w:r>
        <w:rPr>
          <w:rFonts w:ascii="Egyptienne F LT Std" w:hAnsi="Egyptienne F LT Std"/>
          <w:i/>
          <w:color w:val="808080" w:themeColor="text1" w:themeTint="80"/>
          <w14:textFill>
            <w14:solidFill>
              <w14:schemeClr w14:val="tx1">
                <w14:lumMod w14:val="50000"/>
                <w14:lumOff w14:val="50000"/>
              </w14:schemeClr>
            </w14:solidFill>
          </w14:textFill>
        </w:rPr>
        <w:t>Chúng thường được liệt kê trên một trang web được liên kết rõ ràng với trang web của chương trình hoặc trong một ấn phẩm có thể truy cập công khai.</w:t>
      </w:r>
    </w:p>
    <w:p>
      <w:pPr>
        <w:ind w:left="360"/>
        <w:rPr>
          <w:rFonts w:ascii="Georgia" w:hAnsi="Georgia"/>
        </w:rPr>
      </w:pPr>
    </w:p>
    <w:p>
      <w:pPr>
        <w:pStyle w:val="3"/>
        <w:rPr>
          <w:rFonts w:ascii="Times New Roman" w:hAnsi="Times New Roman"/>
        </w:rPr>
      </w:pPr>
      <w:r>
        <w:rPr>
          <w:rFonts w:cs="Arial"/>
        </w:rPr>
        <w:t>C. So sánh Kết quả của Học sinh với Tiêu chí 3</w:t>
      </w:r>
      <w:r>
        <w:rPr>
          <w:rFonts w:hint="default" w:cs="Arial"/>
          <w:lang w:val="en-US"/>
        </w:rPr>
        <w:t>:</w:t>
      </w:r>
      <w:r>
        <w:rPr>
          <w:rFonts w:cs="Arial"/>
        </w:rPr>
        <w:t xml:space="preserve"> Yêu cầu đối với Kết quả của Học sinh</w:t>
      </w:r>
    </w:p>
    <w:p>
      <w:pPr>
        <w:ind w:left="360"/>
      </w:pPr>
      <w:r>
        <w:t>Mô tả xem kết quả đầu ra của học sinh mà chương trình sử dụng có khác với các yếu tố được liệt kê trong Tiêu chí 3 phần A hoặc B hay không. Nếu vậy, hãy cung cấp sơ đồ kết quả đầu ra của học sinh trong chương trình cho biết cách họ giải quyết tất cả các yếu tố từ một (1) đến năm được yêu cầu trong Tiêu chí 3 (5).</w:t>
      </w:r>
    </w:p>
    <w:p>
      <w:pPr>
        <w:ind w:left="360"/>
      </w:pPr>
    </w:p>
    <w:p>
      <w:pPr>
        <w:ind w:left="360"/>
      </w:pPr>
    </w:p>
    <w:p>
      <w:pPr>
        <w:ind w:left="360"/>
        <w:rPr>
          <w:rFonts w:ascii="Georgia" w:hAnsi="Georgia"/>
        </w:rPr>
      </w:pPr>
    </w:p>
    <w:p>
      <w:pPr>
        <w:rPr>
          <w:rFonts w:ascii="Georgia" w:hAnsi="Georgia"/>
        </w:rPr>
      </w:pPr>
      <w:r>
        <w:rPr>
          <w:rFonts w:ascii="Georgia" w:hAnsi="Georgia"/>
        </w:rPr>
        <w:br w:type="page"/>
      </w:r>
    </w:p>
    <w:p>
      <w:pPr>
        <w:pStyle w:val="2"/>
      </w:pPr>
      <w:bookmarkStart w:id="37" w:name="_Toc268163171"/>
      <w:r>
        <w:t>TIÊU CHÍ 4. LIÊN TỤC CẢI TIẾN</w:t>
      </w:r>
      <w:bookmarkEnd w:id="37"/>
    </w:p>
    <w:p>
      <w:pPr>
        <w:rPr>
          <w:rFonts w:ascii="Georgia" w:hAnsi="Georgia"/>
        </w:rPr>
      </w:pPr>
    </w:p>
    <w:p>
      <w:r>
        <w:t>Tóm tắt các quy trình của chương trình để đánh giá thường xuyên và đánh giá mức độ đạt được kết quả của học sinh và cách những kết quả đó được sử dụng làm đầu vào cho các hành động cải tiến liên tục của chương trình. Các thuật ngữ thẩm định và đánh giá có các định nghĩa cụ thể và bạn có thể tìm thấy các định nghĩa đó trong tài liệu về tiêu chí công nhận mới nhất.</w:t>
      </w:r>
    </w:p>
    <w:p/>
    <w:p>
      <w:r>
        <w:t>Chương trình có thể báo cáo các quy trình của mình khi chọn nhưng phải bao gồm thông tin được yêu cầu trong các phần A – F. Ngoài ra, nếu chương trình có một tài liệu được thiết lập tốt mà giảng viên và nhân viên của chương trình thường xuyên tham khảo để được hướng dẫn trong các hoạt động và quy trình cải tiến liên tục thường xuyên của họ , và tài liệu cung cấp thông tin được nêu trong hướng dẫn bên dưới, tài liệu đó có thể được cung cấp trong phần phụ lục.</w:t>
      </w:r>
    </w:p>
    <w:p/>
    <w:p/>
    <w:p>
      <w:pPr>
        <w:pStyle w:val="3"/>
        <w:rPr>
          <w:rFonts w:cs="Arial"/>
        </w:rPr>
      </w:pPr>
      <w:r>
        <w:rPr>
          <w:rFonts w:cs="Arial"/>
        </w:rPr>
        <w:t>A. Tài liệu về Quy trình</w:t>
      </w:r>
    </w:p>
    <w:p>
      <w:pPr>
        <w:ind w:left="360"/>
        <w:rPr>
          <w:i/>
          <w:color w:val="808080" w:themeColor="text1" w:themeTint="80"/>
          <w14:textFill>
            <w14:solidFill>
              <w14:schemeClr w14:val="tx1">
                <w14:lumMod w14:val="50000"/>
                <w14:lumOff w14:val="50000"/>
              </w14:schemeClr>
            </w14:solidFill>
          </w14:textFill>
        </w:rPr>
      </w:pPr>
      <w:r>
        <w:t>Cung cấp một cái nhìn tổng quan về quy trình được lập thành văn bản để đánh giá và đánh giá kết quả đạt được của học sinh và cách các kết quả của quy trình đánh giá được sử dụng một cách có hệ thống để tạo ra các hành động cải tiến liên tục cho chương trình. (Tài liệu chi tiết về các quy trình có thể được đưa vào dưới dạng phụ lục.) Trong các phần bên dưới, hãy tóm tắt ngắn gọn các yếu tố chính của quy trình đó. Bao gồm trách nhiệm và thời gian biểu trong quá trình tài liệu.</w:t>
      </w:r>
    </w:p>
    <w:p>
      <w:pPr>
        <w:ind w:left="360"/>
      </w:pPr>
    </w:p>
    <w:p>
      <w:pPr>
        <w:ind w:left="360"/>
        <w:rPr>
          <w:i/>
          <w:color w:val="808080" w:themeColor="text1" w:themeTint="80"/>
          <w14:textFill>
            <w14:solidFill>
              <w14:schemeClr w14:val="tx1">
                <w14:lumMod w14:val="50000"/>
                <w14:lumOff w14:val="50000"/>
              </w14:schemeClr>
            </w14:solidFill>
          </w14:textFill>
        </w:rPr>
      </w:pPr>
    </w:p>
    <w:p>
      <w:pPr>
        <w:pStyle w:val="3"/>
        <w:ind w:left="0" w:firstLine="0"/>
        <w:rPr>
          <w:rFonts w:cs="Arial"/>
        </w:rPr>
      </w:pPr>
      <w:r>
        <w:rPr>
          <w:rFonts w:cs="Arial"/>
        </w:rPr>
        <w:t>B. Phương pháp và Đánh giá Kết quả của Học sinh</w:t>
      </w:r>
    </w:p>
    <w:p>
      <w:pPr>
        <w:ind w:left="360"/>
      </w:pPr>
      <w:r>
        <w:t xml:space="preserve">Liệt kê (các) số liệu, (các ) thước đo hoặc (các) chỉ số hiệu suất (PI) được sử dụng để đánh giá kết quả của mỗi học sinh. Một PI xác định thành tích/hoạt động </w:t>
      </w:r>
      <w:r>
        <w:rPr>
          <w:i/>
        </w:rPr>
        <w:t xml:space="preserve">có thể đo lường được của học sinh được sử dụng để đánh giá mức độ đạt được của học sinh đối với kết quả của học sinh. </w:t>
      </w:r>
      <w:r>
        <w:t>Mô tả quy trình thu thập dữ liệu hoặc đánh giá kết quả của từng học sinh (khuyên dùng định dạng bảng). Bao gồm các ví dụ về công cụ đánh giá trong báo cáo, ví dụ: bảng đánh giá trong phụ lục. Trình bày thông tin cho từng kết quả của học sinh riêng lẻ ( ví dụ: sử dụng một bảng, biểu đồ hoặc đoạn văn riêng cho từng kết quả của học sinh.) Dự kiến sẽ có nhiều biện pháp đánh giá cho từng kết quả của học sinh hoặc để đánh giá kết quả của học sinh bằng cách sử dụng một số chỉ số hiệu suất, ví dụ: giao tiếp bằng văn bản được đánh giá trong một bài tập và giao tiếp bằng lời nói trong một bài tập khác.</w:t>
      </w:r>
    </w:p>
    <w:p>
      <w:pPr>
        <w:ind w:left="360"/>
        <w:rPr>
          <w:rFonts w:ascii="Georgia" w:hAnsi="Georgia"/>
        </w:rPr>
      </w:pPr>
    </w:p>
    <w:p>
      <w:pPr>
        <w:pStyle w:val="3"/>
        <w:ind w:left="0" w:firstLine="0"/>
        <w:rPr>
          <w:rFonts w:cs="Arial"/>
        </w:rPr>
      </w:pPr>
      <w:r>
        <w:rPr>
          <w:rFonts w:cs="Arial"/>
        </w:rPr>
        <w:t>C. Lịch trình và tần suất đánh giá</w:t>
      </w:r>
    </w:p>
    <w:p>
      <w:pPr>
        <w:ind w:left="360"/>
        <w:rPr>
          <w:iCs/>
          <w:color w:val="808080" w:themeColor="text1" w:themeTint="80"/>
          <w14:textFill>
            <w14:solidFill>
              <w14:schemeClr w14:val="tx1">
                <w14:lumMod w14:val="50000"/>
                <w14:lumOff w14:val="50000"/>
              </w14:schemeClr>
            </w14:solidFill>
          </w14:textFill>
        </w:rPr>
      </w:pPr>
      <w:r>
        <w:t>Trình bày lịch trình và tần suất cho từng loại đánh giá cũng như các điểm trách nhiệm giải trình (khuyến khích định dạng bảng).</w:t>
      </w:r>
    </w:p>
    <w:p>
      <w:pPr>
        <w:ind w:left="360"/>
      </w:pPr>
      <w:r>
        <w:rPr>
          <w:iCs/>
          <w:color w:val="808080" w:themeColor="text1" w:themeTint="80"/>
          <w14:textFill>
            <w14:solidFill>
              <w14:schemeClr w14:val="tx1">
                <w14:lumMod w14:val="50000"/>
                <w14:lumOff w14:val="50000"/>
              </w14:schemeClr>
            </w14:solidFill>
          </w14:textFill>
        </w:rPr>
        <w:t>Nếu kết quả của học sinh sẽ được đánh giá trong các năm khác nhau, hãy cung cấp thông tin tổng quan về điều này thông qua một bảng đơn giản (kết quả của học sinh so với năm đánh giá).</w:t>
      </w:r>
    </w:p>
    <w:p>
      <w:pPr>
        <w:ind w:left="360"/>
      </w:pPr>
    </w:p>
    <w:p>
      <w:pPr>
        <w:ind w:left="360"/>
      </w:pPr>
    </w:p>
    <w:p>
      <w:pPr>
        <w:ind w:left="360"/>
      </w:pPr>
    </w:p>
    <w:p>
      <w:pPr>
        <w:pStyle w:val="50"/>
        <w:ind w:left="0"/>
        <w:rPr>
          <w:rFonts w:ascii="Arial" w:hAnsi="Arial" w:cs="Arial"/>
          <w:b/>
          <w:sz w:val="28"/>
          <w:szCs w:val="28"/>
        </w:rPr>
      </w:pPr>
      <w:r>
        <w:rPr>
          <w:rFonts w:ascii="Arial" w:hAnsi="Arial" w:cs="Arial"/>
          <w:b/>
          <w:sz w:val="28"/>
          <w:szCs w:val="28"/>
        </w:rPr>
        <w:t>D. Đánh giá</w:t>
      </w:r>
    </w:p>
    <w:p>
      <w:pPr>
        <w:pStyle w:val="50"/>
        <w:ind w:left="360"/>
      </w:pPr>
      <w:r>
        <w:t>Trình bày lịch trình đánh giá, điểm trách nhiệm giải trình và mức độ đạt được mong đợi (nếu được sử dụng) cho mỗi kết quả của học sinh. Cung cấp bản tóm tắt dữ liệu được thu thập và kết quả đánh giá cho các chu kỳ đánh giá và đánh giá gần đây đối với từng kết quả của học sinh, minh họa kết quả đạt được hiện tại của mỗi kết quả đầu ra của học sinh và xu hướng đạt được theo thời gian (nên trình bày dạng bảng hoặc đồ họa). Mô tả cách các kết quả đánh giá được truyền đạt và ghi lại và cung cấp một hoặc nhiều ví dụ về các đánh giá được truyền đạt này trong báo cáo. (Lưu ý rằng việc tính trung bình quá mức của dữ liệu có thể tác động tiêu cực đến quá trình đánh giá, ví dụ: "lấy trung bình cộng".)</w:t>
      </w:r>
    </w:p>
    <w:p>
      <w:pPr>
        <w:pStyle w:val="50"/>
        <w:ind w:left="360"/>
      </w:pPr>
    </w:p>
    <w:p>
      <w:pPr>
        <w:pStyle w:val="50"/>
        <w:ind w:left="360"/>
      </w:pPr>
    </w:p>
    <w:p>
      <w:pPr>
        <w:pStyle w:val="50"/>
        <w:ind w:left="0"/>
        <w:rPr>
          <w:rFonts w:ascii="Arial" w:hAnsi="Arial" w:cs="Arial"/>
          <w:b/>
          <w:sz w:val="28"/>
          <w:szCs w:val="28"/>
        </w:rPr>
      </w:pPr>
      <w:r>
        <w:rPr>
          <w:rFonts w:ascii="Arial" w:hAnsi="Arial" w:cs="Arial"/>
          <w:b/>
          <w:sz w:val="28"/>
          <w:szCs w:val="28"/>
        </w:rPr>
        <w:t>E. Sử dụng kết quả đánh giá và đánh giá cho các hành động cải tiến liên tục</w:t>
      </w:r>
    </w:p>
    <w:p>
      <w:pPr>
        <w:pStyle w:val="50"/>
        <w:ind w:left="360"/>
      </w:pPr>
      <w:r>
        <w:t>Mô tả cách kết quả đánh giá và đánh giá mức độ đạt được của học sinh (từ phần C và D ở trên) được sử dụng một cách có hệ thống làm đầu vào cho các hành động cải tiến liên tục của chương trình. Trình bày các điểm trách nhiệm giải trình, lịch trình và tần suất. Tóm tắt và cung cấp bằng chứng về các cuộc thảo luận, quyết định và hành động đã được thực hiện để đánh giá kết quả đạt được của học sinh. Bằng chứng có thể bao gồm các báo cáo đánh giá, chương trình nghị sự, biên bản cuộc họp của khoa hoặc bản ghi nhớ. (Lưu ý rằng kết quả của mỗi học sinh không được mong đợi hoặc bắt buộc phải tuân theo hành động cải thiện liên tục sau mỗi chu kỳ đánh giá và đánh giá.)</w:t>
      </w:r>
    </w:p>
    <w:p>
      <w:pPr>
        <w:pStyle w:val="50"/>
        <w:ind w:left="360"/>
      </w:pPr>
    </w:p>
    <w:p>
      <w:pPr>
        <w:ind w:left="360"/>
      </w:pPr>
    </w:p>
    <w:p>
      <w:pPr>
        <w:rPr>
          <w:rFonts w:ascii="Georgia" w:hAnsi="Georgia"/>
        </w:rPr>
      </w:pPr>
    </w:p>
    <w:p>
      <w:pPr>
        <w:rPr>
          <w:rFonts w:ascii="Arial" w:hAnsi="Arial" w:cs="Arial"/>
          <w:b/>
          <w:sz w:val="28"/>
          <w:szCs w:val="28"/>
        </w:rPr>
      </w:pPr>
      <w:r>
        <w:rPr>
          <w:rFonts w:ascii="Arial" w:hAnsi="Arial" w:cs="Arial"/>
          <w:b/>
          <w:sz w:val="28"/>
          <w:szCs w:val="28"/>
        </w:rPr>
        <w:t>F. Sử dụng đầu vào khác để cải tiến liên tục</w:t>
      </w:r>
    </w:p>
    <w:p>
      <w:r>
        <w:t>Nếu đầu vào khác cũng được sử dụng để cải tiến liên tục chương trình, hãy mô tả nó ở đây.</w:t>
      </w:r>
    </w:p>
    <w:p>
      <w:pPr>
        <w:pStyle w:val="50"/>
        <w:ind w:left="360"/>
        <w:rPr>
          <w:bCs/>
          <w:sz w:val="22"/>
          <w:szCs w:val="22"/>
        </w:rPr>
      </w:pPr>
    </w:p>
    <w:p>
      <w:pPr>
        <w:pStyle w:val="50"/>
        <w:ind w:left="360"/>
        <w:rPr>
          <w:bCs/>
          <w:sz w:val="22"/>
          <w:szCs w:val="22"/>
        </w:rPr>
        <w:sectPr>
          <w:footerReference r:id="rId4" w:type="default"/>
          <w:pgSz w:w="12240" w:h="15840"/>
          <w:pgMar w:top="1440" w:right="1440" w:bottom="1530" w:left="1440" w:header="720" w:footer="720" w:gutter="0"/>
          <w:cols w:space="720" w:num="1"/>
          <w:titlePg/>
          <w:docGrid w:linePitch="360" w:charSpace="0"/>
        </w:sectPr>
      </w:pPr>
    </w:p>
    <w:p>
      <w:pPr>
        <w:ind w:left="360"/>
        <w:rPr>
          <w:i/>
          <w:color w:val="808080" w:themeColor="text1" w:themeTint="80"/>
          <w14:textFill>
            <w14:solidFill>
              <w14:schemeClr w14:val="tx1">
                <w14:lumMod w14:val="50000"/>
                <w14:lumOff w14:val="50000"/>
              </w14:schemeClr>
            </w14:solidFill>
          </w14:textFill>
        </w:rPr>
      </w:pPr>
      <w:r>
        <w:rPr>
          <w:i/>
          <w:color w:val="808080" w:themeColor="text1" w:themeTint="80"/>
          <w14:textFill>
            <w14:solidFill>
              <w14:schemeClr w14:val="tx1">
                <w14:lumMod w14:val="50000"/>
                <w14:lumOff w14:val="50000"/>
              </w14:schemeClr>
            </w14:solidFill>
          </w14:textFill>
        </w:rPr>
        <w:t xml:space="preserve">Bảng sau đây là một ví dụ về một cách để cung cấp thông tin được yêu cầu ở trên. </w:t>
      </w:r>
      <w:r>
        <w:rPr>
          <w:b/>
          <w:i/>
          <w:color w:val="808080" w:themeColor="text1" w:themeTint="80"/>
          <w14:textFill>
            <w14:solidFill>
              <w14:schemeClr w14:val="tx1">
                <w14:lumMod w14:val="50000"/>
                <w14:lumOff w14:val="50000"/>
              </w14:schemeClr>
            </w14:solidFill>
          </w14:textFill>
        </w:rPr>
        <w:t xml:space="preserve">KHÔNG BẮT BUỘC SỬ DỤNG LOẠI BẢNG NÀY. </w:t>
      </w:r>
      <w:r>
        <w:rPr>
          <w:i/>
          <w:color w:val="808080" w:themeColor="text1" w:themeTint="80"/>
          <w14:textFill>
            <w14:solidFill>
              <w14:schemeClr w14:val="tx1">
                <w14:lumMod w14:val="50000"/>
                <w14:lumOff w14:val="50000"/>
              </w14:schemeClr>
            </w14:solidFill>
          </w14:textFill>
        </w:rPr>
        <w:t>Chương trình có thể chọn sử dụng hoặc điều chỉnh bảng mẫu này. Lưu ý rằng tất cả các yếu tố trong bảng mẫu dưới đây không bắt buộc nhưng được cung cấp để hỗ trợ chương trình cho các quy trình cải tiến liên tục của chúng.</w:t>
      </w:r>
    </w:p>
    <w:p>
      <w:pPr>
        <w:ind w:left="360"/>
        <w:rPr>
          <w:i/>
          <w:color w:val="808080" w:themeColor="text1" w:themeTint="80"/>
          <w14:textFill>
            <w14:solidFill>
              <w14:schemeClr w14:val="tx1">
                <w14:lumMod w14:val="50000"/>
                <w14:lumOff w14:val="50000"/>
              </w14:schemeClr>
            </w14:solidFill>
          </w14:textFill>
        </w:rPr>
      </w:pPr>
    </w:p>
    <w:p>
      <w:pPr>
        <w:ind w:left="360"/>
        <w:rPr>
          <w:i/>
          <w:color w:val="808080" w:themeColor="text1" w:themeTint="80"/>
          <w14:textFill>
            <w14:solidFill>
              <w14:schemeClr w14:val="tx1">
                <w14:lumMod w14:val="50000"/>
                <w14:lumOff w14:val="50000"/>
              </w14:schemeClr>
            </w14:solidFill>
          </w14:textFill>
        </w:rPr>
      </w:pPr>
      <w:r>
        <w:rPr>
          <w:i/>
          <w:color w:val="808080" w:themeColor="text1" w:themeTint="80"/>
          <w14:textFill>
            <w14:solidFill>
              <w14:schemeClr w14:val="tx1">
                <w14:lumMod w14:val="50000"/>
                <w14:lumOff w14:val="50000"/>
              </w14:schemeClr>
            </w14:solidFill>
          </w14:textFill>
        </w:rPr>
        <w:t xml:space="preserve">Sử dụng một bảng cho mỗi kết quả sắp xếp thông tin được yêu cầu ở trên theo kết quả của học sinh. Tuy nhiên, các thành phần khác nhau của bảng có thể được sử dụng theo ý muốn của chương trình. Lưu ý rằng bất kỳ thông tin nào có trong bảng dưới đây không nhất thiết phải được sao chép trong phần khác của phần Tiêu chí 4 của Báo cáo </w:t>
      </w:r>
      <w:r>
        <w:rPr>
          <w:i/>
          <w:color w:val="808080" w:themeColor="text1" w:themeTint="80"/>
          <w:lang w:val="en-US"/>
          <w14:textFill>
            <w14:solidFill>
              <w14:schemeClr w14:val="tx1">
                <w14:lumMod w14:val="50000"/>
                <w14:lumOff w14:val="50000"/>
              </w14:schemeClr>
            </w14:solidFill>
          </w14:textFill>
        </w:rPr>
        <w:t>tự đánh giá</w:t>
      </w:r>
      <w:r>
        <w:rPr>
          <w:i/>
          <w:color w:val="808080" w:themeColor="text1" w:themeTint="80"/>
          <w14:textFill>
            <w14:solidFill>
              <w14:schemeClr w14:val="tx1">
                <w14:lumMod w14:val="50000"/>
                <w14:lumOff w14:val="50000"/>
              </w14:schemeClr>
            </w14:solidFill>
          </w14:textFill>
        </w:rPr>
        <w:t>, nhưng việc tham khảo phù hợp sẽ giúp ích cho người đánh giá chương trình.</w:t>
      </w:r>
    </w:p>
    <w:p>
      <w:pPr>
        <w:ind w:left="360"/>
        <w:rPr>
          <w:rFonts w:ascii="Georgia" w:hAnsi="Georgia"/>
        </w:rPr>
      </w:pPr>
    </w:p>
    <w:p>
      <w:pPr>
        <w:spacing w:after="120"/>
        <w:rPr>
          <w:rFonts w:ascii="Egyptienne F LT Std" w:hAnsi="Egyptienne F LT Std"/>
          <w:i/>
        </w:rPr>
      </w:pPr>
      <w:r>
        <w:rPr>
          <w:rFonts w:ascii="Egyptienne F LT Std" w:hAnsi="Egyptienne F LT Std"/>
          <w:b/>
        </w:rPr>
        <w:t xml:space="preserve">Kết quả của Học sinh: </w:t>
      </w:r>
      <w:r>
        <w:rPr>
          <w:rFonts w:ascii="Egyptienne F LT Std" w:hAnsi="Egyptienne F LT Std"/>
          <w:i/>
          <w:u w:val="single"/>
        </w:rPr>
        <w:t xml:space="preserve">___ _&lt;Cấp độ chương trình SO như được liệt kê trong Tiêu chí 3 Phần B ở trên--sử dụng một bảng cho mỗi SO.&gt; </w:t>
      </w:r>
      <w:r>
        <w:rPr>
          <w:rFonts w:ascii="Egyptienne F LT Std" w:hAnsi="Egyptienne F LT Std"/>
          <w:i/>
        </w:rPr>
        <w:t>_______________</w:t>
      </w:r>
    </w:p>
    <w:tbl>
      <w:tblPr>
        <w:tblStyle w:val="12"/>
        <w:tblW w:w="12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86"/>
        <w:gridCol w:w="1506"/>
        <w:gridCol w:w="1463"/>
        <w:gridCol w:w="1800"/>
        <w:gridCol w:w="1710"/>
        <w:gridCol w:w="1350"/>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r>
              <w:rPr>
                <w:rFonts w:asciiTheme="minorHAnsi" w:hAnsiTheme="minorHAnsi"/>
                <w:sz w:val="22"/>
                <w:szCs w:val="22"/>
              </w:rPr>
              <w:t>Các chỉ số hiệu suất (PI) cho kết quả này</w:t>
            </w:r>
          </w:p>
        </w:tc>
        <w:tc>
          <w:tcPr>
            <w:tcW w:w="1507"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cstheme="minorHAnsi"/>
                <w:sz w:val="22"/>
                <w:szCs w:val="22"/>
              </w:rPr>
            </w:pPr>
            <w:r>
              <w:rPr>
                <w:rFonts w:asciiTheme="minorHAnsi" w:hAnsiTheme="minorHAnsi" w:cstheme="minorHAnsi"/>
                <w:sz w:val="22"/>
                <w:szCs w:val="22"/>
              </w:rPr>
              <w:t>Các khóa học góp phần nâng cao khả năng đạt được PI của học sinh (sử dụng một danh sách đơn giản)</w:t>
            </w:r>
          </w:p>
        </w:tc>
        <w:tc>
          <w:tcPr>
            <w:tcW w:w="1463"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cstheme="minorHAnsi"/>
                <w:sz w:val="22"/>
                <w:szCs w:val="22"/>
              </w:rPr>
            </w:pPr>
            <w:r>
              <w:rPr>
                <w:rFonts w:asciiTheme="minorHAnsi" w:hAnsiTheme="minorHAnsi"/>
                <w:sz w:val="22"/>
                <w:szCs w:val="22"/>
              </w:rPr>
              <w:t>(Các) khóa học hoặc hoạt động thu thập dữ liệu đánh giá của PI</w:t>
            </w:r>
            <w:r>
              <w:rPr>
                <w:rFonts w:asciiTheme="minorHAnsi" w:hAnsiTheme="minorHAnsi" w:cstheme="minorHAnsi"/>
                <w:sz w:val="22"/>
                <w:szCs w:val="22"/>
              </w:rPr>
              <w:t xml:space="preserve"> </w:t>
            </w:r>
          </w:p>
        </w:tc>
        <w:tc>
          <w:tcPr>
            <w:tcW w:w="180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r>
              <w:rPr>
                <w:rFonts w:asciiTheme="minorHAnsi" w:hAnsiTheme="minorHAnsi" w:cstheme="minorHAnsi"/>
                <w:sz w:val="22"/>
                <w:szCs w:val="22"/>
              </w:rPr>
              <w:t>Cho biết PI được đánh giá như thế nào (câu hỏi kiểm tra, báo cáo được đánh giá bằng phiếu tự đánh giá, v.v.)</w:t>
            </w:r>
          </w:p>
        </w:tc>
        <w:tc>
          <w:tcPr>
            <w:tcW w:w="171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r>
              <w:rPr>
                <w:rFonts w:asciiTheme="minorHAnsi" w:hAnsiTheme="minorHAnsi"/>
                <w:sz w:val="22"/>
                <w:szCs w:val="22"/>
              </w:rPr>
              <w:t>Nêu tần suất đánh giá PI</w:t>
            </w:r>
          </w:p>
        </w:tc>
        <w:tc>
          <w:tcPr>
            <w:tcW w:w="135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r>
              <w:rPr>
                <w:rFonts w:asciiTheme="minorHAnsi" w:hAnsiTheme="minorHAnsi"/>
                <w:sz w:val="22"/>
                <w:szCs w:val="22"/>
              </w:rPr>
              <w:t>Dữ liệu năm và học kỳ được thu thập</w:t>
            </w:r>
          </w:p>
        </w:tc>
        <w:tc>
          <w:tcPr>
            <w:tcW w:w="162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r>
              <w:rPr>
                <w:rFonts w:asciiTheme="minorHAnsi" w:hAnsiTheme="minorHAnsi"/>
                <w:sz w:val="22"/>
                <w:szCs w:val="22"/>
              </w:rPr>
              <w:t>Mục tiêu hiệu suất cho PI (nếu được sử dụng)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r>
              <w:rPr>
                <w:rFonts w:asciiTheme="minorHAnsi" w:hAnsiTheme="minorHAnsi"/>
              </w:rPr>
              <w:t>1.</w:t>
            </w:r>
          </w:p>
        </w:tc>
        <w:tc>
          <w:tcPr>
            <w:tcW w:w="1507"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463"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r>
              <w:rPr>
                <w:rFonts w:asciiTheme="minorHAnsi" w:hAnsiTheme="minorHAnsi"/>
              </w:rPr>
              <w:t>2.</w:t>
            </w:r>
          </w:p>
        </w:tc>
        <w:tc>
          <w:tcPr>
            <w:tcW w:w="1507"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463"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r>
              <w:rPr>
                <w:rFonts w:asciiTheme="minorHAnsi" w:hAnsiTheme="minorHAnsi"/>
              </w:rPr>
              <w:t>Vân vân.</w:t>
            </w:r>
          </w:p>
        </w:tc>
        <w:tc>
          <w:tcPr>
            <w:tcW w:w="1507"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463"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12438" w:type="dxa"/>
            <w:gridSpan w:val="7"/>
            <w:tcBorders>
              <w:top w:val="single" w:color="000000" w:sz="4" w:space="0"/>
              <w:left w:val="single" w:color="000000" w:sz="4" w:space="0"/>
              <w:bottom w:val="single" w:color="000000" w:sz="4" w:space="0"/>
              <w:right w:val="single" w:color="000000" w:sz="4" w:space="0"/>
            </w:tcBorders>
          </w:tcPr>
          <w:p>
            <w:pPr>
              <w:ind w:left="720" w:hanging="720"/>
              <w:jc w:val="both"/>
              <w:rPr>
                <w:rFonts w:asciiTheme="minorHAnsi" w:hAnsiTheme="minorHAnsi"/>
                <w:b/>
              </w:rPr>
            </w:pPr>
            <w:bookmarkStart w:id="38" w:name="_Hlk78989501"/>
            <w:r>
              <w:rPr>
                <w:rFonts w:asciiTheme="minorHAnsi" w:hAnsiTheme="minorHAnsi" w:cstheme="minorHAnsi"/>
                <w:b/>
                <w:bCs/>
              </w:rPr>
              <w:t xml:space="preserve">Đánh giá và đánh giá dữ liệu </w:t>
            </w:r>
            <w:r>
              <w:rPr>
                <w:rFonts w:asciiTheme="minorHAnsi" w:hAnsiTheme="minorHAnsi"/>
                <w:b/>
              </w:rPr>
              <w:t>:</w:t>
            </w:r>
          </w:p>
          <w:p>
            <w:pPr>
              <w:spacing w:after="120"/>
              <w:jc w:val="both"/>
              <w:rPr>
                <w:rFonts w:ascii="Calibri" w:hAnsi="Calibri" w:eastAsia="Calibri"/>
                <w:i/>
                <w:sz w:val="20"/>
                <w:szCs w:val="22"/>
              </w:rPr>
            </w:pPr>
            <w:r>
              <w:rPr>
                <w:rFonts w:asciiTheme="minorHAnsi" w:hAnsiTheme="minorHAnsi"/>
                <w:i/>
                <w:sz w:val="20"/>
                <w:szCs w:val="20"/>
              </w:rPr>
              <w:t>Dữ liệu đánh giá từ mỗi PI được liên kết với SO phải được đưa vào bảng. Giải thích mức độ đạt được của học sinh dựa trên kết quả kiểm tra đánh giá.</w:t>
            </w:r>
            <w:bookmarkEnd w:id="3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ind w:left="720" w:hanging="720"/>
              <w:jc w:val="both"/>
              <w:rPr>
                <w:rFonts w:asciiTheme="minorHAnsi" w:hAnsiTheme="minorHAnsi"/>
                <w:b/>
              </w:rPr>
            </w:pPr>
            <w:r>
              <w:rPr>
                <w:rFonts w:asciiTheme="minorHAnsi" w:hAnsiTheme="minorHAnsi"/>
                <w:b/>
              </w:rPr>
              <w:t>Hành động để cải tiến liên tục:</w:t>
            </w:r>
          </w:p>
          <w:p>
            <w:pPr>
              <w:spacing w:after="120"/>
              <w:rPr>
                <w:rFonts w:ascii="Egyptienne F LT Std" w:hAnsi="Egyptienne F LT Std"/>
                <w:b/>
                <w:sz w:val="20"/>
                <w:szCs w:val="20"/>
              </w:rPr>
            </w:pPr>
            <w:r>
              <w:rPr>
                <w:rFonts w:asciiTheme="minorHAnsi" w:hAnsiTheme="minorHAnsi"/>
                <w:i/>
                <w:sz w:val="20"/>
                <w:szCs w:val="20"/>
              </w:rPr>
              <w:t xml:space="preserve">Liệt kê và mô tả các hành động cải thiện chương trình liên quan đến kết quả của học sinh này do các quy trình đánh giá được mô tả ở trên. Cung cấp một lý do ngắn gọn cho từng hành động cải tiến này. Ngoài ra, thông tin đó có thể </w:t>
            </w:r>
            <w:r>
              <w:rPr>
                <w:rFonts w:ascii="Calibri" w:hAnsi="Calibri" w:eastAsia="Calibri"/>
                <w:i/>
                <w:sz w:val="20"/>
                <w:szCs w:val="20"/>
              </w:rPr>
              <w:t>được cung cấp trong phần báo cáo E ở trên.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ind w:left="720" w:hanging="720"/>
              <w:jc w:val="both"/>
              <w:rPr>
                <w:rFonts w:asciiTheme="minorHAnsi" w:hAnsiTheme="minorHAnsi"/>
                <w:b/>
              </w:rPr>
            </w:pPr>
            <w:r>
              <w:rPr>
                <w:rFonts w:asciiTheme="minorHAnsi" w:hAnsiTheme="minorHAnsi"/>
                <w:b/>
              </w:rPr>
              <w:t xml:space="preserve">Kết quả của các hành động cải tiến </w:t>
            </w:r>
            <w:r>
              <w:t>:</w:t>
            </w:r>
          </w:p>
          <w:p>
            <w:pPr>
              <w:spacing w:after="120"/>
              <w:jc w:val="both"/>
              <w:rPr>
                <w:rFonts w:asciiTheme="minorHAnsi" w:hAnsiTheme="minorHAnsi"/>
                <w:b/>
                <w:sz w:val="20"/>
                <w:szCs w:val="20"/>
              </w:rPr>
            </w:pPr>
            <w:r>
              <w:rPr>
                <w:rFonts w:ascii="Calibri" w:hAnsi="Calibri" w:eastAsia="Calibri"/>
                <w:i/>
                <w:sz w:val="20"/>
                <w:szCs w:val="20"/>
              </w:rPr>
              <w:t xml:space="preserve">Mô tả ngắn gọn kết quả của bất kỳ thay đổi nào ( dù có hiệu quả hay không ) trong những trường hợp đã hoàn thành việc đánh giá lại kết quả. Chi tiết có thể được cung cấp tại đây hoặc trong phần Báo cáo </w:t>
            </w:r>
            <w:r>
              <w:rPr>
                <w:rFonts w:ascii="Calibri" w:hAnsi="Calibri" w:eastAsia="Calibri"/>
                <w:i/>
                <w:sz w:val="20"/>
                <w:szCs w:val="20"/>
                <w:lang w:val="en-US"/>
              </w:rPr>
              <w:t>tự đánh giá</w:t>
            </w:r>
            <w:r>
              <w:rPr>
                <w:rFonts w:ascii="Calibri" w:hAnsi="Calibri" w:eastAsia="Calibri"/>
                <w:i/>
                <w:sz w:val="20"/>
                <w:szCs w:val="20"/>
              </w:rPr>
              <w:t>ở trên như một cuộc thảo luận riêng.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ind w:left="720" w:hanging="720"/>
              <w:jc w:val="both"/>
              <w:rPr>
                <w:rFonts w:asciiTheme="minorHAnsi" w:hAnsiTheme="minorHAnsi"/>
                <w:b/>
              </w:rPr>
            </w:pPr>
            <w:r>
              <w:rPr>
                <w:rFonts w:asciiTheme="minorHAnsi" w:hAnsiTheme="minorHAnsi"/>
                <w:b/>
              </w:rPr>
              <w:t>Công cụ đánh giá:</w:t>
            </w:r>
          </w:p>
          <w:p>
            <w:pPr>
              <w:spacing w:after="120"/>
              <w:rPr>
                <w:rFonts w:ascii="Egyptienne F LT Std" w:hAnsi="Egyptienne F LT Std"/>
                <w:i/>
                <w:sz w:val="20"/>
                <w:szCs w:val="20"/>
              </w:rPr>
            </w:pPr>
            <w:r>
              <w:rPr>
                <w:rFonts w:asciiTheme="minorHAnsi" w:hAnsiTheme="minorHAnsi"/>
                <w:i/>
                <w:sz w:val="20"/>
                <w:szCs w:val="20"/>
              </w:rPr>
              <w:t>Mô tả cách thức đánh giá và kết quả đánh giá được ghi lại và duy trì. Bao gồm các bản sao mẫu của các công cụ đánh giá hoặc tài liệu được tham chiếu trong bảng của bạn. Các mẫu bài làm của học sinh được đánh giá có thể được đưa vào phần phụ lục. Người đánh giá chương trình phải có sẵn các mẫu bài làm của học sinh được đánh giá cho các chỉ số hiệu suất được nêu ở đầu bảng và các tài liệu cải tiến liên tục khác.</w:t>
            </w:r>
          </w:p>
        </w:tc>
      </w:tr>
    </w:tbl>
    <w:p>
      <w:pPr>
        <w:spacing w:after="120"/>
        <w:rPr>
          <w:rFonts w:ascii="Egyptienne F LT Std" w:hAnsi="Egyptienne F LT Std"/>
          <w:b/>
        </w:rPr>
      </w:pPr>
    </w:p>
    <w:tbl>
      <w:tblPr>
        <w:tblStyle w:val="12"/>
        <w:tblW w:w="124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86"/>
        <w:gridCol w:w="1259"/>
        <w:gridCol w:w="1710"/>
        <w:gridCol w:w="1800"/>
        <w:gridCol w:w="1710"/>
        <w:gridCol w:w="1350"/>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c>
          <w:tcPr>
            <w:tcW w:w="126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cstheme="minorHAnsi"/>
                <w:sz w:val="22"/>
                <w:szCs w:val="22"/>
              </w:rPr>
            </w:pPr>
          </w:p>
        </w:tc>
        <w:tc>
          <w:tcPr>
            <w:tcW w:w="180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c>
          <w:tcPr>
            <w:tcW w:w="171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c>
          <w:tcPr>
            <w:tcW w:w="135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c>
          <w:tcPr>
            <w:tcW w:w="1620" w:type="dxa"/>
            <w:tcBorders>
              <w:top w:val="single" w:color="000000" w:sz="4" w:space="0"/>
              <w:left w:val="single" w:color="000000" w:sz="4" w:space="0"/>
              <w:bottom w:val="single" w:color="000000" w:sz="4" w:space="0"/>
              <w:right w:val="single" w:color="000000" w:sz="4" w:space="0"/>
            </w:tcBorders>
            <w:vAlign w:val="center"/>
          </w:tcPr>
          <w:p>
            <w:pPr>
              <w:spacing w:before="120" w:after="120"/>
              <w:jc w:val="center"/>
              <w:rPr>
                <w:rFonts w:asciiTheme="minorHAnsi" w:hAnsiTheme="minorHAnsi"/>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26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26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88"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26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80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71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35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c>
          <w:tcPr>
            <w:tcW w:w="1620" w:type="dxa"/>
            <w:tcBorders>
              <w:top w:val="single" w:color="000000" w:sz="4" w:space="0"/>
              <w:left w:val="single" w:color="000000" w:sz="4" w:space="0"/>
              <w:bottom w:val="single" w:color="000000" w:sz="4" w:space="0"/>
              <w:right w:val="single" w:color="000000" w:sz="4" w:space="0"/>
            </w:tcBorders>
          </w:tcPr>
          <w:p>
            <w:pPr>
              <w:rPr>
                <w:rFonts w:asciiTheme="minorHAnsi" w:hAnsiTheme="minorHAnsi"/>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spacing w:after="120"/>
              <w:jc w:val="both"/>
              <w:rPr>
                <w:rFonts w:ascii="Egyptienne F LT Std" w:hAnsi="Egyptienne F LT Std"/>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spacing w:after="120"/>
              <w:jc w:val="both"/>
              <w:rPr>
                <w:rFonts w:ascii="Calibri" w:hAnsi="Calibri" w:eastAsia="Calibri"/>
                <w:b/>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spacing w:after="120"/>
              <w:rPr>
                <w:rFonts w:ascii="Egyptienne F LT Std" w:hAnsi="Egyptienne F LT Std"/>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spacing w:after="120"/>
              <w:jc w:val="both"/>
              <w:rPr>
                <w:rFonts w:asciiTheme="minorHAnsi" w:hAnsiTheme="minorHAnsi"/>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38" w:type="dxa"/>
            <w:gridSpan w:val="7"/>
            <w:tcBorders>
              <w:top w:val="single" w:color="000000" w:sz="4" w:space="0"/>
              <w:left w:val="single" w:color="000000" w:sz="4" w:space="0"/>
              <w:bottom w:val="single" w:color="000000" w:sz="4" w:space="0"/>
              <w:right w:val="single" w:color="000000" w:sz="4" w:space="0"/>
            </w:tcBorders>
          </w:tcPr>
          <w:p>
            <w:pPr>
              <w:spacing w:after="120"/>
              <w:rPr>
                <w:rFonts w:ascii="Egyptienne F LT Std" w:hAnsi="Egyptienne F LT Std"/>
                <w:i/>
                <w:sz w:val="22"/>
                <w:szCs w:val="22"/>
              </w:rPr>
            </w:pPr>
          </w:p>
        </w:tc>
      </w:tr>
    </w:tbl>
    <w:p>
      <w:pPr>
        <w:ind w:left="360"/>
      </w:pPr>
    </w:p>
    <w:p>
      <w:pPr>
        <w:sectPr>
          <w:pgSz w:w="15840" w:h="12240" w:orient="landscape"/>
          <w:pgMar w:top="1440" w:right="1440" w:bottom="1440" w:left="1440" w:header="720" w:footer="720" w:gutter="0"/>
          <w:cols w:space="720" w:num="1"/>
        </w:sectPr>
      </w:pPr>
    </w:p>
    <w:p>
      <w:pPr>
        <w:pStyle w:val="2"/>
      </w:pPr>
      <w:bookmarkStart w:id="39" w:name="_Toc268163172"/>
      <w:r>
        <w:t>TIÊU CHÍ 5. CHƯƠNG TRÌNH HỌC</w:t>
      </w:r>
      <w:bookmarkEnd w:id="39"/>
    </w:p>
    <w:p>
      <w:pPr>
        <w:rPr>
          <w:rFonts w:ascii="Georgia" w:hAnsi="Georgia"/>
        </w:rPr>
      </w:pPr>
      <w:bookmarkStart w:id="40" w:name="_Toc268163173"/>
    </w:p>
    <w:p>
      <w:pPr>
        <w:pStyle w:val="3"/>
        <w:rPr>
          <w:rFonts w:cs="Arial"/>
        </w:rPr>
      </w:pPr>
      <w:r>
        <w:rPr>
          <w:rFonts w:cs="Arial"/>
        </w:rPr>
        <w:t>A. Chương trình giảng dạy</w:t>
      </w:r>
      <w:bookmarkEnd w:id="40"/>
    </w:p>
    <w:p>
      <w:pPr>
        <w:ind w:left="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Các tiêu chí chương trình áp dụng có thể bao gồm các tuyên bố bổ sung tính cụ thể cho các yêu cầu ngoại khóa được tìm thấy trong Tiêu chí 5 để phân biệt kỷ luật được chỉ định bởi tiêu đề của chương trình. Chúng nên được bao gồm trong các khóa học của chương trình. Liên hệ với ABET tại etac@abet.org nếu bạn có thắc mắc về tiêu chí chương trình áp dụng cho chương trình của bạn.</w:t>
      </w:r>
    </w:p>
    <w:p>
      <w:pPr>
        <w:ind w:left="36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1.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Hoàn thành Bảng 5-1 mô tả kế hoạch học tập cho sinh viên trong chương trình này, bao gồm thông tin về các khóa học dưới dạng lịch trình được đề xuất theo năm và học kỳ cùng với số lượng đăng ký trung bình cho tất cả các khóa học trong chương trình trong hai năm ngay trước chuyến thăm.</w:t>
      </w:r>
      <w:r>
        <w:rPr>
          <w:i/>
          <w:color w:val="595959" w:themeColor="text1" w:themeTint="A6"/>
          <w14:textFill>
            <w14:solidFill>
              <w14:schemeClr w14:val="tx1">
                <w14:lumMod w14:val="65000"/>
                <w14:lumOff w14:val="35000"/>
              </w14:schemeClr>
            </w14:solidFill>
          </w14:textFill>
        </w:rPr>
        <w:t xml:space="preserve"> </w:t>
      </w:r>
      <w:r>
        <w:t xml:space="preserve">Nêu rõ chương trình dựa trên hệ thống một phần tư hay hệ thống học kỳ và hoàn thành một bảng riêng cho từng tùy chọn trong chương trình </w:t>
      </w:r>
      <w:r>
        <w:rPr>
          <w:color w:val="595959" w:themeColor="text1" w:themeTint="A6"/>
          <w14:textFill>
            <w14:solidFill>
              <w14:schemeClr w14:val="tx1">
                <w14:lumMod w14:val="65000"/>
                <w14:lumOff w14:val="35000"/>
              </w14:schemeClr>
            </w14:solidFill>
          </w14:textFill>
        </w:rPr>
        <w:t>.</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2. </w:t>
      </w:r>
      <w:r>
        <w:rPr>
          <w:color w:val="595959" w:themeColor="text1" w:themeTint="A6"/>
          <w14:textFill>
            <w14:solidFill>
              <w14:schemeClr w14:val="tx1">
                <w14:lumMod w14:val="65000"/>
                <w14:lumOff w14:val="35000"/>
              </w14:schemeClr>
            </w14:solidFill>
          </w14:textFill>
        </w:rPr>
        <w:tab/>
      </w:r>
      <w:r>
        <w:rPr>
          <w:strike/>
          <w:color w:val="595959" w:themeColor="text1" w:themeTint="A6"/>
          <w14:textFill>
            <w14:solidFill>
              <w14:schemeClr w14:val="tx1">
                <w14:lumMod w14:val="65000"/>
                <w14:lumOff w14:val="35000"/>
              </w14:schemeClr>
            </w14:solidFill>
          </w14:textFill>
        </w:rPr>
        <w:t>Mô tả cách thức</w:t>
      </w:r>
      <w:r>
        <w:rPr>
          <w:strike/>
          <w:color w:val="595959" w:themeColor="text1" w:themeTint="A6"/>
          <w:sz w:val="22"/>
          <w:szCs w:val="22"/>
          <w14:textFill>
            <w14:solidFill>
              <w14:schemeClr w14:val="tx1">
                <w14:lumMod w14:val="65000"/>
                <w14:lumOff w14:val="35000"/>
              </w14:schemeClr>
            </w14:solidFill>
          </w14:textFill>
        </w:rPr>
        <w:t xml:space="preserve"> </w:t>
      </w:r>
      <w:r>
        <w:rPr>
          <w:strike/>
          <w:color w:val="595959" w:themeColor="text1" w:themeTint="A6"/>
          <w14:textFill>
            <w14:solidFill>
              <w14:schemeClr w14:val="tx1">
                <w14:lumMod w14:val="65000"/>
                <w14:lumOff w14:val="35000"/>
              </w14:schemeClr>
            </w14:solidFill>
          </w14:textFill>
        </w:rPr>
        <w:t>chương trình giảng dạy và cấu trúc điều kiện tiên quyết liên quan của nó hỗ trợ việc đạt được kết quả đầu ra của học sinh.</w:t>
      </w:r>
      <w:r>
        <w:rPr>
          <w:color w:val="595959" w:themeColor="text1" w:themeTint="A6"/>
          <w14:textFill>
            <w14:solidFill>
              <w14:schemeClr w14:val="tx1">
                <w14:lumMod w14:val="65000"/>
                <w14:lumOff w14:val="35000"/>
              </w14:schemeClr>
            </w14:solidFill>
          </w14:textFill>
        </w:rPr>
        <w:t xml:space="preserve"> </w:t>
      </w:r>
      <w:r>
        <w:rPr>
          <w:rFonts w:ascii="Arial" w:hAnsi="Arial" w:cs="Arial"/>
          <w:color w:val="C00000"/>
          <w:sz w:val="22"/>
          <w:szCs w:val="22"/>
        </w:rPr>
        <w:t xml:space="preserve">Không </w:t>
      </w:r>
      <w:r>
        <w:rPr>
          <w:rFonts w:ascii="Arial" w:hAnsi="Arial" w:cs="Arial"/>
          <w:b/>
          <w:color w:val="C00000"/>
          <w:sz w:val="22"/>
          <w:szCs w:val="22"/>
          <w:u w:val="single"/>
        </w:rPr>
        <w:t xml:space="preserve">gửi </w:t>
      </w:r>
      <w:r>
        <w:rPr>
          <w:rFonts w:ascii="Arial" w:hAnsi="Arial" w:cs="Arial"/>
          <w:color w:val="C00000"/>
          <w:sz w:val="22"/>
          <w:szCs w:val="22"/>
        </w:rPr>
        <w:t xml:space="preserve">điều này để </w:t>
      </w:r>
      <w:r>
        <w:rPr>
          <w:rFonts w:ascii="Arial" w:hAnsi="Arial" w:cs="Arial"/>
          <w:color w:val="C00000"/>
          <w:sz w:val="22"/>
          <w:szCs w:val="22"/>
          <w:lang w:val="en-US"/>
        </w:rPr>
        <w:t>Đánh giá Mức độ Sẵn sàng</w:t>
      </w:r>
      <w:r>
        <w:rPr>
          <w:rFonts w:ascii="Arial" w:hAnsi="Arial" w:cs="Arial"/>
          <w:color w:val="C00000"/>
          <w:sz w:val="22"/>
          <w:szCs w:val="22"/>
        </w:rPr>
        <w:t>.</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3.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Đính kèm sơ đồ hoặc trang tính minh họa cấu trúc điều kiện tiên quyết của các khóa học bắt buộc của chương trình. Nếu có sự khác biệt giữa chương trình giảng dạy hiện tại và chương trình có hiệu lực đối với bảng điểm của sinh viên tốt nghiệp được gửi đến người đánh giá, vui lòng cung cấp cấu trúc điều kiện tiên quyết cho cả hai bộ yêu cầu.</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4.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 xml:space="preserve">Mô tả cách chương trình của bạn đáp ứng các yêu cầu cụ thể cho từng lĩnh vực ngoại khóa (Toán học và Khoa học Tự nhiên và Vật lý, Chủ đề Cụ thể của Bộ môn) được giải quyết cụ thể theo tiêu chí chung hoặc tiêu chí chương trình cụ thể, sẽ được trình bày trong Bảng 5-1. D </w:t>
      </w:r>
      <w:r>
        <w:t>mô tả cách hoàn thành phạm vi bao phủ của đại số và lượng giác (đối với các chương trình AS) hoặc phép tính vi phân và tích phân hoặc toán học khác trên cấp độ đại số và lượng giác (đối với các chương trình BS).</w:t>
      </w:r>
      <w:r>
        <w:rPr>
          <w:color w:val="595959" w:themeColor="text1" w:themeTint="A6"/>
          <w14:textFill>
            <w14:solidFill>
              <w14:schemeClr w14:val="tx1">
                <w14:lumMod w14:val="65000"/>
                <w14:lumOff w14:val="35000"/>
              </w14:schemeClr>
            </w14:solidFill>
          </w14:textFill>
        </w:rPr>
        <w:t xml:space="preserve">  </w:t>
      </w:r>
    </w:p>
    <w:p>
      <w:pPr>
        <w:ind w:left="720"/>
        <w:rPr>
          <w:color w:val="595959" w:themeColor="text1" w:themeTint="A6"/>
          <w14:textFill>
            <w14:solidFill>
              <w14:schemeClr w14:val="tx1">
                <w14:lumMod w14:val="65000"/>
                <w14:lumOff w14:val="35000"/>
              </w14:schemeClr>
            </w14:solidFill>
          </w14:textFill>
        </w:rPr>
      </w:pPr>
    </w:p>
    <w:p>
      <w:pPr>
        <w:pStyle w:val="50"/>
        <w:numPr>
          <w:ilvl w:val="0"/>
          <w:numId w:val="2"/>
        </w:numPr>
        <w:rPr>
          <w:color w:val="595959" w:themeColor="text1" w:themeTint="A6"/>
          <w14:textFill>
            <w14:solidFill>
              <w14:schemeClr w14:val="tx1">
                <w14:lumMod w14:val="65000"/>
                <w14:lumOff w14:val="35000"/>
              </w14:schemeClr>
            </w14:solidFill>
          </w14:textFill>
        </w:rPr>
      </w:pPr>
      <w:r>
        <w:t>Mô tả cách thức các tiêu chuẩn và mã ngành và kỹ thuật; an toàn và sức khỏe cộng đồng; và tác động cục bộ và toàn cầu của các giải pháp kỹ thuật đối với các cá nhân, tổ chức và xã hội được đề cập trong chương trình giảng dạy</w:t>
      </w:r>
    </w:p>
    <w:p>
      <w:pPr>
        <w:pStyle w:val="50"/>
        <w:numPr>
          <w:ilvl w:val="0"/>
          <w:numId w:val="2"/>
        </w:num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Mô tả cách trách nhiệm nghề nghiệp và đạo đức, nhận thức đa dạng và hòa nhập, chất lượng và cải tiến liên tục được giải quyết trong chương trình giảng dạy.</w:t>
      </w:r>
    </w:p>
    <w:p>
      <w:pPr>
        <w:pStyle w:val="5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 </w:t>
      </w:r>
    </w:p>
    <w:p>
      <w:pPr>
        <w:ind w:left="720" w:hanging="360"/>
        <w:rPr>
          <w:color w:val="595959" w:themeColor="text1" w:themeTint="A6"/>
          <w14:textFill>
            <w14:solidFill>
              <w14:schemeClr w14:val="tx1">
                <w14:lumMod w14:val="65000"/>
                <w14:lumOff w14:val="35000"/>
              </w14:schemeClr>
            </w14:solidFill>
          </w14:textFill>
        </w:rPr>
      </w:pPr>
    </w:p>
    <w:p>
      <w:pPr>
        <w:pStyle w:val="50"/>
        <w:numPr>
          <w:ilvl w:val="0"/>
          <w:numId w:val="2"/>
        </w:num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Mô tả cách chương trình giảng dạy cung cấp nội dung khoa học vật lý hoặc tự nhiên và các trải nghiệm trong phòng thí nghiệm phù hợp với ngành học và trải nghiệm trong phòng thí nghiệm của học sinh.</w:t>
      </w:r>
    </w:p>
    <w:p>
      <w:pPr>
        <w:ind w:left="720"/>
        <w:rPr>
          <w:color w:val="595959" w:themeColor="text1" w:themeTint="A6"/>
          <w14:textFill>
            <w14:solidFill>
              <w14:schemeClr w14:val="tx1">
                <w14:lumMod w14:val="65000"/>
                <w14:lumOff w14:val="35000"/>
              </w14:schemeClr>
            </w14:solidFill>
          </w14:textFill>
        </w:rPr>
      </w:pPr>
    </w:p>
    <w:p>
      <w:pPr>
        <w:pStyle w:val="50"/>
        <w:numPr>
          <w:ilvl w:val="0"/>
          <w:numId w:val="2"/>
        </w:numPr>
      </w:pPr>
      <w:r>
        <w:t xml:space="preserve">Mô tả cách chương trình giảng dạy hoàn thành trải nghiệm tổng hợp hoặc tích hợp ( </w:t>
      </w:r>
      <w:r>
        <w:rPr>
          <w:color w:val="595959" w:themeColor="text1" w:themeTint="A6"/>
          <w14:textFill>
            <w14:solidFill>
              <w14:schemeClr w14:val="tx1">
                <w14:lumMod w14:val="65000"/>
                <w14:lumOff w14:val="35000"/>
              </w14:schemeClr>
            </w14:solidFill>
          </w14:textFill>
        </w:rPr>
        <w:t>được yêu cầu bởi tiêu chí chung hoặc tiêu chí chương trình) và mô tả cách trải nghiệm này phát triển năng lực của học sinh trong việc áp dụng cả kỹ năng kỹ thuật và phi kỹ thuật trong việc giải quyết vấn đề</w:t>
      </w:r>
      <w:r>
        <w:t xml:space="preserve"> </w:t>
      </w:r>
    </w:p>
    <w:p>
      <w:pPr>
        <w:ind w:left="720" w:hanging="360"/>
      </w:pPr>
    </w:p>
    <w:p>
      <w:pPr>
        <w:pStyle w:val="50"/>
        <w:numPr>
          <w:ilvl w:val="0"/>
          <w:numId w:val="2"/>
        </w:num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Nếu chương trình của bạn cho phép giáo dục hợp tác hoặc thực tập để đáp ứng các yêu cầu ngoại khóa được giải quyết cụ thể theo tiêu chí chung hoặc tiêu chí chương trình, hãy mô tả thành phần học thuật của trải nghiệm này và cách chương trình đánh giá nó.</w:t>
      </w:r>
    </w:p>
    <w:p>
      <w:pPr>
        <w:pStyle w:val="50"/>
      </w:pPr>
    </w:p>
    <w:p>
      <w:pPr>
        <w:pStyle w:val="50"/>
      </w:pPr>
    </w:p>
    <w:p>
      <w:pPr>
        <w:pStyle w:val="73"/>
        <w:numPr>
          <w:ilvl w:val="0"/>
          <w:numId w:val="2"/>
        </w:numPr>
        <w:rPr>
          <w:strike/>
        </w:rPr>
      </w:pPr>
      <w:r>
        <w:rPr>
          <w:strike/>
        </w:rPr>
        <w:t>Mô tả bằng ví dụ về cách nhóm đánh giá có thể liên hệ các tài liệu khóa học (giáo trình khóa học, tài liệu khóa học và bài tập mẫu của sinh viên, v.v.), với việc tuân thủ Tiêu chí 5 hoặc Tiêu chí Chương trình cụ thể. (Xem APPM Phần IE 5.b.(2) về Tài liệu.)</w:t>
      </w:r>
    </w:p>
    <w:p>
      <w:pPr>
        <w:pStyle w:val="73"/>
        <w:ind w:hanging="360"/>
        <w:rPr>
          <w:strike/>
          <w:vertAlign w:val="superscript"/>
        </w:rPr>
      </w:pPr>
    </w:p>
    <w:p>
      <w:pPr>
        <w:pStyle w:val="73"/>
        <w:numPr>
          <w:ilvl w:val="1"/>
          <w:numId w:val="2"/>
        </w:numPr>
        <w:rPr>
          <w:strike/>
        </w:rPr>
      </w:pPr>
      <w:r>
        <w:rPr>
          <w:strike/>
        </w:rPr>
        <w:t>Người đánh giá sẽ xem xét các mẫu tài liệu khóa học bao gồm giáo trình khóa học, bài tập mẫu và bài kiểm tra cũng như các ví dụ tiêu biểu về bài làm của học sinh được xếp loại, thường từ xuất sắc đến kém. Cụ thể nguyên liệu sẽ bao gồm:</w:t>
      </w:r>
    </w:p>
    <w:p>
      <w:pPr>
        <w:autoSpaceDE w:val="0"/>
        <w:autoSpaceDN w:val="0"/>
        <w:adjustRightInd w:val="0"/>
        <w:ind w:left="720"/>
        <w:rPr>
          <w:strike/>
        </w:rPr>
      </w:pPr>
    </w:p>
    <w:p>
      <w:pPr>
        <w:pStyle w:val="50"/>
        <w:numPr>
          <w:ilvl w:val="2"/>
          <w:numId w:val="3"/>
        </w:numPr>
        <w:rPr>
          <w:iCs/>
          <w:strike/>
        </w:rPr>
      </w:pPr>
      <w:r>
        <w:rPr>
          <w:strike/>
        </w:rPr>
        <w:t xml:space="preserve">minh họa về phạm vi chủ đề được yêu cầu trong Tiêu chí 5 hoặc các yêu cầu </w:t>
      </w:r>
      <w:r>
        <w:rPr>
          <w:iCs/>
          <w:strike/>
        </w:rPr>
        <w:t>của Tiêu chí Chương trình cụ thể ;</w:t>
      </w:r>
    </w:p>
    <w:p>
      <w:pPr>
        <w:pStyle w:val="50"/>
        <w:numPr>
          <w:ilvl w:val="2"/>
          <w:numId w:val="3"/>
        </w:numPr>
        <w:rPr>
          <w:iCs/>
          <w:strike/>
        </w:rPr>
      </w:pPr>
      <w:r>
        <w:rPr>
          <w:iCs/>
          <w:strike/>
        </w:rPr>
        <w:t>các mẫu công việc thể hiện sự tiến bộ của sinh viên trong các chuyên ngành kỹ thuật ngày càng phức tạp; Và</w:t>
      </w:r>
    </w:p>
    <w:p>
      <w:pPr>
        <w:pStyle w:val="50"/>
        <w:numPr>
          <w:ilvl w:val="2"/>
          <w:numId w:val="3"/>
        </w:numPr>
        <w:rPr>
          <w:strike/>
        </w:rPr>
      </w:pPr>
      <w:r>
        <w:rPr>
          <w:strike/>
        </w:rPr>
        <w:t>khi áp dụng, ví dụ về các dự án capstone hoặc tích hợp kinh nghiệm.</w:t>
      </w:r>
    </w:p>
    <w:p>
      <w:pPr>
        <w:pStyle w:val="50"/>
        <w:numPr>
          <w:ilvl w:val="1"/>
          <w:numId w:val="3"/>
        </w:numPr>
        <w:rPr>
          <w:strike/>
        </w:rPr>
      </w:pPr>
      <w:r>
        <w:rPr>
          <w:strike/>
        </w:rPr>
        <w:t>Theo quyết định của chương trình, các tài liệu khác minh họa những nỗ lực mới lạ, bất thường hoặc sáng tạo để làm phong phú thêm chương trình giảng dạy và/hoặc đạt được kết quả đầu ra của học sinh có thể được cung cấp.</w:t>
      </w:r>
    </w:p>
    <w:p>
      <w:pPr>
        <w:pStyle w:val="50"/>
      </w:pPr>
    </w:p>
    <w:p>
      <w:pPr>
        <w:pStyle w:val="50"/>
        <w:rPr>
          <w:rFonts w:ascii="Arial" w:hAnsi="Arial" w:cs="Arial"/>
          <w:color w:val="C00000"/>
        </w:rPr>
      </w:pPr>
      <w:r>
        <w:rPr>
          <w:rFonts w:ascii="Arial" w:hAnsi="Arial" w:cs="Arial"/>
          <w:color w:val="C00000"/>
        </w:rPr>
        <w:t xml:space="preserve">Không gửi phần này để đánh giá mức độ sẵn sàng </w:t>
      </w:r>
      <w:r>
        <w:rPr>
          <w:rFonts w:ascii="Arial" w:hAnsi="Arial" w:cs="Arial"/>
          <w:b/>
          <w:color w:val="C00000"/>
          <w:u w:val="single"/>
        </w:rPr>
        <w:t>.</w:t>
      </w:r>
    </w:p>
    <w:p>
      <w:pPr>
        <w:ind w:left="720" w:hanging="360"/>
      </w:pPr>
    </w:p>
    <w:p>
      <w:pPr>
        <w:ind w:left="720" w:hanging="360"/>
        <w:rPr>
          <w:rFonts w:ascii="Georgia" w:hAnsi="Georgia"/>
        </w:rPr>
      </w:pPr>
    </w:p>
    <w:p>
      <w:pPr>
        <w:pStyle w:val="73"/>
        <w:numPr>
          <w:ilvl w:val="0"/>
          <w:numId w:val="2"/>
        </w:numPr>
        <w:rPr>
          <w:strike/>
        </w:rPr>
      </w:pPr>
      <w:r>
        <w:rPr>
          <w:strike/>
        </w:rPr>
        <w:t>Mô tả bằng ví dụ cách nhóm đánh giá sẽ có thể liên hệ các tài liệu trưng bày, ví dụ như đề cương khóa học, sách giáo khoa, bài làm mẫu của học sinh, v.v., với kết quả của mỗi học sinh. (Xem Phần IE 5.b. (2) của APPM 2020-2021 về tài liệu trưng bày.)</w:t>
      </w:r>
    </w:p>
    <w:p>
      <w:pPr>
        <w:pStyle w:val="73"/>
        <w:ind w:hanging="360"/>
        <w:rPr>
          <w:strike/>
          <w:vertAlign w:val="superscript"/>
        </w:rPr>
      </w:pPr>
    </w:p>
    <w:p>
      <w:pPr>
        <w:pStyle w:val="73"/>
        <w:numPr>
          <w:ilvl w:val="0"/>
          <w:numId w:val="4"/>
        </w:numPr>
        <w:rPr>
          <w:strike/>
        </w:rPr>
      </w:pPr>
      <w:r>
        <w:rPr>
          <w:strike/>
        </w:rPr>
        <w:t>Tài liệu trưng bày tại thời điểm thăm quan-Người đánh giá sẽ xem xét các mẫu tài liệu khóa học được trưng bày bao gồm đề cương khóa học, sách giáo khoa, bài tập và bài kiểm tra mẫu cũng như các ví dụ về bài làm của học sinh, thường xếp loại từ xuất sắc đến kém chỉ đối với những khóa học:</w:t>
      </w:r>
    </w:p>
    <w:p>
      <w:pPr>
        <w:autoSpaceDE w:val="0"/>
        <w:autoSpaceDN w:val="0"/>
        <w:adjustRightInd w:val="0"/>
        <w:ind w:left="720"/>
        <w:rPr>
          <w:strike/>
        </w:rPr>
      </w:pPr>
    </w:p>
    <w:p>
      <w:pPr>
        <w:pStyle w:val="74"/>
        <w:ind w:left="1350" w:hanging="270"/>
        <w:rPr>
          <w:rFonts w:ascii="Times New Roman" w:hAnsi="Times New Roman" w:cs="Times New Roman"/>
          <w:iCs/>
          <w:strike/>
          <w:color w:val="696867"/>
        </w:rPr>
      </w:pPr>
      <w:r>
        <w:rPr>
          <w:rFonts w:ascii="Times New Roman" w:hAnsi="Times New Roman" w:cs="Times New Roman"/>
          <w:strike/>
          <w:color w:val="696867"/>
        </w:rPr>
        <w:t xml:space="preserve">a) </w:t>
      </w:r>
      <w:r>
        <w:rPr>
          <w:rFonts w:ascii="Times New Roman" w:hAnsi="Times New Roman" w:cs="Times New Roman"/>
          <w:strike/>
          <w:color w:val="696867"/>
        </w:rPr>
        <w:tab/>
      </w:r>
      <w:r>
        <w:rPr>
          <w:rFonts w:ascii="Times New Roman" w:hAnsi="Times New Roman" w:cs="Times New Roman"/>
          <w:iCs/>
          <w:strike/>
          <w:color w:val="696867"/>
        </w:rPr>
        <w:t>hỗ trợ đạt được kết quả đầu ra của học sinh trong chương trình; Và</w:t>
      </w:r>
    </w:p>
    <w:p>
      <w:pPr>
        <w:ind w:left="1350"/>
        <w:rPr>
          <w:strike/>
        </w:rPr>
      </w:pPr>
    </w:p>
    <w:p>
      <w:pPr>
        <w:ind w:left="1350" w:hanging="270"/>
        <w:rPr>
          <w:iCs/>
          <w:strike/>
        </w:rPr>
      </w:pPr>
      <w:r>
        <w:rPr>
          <w:iCs/>
          <w:strike/>
        </w:rPr>
        <w:t xml:space="preserve">b) </w:t>
      </w:r>
      <w:r>
        <w:rPr>
          <w:iCs/>
          <w:strike/>
        </w:rPr>
        <w:tab/>
      </w:r>
      <w:r>
        <w:rPr>
          <w:iCs/>
          <w:strike/>
        </w:rPr>
        <w:t>phát triển các lĩnh vực chủ đề hỗ trợ việc đạt được kết quả đầu ra của học sinh hoặc có trong các yêu cầu tiêu chí chương trình cụ thể.</w:t>
      </w:r>
    </w:p>
    <w:p>
      <w:pPr>
        <w:ind w:left="1350"/>
        <w:rPr>
          <w:strike/>
        </w:rPr>
      </w:pPr>
    </w:p>
    <w:p>
      <w:pPr>
        <w:pStyle w:val="50"/>
        <w:numPr>
          <w:ilvl w:val="0"/>
          <w:numId w:val="4"/>
        </w:numPr>
        <w:rPr>
          <w:strike/>
        </w:rPr>
      </w:pPr>
      <w:r>
        <w:rPr>
          <w:strike/>
        </w:rPr>
        <w:t>Theo quyết định của chương trình, các tài liệu khác ghi lại những nỗ lực được thực hiện để liên tục cải tiến chương trình giảng dạy hoặc minh họa những nỗ lực mới lạ, bất thường hoặc sáng tạo để làm phong phú chương trình giảng dạy và/hoặc đạt được kết quả đầu ra của học sinh có thể được cung cấp.</w:t>
      </w:r>
    </w:p>
    <w:p>
      <w:pPr>
        <w:ind w:left="720"/>
        <w:rPr>
          <w:strike/>
        </w:rPr>
      </w:pPr>
    </w:p>
    <w:p>
      <w:pPr>
        <w:pStyle w:val="50"/>
        <w:numPr>
          <w:ilvl w:val="0"/>
          <w:numId w:val="4"/>
        </w:numPr>
      </w:pPr>
      <w:r>
        <w:rPr>
          <w:strike/>
        </w:rPr>
        <w:t xml:space="preserve">Bất cứ nơi nào có thể, tài liệu nên được cung cấp trực tuyến hoặc điện tử </w:t>
      </w:r>
      <w:r>
        <w:t>.</w:t>
      </w:r>
    </w:p>
    <w:p>
      <w:r>
        <w:tab/>
      </w:r>
      <w:r>
        <w:tab/>
      </w:r>
    </w:p>
    <w:p>
      <w:pPr>
        <w:pStyle w:val="3"/>
        <w:rPr>
          <w:rFonts w:cs="Arial"/>
        </w:rPr>
      </w:pPr>
      <w:bookmarkStart w:id="41" w:name="_Toc268163174"/>
      <w:r>
        <w:rPr>
          <w:rFonts w:cs="Arial"/>
        </w:rPr>
        <w:t>B. Đề cương môn học</w:t>
      </w:r>
      <w:bookmarkEnd w:id="41"/>
    </w:p>
    <w:p>
      <w:pPr>
        <w:ind w:left="360"/>
      </w:pPr>
      <w:r>
        <w:t xml:space="preserve">Trong Phụ lục A của Báo cáo </w:t>
      </w:r>
      <w:r>
        <w:rPr>
          <w:lang w:val="en-US"/>
        </w:rPr>
        <w:t>tự đánh giá</w:t>
      </w:r>
      <w:r>
        <w:t>, bao gồm một giáo trình cho mỗi khóa học được sử dụng</w:t>
      </w:r>
    </w:p>
    <w:p>
      <w:pPr>
        <w:ind w:left="360"/>
      </w:pPr>
      <w:r>
        <w:t>cho mức độ bằng cách sử dụng các nguyên tắc định dạng được đề xuất tìm thấy ở đó.</w:t>
      </w:r>
    </w:p>
    <w:p>
      <w:pPr>
        <w:tabs>
          <w:tab w:val="left" w:pos="360"/>
        </w:tabs>
        <w:ind w:left="360"/>
        <w:rPr>
          <w:rFonts w:ascii="Arial" w:hAnsi="Arial" w:cs="Arial"/>
          <w:b/>
          <w:color w:val="C00000"/>
        </w:rPr>
      </w:pPr>
    </w:p>
    <w:p>
      <w:pPr>
        <w:tabs>
          <w:tab w:val="left" w:pos="360"/>
        </w:tabs>
        <w:ind w:left="360"/>
        <w:rPr>
          <w:rFonts w:ascii="Arial" w:hAnsi="Arial" w:cs="Arial"/>
          <w:b/>
          <w:color w:val="C00000"/>
        </w:rPr>
      </w:pPr>
      <w:r>
        <w:rPr>
          <w:rFonts w:ascii="Arial" w:hAnsi="Arial" w:cs="Arial"/>
          <w:b/>
          <w:color w:val="C00000"/>
        </w:rPr>
        <w:t>CHỈ BAO GỒM CÁC GIÁO TRÌNH KHÓA HỌC CHO CÁC KHÓA HỌC CỤ THỂ KỶ LUẬT CỦA CHƯƠNG TRÌNH ĐỂ XEM XÉT SẴN SÀNG</w:t>
      </w:r>
    </w:p>
    <w:p>
      <w:pPr>
        <w:ind w:left="360"/>
        <w:rPr>
          <w:rFonts w:ascii="Georgia" w:hAnsi="Georgia"/>
        </w:rPr>
      </w:pPr>
    </w:p>
    <w:p>
      <w:pPr>
        <w:pStyle w:val="3"/>
        <w:rPr>
          <w:rFonts w:cs="Arial"/>
        </w:rPr>
      </w:pPr>
      <w:r>
        <w:rPr>
          <w:rFonts w:cs="Arial"/>
        </w:rPr>
        <w:t>C. Ủy Ban Cố Vấn</w:t>
      </w:r>
    </w:p>
    <w:p>
      <w:pPr>
        <w:ind w:left="360"/>
      </w:pPr>
      <w:r>
        <w:t>Mô tả thành phần của ủy ban cố vấn của chương trình (ví dụ: cá nhân, công ty và chức danh công việc) và mô tả cách nó đại diện cho các tổ chức được phục vụ bởi các sinh viên tốt nghiệp của chương trình. Mô tả các hoạt động của ủy ban cố vấn, cung cấp bằng chứng cho thấy họ định kỳ xem xét chương trình giảng dạy và các mục tiêu giáo dục của chương trình, đồng thời tư vấn cho chương trình về các khía cạnh hiện tại và tương lai của các lĩnh vực kỹ thuật mà sinh viên tốt nghiệp đang được chuẩn bị.</w:t>
      </w:r>
    </w:p>
    <w:p>
      <w:pPr>
        <w:ind w:left="360"/>
        <w:rPr>
          <w:rFonts w:ascii="Georgia" w:hAnsi="Georgia"/>
        </w:rPr>
        <w:sectPr>
          <w:pgSz w:w="12240" w:h="15840"/>
          <w:pgMar w:top="1440" w:right="1440" w:bottom="1530" w:left="1440" w:header="720" w:footer="720" w:gutter="0"/>
          <w:cols w:space="720" w:num="1"/>
          <w:titlePg/>
          <w:docGrid w:linePitch="360" w:charSpace="0"/>
        </w:sectPr>
      </w:pPr>
    </w:p>
    <w:p>
      <w:pPr>
        <w:pStyle w:val="3"/>
        <w:rPr>
          <w:rFonts w:cs="Arial"/>
          <w:color w:val="595959" w:themeColor="text1" w:themeTint="A6"/>
          <w14:textFill>
            <w14:solidFill>
              <w14:schemeClr w14:val="tx1">
                <w14:lumMod w14:val="65000"/>
                <w14:lumOff w14:val="35000"/>
              </w14:schemeClr>
            </w14:solidFill>
          </w14:textFill>
        </w:rPr>
      </w:pPr>
      <w:r>
        <w:rPr>
          <w:rFonts w:cs="Arial"/>
          <w:color w:val="595959" w:themeColor="text1" w:themeTint="A6"/>
          <w14:textFill>
            <w14:solidFill>
              <w14:schemeClr w14:val="tx1">
                <w14:lumMod w14:val="65000"/>
                <w14:lumOff w14:val="35000"/>
              </w14:schemeClr>
            </w14:solidFill>
          </w14:textFill>
        </w:rPr>
        <w:t>Bảng 5-1 Chương trình giảng dạy</w:t>
      </w:r>
    </w:p>
    <w:p>
      <w:pPr>
        <w:rPr>
          <w:rFonts w:ascii="Georgia" w:hAnsi="Georgia"/>
          <w:color w:val="595959" w:themeColor="text1" w:themeTint="A6"/>
          <w14:textFill>
            <w14:solidFill>
              <w14:schemeClr w14:val="tx1">
                <w14:lumMod w14:val="65000"/>
                <w14:lumOff w14:val="35000"/>
              </w14:schemeClr>
            </w14:solidFill>
          </w14:textFill>
        </w:rPr>
      </w:pPr>
    </w:p>
    <w:p>
      <w:pP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Tên chương trình</w:t>
      </w:r>
    </w:p>
    <w:p>
      <w:pPr>
        <w:rPr>
          <w:rFonts w:ascii="Georgia" w:hAnsi="Georgia"/>
          <w:sz w:val="22"/>
          <w:szCs w:val="22"/>
        </w:rPr>
      </w:pPr>
    </w:p>
    <w:tbl>
      <w:tblPr>
        <w:tblStyle w:val="12"/>
        <w:tblW w:w="14580" w:type="dxa"/>
        <w:tblInd w:w="-750" w:type="dxa"/>
        <w:tblLayout w:type="fixed"/>
        <w:tblCellMar>
          <w:top w:w="0" w:type="dxa"/>
          <w:left w:w="43" w:type="dxa"/>
          <w:bottom w:w="0" w:type="dxa"/>
          <w:right w:w="43" w:type="dxa"/>
        </w:tblCellMar>
      </w:tblPr>
      <w:tblGrid>
        <w:gridCol w:w="6285"/>
        <w:gridCol w:w="15"/>
        <w:gridCol w:w="1440"/>
        <w:gridCol w:w="990"/>
        <w:gridCol w:w="1333"/>
        <w:gridCol w:w="17"/>
        <w:gridCol w:w="1015"/>
        <w:gridCol w:w="785"/>
        <w:gridCol w:w="1440"/>
        <w:gridCol w:w="1260"/>
      </w:tblGrid>
      <w:tr>
        <w:tblPrEx>
          <w:tblCellMar>
            <w:top w:w="0" w:type="dxa"/>
            <w:left w:w="43" w:type="dxa"/>
            <w:bottom w:w="0" w:type="dxa"/>
            <w:right w:w="43" w:type="dxa"/>
          </w:tblCellMar>
        </w:tblPrEx>
        <w:trPr>
          <w:cantSplit/>
          <w:trHeight w:val="258" w:hRule="atLeast"/>
        </w:trPr>
        <w:tc>
          <w:tcPr>
            <w:tcW w:w="6285" w:type="dxa"/>
            <w:vMerge w:val="restart"/>
            <w:tcBorders>
              <w:top w:val="single" w:color="auto" w:sz="24" w:space="0"/>
              <w:left w:val="single" w:color="auto" w:sz="36" w:space="0"/>
              <w:right w:val="single" w:color="auto" w:sz="4"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ind w:left="128" w:hanging="128"/>
              <w:jc w:val="center"/>
              <w:rPr>
                <w:sz w:val="20"/>
                <w:szCs w:val="20"/>
              </w:rPr>
            </w:pPr>
            <w:r>
              <w:rPr>
                <w:sz w:val="20"/>
                <w:szCs w:val="20"/>
              </w:rPr>
              <w:t>Khóa học</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(Sở, Số, Chức danh)</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Pr>
                <w:sz w:val="20"/>
                <w:szCs w:val="20"/>
              </w:rPr>
              <w:t>Liệt kê tất cả các khóa học trong chương trình theo học kỳ bắt đầu với học kỳ đầu tiên của năm đầu tiên và kết thúc với học kỳ cuối cùng của năm cuối.</w:t>
            </w:r>
          </w:p>
        </w:tc>
        <w:tc>
          <w:tcPr>
            <w:tcW w:w="1455" w:type="dxa"/>
            <w:gridSpan w:val="2"/>
            <w:vMerge w:val="restart"/>
            <w:tcBorders>
              <w:top w:val="single" w:color="auto" w:sz="24" w:space="0"/>
              <w:left w:val="single" w:color="auto" w:sz="4" w:space="0"/>
              <w:right w:val="single" w:color="auto" w:sz="4"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 xml:space="preserve">Cho biết Khóa học là Bắt buộc, Tự chọn hay Tự chọn Chọn lọc bằng R, E hoặc SE </w:t>
            </w:r>
            <w:r>
              <w:rPr>
                <w:sz w:val="20"/>
                <w:szCs w:val="20"/>
                <w:vertAlign w:val="superscript"/>
              </w:rPr>
              <w:t>2</w:t>
            </w:r>
          </w:p>
        </w:tc>
        <w:tc>
          <w:tcPr>
            <w:tcW w:w="4140" w:type="dxa"/>
            <w:gridSpan w:val="5"/>
            <w:tcBorders>
              <w:top w:val="single" w:color="auto" w:sz="24" w:space="0"/>
              <w:left w:val="single" w:color="auto" w:sz="4" w:space="0"/>
              <w:bottom w:val="single" w:color="auto" w:sz="4" w:space="0"/>
              <w:right w:val="single" w:color="auto" w:sz="2"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i/>
                <w:sz w:val="20"/>
                <w:szCs w:val="20"/>
              </w:rPr>
              <w:t>Lĩnh vực ngoại khóa (Giờ tín chỉ)</w:t>
            </w:r>
          </w:p>
        </w:tc>
        <w:tc>
          <w:tcPr>
            <w:tcW w:w="1440" w:type="dxa"/>
            <w:vMerge w:val="restart"/>
            <w:tcBorders>
              <w:top w:val="single" w:color="auto" w:sz="24" w:space="0"/>
              <w:left w:val="single" w:color="auto" w:sz="2" w:space="0"/>
              <w:bottom w:val="single" w:color="auto" w:sz="8" w:space="0"/>
              <w:right w:val="single" w:color="auto" w:sz="8"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Hai điều khoản cuối cùng của khóa học đã được cung cấp:</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Năm và,</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Học kỳ, hoặc</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Một phần tư</w:t>
            </w:r>
          </w:p>
        </w:tc>
        <w:tc>
          <w:tcPr>
            <w:tcW w:w="1260" w:type="dxa"/>
            <w:vMerge w:val="restart"/>
            <w:tcBorders>
              <w:top w:val="single" w:color="auto" w:sz="24" w:space="0"/>
              <w:left w:val="single" w:color="auto" w:sz="8" w:space="0"/>
              <w:bottom w:val="single" w:color="auto" w:sz="8" w:space="0"/>
              <w:right w:val="single" w:color="auto" w:sz="36"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vertAlign w:val="superscript"/>
              </w:rPr>
            </w:pPr>
            <w:r>
              <w:rPr>
                <w:sz w:val="20"/>
                <w:szCs w:val="20"/>
              </w:rPr>
              <w:t>Đăng ký phần trung bình</w:t>
            </w:r>
          </w:p>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 xml:space="preserve">trong hai học kỳ cuối cùng, khóa học đã được cung cấp </w:t>
            </w:r>
            <w:r>
              <w:rPr>
                <w:sz w:val="20"/>
                <w:szCs w:val="20"/>
                <w:vertAlign w:val="superscript"/>
              </w:rPr>
              <w:t>1</w:t>
            </w:r>
          </w:p>
        </w:tc>
      </w:tr>
      <w:tr>
        <w:tblPrEx>
          <w:tblCellMar>
            <w:top w:w="0" w:type="dxa"/>
            <w:left w:w="43" w:type="dxa"/>
            <w:bottom w:w="0" w:type="dxa"/>
            <w:right w:w="43" w:type="dxa"/>
          </w:tblCellMar>
        </w:tblPrEx>
        <w:trPr>
          <w:cantSplit/>
          <w:trHeight w:val="1890" w:hRule="atLeast"/>
        </w:trPr>
        <w:tc>
          <w:tcPr>
            <w:tcW w:w="6285" w:type="dxa"/>
            <w:vMerge w:val="continue"/>
            <w:tcBorders>
              <w:left w:val="single" w:color="auto" w:sz="36" w:space="0"/>
              <w:right w:val="single" w:color="auto" w:sz="4" w:space="0"/>
            </w:tcBorders>
            <w:vAlign w:val="bottom"/>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455" w:type="dxa"/>
            <w:gridSpan w:val="2"/>
            <w:vMerge w:val="continue"/>
            <w:tcBorders>
              <w:left w:val="single" w:color="auto" w:sz="4" w:space="0"/>
              <w:right w:val="single" w:color="auto" w:sz="4"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990" w:type="dxa"/>
            <w:tcBorders>
              <w:top w:val="single" w:color="auto" w:sz="4" w:space="0"/>
              <w:left w:val="single" w:color="auto" w:sz="4"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iCs/>
                <w:sz w:val="20"/>
                <w:szCs w:val="20"/>
              </w:rPr>
            </w:pPr>
            <w:r>
              <w:rPr>
                <w:sz w:val="20"/>
                <w:szCs w:val="20"/>
              </w:rPr>
              <w:t>Toán và Vật lý/Khoa học Tự nhiên</w:t>
            </w:r>
          </w:p>
        </w:tc>
        <w:tc>
          <w:tcPr>
            <w:tcW w:w="1350" w:type="dxa"/>
            <w:gridSpan w:val="2"/>
            <w:tcBorders>
              <w:top w:val="single" w:color="auto" w:sz="4" w:space="0"/>
              <w:left w:val="single" w:color="auto" w:sz="6" w:space="0"/>
              <w:right w:val="single" w:color="auto" w:sz="4"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Pr>
                <w:sz w:val="20"/>
                <w:szCs w:val="20"/>
              </w:rPr>
              <w:t>Nội dung cụ thể của môn học</w:t>
            </w:r>
          </w:p>
        </w:tc>
        <w:tc>
          <w:tcPr>
            <w:tcW w:w="1015" w:type="dxa"/>
            <w:tcBorders>
              <w:top w:val="single" w:color="auto" w:sz="4" w:space="0"/>
              <w:left w:val="single" w:color="auto" w:sz="4" w:space="0"/>
              <w:right w:val="single" w:color="auto" w:sz="2"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Pr>
                <w:sz w:val="20"/>
                <w:szCs w:val="20"/>
              </w:rPr>
              <w:t>Giáo dục phổ thông</w:t>
            </w:r>
          </w:p>
        </w:tc>
        <w:tc>
          <w:tcPr>
            <w:tcW w:w="785" w:type="dxa"/>
            <w:tcBorders>
              <w:top w:val="single" w:color="auto" w:sz="4" w:space="0"/>
              <w:left w:val="single" w:color="auto" w:sz="2" w:space="0"/>
              <w:right w:val="single" w:color="auto" w:sz="2" w:space="0"/>
            </w:tcBorders>
            <w:vAlign w:val="center"/>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Pr>
                <w:sz w:val="20"/>
                <w:szCs w:val="20"/>
              </w:rPr>
              <w:t>Khác</w:t>
            </w:r>
          </w:p>
        </w:tc>
        <w:tc>
          <w:tcPr>
            <w:tcW w:w="1440" w:type="dxa"/>
            <w:vMerge w:val="continue"/>
            <w:tcBorders>
              <w:top w:val="single" w:color="auto" w:sz="8" w:space="0"/>
              <w:left w:val="single" w:color="auto" w:sz="2" w:space="0"/>
              <w:bottom w:val="single" w:color="auto" w:sz="8" w:space="0"/>
              <w:right w:val="single" w:color="auto" w:sz="8" w:space="0"/>
            </w:tcBorders>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c>
          <w:tcPr>
            <w:tcW w:w="1260" w:type="dxa"/>
            <w:vMerge w:val="continue"/>
            <w:tcBorders>
              <w:top w:val="single" w:color="auto" w:sz="8" w:space="0"/>
              <w:left w:val="single" w:color="auto" w:sz="8" w:space="0"/>
              <w:bottom w:val="single" w:color="auto" w:sz="8" w:space="0"/>
              <w:right w:val="single" w:color="auto" w:sz="36" w:space="0"/>
            </w:tcBorders>
          </w:tcPr>
          <w:p>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r>
      <w:tr>
        <w:tblPrEx>
          <w:tblCellMar>
            <w:top w:w="0" w:type="dxa"/>
            <w:left w:w="43" w:type="dxa"/>
            <w:bottom w:w="0" w:type="dxa"/>
            <w:right w:w="43" w:type="dxa"/>
          </w:tblCellMar>
        </w:tblPrEx>
        <w:trPr>
          <w:trHeight w:val="303" w:hRule="atLeast"/>
        </w:trPr>
        <w:tc>
          <w:tcPr>
            <w:tcW w:w="6285" w:type="dxa"/>
            <w:tcBorders>
              <w:top w:val="single" w:color="auto" w:sz="24" w:space="0"/>
              <w:left w:val="single" w:color="auto" w:sz="36" w:space="0"/>
              <w:bottom w:val="single" w:color="auto" w:sz="4" w:space="0"/>
              <w:right w:val="single" w:color="auto" w:sz="4" w:space="0"/>
            </w:tcBorders>
            <w:vAlign w:val="center"/>
          </w:tcPr>
          <w:p>
            <w:pPr>
              <w:suppressLineNumbers/>
            </w:pPr>
          </w:p>
        </w:tc>
        <w:tc>
          <w:tcPr>
            <w:tcW w:w="1455" w:type="dxa"/>
            <w:gridSpan w:val="2"/>
            <w:tcBorders>
              <w:top w:val="single" w:color="auto" w:sz="24" w:space="0"/>
              <w:left w:val="single" w:color="auto" w:sz="4" w:space="0"/>
              <w:bottom w:val="single" w:color="auto" w:sz="4" w:space="0"/>
            </w:tcBorders>
            <w:vAlign w:val="center"/>
          </w:tcPr>
          <w:p>
            <w:pPr>
              <w:suppressLineNumbers/>
            </w:pPr>
          </w:p>
        </w:tc>
        <w:tc>
          <w:tcPr>
            <w:tcW w:w="990" w:type="dxa"/>
            <w:tcBorders>
              <w:top w:val="single" w:color="auto" w:sz="24" w:space="0"/>
              <w:left w:val="single" w:color="auto" w:sz="6" w:space="0"/>
            </w:tcBorders>
            <w:vAlign w:val="center"/>
          </w:tcPr>
          <w:p>
            <w:pPr>
              <w:suppressLineNumbers/>
            </w:pPr>
          </w:p>
        </w:tc>
        <w:tc>
          <w:tcPr>
            <w:tcW w:w="1350" w:type="dxa"/>
            <w:gridSpan w:val="2"/>
            <w:tcBorders>
              <w:top w:val="single" w:color="auto" w:sz="24" w:space="0"/>
              <w:left w:val="single" w:color="auto" w:sz="6" w:space="0"/>
            </w:tcBorders>
            <w:vAlign w:val="center"/>
          </w:tcPr>
          <w:p>
            <w:pPr>
              <w:suppressLineNumbers/>
              <w:rPr>
                <w:i/>
              </w:rPr>
            </w:pPr>
          </w:p>
        </w:tc>
        <w:tc>
          <w:tcPr>
            <w:tcW w:w="1015" w:type="dxa"/>
            <w:tcBorders>
              <w:top w:val="single" w:color="auto" w:sz="24" w:space="0"/>
              <w:left w:val="single" w:color="auto" w:sz="6" w:space="0"/>
            </w:tcBorders>
            <w:vAlign w:val="center"/>
          </w:tcPr>
          <w:p>
            <w:pPr>
              <w:suppressLineNumbers/>
              <w:rPr>
                <w:i/>
              </w:rPr>
            </w:pPr>
          </w:p>
        </w:tc>
        <w:tc>
          <w:tcPr>
            <w:tcW w:w="785" w:type="dxa"/>
            <w:tcBorders>
              <w:top w:val="single" w:color="auto" w:sz="24" w:space="0"/>
              <w:left w:val="single" w:color="auto" w:sz="6" w:space="0"/>
              <w:right w:val="single" w:color="auto" w:sz="2" w:space="0"/>
            </w:tcBorders>
            <w:vAlign w:val="center"/>
          </w:tcPr>
          <w:p>
            <w:pPr>
              <w:suppressLineNumbers/>
              <w:rPr>
                <w:i/>
              </w:rPr>
            </w:pPr>
          </w:p>
        </w:tc>
        <w:tc>
          <w:tcPr>
            <w:tcW w:w="1440" w:type="dxa"/>
            <w:tcBorders>
              <w:top w:val="single" w:color="auto" w:sz="24" w:space="0"/>
              <w:left w:val="single" w:color="auto" w:sz="2" w:space="0"/>
              <w:right w:val="single" w:color="auto" w:sz="2" w:space="0"/>
            </w:tcBorders>
          </w:tcPr>
          <w:p>
            <w:pPr>
              <w:suppressLineNumbers/>
              <w:rPr>
                <w:i/>
              </w:rPr>
            </w:pPr>
          </w:p>
        </w:tc>
        <w:tc>
          <w:tcPr>
            <w:tcW w:w="1260" w:type="dxa"/>
            <w:tcBorders>
              <w:top w:val="single" w:color="auto" w:sz="24" w:space="0"/>
              <w:left w:val="single" w:color="auto" w:sz="2" w:space="0"/>
              <w:right w:val="single" w:color="auto" w:sz="36" w:space="0"/>
            </w:tcBorders>
          </w:tcPr>
          <w:p>
            <w:pPr>
              <w:suppressLineNumbers/>
              <w:rPr>
                <w:i/>
              </w:rPr>
            </w:pPr>
          </w:p>
        </w:tc>
      </w:tr>
      <w:tr>
        <w:tblPrEx>
          <w:tblCellMar>
            <w:top w:w="0" w:type="dxa"/>
            <w:left w:w="42" w:type="dxa"/>
            <w:bottom w:w="0" w:type="dxa"/>
            <w:right w:w="42" w:type="dxa"/>
          </w:tblCellMar>
        </w:tblPrEx>
        <w:trPr>
          <w:trHeight w:val="303" w:hRule="atLeast"/>
        </w:trPr>
        <w:tc>
          <w:tcPr>
            <w:tcW w:w="6285" w:type="dxa"/>
            <w:tcBorders>
              <w:top w:val="single" w:color="auto" w:sz="4" w:space="0"/>
              <w:left w:val="single" w:color="auto" w:sz="36" w:space="0"/>
              <w:bottom w:val="single" w:color="auto" w:sz="4" w:space="0"/>
              <w:right w:val="single" w:color="auto" w:sz="4" w:space="0"/>
            </w:tcBorders>
          </w:tcPr>
          <w:p>
            <w:pPr>
              <w:suppressLineNumbers/>
            </w:pPr>
          </w:p>
        </w:tc>
        <w:tc>
          <w:tcPr>
            <w:tcW w:w="1455" w:type="dxa"/>
            <w:gridSpan w:val="2"/>
            <w:tcBorders>
              <w:top w:val="single" w:color="auto" w:sz="4" w:space="0"/>
              <w:left w:val="single" w:color="auto" w:sz="4" w:space="0"/>
              <w:bottom w:val="single" w:color="auto" w:sz="4" w:space="0"/>
            </w:tcBorders>
          </w:tcPr>
          <w:p>
            <w:pPr>
              <w:suppressLineNumbers/>
            </w:pPr>
          </w:p>
        </w:tc>
        <w:tc>
          <w:tcPr>
            <w:tcW w:w="990" w:type="dxa"/>
            <w:tcBorders>
              <w:top w:val="single" w:color="auto" w:sz="6" w:space="0"/>
              <w:left w:val="single" w:color="auto" w:sz="6" w:space="0"/>
            </w:tcBorders>
          </w:tcPr>
          <w:p>
            <w:pPr>
              <w:suppressLineNumbers/>
            </w:pPr>
          </w:p>
        </w:tc>
        <w:tc>
          <w:tcPr>
            <w:tcW w:w="1350" w:type="dxa"/>
            <w:gridSpan w:val="2"/>
            <w:tcBorders>
              <w:top w:val="single" w:color="auto" w:sz="6" w:space="0"/>
              <w:left w:val="single" w:color="auto" w:sz="6" w:space="0"/>
            </w:tcBorders>
          </w:tcPr>
          <w:p>
            <w:pPr>
              <w:suppressLineNumbers/>
              <w:rPr>
                <w:i/>
              </w:rPr>
            </w:pPr>
          </w:p>
        </w:tc>
        <w:tc>
          <w:tcPr>
            <w:tcW w:w="1015" w:type="dxa"/>
            <w:tcBorders>
              <w:top w:val="single" w:color="auto" w:sz="6" w:space="0"/>
              <w:left w:val="single" w:color="auto" w:sz="6" w:space="0"/>
            </w:tcBorders>
          </w:tcPr>
          <w:p>
            <w:pPr>
              <w:suppressLineNumbers/>
              <w:rPr>
                <w:i/>
              </w:rPr>
            </w:pPr>
          </w:p>
        </w:tc>
        <w:tc>
          <w:tcPr>
            <w:tcW w:w="785" w:type="dxa"/>
            <w:tcBorders>
              <w:top w:val="single" w:color="auto" w:sz="6" w:space="0"/>
              <w:left w:val="single" w:color="auto" w:sz="6" w:space="0"/>
              <w:right w:val="single" w:color="auto" w:sz="2" w:space="0"/>
            </w:tcBorders>
          </w:tcPr>
          <w:p>
            <w:pPr>
              <w:suppressLineNumbers/>
              <w:rPr>
                <w:i/>
              </w:rPr>
            </w:pPr>
          </w:p>
        </w:tc>
        <w:tc>
          <w:tcPr>
            <w:tcW w:w="1440" w:type="dxa"/>
            <w:tcBorders>
              <w:top w:val="single" w:color="auto" w:sz="6" w:space="0"/>
              <w:left w:val="single" w:color="auto" w:sz="2" w:space="0"/>
              <w:right w:val="single" w:color="auto" w:sz="2" w:space="0"/>
            </w:tcBorders>
          </w:tcPr>
          <w:p>
            <w:pPr>
              <w:suppressLineNumbers/>
              <w:rPr>
                <w:i/>
              </w:rPr>
            </w:pPr>
          </w:p>
        </w:tc>
        <w:tc>
          <w:tcPr>
            <w:tcW w:w="1260" w:type="dxa"/>
            <w:tcBorders>
              <w:top w:val="single" w:color="auto" w:sz="6" w:space="0"/>
              <w:left w:val="single" w:color="auto" w:sz="2" w:space="0"/>
              <w:right w:val="single" w:color="auto" w:sz="36" w:space="0"/>
            </w:tcBorders>
          </w:tcPr>
          <w:p>
            <w:pPr>
              <w:suppressLineNumbers/>
              <w:rPr>
                <w:i/>
              </w:rPr>
            </w:pPr>
          </w:p>
        </w:tc>
      </w:tr>
      <w:tr>
        <w:tblPrEx>
          <w:tblCellMar>
            <w:top w:w="0" w:type="dxa"/>
            <w:left w:w="42" w:type="dxa"/>
            <w:bottom w:w="0" w:type="dxa"/>
            <w:right w:w="42" w:type="dxa"/>
          </w:tblCellMar>
        </w:tblPrEx>
        <w:trPr>
          <w:trHeight w:val="303" w:hRule="atLeast"/>
        </w:trPr>
        <w:tc>
          <w:tcPr>
            <w:tcW w:w="6285" w:type="dxa"/>
            <w:tcBorders>
              <w:top w:val="single" w:color="auto" w:sz="4" w:space="0"/>
              <w:left w:val="single" w:color="auto" w:sz="36" w:space="0"/>
              <w:bottom w:val="single" w:color="auto" w:sz="4" w:space="0"/>
              <w:right w:val="single" w:color="auto" w:sz="4" w:space="0"/>
            </w:tcBorders>
          </w:tcPr>
          <w:p>
            <w:pPr>
              <w:suppressLineNumbers/>
            </w:pPr>
          </w:p>
        </w:tc>
        <w:tc>
          <w:tcPr>
            <w:tcW w:w="1455" w:type="dxa"/>
            <w:gridSpan w:val="2"/>
            <w:tcBorders>
              <w:top w:val="single" w:color="auto" w:sz="4" w:space="0"/>
              <w:left w:val="single" w:color="auto" w:sz="4" w:space="0"/>
              <w:bottom w:val="single" w:color="auto" w:sz="4" w:space="0"/>
            </w:tcBorders>
          </w:tcPr>
          <w:p>
            <w:pPr>
              <w:suppressLineNumbers/>
            </w:pPr>
          </w:p>
        </w:tc>
        <w:tc>
          <w:tcPr>
            <w:tcW w:w="990" w:type="dxa"/>
            <w:tcBorders>
              <w:top w:val="single" w:color="auto" w:sz="6" w:space="0"/>
              <w:left w:val="single" w:color="auto" w:sz="6" w:space="0"/>
            </w:tcBorders>
          </w:tcPr>
          <w:p>
            <w:pPr>
              <w:suppressLineNumbers/>
            </w:pPr>
          </w:p>
        </w:tc>
        <w:tc>
          <w:tcPr>
            <w:tcW w:w="1350" w:type="dxa"/>
            <w:gridSpan w:val="2"/>
            <w:tcBorders>
              <w:top w:val="single" w:color="auto" w:sz="6" w:space="0"/>
              <w:left w:val="single" w:color="auto" w:sz="6" w:space="0"/>
            </w:tcBorders>
          </w:tcPr>
          <w:p>
            <w:pPr>
              <w:suppressLineNumbers/>
              <w:rPr>
                <w:i/>
              </w:rPr>
            </w:pPr>
          </w:p>
        </w:tc>
        <w:tc>
          <w:tcPr>
            <w:tcW w:w="1015" w:type="dxa"/>
            <w:tcBorders>
              <w:top w:val="single" w:color="auto" w:sz="6" w:space="0"/>
              <w:left w:val="single" w:color="auto" w:sz="6" w:space="0"/>
            </w:tcBorders>
          </w:tcPr>
          <w:p>
            <w:pPr>
              <w:suppressLineNumbers/>
              <w:rPr>
                <w:i/>
              </w:rPr>
            </w:pPr>
          </w:p>
        </w:tc>
        <w:tc>
          <w:tcPr>
            <w:tcW w:w="785" w:type="dxa"/>
            <w:tcBorders>
              <w:top w:val="single" w:color="auto" w:sz="6" w:space="0"/>
              <w:left w:val="single" w:color="auto" w:sz="6" w:space="0"/>
              <w:right w:val="single" w:color="auto" w:sz="2" w:space="0"/>
            </w:tcBorders>
          </w:tcPr>
          <w:p>
            <w:pPr>
              <w:suppressLineNumbers/>
              <w:rPr>
                <w:i/>
              </w:rPr>
            </w:pPr>
          </w:p>
        </w:tc>
        <w:tc>
          <w:tcPr>
            <w:tcW w:w="1440" w:type="dxa"/>
            <w:tcBorders>
              <w:top w:val="single" w:color="auto" w:sz="6" w:space="0"/>
              <w:left w:val="single" w:color="auto" w:sz="2" w:space="0"/>
              <w:right w:val="single" w:color="auto" w:sz="2" w:space="0"/>
            </w:tcBorders>
          </w:tcPr>
          <w:p>
            <w:pPr>
              <w:suppressLineNumbers/>
              <w:rPr>
                <w:i/>
              </w:rPr>
            </w:pPr>
          </w:p>
        </w:tc>
        <w:tc>
          <w:tcPr>
            <w:tcW w:w="1260" w:type="dxa"/>
            <w:tcBorders>
              <w:top w:val="single" w:color="auto" w:sz="6" w:space="0"/>
              <w:left w:val="single" w:color="auto" w:sz="2" w:space="0"/>
              <w:right w:val="single" w:color="auto" w:sz="36" w:space="0"/>
            </w:tcBorders>
          </w:tcPr>
          <w:p>
            <w:pPr>
              <w:suppressLineNumbers/>
              <w:rPr>
                <w:i/>
              </w:rPr>
            </w:pPr>
          </w:p>
        </w:tc>
      </w:tr>
      <w:tr>
        <w:tblPrEx>
          <w:tblCellMar>
            <w:top w:w="0" w:type="dxa"/>
            <w:left w:w="42" w:type="dxa"/>
            <w:bottom w:w="0" w:type="dxa"/>
            <w:right w:w="42" w:type="dxa"/>
          </w:tblCellMar>
        </w:tblPrEx>
        <w:trPr>
          <w:trHeight w:val="288" w:hRule="atLeast"/>
        </w:trPr>
        <w:tc>
          <w:tcPr>
            <w:tcW w:w="6285" w:type="dxa"/>
            <w:tcBorders>
              <w:top w:val="single" w:color="auto" w:sz="4" w:space="0"/>
              <w:left w:val="single" w:color="auto" w:sz="36" w:space="0"/>
              <w:right w:val="single" w:color="auto" w:sz="4" w:space="0"/>
            </w:tcBorders>
          </w:tcPr>
          <w:p>
            <w:pPr>
              <w:suppressLineNumbers/>
            </w:pPr>
          </w:p>
        </w:tc>
        <w:tc>
          <w:tcPr>
            <w:tcW w:w="1455" w:type="dxa"/>
            <w:gridSpan w:val="2"/>
            <w:tcBorders>
              <w:top w:val="single" w:color="auto" w:sz="4" w:space="0"/>
              <w:left w:val="single" w:color="auto" w:sz="4" w:space="0"/>
            </w:tcBorders>
          </w:tcPr>
          <w:p>
            <w:pPr>
              <w:suppressLineNumbers/>
            </w:pPr>
          </w:p>
        </w:tc>
        <w:tc>
          <w:tcPr>
            <w:tcW w:w="990" w:type="dxa"/>
            <w:tcBorders>
              <w:top w:val="single" w:color="auto" w:sz="6" w:space="0"/>
              <w:left w:val="single" w:color="auto" w:sz="6" w:space="0"/>
            </w:tcBorders>
          </w:tcPr>
          <w:p>
            <w:pPr>
              <w:suppressLineNumbers/>
            </w:pPr>
          </w:p>
        </w:tc>
        <w:tc>
          <w:tcPr>
            <w:tcW w:w="1350" w:type="dxa"/>
            <w:gridSpan w:val="2"/>
            <w:tcBorders>
              <w:top w:val="single" w:color="auto" w:sz="6" w:space="0"/>
              <w:left w:val="single" w:color="auto" w:sz="6" w:space="0"/>
              <w:bottom w:val="single" w:color="auto" w:sz="6" w:space="0"/>
            </w:tcBorders>
          </w:tcPr>
          <w:p>
            <w:pPr>
              <w:suppressLineNumbers/>
              <w:rPr>
                <w:i/>
              </w:rPr>
            </w:pPr>
          </w:p>
        </w:tc>
        <w:tc>
          <w:tcPr>
            <w:tcW w:w="1015" w:type="dxa"/>
            <w:tcBorders>
              <w:top w:val="single" w:color="auto" w:sz="6" w:space="0"/>
              <w:left w:val="single" w:color="auto" w:sz="6" w:space="0"/>
              <w:right w:val="single" w:color="auto" w:sz="4" w:space="0"/>
            </w:tcBorders>
          </w:tcPr>
          <w:p>
            <w:pPr>
              <w:suppressLineNumbers/>
              <w:rPr>
                <w:i/>
              </w:rPr>
            </w:pPr>
          </w:p>
        </w:tc>
        <w:tc>
          <w:tcPr>
            <w:tcW w:w="785" w:type="dxa"/>
            <w:tcBorders>
              <w:top w:val="single" w:color="auto" w:sz="6" w:space="0"/>
              <w:left w:val="single" w:color="auto" w:sz="4" w:space="0"/>
              <w:right w:val="single" w:color="auto" w:sz="2" w:space="0"/>
            </w:tcBorders>
          </w:tcPr>
          <w:p>
            <w:pPr>
              <w:suppressLineNumbers/>
              <w:rPr>
                <w:i/>
              </w:rPr>
            </w:pPr>
          </w:p>
        </w:tc>
        <w:tc>
          <w:tcPr>
            <w:tcW w:w="1440" w:type="dxa"/>
            <w:tcBorders>
              <w:top w:val="single" w:color="auto" w:sz="6" w:space="0"/>
              <w:left w:val="single" w:color="auto" w:sz="2" w:space="0"/>
              <w:right w:val="single" w:color="auto" w:sz="2" w:space="0"/>
            </w:tcBorders>
          </w:tcPr>
          <w:p>
            <w:pPr>
              <w:suppressLineNumbers/>
              <w:rPr>
                <w:i/>
              </w:rPr>
            </w:pPr>
          </w:p>
        </w:tc>
        <w:tc>
          <w:tcPr>
            <w:tcW w:w="1260" w:type="dxa"/>
            <w:tcBorders>
              <w:top w:val="single" w:color="auto" w:sz="6" w:space="0"/>
              <w:left w:val="single" w:color="auto" w:sz="2" w:space="0"/>
              <w:right w:val="single" w:color="auto" w:sz="36" w:space="0"/>
            </w:tcBorders>
          </w:tcPr>
          <w:p>
            <w:pPr>
              <w:suppressLineNumbers/>
              <w:rPr>
                <w:i/>
              </w:rPr>
            </w:pPr>
          </w:p>
        </w:tc>
      </w:tr>
      <w:tr>
        <w:tblPrEx>
          <w:tblCellMar>
            <w:top w:w="0" w:type="dxa"/>
            <w:left w:w="42" w:type="dxa"/>
            <w:bottom w:w="0" w:type="dxa"/>
            <w:right w:w="42" w:type="dxa"/>
          </w:tblCellMar>
        </w:tblPrEx>
        <w:trPr>
          <w:trHeight w:val="303" w:hRule="atLeast"/>
        </w:trPr>
        <w:tc>
          <w:tcPr>
            <w:tcW w:w="6285" w:type="dxa"/>
            <w:tcBorders>
              <w:top w:val="single" w:color="auto" w:sz="4" w:space="0"/>
              <w:left w:val="single" w:color="auto" w:sz="36" w:space="0"/>
              <w:bottom w:val="single" w:color="auto" w:sz="4" w:space="0"/>
              <w:right w:val="single" w:color="auto" w:sz="4" w:space="0"/>
            </w:tcBorders>
          </w:tcPr>
          <w:p>
            <w:pPr>
              <w:suppressLineNumbers/>
            </w:pPr>
          </w:p>
        </w:tc>
        <w:tc>
          <w:tcPr>
            <w:tcW w:w="1455" w:type="dxa"/>
            <w:gridSpan w:val="2"/>
            <w:tcBorders>
              <w:top w:val="single" w:color="auto" w:sz="4" w:space="0"/>
              <w:left w:val="single" w:color="auto" w:sz="4" w:space="0"/>
              <w:bottom w:val="single" w:color="auto" w:sz="4" w:space="0"/>
            </w:tcBorders>
          </w:tcPr>
          <w:p>
            <w:pPr>
              <w:suppressLineNumbers/>
            </w:pPr>
          </w:p>
        </w:tc>
        <w:tc>
          <w:tcPr>
            <w:tcW w:w="990" w:type="dxa"/>
            <w:tcBorders>
              <w:top w:val="single" w:color="auto" w:sz="6" w:space="0"/>
              <w:left w:val="single" w:color="auto" w:sz="6" w:space="0"/>
              <w:bottom w:val="single" w:color="auto" w:sz="4" w:space="0"/>
            </w:tcBorders>
          </w:tcPr>
          <w:p>
            <w:pPr>
              <w:suppressLineNumbers/>
            </w:pPr>
          </w:p>
        </w:tc>
        <w:tc>
          <w:tcPr>
            <w:tcW w:w="1350" w:type="dxa"/>
            <w:gridSpan w:val="2"/>
            <w:tcBorders>
              <w:top w:val="single" w:color="auto" w:sz="6" w:space="0"/>
              <w:left w:val="single" w:color="auto" w:sz="6" w:space="0"/>
              <w:bottom w:val="single" w:color="auto" w:sz="4" w:space="0"/>
            </w:tcBorders>
          </w:tcPr>
          <w:p>
            <w:pPr>
              <w:suppressLineNumbers/>
              <w:rPr>
                <w:i/>
              </w:rPr>
            </w:pPr>
          </w:p>
        </w:tc>
        <w:tc>
          <w:tcPr>
            <w:tcW w:w="1015" w:type="dxa"/>
            <w:tcBorders>
              <w:top w:val="single" w:color="auto" w:sz="6" w:space="0"/>
              <w:left w:val="single" w:color="auto" w:sz="6" w:space="0"/>
              <w:bottom w:val="single" w:color="auto" w:sz="4" w:space="0"/>
              <w:right w:val="single" w:color="auto" w:sz="4" w:space="0"/>
            </w:tcBorders>
          </w:tcPr>
          <w:p>
            <w:pPr>
              <w:suppressLineNumbers/>
              <w:rPr>
                <w:i/>
              </w:rPr>
            </w:pPr>
          </w:p>
        </w:tc>
        <w:tc>
          <w:tcPr>
            <w:tcW w:w="785" w:type="dxa"/>
            <w:tcBorders>
              <w:top w:val="single" w:color="auto" w:sz="6" w:space="0"/>
              <w:left w:val="single" w:color="auto" w:sz="4" w:space="0"/>
              <w:right w:val="single" w:color="auto" w:sz="2" w:space="0"/>
            </w:tcBorders>
          </w:tcPr>
          <w:p>
            <w:pPr>
              <w:suppressLineNumbers/>
              <w:rPr>
                <w:i/>
              </w:rPr>
            </w:pPr>
          </w:p>
        </w:tc>
        <w:tc>
          <w:tcPr>
            <w:tcW w:w="1440" w:type="dxa"/>
            <w:tcBorders>
              <w:top w:val="single" w:color="auto" w:sz="6" w:space="0"/>
              <w:left w:val="single" w:color="auto" w:sz="2" w:space="0"/>
              <w:right w:val="single" w:color="auto" w:sz="2" w:space="0"/>
            </w:tcBorders>
          </w:tcPr>
          <w:p>
            <w:pPr>
              <w:suppressLineNumbers/>
              <w:rPr>
                <w:i/>
              </w:rPr>
            </w:pPr>
          </w:p>
        </w:tc>
        <w:tc>
          <w:tcPr>
            <w:tcW w:w="1260" w:type="dxa"/>
            <w:tcBorders>
              <w:top w:val="single" w:color="auto" w:sz="6" w:space="0"/>
              <w:left w:val="single" w:color="auto" w:sz="2" w:space="0"/>
              <w:right w:val="single" w:color="auto" w:sz="36" w:space="0"/>
            </w:tcBorders>
          </w:tcPr>
          <w:p>
            <w:pPr>
              <w:suppressLineNumbers/>
              <w:rPr>
                <w:i/>
              </w:rPr>
            </w:pPr>
          </w:p>
        </w:tc>
      </w:tr>
      <w:tr>
        <w:tblPrEx>
          <w:tblCellMar>
            <w:top w:w="0" w:type="dxa"/>
            <w:left w:w="42" w:type="dxa"/>
            <w:bottom w:w="0" w:type="dxa"/>
            <w:right w:w="42" w:type="dxa"/>
          </w:tblCellMar>
        </w:tblPrEx>
        <w:trPr>
          <w:trHeight w:val="603" w:hRule="atLeast"/>
        </w:trPr>
        <w:tc>
          <w:tcPr>
            <w:tcW w:w="6300" w:type="dxa"/>
            <w:gridSpan w:val="2"/>
            <w:tcBorders>
              <w:top w:val="single" w:color="auto" w:sz="4" w:space="0"/>
              <w:left w:val="single" w:color="auto" w:sz="36" w:space="0"/>
              <w:bottom w:val="single" w:color="auto" w:sz="4" w:space="0"/>
              <w:right w:val="single" w:color="auto" w:sz="4" w:space="0"/>
            </w:tcBorders>
          </w:tcPr>
          <w:p>
            <w:pPr>
              <w:suppressLineNumbers/>
              <w:rPr>
                <w:i/>
              </w:rPr>
            </w:pPr>
            <w:r>
              <w:rPr>
                <w:i/>
                <w:sz w:val="20"/>
                <w:szCs w:val="20"/>
              </w:rPr>
              <w:t>Thêm các hàng nếu cần để hiển thị tất cả các khóa học trong chương trình giảng dạy.</w:t>
            </w:r>
          </w:p>
        </w:tc>
        <w:tc>
          <w:tcPr>
            <w:tcW w:w="1440" w:type="dxa"/>
            <w:tcBorders>
              <w:top w:val="single" w:color="auto" w:sz="4" w:space="0"/>
              <w:left w:val="single" w:color="auto" w:sz="4" w:space="0"/>
              <w:bottom w:val="single" w:color="auto" w:sz="4" w:space="0"/>
              <w:right w:val="single" w:color="auto" w:sz="4" w:space="0"/>
            </w:tcBorders>
          </w:tcPr>
          <w:p>
            <w:pPr>
              <w:suppressLineNumbers/>
              <w:rPr>
                <w:i/>
                <w:sz w:val="20"/>
                <w:szCs w:val="20"/>
              </w:rPr>
            </w:pPr>
          </w:p>
        </w:tc>
        <w:tc>
          <w:tcPr>
            <w:tcW w:w="990" w:type="dxa"/>
            <w:tcBorders>
              <w:top w:val="single" w:color="auto" w:sz="4" w:space="0"/>
              <w:left w:val="single" w:color="auto" w:sz="4" w:space="0"/>
              <w:bottom w:val="single" w:color="auto" w:sz="4" w:space="0"/>
              <w:right w:val="single" w:color="auto" w:sz="4" w:space="0"/>
            </w:tcBorders>
          </w:tcPr>
          <w:p>
            <w:pPr>
              <w:suppressLineNumbers/>
              <w:rPr>
                <w:i/>
                <w:sz w:val="20"/>
                <w:szCs w:val="20"/>
              </w:rPr>
            </w:pPr>
          </w:p>
        </w:tc>
        <w:tc>
          <w:tcPr>
            <w:tcW w:w="1350" w:type="dxa"/>
            <w:gridSpan w:val="2"/>
            <w:tcBorders>
              <w:top w:val="single" w:color="auto" w:sz="4" w:space="0"/>
              <w:left w:val="single" w:color="auto" w:sz="4" w:space="0"/>
              <w:bottom w:val="single" w:color="auto" w:sz="4" w:space="0"/>
              <w:right w:val="single" w:color="auto" w:sz="4" w:space="0"/>
            </w:tcBorders>
          </w:tcPr>
          <w:p>
            <w:pPr>
              <w:suppressLineNumbers/>
              <w:rPr>
                <w:i/>
                <w:sz w:val="20"/>
                <w:szCs w:val="20"/>
              </w:rPr>
            </w:pPr>
          </w:p>
        </w:tc>
        <w:tc>
          <w:tcPr>
            <w:tcW w:w="1015" w:type="dxa"/>
            <w:tcBorders>
              <w:top w:val="single" w:color="auto" w:sz="4" w:space="0"/>
              <w:left w:val="single" w:color="auto" w:sz="4" w:space="0"/>
              <w:bottom w:val="single" w:color="auto" w:sz="4" w:space="0"/>
              <w:right w:val="single" w:color="auto" w:sz="4" w:space="0"/>
            </w:tcBorders>
          </w:tcPr>
          <w:p>
            <w:pPr>
              <w:suppressLineNumbers/>
              <w:rPr>
                <w:i/>
                <w:sz w:val="20"/>
                <w:szCs w:val="20"/>
              </w:rPr>
            </w:pPr>
          </w:p>
        </w:tc>
        <w:tc>
          <w:tcPr>
            <w:tcW w:w="785" w:type="dxa"/>
            <w:tcBorders>
              <w:top w:val="single" w:color="auto" w:sz="4" w:space="0"/>
              <w:left w:val="single" w:color="auto" w:sz="4" w:space="0"/>
              <w:right w:val="single" w:color="auto" w:sz="2" w:space="0"/>
            </w:tcBorders>
          </w:tcPr>
          <w:p>
            <w:pPr>
              <w:spacing w:line="480" w:lineRule="auto"/>
              <w:ind w:hanging="720"/>
              <w:rPr>
                <w:i/>
              </w:rPr>
            </w:pPr>
          </w:p>
          <w:p>
            <w:pPr>
              <w:suppressLineNumbers/>
              <w:rPr>
                <w:i/>
              </w:rPr>
            </w:pPr>
          </w:p>
        </w:tc>
        <w:tc>
          <w:tcPr>
            <w:tcW w:w="1440" w:type="dxa"/>
            <w:tcBorders>
              <w:top w:val="single" w:color="auto" w:sz="4" w:space="0"/>
              <w:left w:val="single" w:color="auto" w:sz="2" w:space="0"/>
              <w:bottom w:val="single" w:color="auto" w:sz="18" w:space="0"/>
              <w:right w:val="single" w:color="auto" w:sz="2" w:space="0"/>
            </w:tcBorders>
          </w:tcPr>
          <w:p>
            <w:pPr>
              <w:spacing w:line="480" w:lineRule="auto"/>
              <w:ind w:hanging="720"/>
              <w:rPr>
                <w:i/>
              </w:rPr>
            </w:pPr>
          </w:p>
        </w:tc>
        <w:tc>
          <w:tcPr>
            <w:tcW w:w="1260" w:type="dxa"/>
            <w:tcBorders>
              <w:top w:val="single" w:color="auto" w:sz="4" w:space="0"/>
              <w:left w:val="single" w:color="auto" w:sz="2" w:space="0"/>
              <w:bottom w:val="single" w:color="auto" w:sz="18" w:space="0"/>
              <w:right w:val="single" w:color="auto" w:sz="36" w:space="0"/>
            </w:tcBorders>
          </w:tcPr>
          <w:p>
            <w:pPr>
              <w:spacing w:line="480" w:lineRule="auto"/>
              <w:ind w:hanging="720"/>
              <w:rPr>
                <w:i/>
              </w:rPr>
            </w:pPr>
          </w:p>
        </w:tc>
      </w:tr>
      <w:tr>
        <w:tblPrEx>
          <w:tblCellMar>
            <w:top w:w="0" w:type="dxa"/>
            <w:left w:w="42" w:type="dxa"/>
            <w:bottom w:w="0" w:type="dxa"/>
            <w:right w:w="42" w:type="dxa"/>
          </w:tblCellMar>
        </w:tblPrEx>
        <w:trPr>
          <w:trHeight w:val="258" w:hRule="atLeast"/>
        </w:trPr>
        <w:tc>
          <w:tcPr>
            <w:tcW w:w="6300" w:type="dxa"/>
            <w:gridSpan w:val="2"/>
            <w:tcBorders>
              <w:top w:val="single" w:color="auto" w:sz="4" w:space="0"/>
              <w:left w:val="single" w:color="auto" w:sz="36" w:space="0"/>
              <w:bottom w:val="single" w:color="auto" w:sz="4" w:space="0"/>
              <w:right w:val="single" w:color="auto" w:sz="4" w:space="0"/>
            </w:tcBorders>
          </w:tcPr>
          <w:p>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TỔNG THỂ TỔNG SỐ GIỜ TÍN DỤNG CHO BẰNG CẤP</w:t>
            </w:r>
          </w:p>
        </w:tc>
        <w:tc>
          <w:tcPr>
            <w:tcW w:w="1440" w:type="dxa"/>
            <w:tcBorders>
              <w:top w:val="single" w:color="auto" w:sz="4" w:space="0"/>
              <w:left w:val="single" w:color="auto" w:sz="4" w:space="0"/>
              <w:bottom w:val="single" w:color="auto" w:sz="4" w:space="0"/>
              <w:right w:val="single" w:color="auto" w:sz="4" w:space="0"/>
            </w:tcBorders>
          </w:tcPr>
          <w:p>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p>
        </w:tc>
        <w:tc>
          <w:tcPr>
            <w:tcW w:w="6840" w:type="dxa"/>
            <w:gridSpan w:val="7"/>
            <w:tcBorders>
              <w:top w:val="single" w:color="auto" w:sz="4" w:space="0"/>
              <w:left w:val="single" w:color="auto" w:sz="4" w:space="0"/>
              <w:bottom w:val="single" w:color="auto" w:sz="4" w:space="0"/>
              <w:right w:val="single" w:color="auto" w:sz="36" w:space="0"/>
            </w:tcBorders>
            <w:shd w:val="clear" w:color="auto" w:fill="8C8C8C"/>
          </w:tcPr>
          <w:p>
            <w:pPr>
              <w:suppressLineNumbers/>
              <w:rPr>
                <w:i/>
                <w:sz w:val="20"/>
                <w:szCs w:val="20"/>
              </w:rPr>
            </w:pPr>
          </w:p>
        </w:tc>
      </w:tr>
      <w:tr>
        <w:tblPrEx>
          <w:tblCellMar>
            <w:top w:w="0" w:type="dxa"/>
            <w:left w:w="42" w:type="dxa"/>
            <w:bottom w:w="0" w:type="dxa"/>
            <w:right w:w="42" w:type="dxa"/>
          </w:tblCellMar>
        </w:tblPrEx>
        <w:trPr>
          <w:trHeight w:val="258" w:hRule="atLeast"/>
        </w:trPr>
        <w:tc>
          <w:tcPr>
            <w:tcW w:w="7740" w:type="dxa"/>
            <w:gridSpan w:val="3"/>
            <w:tcBorders>
              <w:top w:val="single" w:color="auto" w:sz="4" w:space="0"/>
              <w:left w:val="single" w:color="auto" w:sz="36" w:space="0"/>
              <w:bottom w:val="single" w:color="auto" w:sz="36" w:space="0"/>
              <w:right w:val="single" w:color="auto" w:sz="4" w:space="0"/>
            </w:tcBorders>
          </w:tcPr>
          <w:p>
            <w:pPr>
              <w:suppressLineNumbers/>
              <w:rPr>
                <w:sz w:val="20"/>
                <w:szCs w:val="20"/>
              </w:rPr>
            </w:pPr>
            <w:r>
              <w:rPr>
                <w:sz w:val="20"/>
                <w:szCs w:val="20"/>
              </w:rPr>
              <w:t>PHẦN TRĂM CỦA TỔNG</w:t>
            </w:r>
          </w:p>
        </w:tc>
        <w:tc>
          <w:tcPr>
            <w:tcW w:w="990" w:type="dxa"/>
            <w:tcBorders>
              <w:top w:val="single" w:color="auto" w:sz="6" w:space="0"/>
              <w:left w:val="single" w:color="auto" w:sz="4" w:space="0"/>
              <w:bottom w:val="single" w:color="auto" w:sz="36" w:space="0"/>
            </w:tcBorders>
          </w:tcPr>
          <w:p>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i/>
                <w:sz w:val="20"/>
                <w:szCs w:val="20"/>
              </w:rPr>
            </w:pPr>
          </w:p>
        </w:tc>
        <w:tc>
          <w:tcPr>
            <w:tcW w:w="1333" w:type="dxa"/>
            <w:tcBorders>
              <w:top w:val="single" w:color="auto" w:sz="6" w:space="0"/>
              <w:left w:val="single" w:color="auto" w:sz="6" w:space="0"/>
              <w:bottom w:val="single" w:color="auto" w:sz="36" w:space="0"/>
            </w:tcBorders>
          </w:tcPr>
          <w:p>
            <w:pPr>
              <w:suppressLineNumbers/>
              <w:rPr>
                <w:i/>
                <w:sz w:val="20"/>
                <w:szCs w:val="20"/>
              </w:rPr>
            </w:pPr>
          </w:p>
        </w:tc>
        <w:tc>
          <w:tcPr>
            <w:tcW w:w="1032" w:type="dxa"/>
            <w:gridSpan w:val="2"/>
            <w:tcBorders>
              <w:top w:val="single" w:color="auto" w:sz="6" w:space="0"/>
              <w:left w:val="single" w:color="auto" w:sz="6" w:space="0"/>
              <w:bottom w:val="single" w:color="auto" w:sz="36" w:space="0"/>
            </w:tcBorders>
          </w:tcPr>
          <w:p>
            <w:pPr>
              <w:suppressLineNumbers/>
              <w:rPr>
                <w:i/>
                <w:sz w:val="20"/>
                <w:szCs w:val="20"/>
              </w:rPr>
            </w:pPr>
          </w:p>
        </w:tc>
        <w:tc>
          <w:tcPr>
            <w:tcW w:w="785" w:type="dxa"/>
            <w:tcBorders>
              <w:top w:val="single" w:color="auto" w:sz="6" w:space="0"/>
              <w:left w:val="single" w:color="auto" w:sz="6" w:space="0"/>
              <w:bottom w:val="single" w:color="auto" w:sz="36" w:space="0"/>
              <w:right w:val="single" w:color="auto" w:sz="2" w:space="0"/>
            </w:tcBorders>
          </w:tcPr>
          <w:p>
            <w:pPr>
              <w:suppressLineNumbers/>
              <w:rPr>
                <w:i/>
                <w:sz w:val="20"/>
                <w:szCs w:val="20"/>
              </w:rPr>
            </w:pPr>
          </w:p>
        </w:tc>
        <w:tc>
          <w:tcPr>
            <w:tcW w:w="1440" w:type="dxa"/>
            <w:tcBorders>
              <w:top w:val="single" w:color="auto" w:sz="6" w:space="0"/>
              <w:left w:val="single" w:color="auto" w:sz="2" w:space="0"/>
              <w:bottom w:val="single" w:color="auto" w:sz="36" w:space="0"/>
              <w:right w:val="single" w:color="auto" w:sz="2" w:space="0"/>
            </w:tcBorders>
            <w:shd w:val="clear" w:color="auto" w:fill="808080"/>
          </w:tcPr>
          <w:p>
            <w:pPr>
              <w:suppressLineNumbers/>
              <w:rPr>
                <w:i/>
                <w:sz w:val="20"/>
                <w:szCs w:val="20"/>
              </w:rPr>
            </w:pPr>
          </w:p>
        </w:tc>
        <w:tc>
          <w:tcPr>
            <w:tcW w:w="1260" w:type="dxa"/>
            <w:tcBorders>
              <w:top w:val="single" w:color="auto" w:sz="6" w:space="0"/>
              <w:left w:val="single" w:color="auto" w:sz="2" w:space="0"/>
              <w:bottom w:val="single" w:color="auto" w:sz="36" w:space="0"/>
              <w:right w:val="single" w:color="auto" w:sz="36" w:space="0"/>
            </w:tcBorders>
            <w:shd w:val="clear" w:color="auto" w:fill="808080"/>
          </w:tcPr>
          <w:p>
            <w:pPr>
              <w:suppressLineNumbers/>
              <w:rPr>
                <w:i/>
                <w:sz w:val="20"/>
                <w:szCs w:val="20"/>
              </w:rPr>
            </w:pPr>
          </w:p>
        </w:tc>
      </w:tr>
    </w:tbl>
    <w:p>
      <w:pPr>
        <w:rPr>
          <w:rFonts w:ascii="Georgia" w:hAnsi="Georgia"/>
          <w:sz w:val="22"/>
          <w:szCs w:val="22"/>
        </w:rPr>
      </w:pPr>
    </w:p>
    <w:p>
      <w:pPr>
        <w:rPr>
          <w:rFonts w:ascii="Georgia" w:hAnsi="Georgia"/>
          <w:sz w:val="22"/>
          <w:szCs w:val="22"/>
        </w:rPr>
      </w:pPr>
    </w:p>
    <w:p>
      <w:pPr>
        <w:pStyle w:val="73"/>
        <w:numPr>
          <w:ilvl w:val="1"/>
          <w:numId w:val="5"/>
        </w:numPr>
        <w:tabs>
          <w:tab w:val="clear" w:pos="360"/>
        </w:tabs>
        <w:ind w:left="900"/>
        <w:rPr>
          <w:sz w:val="22"/>
          <w:szCs w:val="22"/>
        </w:rPr>
      </w:pPr>
      <w:r>
        <w:rPr>
          <w:sz w:val="22"/>
          <w:szCs w:val="22"/>
        </w:rPr>
        <w:t>Đối với các khóa học bao gồm nhiều yếu tố (bài giảng, phòng thí nghiệm, đọc thuộc lòng, v.v.), hãy cho biết số lượng đăng ký trung bình trong mỗi yếu tố.</w:t>
      </w:r>
    </w:p>
    <w:p>
      <w:pPr>
        <w:pStyle w:val="73"/>
        <w:numPr>
          <w:ilvl w:val="1"/>
          <w:numId w:val="5"/>
        </w:numPr>
        <w:tabs>
          <w:tab w:val="clear" w:pos="360"/>
        </w:tabs>
        <w:ind w:left="900"/>
        <w:rPr>
          <w:sz w:val="22"/>
          <w:szCs w:val="22"/>
        </w:rPr>
      </w:pPr>
      <w:r>
        <w:rPr>
          <w:sz w:val="22"/>
          <w:szCs w:val="22"/>
        </w:rPr>
        <w:t>Các khóa học bắt buộc là bắt buộc đối với tất cả sinh viên trong chương trình, các khóa học tự chọn là tùy chọn đối với sinh viên và các môn tự chọn được chọn là các khóa học mà sinh viên phải học một hoặc nhiều khóa học từ một nhóm cụ thể.</w:t>
      </w:r>
    </w:p>
    <w:p>
      <w:pPr>
        <w:ind w:left="720" w:hanging="1080"/>
        <w:rPr>
          <w:sz w:val="22"/>
          <w:szCs w:val="22"/>
        </w:rPr>
      </w:pPr>
    </w:p>
    <w:p>
      <w:pPr>
        <w:spacing w:after="200" w:line="276" w:lineRule="auto"/>
        <w:rPr>
          <w:sz w:val="22"/>
          <w:szCs w:val="22"/>
        </w:rPr>
        <w:sectPr>
          <w:pgSz w:w="15840" w:h="12240" w:orient="landscape"/>
          <w:pgMar w:top="1440" w:right="1440" w:bottom="1440" w:left="1440" w:header="720" w:footer="720" w:gutter="0"/>
          <w:cols w:space="720" w:num="1"/>
          <w:docGrid w:linePitch="360" w:charSpace="0"/>
        </w:sectPr>
      </w:pPr>
      <w:r>
        <w:rPr>
          <w:sz w:val="22"/>
          <w:szCs w:val="22"/>
        </w:rPr>
        <w:t>Tài liệu giảng dạy và bài tập của sinh viên xác minh việc tuân thủ các tiêu chí ABET đối với các danh mục nêu trên sẽ được yêu cầu trong chuyến thăm trường.</w:t>
      </w:r>
    </w:p>
    <w:p>
      <w:pPr>
        <w:pStyle w:val="2"/>
      </w:pPr>
      <w:bookmarkStart w:id="42" w:name="_Toc268163175"/>
      <w:r>
        <w:t>TIÊU CHÍ 6. CƠ SỞ</w:t>
      </w:r>
      <w:bookmarkEnd w:id="42"/>
      <w:r>
        <w:t xml:space="preserve"> </w:t>
      </w:r>
    </w:p>
    <w:p>
      <w:pPr>
        <w:rPr>
          <w:rFonts w:ascii="Georgia" w:hAnsi="Georgia"/>
        </w:rPr>
      </w:pPr>
    </w:p>
    <w:p>
      <w:pPr>
        <w:pStyle w:val="3"/>
        <w:rPr>
          <w:rFonts w:cs="Arial"/>
        </w:rPr>
      </w:pPr>
      <w:r>
        <w:rPr>
          <w:rFonts w:cs="Arial"/>
        </w:rPr>
        <w:t>A. Trình độ chuyên môn của khoa</w:t>
      </w:r>
    </w:p>
    <w:p>
      <w:pPr>
        <w:ind w:left="360"/>
      </w:pPr>
      <w:r>
        <w:t>Mô tả trình độ của giảng viên và cách họ đủ khả năng để bao quát tất cả các lĩnh vực ngoại khóa của chương trình và đáp ứng bất kỳ tiêu chí chương trình hiện hành nào. Mô tả này nên bao gồm thành phần, quy mô, thông tin đăng nhập và kinh nghiệm của giảng viên. Hoàn thành Bảng 6-1. Bao gồm sơ yếu lý lịch của giảng viên trong Phụ lục B, sử dụng các hướng dẫn định dạng được tìm thấy ở đó.</w:t>
      </w:r>
    </w:p>
    <w:p>
      <w:pPr>
        <w:ind w:left="360"/>
        <w:rPr>
          <w:rFonts w:ascii="Georgia" w:hAnsi="Georgia"/>
        </w:rPr>
      </w:pPr>
    </w:p>
    <w:p>
      <w:pPr>
        <w:ind w:left="360"/>
        <w:rPr>
          <w:rFonts w:ascii="Georgia" w:hAnsi="Georgia"/>
        </w:rPr>
      </w:pPr>
      <w:r>
        <w:rPr>
          <w:rFonts w:ascii="Arial" w:hAnsi="Arial" w:cs="Arial"/>
          <w:b/>
          <w:color w:val="C00000"/>
        </w:rPr>
        <w:t>CHO BÁO CÁO NÀY, CHỈ BAO GỒM SƠ LỊCH CHO CÁC</w:t>
      </w:r>
      <w:r>
        <w:rPr>
          <w:rFonts w:ascii="Arial" w:hAnsi="Arial" w:cs="Arial"/>
          <w:b/>
          <w:i/>
          <w:color w:val="C00000"/>
        </w:rPr>
        <w:t xml:space="preserve"> </w:t>
      </w:r>
      <w:r>
        <w:rPr>
          <w:rFonts w:ascii="Arial" w:hAnsi="Arial" w:cs="Arial"/>
          <w:b/>
          <w:color w:val="C00000"/>
        </w:rPr>
        <w:t>CÁC THÀNH VIÊN GIẢNG DẠY CÁC KHÓA HỌC CÔNG NGHỆ KỸ THUẬT ĐƯỢC LIỆT KÊ TRONG BẢNG 5-1</w:t>
      </w:r>
    </w:p>
    <w:p>
      <w:pPr>
        <w:pStyle w:val="3"/>
        <w:rPr>
          <w:rFonts w:cs="Arial"/>
        </w:rPr>
      </w:pPr>
      <w:r>
        <w:rPr>
          <w:rFonts w:cs="Arial"/>
        </w:rPr>
        <w:t>B. Khối lượng công việc của khoa</w:t>
      </w:r>
    </w:p>
    <w:p>
      <w:pPr>
        <w:ind w:left="360"/>
      </w:pPr>
      <w:r>
        <w:t>Hoàn thành Bảng 6-2, Tóm tắt khối lượng công việc của khoa và mô tả thông tin này dưới dạng kỳ vọng hoặc yêu cầu khối lượng công việc cho năm học hiện tại.</w:t>
      </w:r>
    </w:p>
    <w:p>
      <w:pPr>
        <w:ind w:left="360"/>
        <w:rPr>
          <w:rFonts w:ascii="Georgia" w:hAnsi="Georgia"/>
        </w:rPr>
      </w:pPr>
    </w:p>
    <w:p>
      <w:pPr>
        <w:pStyle w:val="3"/>
        <w:rPr>
          <w:rFonts w:cs="Arial"/>
        </w:rPr>
      </w:pPr>
      <w:r>
        <w:rPr>
          <w:rFonts w:cs="Arial"/>
        </w:rPr>
        <w:t>C. Quy mô Khoa</w:t>
      </w:r>
    </w:p>
    <w:p>
      <w:pPr>
        <w:ind w:left="360"/>
      </w:pPr>
      <w:r>
        <w:t>Thảo luận về mức độ phù hợp của quy mô giảng viên trong việc duy trì tính liên tục, ổn định và giám sát chương trình, đồng thời mô tả mức độ và chất lượng của sự tham gia của giảng viên trong tương tác với sinh viên và tư vấn.</w:t>
      </w:r>
    </w:p>
    <w:p>
      <w:pPr>
        <w:pStyle w:val="3"/>
        <w:rPr>
          <w:rFonts w:cs="Arial"/>
        </w:rPr>
      </w:pPr>
      <w:r>
        <w:rPr>
          <w:rFonts w:cs="Arial"/>
        </w:rPr>
        <w:t>D. Phát triển chuyên môn</w:t>
      </w:r>
    </w:p>
    <w:p>
      <w:pPr>
        <w:ind w:left="360"/>
      </w:pPr>
      <w:r>
        <w:t>Cung cấp mô tả về chương trình hỗ trợ phát triển chuyên môn cho giảng viên và mô tả chung về cách giảng viên tận dụng những cơ hội này để duy trì năng lực và đóng góp cho kỷ luật của họ (các hoạt động cụ thể gần đây của mỗi giảng viên cần được ghi trong CV của họ ở Phụ lục B).</w:t>
      </w:r>
    </w:p>
    <w:p>
      <w:pPr>
        <w:ind w:left="360"/>
        <w:rPr>
          <w:rFonts w:ascii="Georgia" w:hAnsi="Georgia"/>
        </w:rPr>
      </w:pPr>
    </w:p>
    <w:p>
      <w:pPr>
        <w:pStyle w:val="3"/>
        <w:rPr>
          <w:rFonts w:cs="Arial"/>
        </w:rPr>
      </w:pPr>
      <w:r>
        <w:rPr>
          <w:rFonts w:cs="Arial"/>
        </w:rPr>
        <w:t>E. Quyền hạn và Trách nhiệm của Khoa</w:t>
      </w:r>
    </w:p>
    <w:p>
      <w:pPr>
        <w:ind w:left="360"/>
      </w:pPr>
      <w:r>
        <w:t>Mô tả vai trò của giảng viên đối với việc tạo, sửa đổi và đánh giá khóa học, vai trò của họ trong việc xác định và sửa đổi các mục tiêu giáo dục của chương trình và kết quả của sinh viên, và vai trò của họ trong việc đạt được kết quả của sinh viên. Mô tả vai trò của những người khác trong khuôn viên trường, ví dụ như hiệu trưởng hoặc hiệu trưởng, liên quan đến các lĩnh vực này.</w:t>
      </w:r>
    </w:p>
    <w:p>
      <w:pPr>
        <w:ind w:left="360"/>
        <w:rPr>
          <w:rFonts w:ascii="Georgia" w:hAnsi="Georgia"/>
        </w:rPr>
      </w:pPr>
    </w:p>
    <w:p>
      <w:pPr>
        <w:ind w:left="360"/>
        <w:rPr>
          <w:rFonts w:ascii="Georgia" w:hAnsi="Georgia"/>
        </w:rPr>
      </w:pPr>
    </w:p>
    <w:p>
      <w:pPr>
        <w:rPr>
          <w:rFonts w:ascii="Georgia" w:hAnsi="Georgia"/>
        </w:rPr>
      </w:pPr>
    </w:p>
    <w:p>
      <w:pPr>
        <w:rPr>
          <w:rFonts w:ascii="Georgia" w:hAnsi="Georgia"/>
        </w:rPr>
        <w:sectPr>
          <w:pgSz w:w="12240" w:h="15840"/>
          <w:pgMar w:top="1440" w:right="1440" w:bottom="1440" w:left="1440" w:header="720" w:footer="720" w:gutter="0"/>
          <w:cols w:space="720" w:num="1"/>
          <w:docGrid w:linePitch="360" w:charSpace="0"/>
        </w:sectPr>
      </w:pPr>
    </w:p>
    <w:p>
      <w:pPr>
        <w:pStyle w:val="3"/>
        <w:rPr>
          <w:rFonts w:cs="Arial"/>
        </w:rPr>
      </w:pPr>
      <w:bookmarkStart w:id="43" w:name="_Toc268163176"/>
      <w:r>
        <w:rPr>
          <w:rFonts w:cs="Arial"/>
        </w:rPr>
        <w:t>Bảng 6-1. Trình độ chuyên môn của khoa</w:t>
      </w:r>
      <w:bookmarkEnd w:id="43"/>
    </w:p>
    <w:p>
      <w:pPr>
        <w:rPr>
          <w:rFonts w:ascii="Georgia" w:hAnsi="Georgia"/>
        </w:rPr>
      </w:pPr>
    </w:p>
    <w:p>
      <w:pPr>
        <w:rPr>
          <w:rFonts w:ascii="Arial" w:hAnsi="Arial" w:cs="Arial"/>
          <w:b/>
        </w:rPr>
      </w:pPr>
      <w:r>
        <w:rPr>
          <w:rFonts w:ascii="Arial" w:hAnsi="Arial" w:cs="Arial"/>
          <w:b/>
        </w:rPr>
        <w:t>Tên chương trình</w:t>
      </w:r>
    </w:p>
    <w:p>
      <w:pPr>
        <w:rPr>
          <w:rFonts w:ascii="Georgia" w:hAnsi="Georgia"/>
        </w:rPr>
      </w:pPr>
    </w:p>
    <w:p>
      <w:pPr>
        <w:rPr>
          <w:rFonts w:ascii="Georgia" w:hAnsi="Georgia"/>
        </w:rPr>
      </w:pPr>
    </w:p>
    <w:tbl>
      <w:tblPr>
        <w:tblStyle w:val="12"/>
        <w:tblW w:w="14400" w:type="dxa"/>
        <w:tblInd w:w="-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90"/>
        <w:gridCol w:w="2250"/>
        <w:gridCol w:w="540"/>
        <w:gridCol w:w="990"/>
        <w:gridCol w:w="540"/>
        <w:gridCol w:w="720"/>
        <w:gridCol w:w="630"/>
        <w:gridCol w:w="720"/>
        <w:gridCol w:w="1080"/>
        <w:gridCol w:w="720"/>
        <w:gridCol w:w="720"/>
        <w:gridCol w:w="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4590" w:type="dxa"/>
            <w:vMerge w:val="restart"/>
            <w:vAlign w:val="center"/>
          </w:tcPr>
          <w:p>
            <w:r>
              <w:t>Tên khoa</w:t>
            </w:r>
          </w:p>
        </w:tc>
        <w:tc>
          <w:tcPr>
            <w:tcW w:w="2250" w:type="dxa"/>
            <w:vMerge w:val="restart"/>
            <w:vAlign w:val="center"/>
          </w:tcPr>
          <w:p>
            <w:r>
              <w:t>Bằng cấp cao nhất kiếm được- Lĩnh vực và năm</w:t>
            </w:r>
          </w:p>
        </w:tc>
        <w:tc>
          <w:tcPr>
            <w:tcW w:w="540" w:type="dxa"/>
            <w:vMerge w:val="restart"/>
            <w:textDirection w:val="btLr"/>
          </w:tcPr>
          <w:p>
            <w:pPr>
              <w:jc w:val="center"/>
            </w:pPr>
            <w:r>
              <w:t xml:space="preserve">Hạng </w:t>
            </w:r>
            <w:r>
              <w:rPr>
                <w:vertAlign w:val="superscript"/>
              </w:rPr>
              <w:t>1</w:t>
            </w:r>
          </w:p>
        </w:tc>
        <w:tc>
          <w:tcPr>
            <w:tcW w:w="990" w:type="dxa"/>
            <w:vMerge w:val="restart"/>
            <w:textDirection w:val="btLr"/>
          </w:tcPr>
          <w:p>
            <w:pPr>
              <w:jc w:val="center"/>
              <w:rPr>
                <w:vertAlign w:val="superscript"/>
              </w:rPr>
            </w:pPr>
            <w:r>
              <w:t xml:space="preserve">Loại bổ nhiệm học tập </w:t>
            </w:r>
            <w:r>
              <w:rPr>
                <w:vertAlign w:val="superscript"/>
              </w:rPr>
              <w:t>2</w:t>
            </w:r>
          </w:p>
          <w:p>
            <w:pPr>
              <w:jc w:val="center"/>
            </w:pPr>
            <w:r>
              <w:t>T, TT, NTT</w:t>
            </w:r>
          </w:p>
        </w:tc>
        <w:tc>
          <w:tcPr>
            <w:tcW w:w="540" w:type="dxa"/>
            <w:vMerge w:val="restart"/>
            <w:textDirection w:val="btLr"/>
          </w:tcPr>
          <w:p>
            <w:pPr>
              <w:jc w:val="center"/>
              <w:rPr>
                <w:vertAlign w:val="superscript"/>
              </w:rPr>
            </w:pPr>
            <w:r>
              <w:t xml:space="preserve">FT hoặc PT </w:t>
            </w:r>
            <w:r>
              <w:rPr>
                <w:vertAlign w:val="superscript"/>
              </w:rPr>
              <w:t>3</w:t>
            </w:r>
          </w:p>
        </w:tc>
        <w:tc>
          <w:tcPr>
            <w:tcW w:w="2070" w:type="dxa"/>
            <w:gridSpan w:val="3"/>
          </w:tcPr>
          <w:p>
            <w:pPr>
              <w:jc w:val="center"/>
            </w:pPr>
            <w:r>
              <w:t>Số năm kinh nghiệm</w:t>
            </w:r>
          </w:p>
        </w:tc>
        <w:tc>
          <w:tcPr>
            <w:tcW w:w="1080" w:type="dxa"/>
            <w:vMerge w:val="restart"/>
            <w:textDirection w:val="btLr"/>
          </w:tcPr>
          <w:p>
            <w:pPr>
              <w:jc w:val="center"/>
            </w:pPr>
            <w:r>
              <w:t>Đăng ký / Chứng nhận chuyên nghiệp</w:t>
            </w:r>
          </w:p>
        </w:tc>
        <w:tc>
          <w:tcPr>
            <w:tcW w:w="2340" w:type="dxa"/>
            <w:gridSpan w:val="3"/>
          </w:tcPr>
          <w:p>
            <w:pPr>
              <w:jc w:val="center"/>
            </w:pPr>
            <w:r>
              <w:t xml:space="preserve">Mức độ hoạt động </w:t>
            </w:r>
            <w:r>
              <w:rPr>
                <w:vertAlign w:val="superscript"/>
              </w:rPr>
              <w:t>4</w:t>
            </w:r>
          </w:p>
          <w:p>
            <w:pPr>
              <w:jc w:val="center"/>
            </w:pPr>
            <w:r>
              <w:t>H, M hoặc 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2" w:hRule="atLeast"/>
        </w:trPr>
        <w:tc>
          <w:tcPr>
            <w:tcW w:w="4590" w:type="dxa"/>
            <w:vMerge w:val="continue"/>
            <w:textDirection w:val="btLr"/>
          </w:tcPr>
          <w:p/>
        </w:tc>
        <w:tc>
          <w:tcPr>
            <w:tcW w:w="2250" w:type="dxa"/>
            <w:vMerge w:val="continue"/>
            <w:textDirection w:val="btLr"/>
          </w:tcPr>
          <w:p/>
        </w:tc>
        <w:tc>
          <w:tcPr>
            <w:tcW w:w="540" w:type="dxa"/>
            <w:vMerge w:val="continue"/>
            <w:textDirection w:val="btLr"/>
          </w:tcPr>
          <w:p>
            <w:pPr>
              <w:jc w:val="center"/>
            </w:pPr>
          </w:p>
        </w:tc>
        <w:tc>
          <w:tcPr>
            <w:tcW w:w="990" w:type="dxa"/>
            <w:vMerge w:val="continue"/>
            <w:textDirection w:val="btLr"/>
          </w:tcPr>
          <w:p>
            <w:pPr>
              <w:jc w:val="center"/>
            </w:pPr>
          </w:p>
        </w:tc>
        <w:tc>
          <w:tcPr>
            <w:tcW w:w="540" w:type="dxa"/>
            <w:vMerge w:val="continue"/>
            <w:textDirection w:val="btLr"/>
          </w:tcPr>
          <w:p>
            <w:pPr>
              <w:jc w:val="center"/>
            </w:pPr>
          </w:p>
        </w:tc>
        <w:tc>
          <w:tcPr>
            <w:tcW w:w="720" w:type="dxa"/>
            <w:textDirection w:val="btLr"/>
          </w:tcPr>
          <w:p>
            <w:pPr>
              <w:jc w:val="center"/>
            </w:pPr>
            <w:r>
              <w:t>Govt./Ind. Luyện tập</w:t>
            </w:r>
          </w:p>
        </w:tc>
        <w:tc>
          <w:tcPr>
            <w:tcW w:w="630" w:type="dxa"/>
            <w:textDirection w:val="btLr"/>
          </w:tcPr>
          <w:p>
            <w:pPr>
              <w:jc w:val="center"/>
            </w:pPr>
            <w:r>
              <w:t>Giảng bài</w:t>
            </w:r>
          </w:p>
        </w:tc>
        <w:tc>
          <w:tcPr>
            <w:tcW w:w="720" w:type="dxa"/>
            <w:textDirection w:val="btLr"/>
          </w:tcPr>
          <w:p>
            <w:pPr>
              <w:jc w:val="center"/>
            </w:pPr>
            <w:r>
              <w:t>tổ chức này</w:t>
            </w:r>
          </w:p>
        </w:tc>
        <w:tc>
          <w:tcPr>
            <w:tcW w:w="1080" w:type="dxa"/>
            <w:vMerge w:val="continue"/>
            <w:textDirection w:val="btLr"/>
          </w:tcPr>
          <w:p>
            <w:pPr>
              <w:jc w:val="center"/>
            </w:pPr>
          </w:p>
        </w:tc>
        <w:tc>
          <w:tcPr>
            <w:tcW w:w="720" w:type="dxa"/>
            <w:textDirection w:val="btLr"/>
          </w:tcPr>
          <w:p>
            <w:pPr>
              <w:jc w:val="center"/>
            </w:pPr>
            <w:r>
              <w:t>Những tổ chức chuyên nghiệp</w:t>
            </w:r>
          </w:p>
        </w:tc>
        <w:tc>
          <w:tcPr>
            <w:tcW w:w="720" w:type="dxa"/>
            <w:textDirection w:val="btLr"/>
          </w:tcPr>
          <w:p>
            <w:pPr>
              <w:jc w:val="center"/>
            </w:pPr>
            <w:r>
              <w:t>Phát triển chuyên môn</w:t>
            </w:r>
          </w:p>
        </w:tc>
        <w:tc>
          <w:tcPr>
            <w:tcW w:w="900" w:type="dxa"/>
            <w:textDirection w:val="btLr"/>
          </w:tcPr>
          <w:p>
            <w:pPr>
              <w:jc w:val="center"/>
            </w:pPr>
            <w:r>
              <w:rPr>
                <w:sz w:val="22"/>
              </w:rPr>
              <w:t>Tư vấn / công việc mùa hè trong ngành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90" w:type="dxa"/>
          </w:tcPr>
          <w:p/>
        </w:tc>
        <w:tc>
          <w:tcPr>
            <w:tcW w:w="2250" w:type="dxa"/>
          </w:tcPr>
          <w:p/>
        </w:tc>
        <w:tc>
          <w:tcPr>
            <w:tcW w:w="540" w:type="dxa"/>
          </w:tcPr>
          <w:p/>
        </w:tc>
        <w:tc>
          <w:tcPr>
            <w:tcW w:w="990" w:type="dxa"/>
          </w:tcPr>
          <w:p/>
        </w:tc>
        <w:tc>
          <w:tcPr>
            <w:tcW w:w="540" w:type="dxa"/>
          </w:tcPr>
          <w:p/>
        </w:tc>
        <w:tc>
          <w:tcPr>
            <w:tcW w:w="720" w:type="dxa"/>
          </w:tcPr>
          <w:p/>
        </w:tc>
        <w:tc>
          <w:tcPr>
            <w:tcW w:w="630" w:type="dxa"/>
          </w:tcPr>
          <w:p/>
        </w:tc>
        <w:tc>
          <w:tcPr>
            <w:tcW w:w="720" w:type="dxa"/>
          </w:tcPr>
          <w:p/>
        </w:tc>
        <w:tc>
          <w:tcPr>
            <w:tcW w:w="1080" w:type="dxa"/>
          </w:tcPr>
          <w:p/>
        </w:tc>
        <w:tc>
          <w:tcPr>
            <w:tcW w:w="720" w:type="dxa"/>
          </w:tcPr>
          <w:p/>
        </w:tc>
        <w:tc>
          <w:tcPr>
            <w:tcW w:w="720" w:type="dxa"/>
          </w:tcPr>
          <w:p/>
        </w:tc>
        <w:tc>
          <w:tcPr>
            <w:tcW w:w="900" w:type="dxa"/>
          </w:tcPr>
          <w:p/>
        </w:tc>
      </w:tr>
    </w:tbl>
    <w:p>
      <w:pPr>
        <w:rPr>
          <w:rFonts w:ascii="Georgia" w:hAnsi="Georgia"/>
        </w:rPr>
      </w:pPr>
    </w:p>
    <w:p>
      <w:p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Hướng dẫn: Hoàn thành bảng cho mỗi thành viên của khoa trong chương trình. Thêm các hàng bổ sung hoặc sử dụng các trang bổ sung nếu cần. </w:t>
      </w:r>
      <w:r>
        <w:rPr>
          <w:color w:val="595959" w:themeColor="text1" w:themeTint="A6"/>
          <w:u w:val="single"/>
          <w14:textFill>
            <w14:solidFill>
              <w14:schemeClr w14:val="tx1">
                <w14:lumMod w14:val="65000"/>
                <w14:lumOff w14:val="35000"/>
              </w14:schemeClr>
            </w14:solidFill>
          </w14:textFill>
        </w:rPr>
        <w:t xml:space="preserve">Thông tin cập nhật sẽ được cung cấp tại thời điểm của chuyến thăm </w:t>
      </w:r>
      <w:r>
        <w:rPr>
          <w:color w:val="595959" w:themeColor="text1" w:themeTint="A6"/>
          <w14:textFill>
            <w14:solidFill>
              <w14:schemeClr w14:val="tx1">
                <w14:lumMod w14:val="65000"/>
                <w14:lumOff w14:val="35000"/>
              </w14:schemeClr>
            </w14:solidFill>
          </w14:textFill>
        </w:rPr>
        <w:t>.</w:t>
      </w:r>
    </w:p>
    <w:p>
      <w:pPr>
        <w:rPr>
          <w:color w:val="595959" w:themeColor="text1" w:themeTint="A6"/>
          <w14:textFill>
            <w14:solidFill>
              <w14:schemeClr w14:val="tx1">
                <w14:lumMod w14:val="65000"/>
                <w14:lumOff w14:val="35000"/>
              </w14:schemeClr>
            </w14:solidFill>
          </w14:textFill>
        </w:rPr>
      </w:pPr>
    </w:p>
    <w:p>
      <w:p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1. Mã số: P = Giáo sư ASC = Phó giáo sư AST = Trợ lý giáo sư I = Giảng viên A = Trợ giảng O = Khác</w:t>
      </w:r>
    </w:p>
    <w:p>
      <w:p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2. Mã: TT = Quyền hưởng dụng T = Có hưởng dụng NTT = Không hưởng dụng</w:t>
      </w:r>
    </w:p>
    <w:p>
      <w:p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3. Tại cơ quan</w:t>
      </w:r>
    </w:p>
    <w:p>
      <w:pPr>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4. Mức độ hoạt động, cao, trung bình hoặc thấp, phải phản ánh mức trung bình trong năm trước chuyến thăm cộng với hai năm trước đó.</w:t>
      </w:r>
    </w:p>
    <w:p>
      <w:pPr>
        <w:rPr>
          <w:rFonts w:ascii="Georgia" w:hAnsi="Georgia"/>
        </w:rPr>
      </w:pPr>
      <w:bookmarkStart w:id="44" w:name="_Toc268163177"/>
      <w:r>
        <w:rPr>
          <w:rFonts w:ascii="Georgia" w:hAnsi="Georgia"/>
        </w:rPr>
        <w:br w:type="page"/>
      </w:r>
    </w:p>
    <w:p>
      <w:pPr>
        <w:pStyle w:val="3"/>
        <w:rPr>
          <w:rFonts w:cs="Arial"/>
        </w:rPr>
      </w:pPr>
      <w:r>
        <w:rPr>
          <w:rFonts w:cs="Arial"/>
        </w:rPr>
        <w:t>Bảng 6-2. Tóm tắt khối lượng công việc của khoa</w:t>
      </w:r>
      <w:bookmarkEnd w:id="44"/>
    </w:p>
    <w:p>
      <w:pPr>
        <w:rPr>
          <w:rFonts w:ascii="Georgia" w:hAnsi="Georgia"/>
        </w:rPr>
      </w:pPr>
    </w:p>
    <w:p>
      <w:pPr>
        <w:rPr>
          <w:rFonts w:ascii="Arial" w:hAnsi="Arial" w:cs="Arial"/>
          <w:b/>
          <w:bCs/>
        </w:rPr>
      </w:pPr>
      <w:r>
        <w:rPr>
          <w:rFonts w:ascii="Arial" w:hAnsi="Arial" w:cs="Arial"/>
          <w:b/>
          <w:bCs/>
        </w:rPr>
        <w:t>Tên chương trình</w:t>
      </w:r>
    </w:p>
    <w:p>
      <w:pPr>
        <w:rPr>
          <w:rFonts w:ascii="Georgia" w:hAnsi="Georgia"/>
          <w:bCs/>
        </w:rPr>
      </w:pPr>
    </w:p>
    <w:tbl>
      <w:tblPr>
        <w:tblStyle w:val="12"/>
        <w:tblW w:w="1422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18"/>
        <w:gridCol w:w="540"/>
        <w:gridCol w:w="5669"/>
        <w:gridCol w:w="1168"/>
        <w:gridCol w:w="1343"/>
        <w:gridCol w:w="927"/>
        <w:gridCol w:w="11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3418" w:type="dxa"/>
            <w:vMerge w:val="restart"/>
            <w:vAlign w:val="center"/>
          </w:tcPr>
          <w:p>
            <w:pPr>
              <w:rPr>
                <w:bCs/>
                <w:sz w:val="20"/>
                <w:szCs w:val="20"/>
              </w:rPr>
            </w:pPr>
          </w:p>
          <w:p>
            <w:pPr>
              <w:jc w:val="center"/>
              <w:rPr>
                <w:bCs/>
                <w:sz w:val="20"/>
                <w:szCs w:val="20"/>
              </w:rPr>
            </w:pPr>
          </w:p>
          <w:p>
            <w:pPr>
              <w:jc w:val="center"/>
              <w:rPr>
                <w:bCs/>
              </w:rPr>
            </w:pPr>
            <w:r>
              <w:rPr>
                <w:bCs/>
                <w:sz w:val="20"/>
                <w:szCs w:val="20"/>
              </w:rPr>
              <w:t>Thành viên Khoa (tên)</w:t>
            </w:r>
          </w:p>
        </w:tc>
        <w:tc>
          <w:tcPr>
            <w:tcW w:w="540" w:type="dxa"/>
            <w:vMerge w:val="restart"/>
            <w:vAlign w:val="center"/>
          </w:tcPr>
          <w:p>
            <w:pPr>
              <w:rPr>
                <w:bCs/>
              </w:rPr>
            </w:pPr>
          </w:p>
          <w:p>
            <w:pPr>
              <w:jc w:val="center"/>
              <w:rPr>
                <w:bCs/>
                <w:sz w:val="20"/>
                <w:szCs w:val="20"/>
                <w:vertAlign w:val="superscript"/>
              </w:rPr>
            </w:pPr>
            <w:r>
              <w:rPr>
                <w:bCs/>
                <w:sz w:val="20"/>
                <w:szCs w:val="20"/>
              </w:rPr>
              <w:t xml:space="preserve">PT hoặc FT </w:t>
            </w:r>
            <w:r>
              <w:rPr>
                <w:bCs/>
                <w:sz w:val="20"/>
                <w:szCs w:val="20"/>
                <w:vertAlign w:val="superscript"/>
              </w:rPr>
              <w:t>1</w:t>
            </w:r>
          </w:p>
        </w:tc>
        <w:tc>
          <w:tcPr>
            <w:tcW w:w="5669" w:type="dxa"/>
            <w:vMerge w:val="restart"/>
            <w:vAlign w:val="center"/>
          </w:tcPr>
          <w:p>
            <w:pPr>
              <w:rPr>
                <w:bCs/>
              </w:rPr>
            </w:pPr>
          </w:p>
          <w:p>
            <w:pPr>
              <w:rPr>
                <w:bCs/>
              </w:rPr>
            </w:pPr>
          </w:p>
          <w:p>
            <w:pPr>
              <w:jc w:val="center"/>
              <w:rPr>
                <w:bCs/>
                <w:sz w:val="20"/>
                <w:szCs w:val="20"/>
                <w:vertAlign w:val="superscript"/>
              </w:rPr>
            </w:pPr>
            <w:r>
              <w:rPr>
                <w:bCs/>
                <w:sz w:val="20"/>
                <w:szCs w:val="20"/>
              </w:rPr>
              <w:t xml:space="preserve">Các lớp dạy (Số khóa học/Số giờ tín chỉ) Học kỳ và Năm </w:t>
            </w:r>
            <w:r>
              <w:rPr>
                <w:bCs/>
                <w:sz w:val="20"/>
                <w:szCs w:val="20"/>
                <w:vertAlign w:val="superscript"/>
              </w:rPr>
              <w:t>2</w:t>
            </w:r>
          </w:p>
        </w:tc>
        <w:tc>
          <w:tcPr>
            <w:tcW w:w="3438" w:type="dxa"/>
            <w:gridSpan w:val="3"/>
            <w:tcBorders>
              <w:bottom w:val="single" w:color="auto" w:sz="4" w:space="0"/>
              <w:right w:val="single" w:color="auto" w:sz="4" w:space="0"/>
            </w:tcBorders>
          </w:tcPr>
          <w:p>
            <w:pPr>
              <w:jc w:val="center"/>
              <w:rPr>
                <w:bCs/>
                <w:sz w:val="20"/>
                <w:szCs w:val="20"/>
              </w:rPr>
            </w:pPr>
          </w:p>
          <w:p>
            <w:pPr>
              <w:jc w:val="center"/>
              <w:rPr>
                <w:bCs/>
                <w:sz w:val="20"/>
                <w:szCs w:val="20"/>
                <w:vertAlign w:val="superscript"/>
              </w:rPr>
            </w:pPr>
            <w:r>
              <w:rPr>
                <w:bCs/>
                <w:sz w:val="20"/>
                <w:szCs w:val="20"/>
              </w:rPr>
              <w:t xml:space="preserve">Phân phối hoạt động chương trình </w:t>
            </w:r>
            <w:r>
              <w:rPr>
                <w:bCs/>
                <w:sz w:val="20"/>
                <w:szCs w:val="20"/>
                <w:vertAlign w:val="superscript"/>
              </w:rPr>
              <w:t>3</w:t>
            </w:r>
          </w:p>
        </w:tc>
        <w:tc>
          <w:tcPr>
            <w:tcW w:w="1155" w:type="dxa"/>
            <w:vMerge w:val="restart"/>
            <w:tcBorders>
              <w:right w:val="single" w:color="auto" w:sz="4" w:space="0"/>
            </w:tcBorders>
            <w:vAlign w:val="bottom"/>
          </w:tcPr>
          <w:p>
            <w:pPr>
              <w:jc w:val="center"/>
              <w:rPr>
                <w:bCs/>
                <w:sz w:val="20"/>
                <w:szCs w:val="20"/>
              </w:rPr>
            </w:pPr>
            <w:r>
              <w:rPr>
                <w:bCs/>
                <w:sz w:val="20"/>
                <w:szCs w:val="20"/>
              </w:rPr>
              <w:t>% thời gian cống hiến</w:t>
            </w:r>
          </w:p>
          <w:p>
            <w:pPr>
              <w:jc w:val="center"/>
              <w:rPr>
                <w:bCs/>
                <w:sz w:val="20"/>
                <w:szCs w:val="20"/>
              </w:rPr>
            </w:pPr>
            <w:r>
              <w:rPr>
                <w:bCs/>
                <w:sz w:val="20"/>
                <w:szCs w:val="20"/>
              </w:rPr>
              <w:t xml:space="preserve">đến Chương trình </w:t>
            </w:r>
            <w:r>
              <w:rPr>
                <w:bCs/>
                <w:sz w:val="20"/>
                <w:szCs w:val="20"/>
                <w:vertAlign w:val="superscript"/>
              </w:rPr>
              <w:t>5</w:t>
            </w:r>
          </w:p>
          <w:p>
            <w:pPr>
              <w:jc w:val="center"/>
              <w:rPr>
                <w:bCs/>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3418" w:type="dxa"/>
            <w:vMerge w:val="continue"/>
          </w:tcPr>
          <w:p>
            <w:pPr>
              <w:rPr>
                <w:bCs/>
                <w:sz w:val="20"/>
                <w:szCs w:val="20"/>
              </w:rPr>
            </w:pPr>
          </w:p>
        </w:tc>
        <w:tc>
          <w:tcPr>
            <w:tcW w:w="540" w:type="dxa"/>
            <w:vMerge w:val="continue"/>
          </w:tcPr>
          <w:p>
            <w:pPr>
              <w:rPr>
                <w:bCs/>
              </w:rPr>
            </w:pPr>
          </w:p>
        </w:tc>
        <w:tc>
          <w:tcPr>
            <w:tcW w:w="5669" w:type="dxa"/>
            <w:vMerge w:val="continue"/>
          </w:tcPr>
          <w:p>
            <w:pPr>
              <w:rPr>
                <w:bCs/>
              </w:rPr>
            </w:pPr>
          </w:p>
        </w:tc>
        <w:tc>
          <w:tcPr>
            <w:tcW w:w="1168" w:type="dxa"/>
            <w:tcBorders>
              <w:top w:val="single" w:color="auto" w:sz="4" w:space="0"/>
              <w:right w:val="single" w:color="auto" w:sz="4" w:space="0"/>
            </w:tcBorders>
            <w:vAlign w:val="center"/>
          </w:tcPr>
          <w:p>
            <w:pPr>
              <w:jc w:val="center"/>
              <w:rPr>
                <w:bCs/>
                <w:sz w:val="20"/>
                <w:szCs w:val="20"/>
              </w:rPr>
            </w:pPr>
          </w:p>
          <w:p>
            <w:pPr>
              <w:jc w:val="center"/>
              <w:rPr>
                <w:bCs/>
                <w:sz w:val="20"/>
                <w:szCs w:val="20"/>
              </w:rPr>
            </w:pPr>
            <w:r>
              <w:rPr>
                <w:bCs/>
                <w:sz w:val="20"/>
                <w:szCs w:val="20"/>
              </w:rPr>
              <w:t>Giảng bài</w:t>
            </w:r>
          </w:p>
        </w:tc>
        <w:tc>
          <w:tcPr>
            <w:tcW w:w="1343" w:type="dxa"/>
            <w:tcBorders>
              <w:top w:val="single" w:color="auto" w:sz="4" w:space="0"/>
              <w:left w:val="single" w:color="auto" w:sz="4" w:space="0"/>
              <w:right w:val="single" w:color="auto" w:sz="4" w:space="0"/>
            </w:tcBorders>
          </w:tcPr>
          <w:p>
            <w:pPr>
              <w:jc w:val="center"/>
              <w:rPr>
                <w:bCs/>
                <w:sz w:val="20"/>
                <w:szCs w:val="20"/>
              </w:rPr>
            </w:pPr>
          </w:p>
          <w:p>
            <w:pPr>
              <w:jc w:val="center"/>
              <w:rPr>
                <w:bCs/>
                <w:sz w:val="20"/>
                <w:szCs w:val="20"/>
              </w:rPr>
            </w:pPr>
            <w:r>
              <w:rPr>
                <w:bCs/>
                <w:sz w:val="20"/>
                <w:szCs w:val="20"/>
              </w:rPr>
              <w:t>Nghiên cứu hoặc Học bổng</w:t>
            </w:r>
          </w:p>
          <w:p>
            <w:pPr>
              <w:jc w:val="center"/>
              <w:rPr>
                <w:bCs/>
                <w:sz w:val="20"/>
                <w:szCs w:val="20"/>
              </w:rPr>
            </w:pPr>
          </w:p>
        </w:tc>
        <w:tc>
          <w:tcPr>
            <w:tcW w:w="927" w:type="dxa"/>
            <w:tcBorders>
              <w:top w:val="single" w:color="auto" w:sz="4" w:space="0"/>
              <w:left w:val="single" w:color="auto" w:sz="4" w:space="0"/>
            </w:tcBorders>
            <w:vAlign w:val="center"/>
          </w:tcPr>
          <w:p>
            <w:pPr>
              <w:jc w:val="center"/>
              <w:rPr>
                <w:bCs/>
                <w:sz w:val="20"/>
                <w:szCs w:val="20"/>
              </w:rPr>
            </w:pPr>
          </w:p>
          <w:p>
            <w:pPr>
              <w:jc w:val="center"/>
              <w:rPr>
                <w:bCs/>
                <w:sz w:val="20"/>
                <w:szCs w:val="20"/>
                <w:vertAlign w:val="superscript"/>
              </w:rPr>
            </w:pPr>
            <w:r>
              <w:rPr>
                <w:bCs/>
                <w:sz w:val="20"/>
                <w:szCs w:val="20"/>
              </w:rPr>
              <w:t xml:space="preserve">Khác </w:t>
            </w:r>
            <w:r>
              <w:rPr>
                <w:bCs/>
                <w:sz w:val="20"/>
                <w:szCs w:val="20"/>
                <w:vertAlign w:val="superscript"/>
              </w:rPr>
              <w:t>4</w:t>
            </w:r>
          </w:p>
          <w:p>
            <w:pPr>
              <w:jc w:val="center"/>
              <w:rPr>
                <w:bCs/>
                <w:sz w:val="20"/>
                <w:szCs w:val="20"/>
              </w:rPr>
            </w:pPr>
          </w:p>
          <w:p>
            <w:pPr>
              <w:jc w:val="center"/>
              <w:rPr>
                <w:bCs/>
                <w:sz w:val="20"/>
                <w:szCs w:val="20"/>
              </w:rPr>
            </w:pPr>
          </w:p>
        </w:tc>
        <w:tc>
          <w:tcPr>
            <w:tcW w:w="1155" w:type="dxa"/>
            <w:vMerge w:val="continue"/>
            <w:tcBorders>
              <w:right w:val="single" w:color="auto" w:sz="4" w:space="0"/>
            </w:tcBorders>
            <w:vAlign w:val="center"/>
          </w:tcPr>
          <w:p>
            <w:pPr>
              <w:jc w:val="center"/>
              <w:rPr>
                <w:bCs/>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Borders>
              <w:right w:val="single" w:color="auto" w:sz="4" w:space="0"/>
            </w:tcBorders>
          </w:tcPr>
          <w:p>
            <w:pPr>
              <w:rPr>
                <w:bCs/>
              </w:rPr>
            </w:pPr>
          </w:p>
        </w:tc>
        <w:tc>
          <w:tcPr>
            <w:tcW w:w="1343" w:type="dxa"/>
            <w:tcBorders>
              <w:left w:val="single" w:color="auto" w:sz="4" w:space="0"/>
              <w:right w:val="single" w:color="auto" w:sz="4" w:space="0"/>
            </w:tcBorders>
          </w:tcPr>
          <w:p>
            <w:pPr>
              <w:rPr>
                <w:bCs/>
              </w:rPr>
            </w:pPr>
          </w:p>
        </w:tc>
        <w:tc>
          <w:tcPr>
            <w:tcW w:w="927" w:type="dxa"/>
            <w:tcBorders>
              <w:left w:val="single" w:color="auto" w:sz="4" w:space="0"/>
            </w:tcBorders>
          </w:tcPr>
          <w:p>
            <w:pPr>
              <w:rPr>
                <w:bCs/>
              </w:rPr>
            </w:pPr>
          </w:p>
        </w:tc>
        <w:tc>
          <w:tcPr>
            <w:tcW w:w="1155" w:type="dxa"/>
            <w:tcBorders>
              <w:left w:val="single" w:color="auto" w:sz="4" w:space="0"/>
            </w:tcBorders>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8" w:type="dxa"/>
          </w:tcPr>
          <w:p>
            <w:pPr>
              <w:rPr>
                <w:bCs/>
              </w:rPr>
            </w:pPr>
          </w:p>
        </w:tc>
        <w:tc>
          <w:tcPr>
            <w:tcW w:w="540" w:type="dxa"/>
          </w:tcPr>
          <w:p>
            <w:pPr>
              <w:rPr>
                <w:bCs/>
              </w:rPr>
            </w:pPr>
          </w:p>
        </w:tc>
        <w:tc>
          <w:tcPr>
            <w:tcW w:w="5669" w:type="dxa"/>
          </w:tcPr>
          <w:p>
            <w:pPr>
              <w:rPr>
                <w:bCs/>
              </w:rPr>
            </w:pPr>
          </w:p>
        </w:tc>
        <w:tc>
          <w:tcPr>
            <w:tcW w:w="1168" w:type="dxa"/>
          </w:tcPr>
          <w:p>
            <w:pPr>
              <w:rPr>
                <w:bCs/>
              </w:rPr>
            </w:pPr>
          </w:p>
        </w:tc>
        <w:tc>
          <w:tcPr>
            <w:tcW w:w="1343" w:type="dxa"/>
          </w:tcPr>
          <w:p>
            <w:pPr>
              <w:rPr>
                <w:bCs/>
              </w:rPr>
            </w:pPr>
          </w:p>
        </w:tc>
        <w:tc>
          <w:tcPr>
            <w:tcW w:w="927" w:type="dxa"/>
          </w:tcPr>
          <w:p>
            <w:pPr>
              <w:rPr>
                <w:bCs/>
              </w:rPr>
            </w:pPr>
          </w:p>
        </w:tc>
        <w:tc>
          <w:tcPr>
            <w:tcW w:w="1155" w:type="dxa"/>
          </w:tcPr>
          <w:p>
            <w:pPr>
              <w:rPr>
                <w:bCs/>
              </w:rPr>
            </w:pPr>
          </w:p>
        </w:tc>
      </w:tr>
    </w:tbl>
    <w:p>
      <w:pPr>
        <w:rPr>
          <w:rFonts w:ascii="Georgia" w:hAnsi="Georgia"/>
          <w:bCs/>
        </w:rPr>
      </w:pPr>
    </w:p>
    <w:p>
      <w:pPr>
        <w:pStyle w:val="50"/>
        <w:numPr>
          <w:ilvl w:val="0"/>
          <w:numId w:val="6"/>
        </w:numPr>
        <w:rPr>
          <w:sz w:val="20"/>
          <w:szCs w:val="20"/>
        </w:rPr>
      </w:pPr>
      <w:r>
        <w:rPr>
          <w:sz w:val="20"/>
          <w:szCs w:val="20"/>
        </w:rPr>
        <w:t>FT = Khoa toàn thời gian hoặc PT = Khoa bán thời gian, tại cơ sở giáo dục</w:t>
      </w:r>
    </w:p>
    <w:p>
      <w:pPr>
        <w:rPr>
          <w:sz w:val="20"/>
          <w:szCs w:val="20"/>
        </w:rPr>
      </w:pPr>
    </w:p>
    <w:p>
      <w:pPr>
        <w:pStyle w:val="50"/>
        <w:numPr>
          <w:ilvl w:val="0"/>
          <w:numId w:val="6"/>
        </w:numPr>
        <w:rPr>
          <w:sz w:val="20"/>
          <w:szCs w:val="20"/>
        </w:rPr>
      </w:pPr>
      <w:r>
        <w:rPr>
          <w:sz w:val="20"/>
          <w:szCs w:val="20"/>
        </w:rPr>
        <w:t>Cho năm học mà Báo cáo đang được chuẩn bị.</w:t>
      </w:r>
    </w:p>
    <w:p>
      <w:pPr>
        <w:rPr>
          <w:sz w:val="20"/>
          <w:szCs w:val="20"/>
        </w:rPr>
      </w:pPr>
    </w:p>
    <w:p>
      <w:pPr>
        <w:pStyle w:val="50"/>
        <w:numPr>
          <w:ilvl w:val="0"/>
          <w:numId w:val="6"/>
        </w:numPr>
        <w:rPr>
          <w:sz w:val="20"/>
          <w:szCs w:val="20"/>
        </w:rPr>
      </w:pPr>
      <w:r>
        <w:rPr>
          <w:sz w:val="20"/>
          <w:szCs w:val="20"/>
        </w:rPr>
        <w:t>Phân phối hoạt động của chương trình nên theo phần trăm nỗ lực trong chương trình và tổng cộng phải là 100%.</w:t>
      </w:r>
    </w:p>
    <w:p>
      <w:pPr>
        <w:rPr>
          <w:sz w:val="20"/>
          <w:szCs w:val="20"/>
        </w:rPr>
      </w:pPr>
    </w:p>
    <w:p>
      <w:pPr>
        <w:pStyle w:val="50"/>
        <w:numPr>
          <w:ilvl w:val="0"/>
          <w:numId w:val="6"/>
        </w:numPr>
        <w:rPr>
          <w:sz w:val="20"/>
          <w:szCs w:val="20"/>
        </w:rPr>
      </w:pPr>
      <w:r>
        <w:rPr>
          <w:sz w:val="20"/>
          <w:szCs w:val="20"/>
        </w:rPr>
        <w:t>Cho biết nghỉ phép, v.v., trong mục "Khác".</w:t>
      </w:r>
    </w:p>
    <w:p>
      <w:pPr>
        <w:rPr>
          <w:sz w:val="20"/>
          <w:szCs w:val="20"/>
        </w:rPr>
      </w:pPr>
    </w:p>
    <w:p>
      <w:pPr>
        <w:pStyle w:val="50"/>
        <w:numPr>
          <w:ilvl w:val="0"/>
          <w:numId w:val="6"/>
        </w:numPr>
        <w:rPr>
          <w:rFonts w:asciiTheme="majorBidi" w:hAnsiTheme="majorBidi" w:cstheme="majorBidi"/>
          <w:i/>
          <w:color w:val="808080" w:themeColor="text1" w:themeTint="80"/>
          <w:sz w:val="20"/>
          <w:szCs w:val="20"/>
          <w14:textFill>
            <w14:solidFill>
              <w14:schemeClr w14:val="tx1">
                <w14:lumMod w14:val="50000"/>
                <w14:lumOff w14:val="50000"/>
              </w14:schemeClr>
            </w14:solidFill>
          </w14:textFill>
        </w:rPr>
      </w:pPr>
      <w:r>
        <w:rPr>
          <w:sz w:val="20"/>
          <w:szCs w:val="20"/>
        </w:rPr>
        <w:t xml:space="preserve">Trong tổng số thời gian làm việc tại tổ chức. </w:t>
      </w:r>
      <w:r>
        <w:rPr>
          <w:rFonts w:asciiTheme="majorBidi" w:hAnsiTheme="majorBidi" w:cstheme="majorBidi"/>
          <w:i/>
          <w:color w:val="808080" w:themeColor="text1" w:themeTint="80"/>
          <w:sz w:val="20"/>
          <w:szCs w:val="20"/>
          <w14:textFill>
            <w14:solidFill>
              <w14:schemeClr w14:val="tx1">
                <w14:lumMod w14:val="50000"/>
                <w14:lumOff w14:val="50000"/>
              </w14:schemeClr>
            </w14:solidFill>
          </w14:textFill>
        </w:rPr>
        <w:t>Nếu một giảng viên giảng dạy cho nhiều chương trình hoặc là quản trị viên, hãy cho biết mức độ nỗ lực chỉ dành cho các hoạt động của chương trình cụ thể (giảng dạy, v.v.).</w:t>
      </w:r>
    </w:p>
    <w:p>
      <w:pPr>
        <w:pStyle w:val="50"/>
        <w:numPr>
          <w:ilvl w:val="0"/>
          <w:numId w:val="6"/>
        </w:numPr>
        <w:rPr>
          <w:rFonts w:ascii="Georgia" w:hAnsi="Georgia"/>
          <w:sz w:val="20"/>
          <w:szCs w:val="20"/>
        </w:rPr>
        <w:sectPr>
          <w:pgSz w:w="15840" w:h="12240" w:orient="landscape"/>
          <w:pgMar w:top="1440" w:right="1440" w:bottom="1440" w:left="1440" w:header="720" w:footer="720" w:gutter="0"/>
          <w:cols w:space="720" w:num="1"/>
          <w:docGrid w:linePitch="360" w:charSpace="0"/>
        </w:sectPr>
      </w:pPr>
      <w:r>
        <w:rPr>
          <w:rFonts w:asciiTheme="majorBidi" w:hAnsiTheme="majorBidi" w:cstheme="majorBidi"/>
          <w:i/>
          <w:iCs/>
          <w:color w:val="808080" w:themeColor="text1" w:themeTint="80"/>
          <w:sz w:val="20"/>
          <w:szCs w:val="20"/>
          <w14:textFill>
            <w14:solidFill>
              <w14:schemeClr w14:val="tx1">
                <w14:lumMod w14:val="50000"/>
                <w14:lumOff w14:val="50000"/>
              </w14:schemeClr>
            </w14:solidFill>
          </w14:textFill>
        </w:rPr>
        <w:t>LÀM</w:t>
      </w:r>
      <w:r>
        <w:rPr>
          <w:rFonts w:asciiTheme="majorBidi" w:hAnsiTheme="majorBidi" w:cstheme="majorBidi"/>
          <w:color w:val="808080" w:themeColor="text1" w:themeTint="80"/>
          <w:sz w:val="20"/>
          <w:szCs w:val="20"/>
          <w14:textFill>
            <w14:solidFill>
              <w14:schemeClr w14:val="tx1">
                <w14:lumMod w14:val="50000"/>
                <w14:lumOff w14:val="50000"/>
              </w14:schemeClr>
            </w14:solidFill>
          </w14:textFill>
        </w:rPr>
        <w:t xml:space="preserve"> </w:t>
      </w:r>
      <w:r>
        <w:rPr>
          <w:rFonts w:asciiTheme="majorBidi" w:hAnsiTheme="majorBidi" w:cstheme="majorBidi"/>
          <w:i/>
          <w:color w:val="808080" w:themeColor="text1" w:themeTint="80"/>
          <w:sz w:val="20"/>
          <w:szCs w:val="20"/>
          <w14:textFill>
            <w14:solidFill>
              <w14:schemeClr w14:val="tx1">
                <w14:lumMod w14:val="50000"/>
                <w14:lumOff w14:val="50000"/>
              </w14:schemeClr>
            </w14:solidFill>
          </w14:textFill>
        </w:rPr>
        <w:t>không bao gồm các giảng viên trong các đơn vị giảng dạy các khóa học dịch vụ, ví dụ như toán học hoặc khoa học.</w:t>
      </w:r>
    </w:p>
    <w:p>
      <w:pPr>
        <w:pStyle w:val="2"/>
      </w:pPr>
      <w:bookmarkStart w:id="45" w:name="_Toc268163178"/>
      <w:r>
        <w:t>TIÊU CHÍ 7. CƠ SỞ VẬT CHẤT</w:t>
      </w:r>
      <w:bookmarkEnd w:id="45"/>
      <w:r>
        <w:rPr>
          <w:rStyle w:val="23"/>
        </w:rPr>
        <w:footnoteReference w:id="0"/>
      </w:r>
    </w:p>
    <w:p>
      <w:pPr>
        <w:rPr>
          <w:rFonts w:ascii="Georgia" w:hAnsi="Georgia"/>
        </w:rPr>
      </w:pPr>
    </w:p>
    <w:p>
      <w:pPr>
        <w:tabs>
          <w:tab w:val="left" w:pos="360"/>
        </w:tabs>
        <w:spacing w:after="200"/>
      </w:pPr>
      <w:r>
        <w:rPr>
          <w:b/>
          <w:bCs/>
          <w:u w:val="single"/>
        </w:rPr>
        <w:t xml:space="preserve">Không </w:t>
      </w:r>
      <w:r>
        <w:rPr>
          <w:b/>
          <w:bCs/>
          <w:u w:val="single"/>
        </w:rPr>
        <w:t>gửi</w:t>
      </w:r>
      <w:r>
        <w:rPr>
          <w:b/>
          <w:u w:val="single"/>
        </w:rPr>
        <w:t xml:space="preserve"> </w:t>
      </w:r>
      <w:r>
        <w:t xml:space="preserve">cho </w:t>
      </w:r>
      <w:r>
        <w:rPr>
          <w:lang w:val="en-US"/>
        </w:rPr>
        <w:t>Đánh giá Mức độ Sẵn sàng</w:t>
      </w:r>
      <w:r>
        <w:t>.</w:t>
      </w: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pStyle w:val="2"/>
      </w:pPr>
      <w:bookmarkStart w:id="46" w:name="_Toc268163179"/>
      <w:r>
        <w:rPr>
          <w:rFonts w:eastAsia="Calibri"/>
        </w:rPr>
        <w:t>TIÊU CHÍ 8. HỖ TRỢ THỂ CHẾ</w:t>
      </w:r>
      <w:bookmarkEnd w:id="46"/>
    </w:p>
    <w:p>
      <w:pPr>
        <w:rPr>
          <w:rFonts w:ascii="Georgia" w:hAnsi="Georgia"/>
        </w:rPr>
      </w:pPr>
    </w:p>
    <w:p>
      <w:pPr>
        <w:tabs>
          <w:tab w:val="left" w:pos="360"/>
        </w:tabs>
        <w:spacing w:after="200"/>
      </w:pPr>
      <w:r>
        <w:rPr>
          <w:b/>
          <w:bCs/>
          <w:u w:val="single"/>
        </w:rPr>
        <w:t>Không gửi</w:t>
      </w:r>
      <w:r>
        <w:rPr>
          <w:b/>
          <w:u w:val="single"/>
        </w:rPr>
        <w:t xml:space="preserve"> </w:t>
      </w:r>
      <w:r>
        <w:t xml:space="preserve">cho </w:t>
      </w:r>
      <w:r>
        <w:rPr>
          <w:lang w:val="en-US"/>
        </w:rPr>
        <w:t>Đánh giá Mức độ Sẵn sàng</w:t>
      </w:r>
      <w:r>
        <w:t>.</w:t>
      </w: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tabs>
          <w:tab w:val="left" w:pos="360"/>
        </w:tabs>
        <w:spacing w:after="200"/>
      </w:pPr>
    </w:p>
    <w:p>
      <w:pPr>
        <w:rPr>
          <w:rFonts w:cs="Arial"/>
        </w:rPr>
      </w:pPr>
    </w:p>
    <w:p>
      <w:pPr>
        <w:rPr>
          <w:rFonts w:cs="Arial"/>
        </w:rPr>
      </w:pPr>
    </w:p>
    <w:p>
      <w:pPr>
        <w:rPr>
          <w:rFonts w:cs="Arial"/>
        </w:rPr>
      </w:pPr>
    </w:p>
    <w:p>
      <w:pPr>
        <w:rPr>
          <w:rFonts w:cs="Arial"/>
        </w:rPr>
      </w:pPr>
    </w:p>
    <w:p>
      <w:pPr>
        <w:pStyle w:val="2"/>
      </w:pPr>
      <w:bookmarkStart w:id="47" w:name="_Toc268163183"/>
      <w:r>
        <w:t>TIÊU CHÍ CHƯƠNG TRÌNH</w:t>
      </w:r>
      <w:bookmarkEnd w:id="47"/>
    </w:p>
    <w:p>
      <w:pPr>
        <w:rPr>
          <w:rFonts w:ascii="Georgia" w:hAnsi="Georgia"/>
        </w:rPr>
      </w:pPr>
    </w:p>
    <w:p>
      <w:pPr>
        <w:rPr>
          <w:rFonts w:ascii="Georgia" w:hAnsi="Georgia"/>
        </w:rPr>
      </w:pPr>
    </w:p>
    <w:p>
      <w:r>
        <w:t>Mô tả làm thế nào chương trình đáp ứng bất kỳ tiêu chí chương trình áp dụng. Nếu đã được đề cập ở những nơi khác trong báo cáo tự nghiên cứu, hãy cung cấp các tài liệu tham khảo thích hợp.</w:t>
      </w:r>
    </w:p>
    <w:p/>
    <w:p>
      <w:r>
        <w:t>[LƯU Ý: Có thể hữu ích nếu liệt kê các yêu cầu tiêu chí của chương trình và sau đó bao gồm mô tả hoặc tham chiếu về cách chương trình đáp ứng từng yêu cầu đó. Các tiêu chí chương trình áp dụng cũng có thể bao gồm các tuyên bố bổ sung tính cụ thể cho các yêu cầu về chương trình giảng dạy và giảng viên được tìm thấy trong Tiêu chí 5 và 6. Những điều này nên được đưa vào các khóa học bắt buộc của chương trình.]</w:t>
      </w:r>
    </w:p>
    <w:p/>
    <w:p>
      <w:pPr>
        <w:rPr>
          <w:i/>
          <w:color w:val="FF0000"/>
        </w:rPr>
      </w:pPr>
      <w:r>
        <w:rPr>
          <w:i/>
          <w:color w:val="808080" w:themeColor="text1" w:themeTint="80"/>
          <w14:textFill>
            <w14:solidFill>
              <w14:schemeClr w14:val="tx1">
                <w14:lumMod w14:val="50000"/>
                <w14:lumOff w14:val="50000"/>
              </w14:schemeClr>
            </w14:solidFill>
          </w14:textFill>
        </w:rPr>
        <w:t>Phần này có thể bao gồm danh sách các chủ đề bắt buộc và cho biết khóa học nào có nội dung đó. Chương trình sẽ cung cấp các ví dụ về công việc của học sinh trong từng lĩnh vực chủ đề để xác nhận rằng học sinh đang làm công việc liên quan đến từng chủ đề.</w:t>
      </w:r>
      <w:r>
        <w:rPr>
          <w:i/>
          <w:color w:val="FF0000"/>
        </w:rPr>
        <w:t xml:space="preserve"> </w:t>
      </w:r>
    </w:p>
    <w:p>
      <w:pPr>
        <w:ind w:left="360"/>
      </w:pPr>
    </w:p>
    <w:p>
      <w:pPr>
        <w:ind w:left="360"/>
        <w:rPr>
          <w:rFonts w:ascii="Georgia" w:hAnsi="Georgia"/>
        </w:rPr>
      </w:pPr>
    </w:p>
    <w:p>
      <w:pPr>
        <w:rPr>
          <w:rFonts w:ascii="Georgia" w:hAnsi="Georgia"/>
          <w:b/>
          <w:u w:val="single"/>
        </w:rPr>
      </w:pPr>
      <w:r>
        <w:rPr>
          <w:rFonts w:ascii="Georgia" w:hAnsi="Georgia"/>
          <w:b/>
          <w:u w:val="single"/>
        </w:rPr>
        <w:br w:type="page"/>
      </w:r>
    </w:p>
    <w:p>
      <w:pPr>
        <w:jc w:val="center"/>
        <w:rPr>
          <w:rFonts w:ascii="Arial" w:hAnsi="Arial" w:cs="Arial"/>
          <w:color w:val="595959" w:themeColor="text1" w:themeTint="A6"/>
          <w:sz w:val="28"/>
          <w:szCs w:val="28"/>
          <w14:textFill>
            <w14:solidFill>
              <w14:schemeClr w14:val="tx1">
                <w14:lumMod w14:val="65000"/>
                <w14:lumOff w14:val="35000"/>
              </w14:schemeClr>
            </w14:solidFill>
          </w14:textFill>
        </w:rPr>
      </w:pPr>
      <w:r>
        <w:rPr>
          <w:rFonts w:ascii="Arial" w:hAnsi="Arial" w:cs="Arial"/>
          <w:b/>
          <w:color w:val="595959" w:themeColor="text1" w:themeTint="A6"/>
          <w:sz w:val="28"/>
          <w:szCs w:val="28"/>
          <w14:textFill>
            <w14:solidFill>
              <w14:schemeClr w14:val="tx1">
                <w14:lumMod w14:val="65000"/>
                <w14:lumOff w14:val="35000"/>
              </w14:schemeClr>
            </w14:solidFill>
          </w14:textFill>
        </w:rPr>
        <w:t>PHỤ LỤC</w:t>
      </w:r>
    </w:p>
    <w:p>
      <w:pPr>
        <w:rPr>
          <w:rFonts w:ascii="Georgia" w:hAnsi="Georgia"/>
          <w:b/>
        </w:rPr>
      </w:pPr>
    </w:p>
    <w:p>
      <w:pPr>
        <w:pStyle w:val="2"/>
      </w:pPr>
      <w:bookmarkStart w:id="48" w:name="_Toc268163184"/>
      <w:r>
        <w:t>Phụ lục A – Đề cương môn học</w:t>
      </w:r>
      <w:bookmarkEnd w:id="48"/>
    </w:p>
    <w:p>
      <w:pPr>
        <w:tabs>
          <w:tab w:val="left" w:pos="360"/>
        </w:tabs>
        <w:rPr>
          <w:rFonts w:ascii="Arial" w:hAnsi="Arial" w:cs="Arial"/>
          <w:b/>
          <w:color w:val="C00000"/>
        </w:rPr>
      </w:pPr>
    </w:p>
    <w:p>
      <w:pPr>
        <w:tabs>
          <w:tab w:val="left" w:pos="360"/>
        </w:tabs>
        <w:rPr>
          <w:rFonts w:hint="default" w:ascii="Arial" w:hAnsi="Arial" w:cs="Arial"/>
          <w:b/>
          <w:color w:val="C00000"/>
          <w:lang w:val="en-US"/>
        </w:rPr>
      </w:pPr>
      <w:r>
        <w:rPr>
          <w:rFonts w:ascii="Arial" w:hAnsi="Arial" w:cs="Arial"/>
          <w:b/>
          <w:color w:val="C00000"/>
        </w:rPr>
        <w:t xml:space="preserve">CHỈ BAO GỒM CÁC GIÁO TRÌNH KHÓA HỌC CHO CÁC KHÓA HỌC CỤ THỂ KỶ LUẬT CỦA CHƯƠNG TRÌNH ĐỂ </w:t>
      </w:r>
      <w:r>
        <w:rPr>
          <w:rFonts w:ascii="Arial" w:hAnsi="Arial" w:cs="Arial"/>
          <w:b/>
          <w:color w:val="C00000"/>
          <w:lang w:val="en-US"/>
        </w:rPr>
        <w:t>Đánh giá Mức độ Sẵn sàng</w:t>
      </w:r>
    </w:p>
    <w:p>
      <w:pPr>
        <w:rPr>
          <w:rFonts w:ascii="Georgia" w:hAnsi="Georgia"/>
        </w:rPr>
      </w:pPr>
    </w:p>
    <w:p>
      <w:pPr>
        <w:rPr>
          <w:u w:val="single"/>
        </w:rPr>
      </w:pPr>
      <w:r>
        <w:rPr>
          <w:u w:val="single"/>
        </w:rPr>
        <w:t>Vui lòng sử dụng định dạng sau cho giáo trình khóa học (tối đa 2 trang bằng phông chữ Times New Roman 12 point )</w:t>
      </w:r>
    </w:p>
    <w:p>
      <w:pPr>
        <w:rPr>
          <w:u w:val="single"/>
        </w:rPr>
      </w:pPr>
    </w:p>
    <w:p>
      <w:pPr>
        <w:ind w:left="720" w:hanging="360"/>
        <w:rPr>
          <w:u w:val="single"/>
        </w:rPr>
      </w:pPr>
      <w:r>
        <w:t xml:space="preserve">1. </w:t>
      </w:r>
      <w:r>
        <w:tab/>
      </w:r>
      <w:r>
        <w:t>Mã số và tên khóa học</w:t>
      </w:r>
    </w:p>
    <w:p>
      <w:pPr>
        <w:ind w:left="720"/>
      </w:pPr>
    </w:p>
    <w:p>
      <w:pPr>
        <w:ind w:left="720" w:hanging="360"/>
      </w:pPr>
      <w:r>
        <w:t xml:space="preserve">2. </w:t>
      </w:r>
      <w:r>
        <w:tab/>
      </w:r>
      <w:r>
        <w:t>Tín dụng và giờ liên lạc</w:t>
      </w:r>
    </w:p>
    <w:p>
      <w:pPr>
        <w:ind w:left="720"/>
      </w:pPr>
    </w:p>
    <w:p>
      <w:pPr>
        <w:ind w:left="720" w:hanging="360"/>
      </w:pPr>
      <w:r>
        <w:t xml:space="preserve">3. </w:t>
      </w:r>
      <w:r>
        <w:tab/>
      </w:r>
      <w:r>
        <w:t>Tên người hướng dẫn hoặc điều phối viên khóa học</w:t>
      </w:r>
    </w:p>
    <w:p>
      <w:pPr>
        <w:ind w:left="720"/>
      </w:pPr>
    </w:p>
    <w:p>
      <w:pPr>
        <w:ind w:left="720" w:hanging="360"/>
      </w:pPr>
      <w:r>
        <w:t xml:space="preserve">4. </w:t>
      </w:r>
      <w:r>
        <w:tab/>
      </w:r>
      <w:r>
        <w:t>Sách giáo khoa , nhan đề, tác giả, năm</w:t>
      </w:r>
    </w:p>
    <w:p>
      <w:pPr>
        <w:ind w:left="720"/>
      </w:pPr>
    </w:p>
    <w:p>
      <w:pPr>
        <w:ind w:left="1080" w:hanging="360"/>
      </w:pPr>
      <w:r>
        <w:rPr>
          <w:rFonts w:hint="default"/>
          <w:lang w:val="en-US"/>
        </w:rPr>
        <w:t>a</w:t>
      </w:r>
      <w:r>
        <w:t xml:space="preserve">. </w:t>
      </w:r>
      <w:r>
        <w:tab/>
      </w:r>
      <w:r>
        <w:t>vật liệu bổ sung khác</w:t>
      </w:r>
    </w:p>
    <w:p>
      <w:pPr>
        <w:ind w:left="1080"/>
      </w:pPr>
    </w:p>
    <w:p>
      <w:pPr>
        <w:ind w:left="720" w:hanging="360"/>
      </w:pPr>
      <w:r>
        <w:t xml:space="preserve">5. </w:t>
      </w:r>
      <w:r>
        <w:tab/>
      </w:r>
      <w:r>
        <w:t>Thông tin khóa học cụ thể</w:t>
      </w:r>
    </w:p>
    <w:p>
      <w:pPr>
        <w:ind w:left="720"/>
      </w:pPr>
    </w:p>
    <w:p>
      <w:pPr>
        <w:ind w:left="1080" w:hanging="360"/>
      </w:pPr>
      <w:r>
        <w:rPr>
          <w:rFonts w:hint="default"/>
          <w:lang w:val="en-US"/>
        </w:rPr>
        <w:t>a</w:t>
      </w:r>
      <w:r>
        <w:t xml:space="preserve">. </w:t>
      </w:r>
      <w:r>
        <w:tab/>
      </w:r>
      <w:r>
        <w:t>mô tả ngắn gọn về nội dung của khóa học (mô tả danh mục)</w:t>
      </w:r>
    </w:p>
    <w:p>
      <w:pPr>
        <w:ind w:left="1080"/>
      </w:pPr>
    </w:p>
    <w:p>
      <w:pPr>
        <w:ind w:left="1080" w:hanging="360"/>
      </w:pPr>
      <w:r>
        <w:t xml:space="preserve">b. </w:t>
      </w:r>
      <w:r>
        <w:tab/>
      </w:r>
      <w:r>
        <w:t>điều kiện tiên quyết hoặc đồng điều kiện</w:t>
      </w:r>
    </w:p>
    <w:p>
      <w:pPr>
        <w:ind w:left="1080"/>
      </w:pPr>
    </w:p>
    <w:p>
      <w:pPr>
        <w:ind w:left="1080" w:hanging="360"/>
      </w:pPr>
      <w:r>
        <w:t xml:space="preserve">c. </w:t>
      </w:r>
      <w:r>
        <w:tab/>
      </w:r>
      <w:r>
        <w:t>cho biết khóa học bắt buộc, tự chọn hay tự chọn (theo Bảng 5-1) trong chương trình</w:t>
      </w:r>
    </w:p>
    <w:p>
      <w:pPr>
        <w:ind w:left="1080"/>
      </w:pPr>
    </w:p>
    <w:p>
      <w:pPr>
        <w:ind w:left="720" w:hanging="360"/>
      </w:pPr>
      <w:r>
        <w:t xml:space="preserve">6. </w:t>
      </w:r>
      <w:r>
        <w:tab/>
      </w:r>
      <w:r>
        <w:t>Mục tiêu cụ thể của khóa học</w:t>
      </w:r>
    </w:p>
    <w:p>
      <w:pPr>
        <w:ind w:left="720"/>
      </w:pPr>
    </w:p>
    <w:p>
      <w:pPr>
        <w:ind w:left="1080" w:hanging="360"/>
      </w:pPr>
      <w:r>
        <w:rPr>
          <w:lang w:val="en-US"/>
        </w:rPr>
        <w:t>a.</w:t>
      </w:r>
      <w:r>
        <w:t xml:space="preserve"> </w:t>
      </w:r>
      <w:r>
        <w:tab/>
      </w:r>
      <w:r>
        <w:t>kết quả cụ thể của hướng dẫn, ví dụ. Học sinh sẽ có thể giải thích tầm quan trọng của nghiên cứu hiện tại về một chủ đề cụ thể.</w:t>
      </w:r>
    </w:p>
    <w:p>
      <w:pPr>
        <w:ind w:left="1080"/>
      </w:pPr>
    </w:p>
    <w:p>
      <w:pPr>
        <w:ind w:left="1080" w:hanging="360"/>
      </w:pPr>
      <w:r>
        <w:t xml:space="preserve">b. </w:t>
      </w:r>
      <w:r>
        <w:tab/>
      </w:r>
      <w:r>
        <w:t>chỉ rõ kết quả nào của học sinh được liệt kê trong Tiêu chí 3 hoặc bất kỳ kết quả nào khác được khóa học giải quyết.</w:t>
      </w:r>
    </w:p>
    <w:p>
      <w:pPr>
        <w:ind w:left="1080"/>
      </w:pPr>
    </w:p>
    <w:p>
      <w:pPr>
        <w:ind w:left="720" w:hanging="360"/>
      </w:pPr>
      <w:r>
        <w:t xml:space="preserve">7. </w:t>
      </w:r>
      <w:r>
        <w:tab/>
      </w:r>
      <w:r>
        <w:t>Danh sách tóm tắt các chủ đề sẽ được đề cập</w:t>
      </w:r>
    </w:p>
    <w:p>
      <w:pPr>
        <w:ind w:left="720"/>
        <w:rPr>
          <w:bCs/>
        </w:rPr>
      </w:pPr>
    </w:p>
    <w:p>
      <w:pPr>
        <w:rPr>
          <w:b/>
        </w:rPr>
      </w:pPr>
      <w:r>
        <w:rPr>
          <w:b/>
        </w:rPr>
        <w:br w:type="page"/>
      </w:r>
    </w:p>
    <w:p>
      <w:pPr>
        <w:pStyle w:val="2"/>
      </w:pPr>
      <w:bookmarkStart w:id="49" w:name="_Toc268163185"/>
      <w:r>
        <w:t>Phụ lục B – Sơ yếu lý lịch Khoa</w:t>
      </w:r>
      <w:bookmarkEnd w:id="49"/>
    </w:p>
    <w:p>
      <w:pPr>
        <w:rPr>
          <w:rFonts w:ascii="Georgia" w:hAnsi="Georgia"/>
        </w:rPr>
      </w:pPr>
    </w:p>
    <w:p>
      <w:pPr>
        <w:rPr>
          <w:rFonts w:ascii="Arial" w:hAnsi="Arial" w:cs="Arial"/>
          <w:b/>
          <w:color w:val="C00000"/>
        </w:rPr>
      </w:pPr>
      <w:r>
        <w:rPr>
          <w:rFonts w:ascii="Arial" w:hAnsi="Arial" w:cs="Arial"/>
          <w:b/>
          <w:color w:val="C00000"/>
        </w:rPr>
        <w:t xml:space="preserve">CHO BÁO CÁO NÀY, CHỈ BAO GỒM SƠ </w:t>
      </w:r>
      <w:r>
        <w:rPr>
          <w:rFonts w:hint="default" w:ascii="Arial" w:hAnsi="Arial" w:cs="Arial"/>
          <w:b/>
          <w:color w:val="C00000"/>
          <w:lang w:val="en-US"/>
        </w:rPr>
        <w:t xml:space="preserve">YẾU LÝ </w:t>
      </w:r>
      <w:r>
        <w:rPr>
          <w:rFonts w:ascii="Arial" w:hAnsi="Arial" w:cs="Arial"/>
          <w:b/>
          <w:color w:val="C00000"/>
        </w:rPr>
        <w:t>LỊCH CHO CÁC</w:t>
      </w:r>
      <w:r>
        <w:rPr>
          <w:rFonts w:ascii="Arial" w:hAnsi="Arial" w:cs="Arial"/>
          <w:b/>
          <w:i/>
          <w:color w:val="C00000"/>
        </w:rPr>
        <w:t xml:space="preserve"> </w:t>
      </w:r>
      <w:r>
        <w:rPr>
          <w:rFonts w:ascii="Arial" w:hAnsi="Arial" w:cs="Arial"/>
          <w:b/>
          <w:color w:val="C00000"/>
        </w:rPr>
        <w:t>CÁC THÀNH VIÊN GIẢNG DẠY CÁC KHÓA HỌC CÔNG NGHỆ KỸ THUẬT ĐƯỢC LIỆT KÊ TRONG BẢNG 5-1</w:t>
      </w:r>
    </w:p>
    <w:p>
      <w:pPr>
        <w:rPr>
          <w:rFonts w:ascii="Georgia" w:hAnsi="Georgia"/>
        </w:rPr>
      </w:pPr>
    </w:p>
    <w:p>
      <w:pPr>
        <w:rPr>
          <w:color w:val="595959" w:themeColor="text1" w:themeTint="A6"/>
          <w:u w:val="single"/>
          <w14:textFill>
            <w14:solidFill>
              <w14:schemeClr w14:val="tx1">
                <w14:lumMod w14:val="65000"/>
                <w14:lumOff w14:val="35000"/>
              </w14:schemeClr>
            </w14:solidFill>
          </w14:textFill>
        </w:rPr>
      </w:pPr>
      <w:r>
        <w:rPr>
          <w:color w:val="595959" w:themeColor="text1" w:themeTint="A6"/>
          <w:u w:val="single"/>
          <w14:textFill>
            <w14:solidFill>
              <w14:schemeClr w14:val="tx1">
                <w14:lumMod w14:val="65000"/>
                <w14:lumOff w14:val="35000"/>
              </w14:schemeClr>
            </w14:solidFill>
          </w14:textFill>
        </w:rPr>
        <w:t xml:space="preserve">Vui lòng sử dụng định dạng sau cho sơ yếu lý lịch của khoa (tối đa 2 trang </w:t>
      </w:r>
      <w:r>
        <w:rPr>
          <w:rFonts w:hint="default"/>
          <w:color w:val="595959" w:themeColor="text1" w:themeTint="A6"/>
          <w:u w:val="single"/>
          <w:lang w:val="en-US"/>
          <w14:textFill>
            <w14:solidFill>
              <w14:schemeClr w14:val="tx1">
                <w14:lumMod w14:val="65000"/>
                <w14:lumOff w14:val="35000"/>
              </w14:schemeClr>
            </w14:solidFill>
          </w14:textFill>
        </w:rPr>
        <w:t>font</w:t>
      </w:r>
      <w:r>
        <w:rPr>
          <w:color w:val="595959" w:themeColor="text1" w:themeTint="A6"/>
          <w:u w:val="single"/>
          <w14:textFill>
            <w14:solidFill>
              <w14:schemeClr w14:val="tx1">
                <w14:lumMod w14:val="65000"/>
                <w14:lumOff w14:val="35000"/>
              </w14:schemeClr>
            </w14:solidFill>
          </w14:textFill>
        </w:rPr>
        <w:t xml:space="preserve"> Times New Roman </w:t>
      </w:r>
      <w:r>
        <w:rPr>
          <w:rFonts w:hint="default"/>
          <w:color w:val="595959" w:themeColor="text1" w:themeTint="A6"/>
          <w:u w:val="single"/>
          <w:lang w:val="en-US"/>
          <w14:textFill>
            <w14:solidFill>
              <w14:schemeClr w14:val="tx1">
                <w14:lumMod w14:val="65000"/>
                <w14:lumOff w14:val="35000"/>
              </w14:schemeClr>
            </w14:solidFill>
          </w14:textFill>
        </w:rPr>
        <w:t>12</w:t>
      </w:r>
      <w:r>
        <w:rPr>
          <w:color w:val="595959" w:themeColor="text1" w:themeTint="A6"/>
          <w:u w:val="single"/>
          <w14:textFill>
            <w14:solidFill>
              <w14:schemeClr w14:val="tx1">
                <w14:lumMod w14:val="65000"/>
                <w14:lumOff w14:val="35000"/>
              </w14:schemeClr>
            </w14:solidFill>
          </w14:textFill>
        </w:rPr>
        <w:t>)</w:t>
      </w:r>
    </w:p>
    <w:p>
      <w:pPr>
        <w:rPr>
          <w:color w:val="595959" w:themeColor="text1" w:themeTint="A6"/>
          <w:u w:val="single"/>
          <w14:textFill>
            <w14:solidFill>
              <w14:schemeClr w14:val="tx1">
                <w14:lumMod w14:val="65000"/>
                <w14:lumOff w14:val="35000"/>
              </w14:schemeClr>
            </w14:solidFill>
          </w14:textFill>
        </w:rPr>
      </w:pPr>
    </w:p>
    <w:p>
      <w:pPr>
        <w:ind w:left="720" w:hanging="360"/>
        <w:rPr>
          <w:color w:val="595959" w:themeColor="text1" w:themeTint="A6"/>
          <w:u w:val="single"/>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1.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Tên</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2.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Học vấn – bằng cấp, ngành học, trường, năm</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3.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Kinh nghiệm học tập – trường, cấp bậc, chức danh (chủ tịch, điều phối viên, v.v. nếu thích hợp), khi nào (ví dụ: 1990-1995), toàn thời gian hoặc bán thời gian</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4.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Kinh nghiệm phi học thuật – công ty hoặc tổ chức, chức danh, mô tả ngắn gọn về vị trí, khi nào (ví dụ: 1993-1999), toàn thời gian hoặc bán thời gian</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5.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Giấy chứng nhận hoặc đăng ký chuyên môn</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6.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Thành viên hiện tại trong các tổ chức nghề nghiệp</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7.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Danh hiệu và giải thưởng</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8.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Hoạt động dịch vụ (trong và ngoài cơ sở)</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9.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Liệt kê ngắn gọn các ấn phẩm và bài thuyết trình quan trọng nhất trong 5 năm qua – tiêu đề, đồng tác giả nếu có, nơi xuất bản và/hoặc trình bày, ngày xuất bản hoặc bài thuyết trình</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10.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Liệt kê ngắn gọn các hoạt động phát triển nghề nghiệp gần đây nhất</w:t>
      </w:r>
    </w:p>
    <w:p>
      <w:pPr>
        <w:ind w:left="720"/>
        <w:rPr>
          <w:color w:val="595959" w:themeColor="text1" w:themeTint="A6"/>
          <w14:textFill>
            <w14:solidFill>
              <w14:schemeClr w14:val="tx1">
                <w14:lumMod w14:val="65000"/>
                <w14:lumOff w14:val="35000"/>
              </w14:schemeClr>
            </w14:solidFill>
          </w14:textFill>
        </w:rPr>
      </w:pPr>
    </w:p>
    <w:p>
      <w:pPr>
        <w:ind w:left="720"/>
        <w:rPr>
          <w:color w:val="595959" w:themeColor="text1" w:themeTint="A6"/>
          <w14:textFill>
            <w14:solidFill>
              <w14:schemeClr w14:val="tx1">
                <w14:lumMod w14:val="65000"/>
                <w14:lumOff w14:val="35000"/>
              </w14:schemeClr>
            </w14:solidFill>
          </w14:textFill>
        </w:rPr>
      </w:pPr>
    </w:p>
    <w:p>
      <w:pPr>
        <w:rPr>
          <w:b/>
          <w:color w:val="595959" w:themeColor="text1" w:themeTint="A6"/>
          <w14:textFill>
            <w14:solidFill>
              <w14:schemeClr w14:val="tx1">
                <w14:lumMod w14:val="65000"/>
                <w14:lumOff w14:val="35000"/>
              </w14:schemeClr>
            </w14:solidFill>
          </w14:textFill>
        </w:rPr>
      </w:pPr>
      <w:r>
        <w:rPr>
          <w:b/>
          <w:color w:val="595959" w:themeColor="text1" w:themeTint="A6"/>
          <w14:textFill>
            <w14:solidFill>
              <w14:schemeClr w14:val="tx1">
                <w14:lumMod w14:val="65000"/>
                <w14:lumOff w14:val="35000"/>
              </w14:schemeClr>
            </w14:solidFill>
          </w14:textFill>
        </w:rPr>
        <w:br w:type="page"/>
      </w:r>
    </w:p>
    <w:p>
      <w:pPr>
        <w:pStyle w:val="2"/>
      </w:pPr>
      <w:bookmarkStart w:id="50" w:name="_Toc268163186"/>
      <w:r>
        <w:t>Phụ lục C – Thiết bị</w:t>
      </w:r>
      <w:bookmarkEnd w:id="50"/>
    </w:p>
    <w:p>
      <w:pPr>
        <w:rPr>
          <w:rFonts w:ascii="Georgia" w:hAnsi="Georgia"/>
        </w:rPr>
      </w:pPr>
    </w:p>
    <w:p>
      <w:pPr>
        <w:tabs>
          <w:tab w:val="left" w:pos="360"/>
        </w:tabs>
        <w:spacing w:after="200"/>
      </w:pPr>
      <w:r>
        <w:rPr>
          <w:b/>
          <w:bCs/>
          <w:u w:val="single"/>
        </w:rPr>
        <w:t>Không gửi</w:t>
      </w:r>
      <w:r>
        <w:rPr>
          <w:b/>
          <w:u w:val="single"/>
        </w:rPr>
        <w:t xml:space="preserve"> </w:t>
      </w:r>
      <w:r>
        <w:t xml:space="preserve">cho </w:t>
      </w:r>
      <w:r>
        <w:rPr>
          <w:lang w:val="en-US"/>
        </w:rPr>
        <w:t>Đánh giá Mức độ Sẵn sàng</w:t>
      </w:r>
      <w:r>
        <w:t>.</w:t>
      </w:r>
    </w:p>
    <w:p>
      <w:pPr>
        <w:tabs>
          <w:tab w:val="left" w:pos="0"/>
        </w:tabs>
        <w:spacing w:after="200"/>
      </w:pPr>
    </w:p>
    <w:p/>
    <w:p>
      <w:pPr>
        <w:rPr>
          <w:rFonts w:ascii="Georgia" w:hAnsi="Georgia"/>
          <w:b/>
        </w:rPr>
      </w:pPr>
    </w:p>
    <w:p>
      <w:pPr>
        <w:rPr>
          <w:rFonts w:ascii="Georgia" w:hAnsi="Georgia"/>
          <w:b/>
          <w:bCs/>
        </w:rPr>
      </w:pPr>
    </w:p>
    <w:p>
      <w:pPr>
        <w:rPr>
          <w:rFonts w:ascii="Georgia" w:hAnsi="Georgia"/>
          <w:b/>
          <w:bCs/>
        </w:rPr>
      </w:pPr>
      <w:r>
        <w:rPr>
          <w:rFonts w:ascii="Georgia" w:hAnsi="Georgia"/>
          <w:b/>
          <w:bCs/>
        </w:rPr>
        <w:br w:type="page"/>
      </w:r>
    </w:p>
    <w:p>
      <w:pPr>
        <w:pStyle w:val="2"/>
      </w:pPr>
      <w:bookmarkStart w:id="51" w:name="_Toc268163187"/>
      <w:r>
        <w:t>Phụ lục D – Tóm tắt thể chế</w:t>
      </w:r>
      <w:bookmarkEnd w:id="51"/>
      <w:r>
        <w:t xml:space="preserve"> </w:t>
      </w:r>
    </w:p>
    <w:p>
      <w:pPr>
        <w:rPr>
          <w:rFonts w:ascii="Georgia" w:hAnsi="Georgia"/>
          <w:bCs/>
        </w:rPr>
      </w:pPr>
    </w:p>
    <w:p>
      <w:r>
        <w:t>Các chương trình được yêu cầu cung cấp các thông tin sau.</w:t>
      </w:r>
    </w:p>
    <w:p>
      <w:pPr>
        <w:pStyle w:val="3"/>
        <w:rPr>
          <w:rFonts w:cs="Arial"/>
        </w:rPr>
      </w:pPr>
      <w:bookmarkStart w:id="52" w:name="_Toc268163188"/>
      <w:r>
        <w:rPr>
          <w:rFonts w:cs="Arial"/>
        </w:rPr>
        <w:t xml:space="preserve">1. </w:t>
      </w:r>
      <w:r>
        <w:rPr>
          <w:rFonts w:cs="Arial"/>
        </w:rPr>
        <w:tab/>
      </w:r>
      <w:r>
        <w:rPr>
          <w:rFonts w:cs="Arial"/>
        </w:rPr>
        <w:t>Tổ chức</w:t>
      </w:r>
      <w:bookmarkEnd w:id="52"/>
    </w:p>
    <w:p>
      <w:pPr>
        <w:ind w:left="720" w:hanging="360"/>
        <w:rPr>
          <w:color w:val="595959" w:themeColor="text1" w:themeTint="A6"/>
          <w14:textFill>
            <w14:solidFill>
              <w14:schemeClr w14:val="tx1">
                <w14:lumMod w14:val="65000"/>
                <w14:lumOff w14:val="35000"/>
              </w14:schemeClr>
            </w14:solidFill>
          </w14:textFill>
        </w:rPr>
      </w:pPr>
      <w:r>
        <w:rPr>
          <w:rFonts w:ascii="Georgia" w:hAnsi="Georgia"/>
          <w:lang w:val="en-US"/>
        </w:rPr>
        <w:t>a.</w:t>
      </w:r>
      <w:r>
        <w:rPr>
          <w:rFonts w:ascii="Georgia" w:hAnsi="Georgia"/>
        </w:rPr>
        <w:t xml:space="preserve">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Tên và địa chỉ của tổ chức.</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b.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Tên và chức danh của giám đốc điều hành của tổ chức.</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c.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Họ và tên người nộp Báo cáo.</w:t>
      </w:r>
    </w:p>
    <w:p>
      <w:pPr>
        <w:ind w:left="720"/>
        <w:rPr>
          <w:color w:val="595959" w:themeColor="text1" w:themeTint="A6"/>
          <w14:textFill>
            <w14:solidFill>
              <w14:schemeClr w14:val="tx1">
                <w14:lumMod w14:val="65000"/>
                <w14:lumOff w14:val="35000"/>
              </w14:schemeClr>
            </w14:solidFill>
          </w14:textFill>
        </w:rPr>
      </w:pPr>
    </w:p>
    <w:p>
      <w:pPr>
        <w:ind w:left="720" w:hanging="360"/>
        <w:rPr>
          <w:color w:val="595959" w:themeColor="text1" w:themeTint="A6"/>
          <w14:textFill>
            <w14:solidFill>
              <w14:schemeClr w14:val="tx1">
                <w14:lumMod w14:val="65000"/>
                <w14:lumOff w14:val="35000"/>
              </w14:schemeClr>
            </w14:solidFill>
          </w14:textFill>
        </w:rPr>
      </w:pPr>
      <w:r>
        <w:rPr>
          <w:color w:val="595959" w:themeColor="text1" w:themeTint="A6"/>
          <w14:textFill>
            <w14:solidFill>
              <w14:schemeClr w14:val="tx1">
                <w14:lumMod w14:val="65000"/>
                <w14:lumOff w14:val="35000"/>
              </w14:schemeClr>
            </w14:solidFill>
          </w14:textFill>
        </w:rPr>
        <w:t xml:space="preserve">d. </w:t>
      </w:r>
      <w:r>
        <w:rPr>
          <w:color w:val="595959" w:themeColor="text1" w:themeTint="A6"/>
          <w14:textFill>
            <w14:solidFill>
              <w14:schemeClr w14:val="tx1">
                <w14:lumMod w14:val="65000"/>
                <w14:lumOff w14:val="35000"/>
              </w14:schemeClr>
            </w14:solidFill>
          </w14:textFill>
        </w:rPr>
        <w:tab/>
      </w:r>
      <w:r>
        <w:rPr>
          <w:color w:val="595959" w:themeColor="text1" w:themeTint="A6"/>
          <w14:textFill>
            <w14:solidFill>
              <w14:schemeClr w14:val="tx1">
                <w14:lumMod w14:val="65000"/>
                <w14:lumOff w14:val="35000"/>
              </w14:schemeClr>
            </w14:solidFill>
          </w14:textFill>
        </w:rPr>
        <w:t>Kể tên các tổ chức mà học viện hiện đã được công nhận và ngày đánh giá công nhận ban đầu và gần đây nhất.</w:t>
      </w:r>
    </w:p>
    <w:p>
      <w:pPr>
        <w:pStyle w:val="3"/>
        <w:rPr>
          <w:rFonts w:cs="Arial"/>
        </w:rPr>
      </w:pPr>
      <w:r>
        <w:rPr>
          <w:rFonts w:cs="Arial"/>
        </w:rPr>
        <w:t xml:space="preserve">2. </w:t>
      </w:r>
      <w:r>
        <w:rPr>
          <w:rFonts w:cs="Arial"/>
        </w:rPr>
        <w:tab/>
      </w:r>
      <w:r>
        <w:rPr>
          <w:rFonts w:cs="Arial"/>
        </w:rPr>
        <w:t>Loại điều khiển</w:t>
      </w:r>
    </w:p>
    <w:p>
      <w:pPr>
        <w:ind w:left="360"/>
      </w:pPr>
      <w:r>
        <w:t>Mô tả về loại hình kiểm soát quản lý của tổ chức, ví dụ: tư nhân-phi lợi nhuận, tư nhân-khác, giáo phái, tiểu bang, liên bang, công cộng-khác, v.v.</w:t>
      </w:r>
    </w:p>
    <w:p>
      <w:pPr>
        <w:ind w:left="360"/>
        <w:rPr>
          <w:rFonts w:ascii="Georgia" w:hAnsi="Georgia"/>
        </w:rPr>
      </w:pPr>
    </w:p>
    <w:p>
      <w:pPr>
        <w:pStyle w:val="3"/>
        <w:rPr>
          <w:rFonts w:cs="Arial"/>
        </w:rPr>
      </w:pPr>
      <w:r>
        <w:rPr>
          <w:rFonts w:cs="Arial"/>
        </w:rPr>
        <w:t xml:space="preserve">3. </w:t>
      </w:r>
      <w:r>
        <w:rPr>
          <w:rFonts w:cs="Arial"/>
        </w:rPr>
        <w:tab/>
      </w:r>
      <w:r>
        <w:rPr>
          <w:rFonts w:cs="Arial"/>
        </w:rPr>
        <w:t>Đơn vị giáo dục</w:t>
      </w:r>
    </w:p>
    <w:p>
      <w:pPr>
        <w:ind w:left="360"/>
      </w:pPr>
      <w:r>
        <w:rPr>
          <w:color w:val="595959" w:themeColor="text1" w:themeTint="A6"/>
          <w14:textFill>
            <w14:solidFill>
              <w14:schemeClr w14:val="tx1">
                <w14:lumMod w14:val="65000"/>
                <w14:lumOff w14:val="35000"/>
              </w14:schemeClr>
            </w14:solidFill>
          </w14:textFill>
        </w:rPr>
        <w:t xml:space="preserve">Mô tả đơn vị giáo dục nơi đặt chương trình bao gồm chuỗi trách nhiệm hành chính từ cá nhân chịu trách nhiệm về chương trình đến giám đốc điều hành của tổ chức. Bao gồm tên và tiêu đề. Một sơ đồ tổ chức có thể được bao gồm </w:t>
      </w:r>
      <w:r>
        <w:t>.</w:t>
      </w:r>
    </w:p>
    <w:p>
      <w:pPr>
        <w:ind w:left="360"/>
      </w:pPr>
    </w:p>
    <w:p>
      <w:pPr>
        <w:pStyle w:val="3"/>
        <w:rPr>
          <w:rFonts w:cs="Arial"/>
        </w:rPr>
      </w:pPr>
      <w:r>
        <w:rPr>
          <w:rFonts w:cs="Arial"/>
        </w:rPr>
        <w:t xml:space="preserve">4. </w:t>
      </w:r>
      <w:r>
        <w:rPr>
          <w:rFonts w:cs="Arial"/>
        </w:rPr>
        <w:tab/>
      </w:r>
      <w:r>
        <w:rPr>
          <w:rFonts w:cs="Arial"/>
        </w:rPr>
        <w:t>Đơn vị hỗ trợ học thuật</w:t>
      </w:r>
    </w:p>
    <w:p>
      <w:pPr>
        <w:ind w:left="360"/>
      </w:pPr>
      <w:r>
        <w:t>Liệt kê tên và chức danh của các cá nhân chịu trách nhiệm cho từng đơn vị giảng dạy các khóa học theo yêu cầu của chương trình được đánh giá về mức độ sẵn sàng, ví dụ: toán học, vật lý, v.v.</w:t>
      </w:r>
    </w:p>
    <w:p>
      <w:pPr>
        <w:ind w:left="360"/>
        <w:rPr>
          <w:rFonts w:ascii="Georgia" w:hAnsi="Georgia"/>
        </w:rPr>
      </w:pPr>
    </w:p>
    <w:p>
      <w:pPr>
        <w:pStyle w:val="3"/>
        <w:rPr>
          <w:rFonts w:cs="Arial"/>
        </w:rPr>
      </w:pPr>
      <w:r>
        <w:rPr>
          <w:rFonts w:cs="Arial"/>
        </w:rPr>
        <w:t xml:space="preserve">5. </w:t>
      </w:r>
      <w:r>
        <w:rPr>
          <w:rFonts w:cs="Arial"/>
        </w:rPr>
        <w:tab/>
      </w:r>
      <w:r>
        <w:rPr>
          <w:rFonts w:cs="Arial"/>
        </w:rPr>
        <w:t>Các đơn vị hỗ trợ phi học thuật</w:t>
      </w:r>
    </w:p>
    <w:p>
      <w:pPr>
        <w:ind w:left="360"/>
      </w:pPr>
      <w:r>
        <w:t>Liệt kê tên và chức danh của những cá nhân chịu trách nhiệm cho từng đơn vị cung cấp hỗ trợ phi học thuật cho chương trình đang được đánh giá về mức độ sẵn sàng, ví dụ: thư viện, cơ sở máy tính, sắp xếp, dạy kèm, v.v.</w:t>
      </w:r>
    </w:p>
    <w:p>
      <w:pPr>
        <w:ind w:left="360"/>
        <w:rPr>
          <w:rFonts w:ascii="Georgia" w:hAnsi="Georgia"/>
        </w:rPr>
      </w:pPr>
    </w:p>
    <w:p>
      <w:pPr>
        <w:pStyle w:val="3"/>
        <w:rPr>
          <w:rFonts w:cs="Arial"/>
        </w:rPr>
      </w:pPr>
      <w:r>
        <w:rPr>
          <w:rFonts w:cs="Arial"/>
        </w:rPr>
        <w:t xml:space="preserve">6. </w:t>
      </w:r>
      <w:r>
        <w:rPr>
          <w:rFonts w:cs="Arial"/>
        </w:rPr>
        <w:tab/>
      </w:r>
      <w:r>
        <w:rPr>
          <w:rFonts w:cs="Arial"/>
        </w:rPr>
        <w:t>Đơn vị tín dụng</w:t>
      </w:r>
    </w:p>
    <w:p>
      <w:pPr>
        <w:ind w:left="360"/>
      </w:pPr>
      <w:r>
        <w:t>Người ta cho rằng một học kỳ hoặc một phần tư tín chỉ thường đại diện cho một giờ trên lớp hoặc ba giờ trong phòng thí nghiệm mỗi tuần. Một năm học thường có ít nhất 28 tuần học, không bao gồm các kỳ thi cuối kỳ. Nếu các tiêu chuẩn khác được sử dụng cho chương trình này, sự khác biệt phải được chỉ ra.</w:t>
      </w:r>
    </w:p>
    <w:p>
      <w:pPr>
        <w:ind w:left="360"/>
      </w:pPr>
    </w:p>
    <w:p>
      <w:pPr>
        <w:pStyle w:val="3"/>
        <w:rPr>
          <w:rFonts w:cs="Arial"/>
        </w:rPr>
      </w:pPr>
      <w:r>
        <w:rPr>
          <w:rFonts w:cs="Arial"/>
        </w:rPr>
        <w:t xml:space="preserve">7. </w:t>
      </w:r>
      <w:r>
        <w:rPr>
          <w:rFonts w:cs="Arial"/>
        </w:rPr>
        <w:tab/>
      </w:r>
      <w:r>
        <w:rPr>
          <w:rFonts w:cs="Arial"/>
        </w:rPr>
        <w:t>Bàn</w:t>
      </w:r>
    </w:p>
    <w:p>
      <w:pPr>
        <w:tabs>
          <w:tab w:val="left" w:pos="360"/>
        </w:tabs>
        <w:ind w:left="360"/>
      </w:pPr>
      <w:r>
        <w:t xml:space="preserve">Hoàn thành các bảng sau cho chương trình đang trải qua </w:t>
      </w:r>
      <w:r>
        <w:rPr>
          <w:lang w:val="en-US"/>
        </w:rPr>
        <w:t>Đánh giá Mức độ Sẵn sàng</w:t>
      </w:r>
      <w:r>
        <w:t>.</w:t>
      </w:r>
    </w:p>
    <w:p>
      <w:pPr>
        <w:tabs>
          <w:tab w:val="left" w:pos="360"/>
        </w:tabs>
        <w:rPr>
          <w:rFonts w:ascii="Georgia" w:hAnsi="Georgia"/>
        </w:rPr>
        <w:sectPr>
          <w:pgSz w:w="12240" w:h="15840"/>
          <w:pgMar w:top="1440" w:right="1440" w:bottom="1170" w:left="1440" w:header="720" w:footer="720" w:gutter="0"/>
          <w:cols w:space="720" w:num="1"/>
          <w:docGrid w:linePitch="360" w:charSpace="0"/>
        </w:sectPr>
      </w:pPr>
    </w:p>
    <w:p>
      <w:pPr>
        <w:pStyle w:val="3"/>
        <w:rPr>
          <w:rFonts w:cs="Arial"/>
        </w:rPr>
      </w:pPr>
      <w:bookmarkStart w:id="53" w:name="_Toc268163189"/>
      <w:r>
        <w:rPr>
          <w:rFonts w:cs="Arial"/>
        </w:rPr>
        <w:t>Bảng D-1. Ghi danh chương trình và dữ liệu bằng cấp</w:t>
      </w:r>
      <w:bookmarkEnd w:id="53"/>
    </w:p>
    <w:p>
      <w:pPr>
        <w:rPr>
          <w:rFonts w:ascii="Georgia" w:hAnsi="Georgia"/>
        </w:rPr>
      </w:pPr>
    </w:p>
    <w:p>
      <w:pPr>
        <w:rPr>
          <w:rFonts w:ascii="Arial" w:hAnsi="Arial" w:cs="Arial"/>
          <w:b/>
        </w:rPr>
      </w:pPr>
      <w:r>
        <w:rPr>
          <w:rFonts w:ascii="Arial" w:hAnsi="Arial" w:cs="Arial"/>
          <w:b/>
        </w:rPr>
        <w:t>Tên chương trình</w:t>
      </w:r>
    </w:p>
    <w:p>
      <w:pPr>
        <w:rPr>
          <w:rFonts w:ascii="Georgia" w:hAnsi="Georgia"/>
        </w:rPr>
      </w:pPr>
    </w:p>
    <w:tbl>
      <w:tblPr>
        <w:tblStyle w:val="12"/>
        <w:tblW w:w="1359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43" w:type="dxa"/>
          <w:bottom w:w="0" w:type="dxa"/>
          <w:right w:w="43" w:type="dxa"/>
        </w:tblCellMar>
      </w:tblPr>
      <w:tblGrid>
        <w:gridCol w:w="1333"/>
        <w:gridCol w:w="709"/>
        <w:gridCol w:w="607"/>
        <w:gridCol w:w="774"/>
        <w:gridCol w:w="807"/>
        <w:gridCol w:w="810"/>
        <w:gridCol w:w="810"/>
        <w:gridCol w:w="900"/>
        <w:gridCol w:w="760"/>
        <w:gridCol w:w="852"/>
        <w:gridCol w:w="1358"/>
        <w:gridCol w:w="1260"/>
        <w:gridCol w:w="1170"/>
        <w:gridCol w:w="144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43" w:type="dxa"/>
            <w:bottom w:w="0" w:type="dxa"/>
            <w:right w:w="43" w:type="dxa"/>
          </w:tblCellMar>
        </w:tblPrEx>
        <w:trPr>
          <w:cantSplit/>
          <w:trHeight w:val="1043" w:hRule="atLeast"/>
        </w:trPr>
        <w:tc>
          <w:tcPr>
            <w:tcW w:w="1333" w:type="dxa"/>
            <w:tcBorders>
              <w:top w:val="nil"/>
              <w:left w:val="nil"/>
              <w:bottom w:val="nil"/>
            </w:tcBorders>
            <w:vAlign w:val="bottom"/>
          </w:tcPr>
          <w:p>
            <w:pPr>
              <w:rPr>
                <w:sz w:val="20"/>
                <w:szCs w:val="20"/>
              </w:rPr>
            </w:pPr>
          </w:p>
        </w:tc>
        <w:tc>
          <w:tcPr>
            <w:tcW w:w="1316" w:type="dxa"/>
            <w:gridSpan w:val="2"/>
            <w:vMerge w:val="restart"/>
            <w:vAlign w:val="bottom"/>
          </w:tcPr>
          <w:p>
            <w:pPr>
              <w:jc w:val="center"/>
              <w:rPr>
                <w:sz w:val="20"/>
                <w:szCs w:val="20"/>
              </w:rPr>
            </w:pPr>
            <w:r>
              <w:rPr>
                <w:sz w:val="20"/>
                <w:szCs w:val="20"/>
              </w:rPr>
              <w:t>Năm học</w:t>
            </w:r>
          </w:p>
        </w:tc>
        <w:tc>
          <w:tcPr>
            <w:tcW w:w="4101" w:type="dxa"/>
            <w:gridSpan w:val="5"/>
            <w:vAlign w:val="bottom"/>
          </w:tcPr>
          <w:p>
            <w:pPr>
              <w:jc w:val="center"/>
            </w:pPr>
            <w:r>
              <w:t>Năm tuyển sinh</w:t>
            </w:r>
          </w:p>
        </w:tc>
        <w:tc>
          <w:tcPr>
            <w:tcW w:w="760" w:type="dxa"/>
            <w:vMerge w:val="restart"/>
            <w:textDirection w:val="btLr"/>
            <w:vAlign w:val="center"/>
          </w:tcPr>
          <w:p>
            <w:pPr>
              <w:jc w:val="center"/>
            </w:pPr>
            <w:r>
              <w:t>Tổng cộng</w:t>
            </w:r>
          </w:p>
          <w:p>
            <w:pPr>
              <w:jc w:val="center"/>
            </w:pPr>
            <w:r>
              <w:t>sinh viên đại học</w:t>
            </w:r>
          </w:p>
        </w:tc>
        <w:tc>
          <w:tcPr>
            <w:tcW w:w="852" w:type="dxa"/>
            <w:vMerge w:val="restart"/>
            <w:textDirection w:val="btLr"/>
            <w:vAlign w:val="center"/>
          </w:tcPr>
          <w:p>
            <w:pPr>
              <w:jc w:val="center"/>
            </w:pPr>
            <w:r>
              <w:t>Tổng cộng</w:t>
            </w:r>
          </w:p>
          <w:p>
            <w:pPr>
              <w:jc w:val="center"/>
            </w:pPr>
            <w:r>
              <w:t>tốt nghiệp</w:t>
            </w:r>
          </w:p>
        </w:tc>
        <w:tc>
          <w:tcPr>
            <w:tcW w:w="5228" w:type="dxa"/>
            <w:gridSpan w:val="4"/>
            <w:tcBorders>
              <w:right w:val="single" w:color="auto" w:sz="4" w:space="0"/>
            </w:tcBorders>
            <w:vAlign w:val="bottom"/>
          </w:tcPr>
          <w:p>
            <w:pPr>
              <w:jc w:val="center"/>
            </w:pPr>
            <w:r>
              <w:t>Bằng cấp được trao</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43" w:type="dxa"/>
            <w:bottom w:w="0" w:type="dxa"/>
            <w:right w:w="43" w:type="dxa"/>
          </w:tblCellMar>
        </w:tblPrEx>
        <w:trPr>
          <w:cantSplit/>
          <w:trHeight w:val="332" w:hRule="atLeast"/>
        </w:trPr>
        <w:tc>
          <w:tcPr>
            <w:tcW w:w="1333" w:type="dxa"/>
            <w:tcBorders>
              <w:top w:val="nil"/>
              <w:left w:val="nil"/>
              <w:bottom w:val="single" w:color="auto" w:sz="2" w:space="0"/>
            </w:tcBorders>
          </w:tcPr>
          <w:p/>
        </w:tc>
        <w:tc>
          <w:tcPr>
            <w:tcW w:w="1316" w:type="dxa"/>
            <w:gridSpan w:val="2"/>
            <w:vMerge w:val="continue"/>
          </w:tcPr>
          <w:p>
            <w:pPr>
              <w:jc w:val="center"/>
            </w:pPr>
          </w:p>
        </w:tc>
        <w:tc>
          <w:tcPr>
            <w:tcW w:w="774" w:type="dxa"/>
            <w:vAlign w:val="bottom"/>
          </w:tcPr>
          <w:p>
            <w:pPr>
              <w:jc w:val="center"/>
            </w:pPr>
            <w:r>
              <w:t>thứ nhất</w:t>
            </w:r>
          </w:p>
        </w:tc>
        <w:tc>
          <w:tcPr>
            <w:tcW w:w="807" w:type="dxa"/>
            <w:vAlign w:val="bottom"/>
          </w:tcPr>
          <w:p>
            <w:pPr>
              <w:jc w:val="center"/>
            </w:pPr>
            <w:r>
              <w:t>lần 2</w:t>
            </w:r>
          </w:p>
        </w:tc>
        <w:tc>
          <w:tcPr>
            <w:tcW w:w="810" w:type="dxa"/>
            <w:vAlign w:val="bottom"/>
          </w:tcPr>
          <w:p>
            <w:pPr>
              <w:jc w:val="center"/>
            </w:pPr>
            <w:r>
              <w:t>lần thứ 3</w:t>
            </w:r>
          </w:p>
        </w:tc>
        <w:tc>
          <w:tcPr>
            <w:tcW w:w="810" w:type="dxa"/>
            <w:vAlign w:val="bottom"/>
          </w:tcPr>
          <w:p>
            <w:pPr>
              <w:jc w:val="center"/>
            </w:pPr>
            <w:r>
              <w:t>lần thứ 4</w:t>
            </w:r>
          </w:p>
        </w:tc>
        <w:tc>
          <w:tcPr>
            <w:tcW w:w="900" w:type="dxa"/>
            <w:vAlign w:val="bottom"/>
          </w:tcPr>
          <w:p>
            <w:pPr>
              <w:jc w:val="center"/>
            </w:pPr>
            <w:r>
              <w:t>ngày 5</w:t>
            </w:r>
          </w:p>
        </w:tc>
        <w:tc>
          <w:tcPr>
            <w:tcW w:w="760" w:type="dxa"/>
            <w:vMerge w:val="continue"/>
          </w:tcPr>
          <w:p>
            <w:pPr>
              <w:jc w:val="center"/>
            </w:pPr>
          </w:p>
        </w:tc>
        <w:tc>
          <w:tcPr>
            <w:tcW w:w="852" w:type="dxa"/>
            <w:vMerge w:val="continue"/>
          </w:tcPr>
          <w:p>
            <w:pPr>
              <w:jc w:val="center"/>
            </w:pPr>
          </w:p>
        </w:tc>
        <w:tc>
          <w:tcPr>
            <w:tcW w:w="1358" w:type="dxa"/>
            <w:vAlign w:val="bottom"/>
          </w:tcPr>
          <w:p>
            <w:pPr>
              <w:jc w:val="center"/>
            </w:pPr>
            <w:r>
              <w:t>cộng sự</w:t>
            </w:r>
          </w:p>
        </w:tc>
        <w:tc>
          <w:tcPr>
            <w:tcW w:w="1260" w:type="dxa"/>
            <w:tcBorders>
              <w:bottom w:val="single" w:color="auto" w:sz="2" w:space="0"/>
            </w:tcBorders>
            <w:vAlign w:val="bottom"/>
          </w:tcPr>
          <w:p>
            <w:pPr>
              <w:jc w:val="center"/>
            </w:pPr>
            <w:r>
              <w:t>cử nhân</w:t>
            </w:r>
          </w:p>
        </w:tc>
        <w:tc>
          <w:tcPr>
            <w:tcW w:w="1170" w:type="dxa"/>
            <w:tcBorders>
              <w:bottom w:val="single" w:color="auto" w:sz="2" w:space="0"/>
            </w:tcBorders>
            <w:vAlign w:val="bottom"/>
          </w:tcPr>
          <w:p>
            <w:pPr>
              <w:jc w:val="center"/>
            </w:pPr>
            <w:r>
              <w:t>thạc sĩ</w:t>
            </w:r>
          </w:p>
        </w:tc>
        <w:tc>
          <w:tcPr>
            <w:tcW w:w="1440" w:type="dxa"/>
            <w:tcBorders>
              <w:bottom w:val="single" w:color="auto" w:sz="2" w:space="0"/>
            </w:tcBorders>
            <w:vAlign w:val="bottom"/>
          </w:tcPr>
          <w:p>
            <w:pPr>
              <w:jc w:val="center"/>
            </w:pPr>
            <w:r>
              <w:t>tiến sĩ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43" w:type="dxa"/>
            <w:bottom w:w="0" w:type="dxa"/>
            <w:right w:w="43" w:type="dxa"/>
          </w:tblCellMar>
        </w:tblPrEx>
        <w:trPr>
          <w:cantSplit/>
          <w:trHeight w:val="373" w:hRule="atLeast"/>
        </w:trPr>
        <w:tc>
          <w:tcPr>
            <w:tcW w:w="1333" w:type="dxa"/>
            <w:tcBorders>
              <w:bottom w:val="nil"/>
            </w:tcBorders>
            <w:vAlign w:val="bottom"/>
          </w:tcPr>
          <w:p>
            <w:pPr>
              <w:jc w:val="center"/>
            </w:pPr>
            <w:r>
              <w:t>Hiện hành</w:t>
            </w:r>
          </w:p>
        </w:tc>
        <w:tc>
          <w:tcPr>
            <w:tcW w:w="709" w:type="dxa"/>
            <w:vMerge w:val="restart"/>
            <w:vAlign w:val="center"/>
          </w:tcPr>
          <w:p>
            <w:pPr>
              <w:jc w:val="center"/>
            </w:pPr>
          </w:p>
        </w:tc>
        <w:tc>
          <w:tcPr>
            <w:tcW w:w="607" w:type="dxa"/>
            <w:vAlign w:val="center"/>
          </w:tcPr>
          <w:p>
            <w:pPr>
              <w:jc w:val="center"/>
            </w:pPr>
            <w:r>
              <w:t>FT</w:t>
            </w:r>
          </w:p>
        </w:tc>
        <w:tc>
          <w:tcPr>
            <w:tcW w:w="774" w:type="dxa"/>
            <w:vAlign w:val="center"/>
          </w:tcPr>
          <w:p/>
        </w:tc>
        <w:tc>
          <w:tcPr>
            <w:tcW w:w="807" w:type="dxa"/>
            <w:vAlign w:val="center"/>
          </w:tcPr>
          <w:p/>
        </w:tc>
        <w:tc>
          <w:tcPr>
            <w:tcW w:w="810" w:type="dxa"/>
            <w:vAlign w:val="center"/>
          </w:tcPr>
          <w:p/>
        </w:tc>
        <w:tc>
          <w:tcPr>
            <w:tcW w:w="810" w:type="dxa"/>
            <w:vAlign w:val="center"/>
          </w:tcPr>
          <w:p/>
        </w:tc>
        <w:tc>
          <w:tcPr>
            <w:tcW w:w="900" w:type="dxa"/>
            <w:vAlign w:val="center"/>
          </w:tcPr>
          <w:p/>
        </w:tc>
        <w:tc>
          <w:tcPr>
            <w:tcW w:w="760" w:type="dxa"/>
            <w:vAlign w:val="center"/>
          </w:tcPr>
          <w:p/>
        </w:tc>
        <w:tc>
          <w:tcPr>
            <w:tcW w:w="852" w:type="dxa"/>
            <w:vAlign w:val="center"/>
          </w:tcPr>
          <w:p/>
        </w:tc>
        <w:tc>
          <w:tcPr>
            <w:tcW w:w="1358" w:type="dxa"/>
            <w:vMerge w:val="restart"/>
          </w:tcPr>
          <w:p/>
        </w:tc>
        <w:tc>
          <w:tcPr>
            <w:tcW w:w="1260" w:type="dxa"/>
            <w:tcBorders>
              <w:bottom w:val="nil"/>
            </w:tcBorders>
            <w:vAlign w:val="center"/>
          </w:tcPr>
          <w:p/>
        </w:tc>
        <w:tc>
          <w:tcPr>
            <w:tcW w:w="1170" w:type="dxa"/>
            <w:tcBorders>
              <w:bottom w:val="nil"/>
            </w:tcBorders>
            <w:vAlign w:val="center"/>
          </w:tcPr>
          <w:p/>
        </w:tc>
        <w:tc>
          <w:tcPr>
            <w:tcW w:w="1440" w:type="dxa"/>
            <w:tcBorders>
              <w:bottom w:val="nil"/>
            </w:tcBorders>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43" w:type="dxa"/>
            <w:bottom w:w="0" w:type="dxa"/>
            <w:right w:w="43" w:type="dxa"/>
          </w:tblCellMar>
        </w:tblPrEx>
        <w:trPr>
          <w:cantSplit/>
          <w:trHeight w:val="355" w:hRule="atLeast"/>
        </w:trPr>
        <w:tc>
          <w:tcPr>
            <w:tcW w:w="1333" w:type="dxa"/>
            <w:tcBorders>
              <w:top w:val="nil"/>
              <w:bottom w:val="single" w:color="auto" w:sz="2" w:space="0"/>
            </w:tcBorders>
            <w:vAlign w:val="bottom"/>
          </w:tcPr>
          <w:p>
            <w:pPr>
              <w:jc w:val="center"/>
            </w:pPr>
            <w:r>
              <w:t>Năm</w:t>
            </w:r>
          </w:p>
        </w:tc>
        <w:tc>
          <w:tcPr>
            <w:tcW w:w="709" w:type="dxa"/>
            <w:vMerge w:val="continue"/>
            <w:vAlign w:val="center"/>
          </w:tcPr>
          <w:p>
            <w:pPr>
              <w:jc w:val="center"/>
            </w:pPr>
          </w:p>
        </w:tc>
        <w:tc>
          <w:tcPr>
            <w:tcW w:w="607" w:type="dxa"/>
            <w:vAlign w:val="center"/>
          </w:tcPr>
          <w:p>
            <w:pPr>
              <w:jc w:val="center"/>
            </w:pPr>
            <w:r>
              <w:t>PT</w:t>
            </w:r>
          </w:p>
        </w:tc>
        <w:tc>
          <w:tcPr>
            <w:tcW w:w="774" w:type="dxa"/>
            <w:vAlign w:val="center"/>
          </w:tcPr>
          <w:p/>
        </w:tc>
        <w:tc>
          <w:tcPr>
            <w:tcW w:w="807" w:type="dxa"/>
            <w:vAlign w:val="center"/>
          </w:tcPr>
          <w:p/>
        </w:tc>
        <w:tc>
          <w:tcPr>
            <w:tcW w:w="810" w:type="dxa"/>
            <w:vAlign w:val="center"/>
          </w:tcPr>
          <w:p/>
        </w:tc>
        <w:tc>
          <w:tcPr>
            <w:tcW w:w="810" w:type="dxa"/>
            <w:vAlign w:val="center"/>
          </w:tcPr>
          <w:p/>
        </w:tc>
        <w:tc>
          <w:tcPr>
            <w:tcW w:w="900" w:type="dxa"/>
            <w:vAlign w:val="center"/>
          </w:tcPr>
          <w:p/>
        </w:tc>
        <w:tc>
          <w:tcPr>
            <w:tcW w:w="760" w:type="dxa"/>
            <w:vAlign w:val="center"/>
          </w:tcPr>
          <w:p/>
        </w:tc>
        <w:tc>
          <w:tcPr>
            <w:tcW w:w="852" w:type="dxa"/>
            <w:vAlign w:val="center"/>
          </w:tcPr>
          <w:p/>
        </w:tc>
        <w:tc>
          <w:tcPr>
            <w:tcW w:w="1358" w:type="dxa"/>
            <w:vMerge w:val="continue"/>
          </w:tcPr>
          <w:p/>
        </w:tc>
        <w:tc>
          <w:tcPr>
            <w:tcW w:w="1260" w:type="dxa"/>
            <w:tcBorders>
              <w:top w:val="nil"/>
              <w:bottom w:val="single" w:color="auto" w:sz="2" w:space="0"/>
            </w:tcBorders>
            <w:vAlign w:val="center"/>
          </w:tcPr>
          <w:p/>
        </w:tc>
        <w:tc>
          <w:tcPr>
            <w:tcW w:w="1170" w:type="dxa"/>
            <w:tcBorders>
              <w:top w:val="nil"/>
              <w:bottom w:val="single" w:color="auto" w:sz="2" w:space="0"/>
            </w:tcBorders>
            <w:vAlign w:val="center"/>
          </w:tcPr>
          <w:p/>
        </w:tc>
        <w:tc>
          <w:tcPr>
            <w:tcW w:w="1440" w:type="dxa"/>
            <w:tcBorders>
              <w:top w:val="nil"/>
              <w:bottom w:val="single" w:color="auto" w:sz="2" w:space="0"/>
            </w:tcBorders>
          </w:tcPr>
          <w:p/>
        </w:tc>
      </w:tr>
    </w:tbl>
    <w:p>
      <w:pPr>
        <w:rPr>
          <w:rFonts w:ascii="Georgia" w:hAnsi="Georgia"/>
        </w:rPr>
      </w:pPr>
    </w:p>
    <w:p>
      <w:r>
        <w:t xml:space="preserve">Đối với </w:t>
      </w:r>
      <w:r>
        <w:rPr>
          <w:lang w:val="en-US"/>
        </w:rPr>
        <w:t>Đánh giá Mức độ Sẵn sàng</w:t>
      </w:r>
      <w:r>
        <w:t xml:space="preserve">, hãy cung cấp số liệu ghi danh chính thức vào mùa thu (số lượng đầu người) và bằng cấp đại học và sau đại học được trao cho năm hiện tại. Năm </w:t>
      </w:r>
      <w:r>
        <w:rPr>
          <w:i/>
        </w:rPr>
        <w:t xml:space="preserve">hiện tại </w:t>
      </w:r>
      <w:r>
        <w:t>để Đánh giá mức độ sẵn sàng có nghĩa là năm học trước khi nộp Đánh giá mức độ sẵn sàng.</w:t>
      </w:r>
    </w:p>
    <w:p/>
    <w:p>
      <w:r>
        <w:t>FT—toàn thời gian</w:t>
      </w:r>
    </w:p>
    <w:p>
      <w:r>
        <w:t>PT—bán thời gian</w:t>
      </w:r>
    </w:p>
    <w:p>
      <w:pPr>
        <w:rPr>
          <w:i/>
        </w:rPr>
        <w:sectPr>
          <w:pgSz w:w="15840" w:h="12240" w:orient="landscape"/>
          <w:pgMar w:top="1440" w:right="1440" w:bottom="1440" w:left="1440" w:header="720" w:footer="720" w:gutter="0"/>
          <w:cols w:space="720" w:num="1"/>
          <w:docGrid w:linePitch="360" w:charSpace="0"/>
        </w:sectPr>
      </w:pPr>
    </w:p>
    <w:p>
      <w:pPr>
        <w:pStyle w:val="3"/>
        <w:rPr>
          <w:rFonts w:cs="Arial"/>
        </w:rPr>
      </w:pPr>
      <w:r>
        <w:rPr>
          <w:rFonts w:cs="Arial"/>
        </w:rPr>
        <w:t>Bảng D-2. Nhân viên</w:t>
      </w:r>
    </w:p>
    <w:p>
      <w:pPr>
        <w:rPr>
          <w:rFonts w:ascii="Georgia" w:hAnsi="Georgia"/>
        </w:rPr>
      </w:pPr>
    </w:p>
    <w:p>
      <w:pPr>
        <w:rPr>
          <w:rFonts w:ascii="Arial" w:hAnsi="Arial" w:cs="Arial"/>
          <w:b/>
        </w:rPr>
      </w:pPr>
      <w:r>
        <w:rPr>
          <w:rFonts w:ascii="Arial" w:hAnsi="Arial" w:cs="Arial"/>
          <w:b/>
        </w:rPr>
        <w:t>Tên chương trình</w:t>
      </w:r>
    </w:p>
    <w:p>
      <w:pPr>
        <w:rPr>
          <w:rFonts w:ascii="Georgia" w:hAnsi="Georgia"/>
        </w:rPr>
      </w:pPr>
    </w:p>
    <w:p>
      <w:pPr>
        <w:rPr>
          <w:bCs/>
        </w:rPr>
      </w:pPr>
      <w:r>
        <w:rPr>
          <w:bCs/>
        </w:rPr>
        <w:t xml:space="preserve">Năm </w:t>
      </w:r>
      <w:r>
        <w:rPr>
          <w:bCs/>
          <w:vertAlign w:val="superscript"/>
        </w:rPr>
        <w:t xml:space="preserve">1 </w:t>
      </w:r>
      <w:r>
        <w:rPr>
          <w:bCs/>
        </w:rPr>
        <w:t>: _________</w:t>
      </w:r>
    </w:p>
    <w:p>
      <w:pPr>
        <w:rPr>
          <w:rFonts w:ascii="Georgia" w:hAnsi="Georgia"/>
        </w:rPr>
      </w:pPr>
    </w:p>
    <w:tbl>
      <w:tblPr>
        <w:tblStyle w:val="12"/>
        <w:tblW w:w="849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20" w:type="dxa"/>
          <w:bottom w:w="0" w:type="dxa"/>
          <w:right w:w="120" w:type="dxa"/>
        </w:tblCellMar>
      </w:tblPr>
      <w:tblGrid>
        <w:gridCol w:w="4184"/>
        <w:gridCol w:w="1505"/>
        <w:gridCol w:w="1440"/>
        <w:gridCol w:w="1354"/>
        <w:gridCol w:w="1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gridAfter w:val="1"/>
          <w:wAfter w:w="14" w:type="dxa"/>
          <w:cantSplit/>
          <w:trHeight w:val="223" w:hRule="atLeast"/>
          <w:jc w:val="center"/>
        </w:trPr>
        <w:tc>
          <w:tcPr>
            <w:tcW w:w="4184" w:type="dxa"/>
            <w:vMerge w:val="restart"/>
            <w:tcBorders>
              <w:top w:val="nil"/>
              <w:left w:val="nil"/>
            </w:tcBorders>
          </w:tcPr>
          <w:p/>
        </w:tc>
        <w:tc>
          <w:tcPr>
            <w:tcW w:w="2945" w:type="dxa"/>
            <w:gridSpan w:val="2"/>
            <w:vAlign w:val="bottom"/>
          </w:tcPr>
          <w:p>
            <w:pPr>
              <w:jc w:val="center"/>
            </w:pPr>
            <w:r>
              <w:t>ĐẾM ĐẦU</w:t>
            </w:r>
          </w:p>
        </w:tc>
        <w:tc>
          <w:tcPr>
            <w:tcW w:w="1354" w:type="dxa"/>
            <w:vMerge w:val="restart"/>
            <w:vAlign w:val="bottom"/>
          </w:tcPr>
          <w:p>
            <w:pPr>
              <w:jc w:val="center"/>
              <w:rPr>
                <w:vertAlign w:val="superscript"/>
              </w:rPr>
            </w:pPr>
            <w:r>
              <w:t xml:space="preserve">FTE </w:t>
            </w:r>
            <w:r>
              <w:rPr>
                <w:vertAlign w:val="superscript"/>
              </w:rPr>
              <w:t>2</w:t>
            </w:r>
          </w:p>
          <w:p>
            <w:pPr>
              <w:jc w:val="cente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gridAfter w:val="1"/>
          <w:wAfter w:w="14" w:type="dxa"/>
          <w:cantSplit/>
          <w:trHeight w:val="400" w:hRule="atLeast"/>
          <w:jc w:val="center"/>
        </w:trPr>
        <w:tc>
          <w:tcPr>
            <w:tcW w:w="4184" w:type="dxa"/>
            <w:vMerge w:val="continue"/>
            <w:tcBorders>
              <w:top w:val="nil"/>
              <w:left w:val="nil"/>
            </w:tcBorders>
          </w:tcPr>
          <w:p/>
        </w:tc>
        <w:tc>
          <w:tcPr>
            <w:tcW w:w="1505" w:type="dxa"/>
            <w:vAlign w:val="bottom"/>
          </w:tcPr>
          <w:p>
            <w:r>
              <w:t>FT</w:t>
            </w:r>
          </w:p>
        </w:tc>
        <w:tc>
          <w:tcPr>
            <w:tcW w:w="1440" w:type="dxa"/>
            <w:vAlign w:val="bottom"/>
          </w:tcPr>
          <w:p>
            <w:r>
              <w:t>PT</w:t>
            </w:r>
          </w:p>
        </w:tc>
        <w:tc>
          <w:tcPr>
            <w:tcW w:w="1354" w:type="dxa"/>
            <w:vMerge w:val="continue"/>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27" w:hRule="atLeast"/>
          <w:jc w:val="center"/>
        </w:trPr>
        <w:tc>
          <w:tcPr>
            <w:tcW w:w="4184" w:type="dxa"/>
            <w:vAlign w:val="bottom"/>
          </w:tcPr>
          <w:p>
            <w:r>
              <w:t xml:space="preserve">hành chính </w:t>
            </w:r>
            <w:r>
              <w:rPr>
                <w:vertAlign w:val="superscript"/>
              </w:rPr>
              <w:t>2</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72" w:hRule="atLeast"/>
          <w:jc w:val="center"/>
        </w:trPr>
        <w:tc>
          <w:tcPr>
            <w:tcW w:w="4184" w:type="dxa"/>
            <w:vAlign w:val="bottom"/>
          </w:tcPr>
          <w:p>
            <w:pPr>
              <w:rPr>
                <w:vertAlign w:val="superscript"/>
              </w:rPr>
            </w:pPr>
            <w:r>
              <w:t xml:space="preserve">Khoa (theo dõi nhiệm kỳ) </w:t>
            </w:r>
            <w:r>
              <w:rPr>
                <w:vertAlign w:val="superscript"/>
              </w:rPr>
              <w:t>3</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45" w:hRule="atLeast"/>
          <w:jc w:val="center"/>
        </w:trPr>
        <w:tc>
          <w:tcPr>
            <w:tcW w:w="4184" w:type="dxa"/>
            <w:vAlign w:val="bottom"/>
          </w:tcPr>
          <w:p>
            <w:r>
              <w:t>Khoa khác (không bao gồm Trợ lý sinh viên)</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45" w:hRule="atLeast"/>
          <w:jc w:val="center"/>
        </w:trPr>
        <w:tc>
          <w:tcPr>
            <w:tcW w:w="4184" w:type="dxa"/>
            <w:vAlign w:val="bottom"/>
          </w:tcPr>
          <w:p>
            <w:r>
              <w:t xml:space="preserve">Trợ Giảng Sinh Viên </w:t>
            </w:r>
            <w:r>
              <w:rPr>
                <w:vertAlign w:val="superscript"/>
              </w:rPr>
              <w:t>4</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90" w:hRule="atLeast"/>
          <w:jc w:val="center"/>
        </w:trPr>
        <w:tc>
          <w:tcPr>
            <w:tcW w:w="4184" w:type="dxa"/>
            <w:vAlign w:val="bottom"/>
          </w:tcPr>
          <w:p>
            <w:r>
              <w:t>Kỹ thuật viên/Chuyên gia</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90" w:hRule="atLeast"/>
          <w:jc w:val="center"/>
        </w:trPr>
        <w:tc>
          <w:tcPr>
            <w:tcW w:w="4184" w:type="dxa"/>
            <w:vAlign w:val="bottom"/>
          </w:tcPr>
          <w:p>
            <w:r>
              <w:t>Nhân viên văn phòng/thư ký</w:t>
            </w:r>
          </w:p>
        </w:tc>
        <w:tc>
          <w:tcPr>
            <w:tcW w:w="1505" w:type="dxa"/>
          </w:tcPr>
          <w:p/>
        </w:tc>
        <w:tc>
          <w:tcPr>
            <w:tcW w:w="1440" w:type="dxa"/>
          </w:tcPr>
          <w:p/>
        </w:tc>
        <w:tc>
          <w:tcPr>
            <w:tcW w:w="1368" w:type="dxa"/>
            <w:gridSpan w:val="2"/>
          </w:tc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20" w:type="dxa"/>
            <w:bottom w:w="0" w:type="dxa"/>
            <w:right w:w="120" w:type="dxa"/>
          </w:tblCellMar>
        </w:tblPrEx>
        <w:trPr>
          <w:trHeight w:val="490" w:hRule="atLeast"/>
          <w:jc w:val="center"/>
        </w:trPr>
        <w:tc>
          <w:tcPr>
            <w:tcW w:w="4184" w:type="dxa"/>
            <w:vAlign w:val="bottom"/>
          </w:tcPr>
          <w:p>
            <w:r>
              <w:t xml:space="preserve">Khác </w:t>
            </w:r>
            <w:r>
              <w:rPr>
                <w:vertAlign w:val="superscript"/>
              </w:rPr>
              <w:t>5</w:t>
            </w:r>
          </w:p>
        </w:tc>
        <w:tc>
          <w:tcPr>
            <w:tcW w:w="1505" w:type="dxa"/>
          </w:tcPr>
          <w:p/>
        </w:tc>
        <w:tc>
          <w:tcPr>
            <w:tcW w:w="1440" w:type="dxa"/>
          </w:tcPr>
          <w:p/>
        </w:tc>
        <w:tc>
          <w:tcPr>
            <w:tcW w:w="1368" w:type="dxa"/>
            <w:gridSpan w:val="2"/>
          </w:tcPr>
          <w:p/>
        </w:tc>
      </w:tr>
    </w:tbl>
    <w:p>
      <w:pPr>
        <w:rPr>
          <w:rFonts w:ascii="Georgia" w:hAnsi="Georgia"/>
        </w:rPr>
      </w:pPr>
    </w:p>
    <w:p>
      <w:r>
        <w:t>Báo cáo dữ liệu cho chương trình đang được đánh giá về mức độ sẵn sàng.</w:t>
      </w:r>
    </w:p>
    <w:p/>
    <w:p>
      <w:pPr>
        <w:pStyle w:val="50"/>
        <w:numPr>
          <w:ilvl w:val="0"/>
          <w:numId w:val="7"/>
        </w:numPr>
      </w:pPr>
      <w:r>
        <w:rPr>
          <w:color w:val="595959"/>
        </w:rPr>
        <w:t>Dữ liệu được gửi cho Đánh giá mức độ sẵn sàng phải dành cho học kỳ tại thời điểm gửi.</w:t>
      </w:r>
      <w:r>
        <w:rPr>
          <w:rStyle w:val="27"/>
        </w:rPr>
        <w:t xml:space="preserve"> </w:t>
      </w:r>
    </w:p>
    <w:p/>
    <w:p>
      <w:pPr>
        <w:pStyle w:val="50"/>
        <w:numPr>
          <w:ilvl w:val="0"/>
          <w:numId w:val="7"/>
        </w:numPr>
      </w:pPr>
      <w:r>
        <w:t>Những người giữ các vị trí hành chính/khoa hoặc các nhiệm vụ kết hợp khác nên được phân bổ cho từng loại theo tỷ lệ bổ nhiệm được chỉ định cho loại đó.</w:t>
      </w:r>
    </w:p>
    <w:p/>
    <w:p>
      <w:pPr>
        <w:pStyle w:val="50"/>
        <w:numPr>
          <w:ilvl w:val="0"/>
          <w:numId w:val="7"/>
        </w:numPr>
      </w:pPr>
      <w:r>
        <w:t>Đối với các giảng viên, 1 FTE tương đương với mức mà tổ chức của bạn xác định là khối lượng công việc toàn thời gian.</w:t>
      </w:r>
    </w:p>
    <w:p/>
    <w:p>
      <w:pPr>
        <w:pStyle w:val="50"/>
        <w:numPr>
          <w:ilvl w:val="0"/>
          <w:numId w:val="7"/>
        </w:numPr>
      </w:pPr>
      <w:r>
        <w:rPr>
          <w:rStyle w:val="27"/>
        </w:rPr>
        <w:t xml:space="preserve">Đối với trợ giảng là sinh viên, 1 FTE tương đương với 20 giờ làm việc (hoặc dịch vụ) mỗi tuần. </w:t>
      </w:r>
      <w:r>
        <w:t>Đối với sinh viên đại học và sau đại học, 1 FTE tương đương với 15 giờ tín chỉ học kỳ (hoặc 24 giờ tín chỉ quý) cho mỗi học kỳ của khóa học cơ sở, nghĩa là tất cả các khóa học - khoa học, nhân văn và khoa học xã hội, v.v.</w:t>
      </w:r>
    </w:p>
    <w:p/>
    <w:p>
      <w:pPr>
        <w:pStyle w:val="50"/>
        <w:numPr>
          <w:ilvl w:val="0"/>
          <w:numId w:val="7"/>
        </w:numPr>
      </w:pPr>
      <w:r>
        <w:t>Chỉ định bất kỳ danh mục nào khác được coi là phù hợp hoặc để trống.</w:t>
      </w:r>
    </w:p>
    <w:p/>
    <w:p>
      <w:pPr>
        <w:pStyle w:val="3"/>
        <w:keepNext w:val="0"/>
        <w:spacing w:before="0" w:after="0"/>
      </w:pPr>
      <w:r>
        <w:tab/>
      </w:r>
    </w:p>
    <w:p>
      <w:pPr>
        <w:rPr>
          <w:rFonts w:ascii="Arial" w:hAnsi="Arial"/>
          <w:b/>
          <w:bCs/>
          <w:iCs/>
          <w:sz w:val="28"/>
          <w:szCs w:val="28"/>
        </w:rPr>
      </w:pPr>
      <w:r>
        <w:br w:type="page"/>
      </w:r>
    </w:p>
    <w:p>
      <w:pPr>
        <w:pStyle w:val="2"/>
        <w:rPr>
          <w:rFonts w:cs="Arial"/>
        </w:rPr>
      </w:pPr>
      <w:bookmarkStart w:id="54" w:name="_Toc268163190"/>
      <w:r>
        <w:rPr>
          <w:rFonts w:cs="Arial"/>
        </w:rPr>
        <w:t>Chữ ký xác nhận tuân thủ</w:t>
      </w:r>
      <w:bookmarkEnd w:id="54"/>
    </w:p>
    <w:p>
      <w:pPr>
        <w:keepNext/>
        <w:spacing w:before="240" w:after="60"/>
        <w:ind w:left="360" w:hanging="360"/>
        <w:outlineLvl w:val="1"/>
        <w:rPr>
          <w:rFonts w:ascii="Georgia" w:hAnsi="Georgia"/>
        </w:rPr>
      </w:pPr>
    </w:p>
    <w:p>
      <w:pPr>
        <w:tabs>
          <w:tab w:val="left" w:pos="360"/>
        </w:tabs>
        <w:spacing w:after="200"/>
      </w:pPr>
      <w:r>
        <w:rPr>
          <w:b/>
          <w:bCs/>
          <w:u w:val="single"/>
        </w:rPr>
        <w:t>Không g</w:t>
      </w:r>
      <w:r>
        <w:rPr>
          <w:b/>
          <w:u w:val="single"/>
        </w:rPr>
        <w:t xml:space="preserve">ửi </w:t>
      </w:r>
      <w:r>
        <w:t xml:space="preserve">cho </w:t>
      </w:r>
      <w:r>
        <w:rPr>
          <w:lang w:val="en-US"/>
        </w:rPr>
        <w:t>Đánh giá Mức độ Sẵn sàng</w:t>
      </w:r>
      <w:r>
        <w:t>.</w:t>
      </w:r>
    </w:p>
    <w:p>
      <w:pPr>
        <w:keepNext/>
        <w:spacing w:before="240" w:after="60"/>
        <w:ind w:left="360" w:hanging="360"/>
        <w:outlineLvl w:val="1"/>
        <w:rPr>
          <w:rFonts w:ascii="Georgia" w:hAnsi="Georgia"/>
        </w:rPr>
      </w:pPr>
    </w:p>
    <w:p>
      <w:pPr>
        <w:keepNext/>
        <w:spacing w:before="240" w:after="60"/>
        <w:ind w:left="360" w:hanging="360"/>
        <w:outlineLvl w:val="1"/>
        <w:rPr>
          <w:rFonts w:ascii="Georgia" w:hAnsi="Georgia"/>
        </w:rPr>
      </w:pPr>
    </w:p>
    <w:p>
      <w:pPr>
        <w:keepNext/>
        <w:spacing w:before="240" w:after="60"/>
        <w:outlineLvl w:val="1"/>
        <w:rPr>
          <w:rFonts w:ascii="Georgia" w:hAnsi="Georgia"/>
          <w:b/>
        </w:rPr>
      </w:pPr>
      <w:bookmarkStart w:id="55" w:name="_GoBack"/>
      <w:bookmarkEnd w:id="55"/>
    </w:p>
    <w:sectPr>
      <w:headerReference r:id="rId5" w:type="default"/>
      <w:pgSz w:w="12240" w:h="15840"/>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Georgia">
    <w:panose1 w:val="02040502050405020303"/>
    <w:charset w:val="00"/>
    <w:family w:val="roman"/>
    <w:pitch w:val="default"/>
    <w:sig w:usb0="00000287" w:usb1="00000000" w:usb2="00000000" w:usb3="00000000" w:csb0="2000009F" w:csb1="00000000"/>
  </w:font>
  <w:font w:name="Symbol">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Egyptienne F LT Std">
    <w:altName w:val="Cambria"/>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right"/>
    </w:pPr>
    <w:r>
      <w:fldChar w:fldCharType="begin"/>
    </w:r>
    <w:r>
      <w:instrText xml:space="preserve"> PAGE   \* MERGEFORMAT </w:instrText>
    </w:r>
    <w:r>
      <w:fldChar w:fldCharType="separate"/>
    </w:r>
    <w: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EE722A"/>
    <w:multiLevelType w:val="multilevel"/>
    <w:tmpl w:val="19EE722A"/>
    <w:lvl w:ilvl="0" w:tentative="0">
      <w:start w:val="5"/>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69B1BDC"/>
    <w:multiLevelType w:val="multilevel"/>
    <w:tmpl w:val="369B1BD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B34759A"/>
    <w:multiLevelType w:val="multilevel"/>
    <w:tmpl w:val="3B3475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D970526"/>
    <w:multiLevelType w:val="multilevel"/>
    <w:tmpl w:val="3D97052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decimal"/>
      <w:lvlText w:val="%3)"/>
      <w:lvlJc w:val="left"/>
      <w:pPr>
        <w:ind w:left="2340" w:hanging="36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06C5654"/>
    <w:multiLevelType w:val="multilevel"/>
    <w:tmpl w:val="606C5654"/>
    <w:lvl w:ilvl="0" w:tentative="0">
      <w:start w:val="1"/>
      <w:numFmt w:val="decimal"/>
      <w:lvlText w:val="%1."/>
      <w:lvlJc w:val="left"/>
      <w:pPr>
        <w:ind w:left="720" w:hanging="360"/>
      </w:pPr>
      <w:rPr>
        <w:rFonts w:hint="default" w:ascii="Times New Roman" w:hAnsi="Times New Roman" w:cs="Times New Roman"/>
        <w:b w:val="0"/>
        <w:sz w:val="24"/>
        <w:szCs w:val="24"/>
      </w:rPr>
    </w:lvl>
    <w:lvl w:ilvl="1" w:tentative="0">
      <w:start w:val="1"/>
      <w:numFmt w:val="decimal"/>
      <w:lvlText w:val="%2."/>
      <w:lvlJc w:val="left"/>
      <w:pPr>
        <w:tabs>
          <w:tab w:val="left" w:pos="360"/>
        </w:tabs>
        <w:ind w:left="360" w:hanging="360"/>
      </w:pPr>
      <w:rPr>
        <w:rFonts w:hint="default" w:ascii="Calibri" w:hAnsi="Calibri" w:cs="Times New Roman"/>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93E35AD"/>
    <w:multiLevelType w:val="multilevel"/>
    <w:tmpl w:val="693E35AD"/>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7FF834DA"/>
    <w:multiLevelType w:val="multilevel"/>
    <w:tmpl w:val="7FF834D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360"/>
  <w:drawingGridHorizontalSpacing w:val="120"/>
  <w:displayHorizontalDrawingGridEvery w:val="2"/>
  <w:characterSpacingControl w:val="doNotCompress"/>
  <w:footnotePr>
    <w:footnote w:id="2"/>
    <w:footnote w:id="3"/>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A56"/>
    <w:rsid w:val="000003DF"/>
    <w:rsid w:val="00004696"/>
    <w:rsid w:val="00005BB0"/>
    <w:rsid w:val="00011920"/>
    <w:rsid w:val="000122E3"/>
    <w:rsid w:val="00016CBE"/>
    <w:rsid w:val="00020998"/>
    <w:rsid w:val="000227B6"/>
    <w:rsid w:val="000262F8"/>
    <w:rsid w:val="00027046"/>
    <w:rsid w:val="00035491"/>
    <w:rsid w:val="00035516"/>
    <w:rsid w:val="00037F90"/>
    <w:rsid w:val="00044D5D"/>
    <w:rsid w:val="00054739"/>
    <w:rsid w:val="0006041B"/>
    <w:rsid w:val="00060E0B"/>
    <w:rsid w:val="00062404"/>
    <w:rsid w:val="00063DDA"/>
    <w:rsid w:val="000804D5"/>
    <w:rsid w:val="0008096D"/>
    <w:rsid w:val="00081B6A"/>
    <w:rsid w:val="000821E3"/>
    <w:rsid w:val="00085222"/>
    <w:rsid w:val="000934EA"/>
    <w:rsid w:val="00094DB6"/>
    <w:rsid w:val="000A626B"/>
    <w:rsid w:val="000B44BC"/>
    <w:rsid w:val="000B6690"/>
    <w:rsid w:val="000B67A7"/>
    <w:rsid w:val="000C3134"/>
    <w:rsid w:val="000C5541"/>
    <w:rsid w:val="000D34B2"/>
    <w:rsid w:val="000D6275"/>
    <w:rsid w:val="000D6737"/>
    <w:rsid w:val="000D7CA1"/>
    <w:rsid w:val="000E0108"/>
    <w:rsid w:val="000E0710"/>
    <w:rsid w:val="000E2340"/>
    <w:rsid w:val="000E5606"/>
    <w:rsid w:val="000F2C12"/>
    <w:rsid w:val="000F6155"/>
    <w:rsid w:val="001142F6"/>
    <w:rsid w:val="00116CFD"/>
    <w:rsid w:val="00116D0B"/>
    <w:rsid w:val="00133B97"/>
    <w:rsid w:val="00134FAD"/>
    <w:rsid w:val="00142FA4"/>
    <w:rsid w:val="00144D78"/>
    <w:rsid w:val="001509FB"/>
    <w:rsid w:val="001565A0"/>
    <w:rsid w:val="00157DD1"/>
    <w:rsid w:val="0017401B"/>
    <w:rsid w:val="00183BEA"/>
    <w:rsid w:val="00183DBE"/>
    <w:rsid w:val="00184376"/>
    <w:rsid w:val="001909B7"/>
    <w:rsid w:val="00194AED"/>
    <w:rsid w:val="00195F2F"/>
    <w:rsid w:val="001A26BD"/>
    <w:rsid w:val="001A56E6"/>
    <w:rsid w:val="001B6DB2"/>
    <w:rsid w:val="001C1C54"/>
    <w:rsid w:val="001C2B3E"/>
    <w:rsid w:val="001D2B2F"/>
    <w:rsid w:val="001E1F2E"/>
    <w:rsid w:val="001E786D"/>
    <w:rsid w:val="001F3466"/>
    <w:rsid w:val="001F438B"/>
    <w:rsid w:val="00213226"/>
    <w:rsid w:val="002134F8"/>
    <w:rsid w:val="0022187C"/>
    <w:rsid w:val="0022308B"/>
    <w:rsid w:val="00241CC9"/>
    <w:rsid w:val="00247EAD"/>
    <w:rsid w:val="00250F0E"/>
    <w:rsid w:val="002524AF"/>
    <w:rsid w:val="002546B5"/>
    <w:rsid w:val="00256971"/>
    <w:rsid w:val="002622FE"/>
    <w:rsid w:val="00263BC1"/>
    <w:rsid w:val="00266F51"/>
    <w:rsid w:val="00274072"/>
    <w:rsid w:val="0028484C"/>
    <w:rsid w:val="002967C9"/>
    <w:rsid w:val="002A5BDB"/>
    <w:rsid w:val="002A6F1B"/>
    <w:rsid w:val="002B26F9"/>
    <w:rsid w:val="002B37A8"/>
    <w:rsid w:val="002C63EC"/>
    <w:rsid w:val="002D02AB"/>
    <w:rsid w:val="002D07A1"/>
    <w:rsid w:val="002D0F71"/>
    <w:rsid w:val="002D3C13"/>
    <w:rsid w:val="002E6EEB"/>
    <w:rsid w:val="002F2FE0"/>
    <w:rsid w:val="00303BAE"/>
    <w:rsid w:val="003133E9"/>
    <w:rsid w:val="003149F1"/>
    <w:rsid w:val="0031588E"/>
    <w:rsid w:val="00317B1E"/>
    <w:rsid w:val="00326E0E"/>
    <w:rsid w:val="0033173C"/>
    <w:rsid w:val="00335615"/>
    <w:rsid w:val="0033576A"/>
    <w:rsid w:val="00346F21"/>
    <w:rsid w:val="00352118"/>
    <w:rsid w:val="00352A8B"/>
    <w:rsid w:val="00355719"/>
    <w:rsid w:val="00360EE0"/>
    <w:rsid w:val="00363EDE"/>
    <w:rsid w:val="003721A2"/>
    <w:rsid w:val="003730DB"/>
    <w:rsid w:val="003822F1"/>
    <w:rsid w:val="003824D4"/>
    <w:rsid w:val="00382D31"/>
    <w:rsid w:val="00383C72"/>
    <w:rsid w:val="00386424"/>
    <w:rsid w:val="00386CEB"/>
    <w:rsid w:val="003874D2"/>
    <w:rsid w:val="0039054F"/>
    <w:rsid w:val="00391F18"/>
    <w:rsid w:val="003C085B"/>
    <w:rsid w:val="003C1350"/>
    <w:rsid w:val="003C27D0"/>
    <w:rsid w:val="003C36EF"/>
    <w:rsid w:val="003C66F2"/>
    <w:rsid w:val="003D1860"/>
    <w:rsid w:val="003D3E5D"/>
    <w:rsid w:val="003E1933"/>
    <w:rsid w:val="003F13EB"/>
    <w:rsid w:val="00407109"/>
    <w:rsid w:val="00415544"/>
    <w:rsid w:val="00424D40"/>
    <w:rsid w:val="0042567E"/>
    <w:rsid w:val="004256C1"/>
    <w:rsid w:val="004351DB"/>
    <w:rsid w:val="004375C6"/>
    <w:rsid w:val="00444245"/>
    <w:rsid w:val="004458BA"/>
    <w:rsid w:val="00445E7B"/>
    <w:rsid w:val="0044726D"/>
    <w:rsid w:val="004512B8"/>
    <w:rsid w:val="00464E4C"/>
    <w:rsid w:val="004731AE"/>
    <w:rsid w:val="00480875"/>
    <w:rsid w:val="00491B6C"/>
    <w:rsid w:val="004A58C7"/>
    <w:rsid w:val="004B6330"/>
    <w:rsid w:val="004C5C60"/>
    <w:rsid w:val="004D2E60"/>
    <w:rsid w:val="004D3208"/>
    <w:rsid w:val="004D7DD7"/>
    <w:rsid w:val="004D7E33"/>
    <w:rsid w:val="004E1DFF"/>
    <w:rsid w:val="004E3EBA"/>
    <w:rsid w:val="0050435F"/>
    <w:rsid w:val="00521DD7"/>
    <w:rsid w:val="00524446"/>
    <w:rsid w:val="005245D8"/>
    <w:rsid w:val="00524D32"/>
    <w:rsid w:val="00525A18"/>
    <w:rsid w:val="00530534"/>
    <w:rsid w:val="00531959"/>
    <w:rsid w:val="00535CFA"/>
    <w:rsid w:val="005511CB"/>
    <w:rsid w:val="00552B69"/>
    <w:rsid w:val="00557425"/>
    <w:rsid w:val="00571274"/>
    <w:rsid w:val="005744C2"/>
    <w:rsid w:val="00583E42"/>
    <w:rsid w:val="005911C2"/>
    <w:rsid w:val="005961B7"/>
    <w:rsid w:val="005A2C25"/>
    <w:rsid w:val="005B3B9C"/>
    <w:rsid w:val="005B6F34"/>
    <w:rsid w:val="005C1EE9"/>
    <w:rsid w:val="005C6B06"/>
    <w:rsid w:val="005D095C"/>
    <w:rsid w:val="005D2445"/>
    <w:rsid w:val="005D2638"/>
    <w:rsid w:val="005E67A2"/>
    <w:rsid w:val="00602D90"/>
    <w:rsid w:val="006034F5"/>
    <w:rsid w:val="00605DF4"/>
    <w:rsid w:val="006222DF"/>
    <w:rsid w:val="00633835"/>
    <w:rsid w:val="0063570C"/>
    <w:rsid w:val="00651F95"/>
    <w:rsid w:val="00654A92"/>
    <w:rsid w:val="006643AA"/>
    <w:rsid w:val="00664DF5"/>
    <w:rsid w:val="00665953"/>
    <w:rsid w:val="00667D9D"/>
    <w:rsid w:val="00670F66"/>
    <w:rsid w:val="00674036"/>
    <w:rsid w:val="00682A02"/>
    <w:rsid w:val="00683F0A"/>
    <w:rsid w:val="00686BC8"/>
    <w:rsid w:val="00691DFA"/>
    <w:rsid w:val="006944FA"/>
    <w:rsid w:val="006A64AF"/>
    <w:rsid w:val="006A658A"/>
    <w:rsid w:val="006A6717"/>
    <w:rsid w:val="006D707B"/>
    <w:rsid w:val="006F1371"/>
    <w:rsid w:val="006F5B13"/>
    <w:rsid w:val="00712234"/>
    <w:rsid w:val="00720215"/>
    <w:rsid w:val="0072675C"/>
    <w:rsid w:val="0073071C"/>
    <w:rsid w:val="007329C7"/>
    <w:rsid w:val="007337A5"/>
    <w:rsid w:val="0074796E"/>
    <w:rsid w:val="0075205E"/>
    <w:rsid w:val="007555AA"/>
    <w:rsid w:val="0075752C"/>
    <w:rsid w:val="00761741"/>
    <w:rsid w:val="007625A8"/>
    <w:rsid w:val="007670BA"/>
    <w:rsid w:val="0078324E"/>
    <w:rsid w:val="007B3BDB"/>
    <w:rsid w:val="007D59B9"/>
    <w:rsid w:val="007D652E"/>
    <w:rsid w:val="007E6149"/>
    <w:rsid w:val="007E7068"/>
    <w:rsid w:val="007F5A84"/>
    <w:rsid w:val="00803DA5"/>
    <w:rsid w:val="0080503F"/>
    <w:rsid w:val="008219C3"/>
    <w:rsid w:val="0082482A"/>
    <w:rsid w:val="00834539"/>
    <w:rsid w:val="008435E7"/>
    <w:rsid w:val="008520FA"/>
    <w:rsid w:val="008546BD"/>
    <w:rsid w:val="008756F8"/>
    <w:rsid w:val="00886E31"/>
    <w:rsid w:val="00891E45"/>
    <w:rsid w:val="00895A64"/>
    <w:rsid w:val="008A1A2F"/>
    <w:rsid w:val="008B1277"/>
    <w:rsid w:val="008B6985"/>
    <w:rsid w:val="008C254D"/>
    <w:rsid w:val="0090124D"/>
    <w:rsid w:val="00902CB2"/>
    <w:rsid w:val="00910B67"/>
    <w:rsid w:val="00926D0D"/>
    <w:rsid w:val="00926F69"/>
    <w:rsid w:val="00930D1C"/>
    <w:rsid w:val="00935B4F"/>
    <w:rsid w:val="00936C78"/>
    <w:rsid w:val="00936EC8"/>
    <w:rsid w:val="00937754"/>
    <w:rsid w:val="0094445A"/>
    <w:rsid w:val="0095729A"/>
    <w:rsid w:val="0096318A"/>
    <w:rsid w:val="00963DE4"/>
    <w:rsid w:val="0096553E"/>
    <w:rsid w:val="00971C4D"/>
    <w:rsid w:val="0097585D"/>
    <w:rsid w:val="00983C12"/>
    <w:rsid w:val="009A01AA"/>
    <w:rsid w:val="009B3FF0"/>
    <w:rsid w:val="009C00F9"/>
    <w:rsid w:val="009D7E51"/>
    <w:rsid w:val="009E62B1"/>
    <w:rsid w:val="009F3DD0"/>
    <w:rsid w:val="00A03911"/>
    <w:rsid w:val="00A03E8A"/>
    <w:rsid w:val="00A040A3"/>
    <w:rsid w:val="00A07C6A"/>
    <w:rsid w:val="00A173E4"/>
    <w:rsid w:val="00A17CA9"/>
    <w:rsid w:val="00A203D6"/>
    <w:rsid w:val="00A2087C"/>
    <w:rsid w:val="00A21C9D"/>
    <w:rsid w:val="00A22223"/>
    <w:rsid w:val="00A26B68"/>
    <w:rsid w:val="00A30687"/>
    <w:rsid w:val="00A40776"/>
    <w:rsid w:val="00A446B2"/>
    <w:rsid w:val="00A51DD3"/>
    <w:rsid w:val="00A558E3"/>
    <w:rsid w:val="00A638A2"/>
    <w:rsid w:val="00A73DE1"/>
    <w:rsid w:val="00A74867"/>
    <w:rsid w:val="00A8094B"/>
    <w:rsid w:val="00A9514E"/>
    <w:rsid w:val="00AA79A9"/>
    <w:rsid w:val="00AB61BD"/>
    <w:rsid w:val="00AB63B1"/>
    <w:rsid w:val="00AC6190"/>
    <w:rsid w:val="00AD005C"/>
    <w:rsid w:val="00AF2B80"/>
    <w:rsid w:val="00B04F96"/>
    <w:rsid w:val="00B07EA8"/>
    <w:rsid w:val="00B1378F"/>
    <w:rsid w:val="00B23841"/>
    <w:rsid w:val="00B23E2C"/>
    <w:rsid w:val="00B252AF"/>
    <w:rsid w:val="00B25BCB"/>
    <w:rsid w:val="00B41BCB"/>
    <w:rsid w:val="00B44860"/>
    <w:rsid w:val="00B47392"/>
    <w:rsid w:val="00B60566"/>
    <w:rsid w:val="00B60DD6"/>
    <w:rsid w:val="00B6380A"/>
    <w:rsid w:val="00B66ECF"/>
    <w:rsid w:val="00B94BCB"/>
    <w:rsid w:val="00BA0E6C"/>
    <w:rsid w:val="00BB0377"/>
    <w:rsid w:val="00BB0B3A"/>
    <w:rsid w:val="00BB699E"/>
    <w:rsid w:val="00BC02B8"/>
    <w:rsid w:val="00BC459C"/>
    <w:rsid w:val="00BC699B"/>
    <w:rsid w:val="00BD46BA"/>
    <w:rsid w:val="00BD4F7E"/>
    <w:rsid w:val="00BE4017"/>
    <w:rsid w:val="00BE51D4"/>
    <w:rsid w:val="00BE5DDA"/>
    <w:rsid w:val="00C038E6"/>
    <w:rsid w:val="00C0623C"/>
    <w:rsid w:val="00C0798C"/>
    <w:rsid w:val="00C13759"/>
    <w:rsid w:val="00C14464"/>
    <w:rsid w:val="00C15E09"/>
    <w:rsid w:val="00C30093"/>
    <w:rsid w:val="00C43437"/>
    <w:rsid w:val="00C458C8"/>
    <w:rsid w:val="00C462B9"/>
    <w:rsid w:val="00C47F95"/>
    <w:rsid w:val="00C535E1"/>
    <w:rsid w:val="00C56D9F"/>
    <w:rsid w:val="00C636F2"/>
    <w:rsid w:val="00C63F25"/>
    <w:rsid w:val="00C67369"/>
    <w:rsid w:val="00C74D10"/>
    <w:rsid w:val="00C85023"/>
    <w:rsid w:val="00C95C3D"/>
    <w:rsid w:val="00CA089A"/>
    <w:rsid w:val="00CA0E97"/>
    <w:rsid w:val="00CA3657"/>
    <w:rsid w:val="00CB3D96"/>
    <w:rsid w:val="00CC2C69"/>
    <w:rsid w:val="00CC79DA"/>
    <w:rsid w:val="00CD0AE8"/>
    <w:rsid w:val="00CD2FA2"/>
    <w:rsid w:val="00CD6A80"/>
    <w:rsid w:val="00CE2D86"/>
    <w:rsid w:val="00CF7CD5"/>
    <w:rsid w:val="00D02F10"/>
    <w:rsid w:val="00D04B47"/>
    <w:rsid w:val="00D07650"/>
    <w:rsid w:val="00D07BF8"/>
    <w:rsid w:val="00D11F82"/>
    <w:rsid w:val="00D12378"/>
    <w:rsid w:val="00D26E74"/>
    <w:rsid w:val="00D47C84"/>
    <w:rsid w:val="00D51175"/>
    <w:rsid w:val="00D55C5F"/>
    <w:rsid w:val="00D92618"/>
    <w:rsid w:val="00DA6843"/>
    <w:rsid w:val="00DA7FFE"/>
    <w:rsid w:val="00DB1E86"/>
    <w:rsid w:val="00DB1F47"/>
    <w:rsid w:val="00DB30E8"/>
    <w:rsid w:val="00DC2B36"/>
    <w:rsid w:val="00DC2CE9"/>
    <w:rsid w:val="00DC7083"/>
    <w:rsid w:val="00DC72E9"/>
    <w:rsid w:val="00DC7E5E"/>
    <w:rsid w:val="00E02837"/>
    <w:rsid w:val="00E03630"/>
    <w:rsid w:val="00E0549D"/>
    <w:rsid w:val="00E10407"/>
    <w:rsid w:val="00E219E9"/>
    <w:rsid w:val="00E22B47"/>
    <w:rsid w:val="00E30103"/>
    <w:rsid w:val="00E307DC"/>
    <w:rsid w:val="00E40304"/>
    <w:rsid w:val="00E40F09"/>
    <w:rsid w:val="00E43786"/>
    <w:rsid w:val="00E448D1"/>
    <w:rsid w:val="00E452E4"/>
    <w:rsid w:val="00E4703F"/>
    <w:rsid w:val="00E5219A"/>
    <w:rsid w:val="00E550CD"/>
    <w:rsid w:val="00E55510"/>
    <w:rsid w:val="00E7022D"/>
    <w:rsid w:val="00E70D6E"/>
    <w:rsid w:val="00E754D6"/>
    <w:rsid w:val="00E82100"/>
    <w:rsid w:val="00E8553C"/>
    <w:rsid w:val="00E9279D"/>
    <w:rsid w:val="00EA5069"/>
    <w:rsid w:val="00EB1A56"/>
    <w:rsid w:val="00EB1FA2"/>
    <w:rsid w:val="00EB401F"/>
    <w:rsid w:val="00EB511C"/>
    <w:rsid w:val="00EC5570"/>
    <w:rsid w:val="00EC7BB1"/>
    <w:rsid w:val="00ED7D42"/>
    <w:rsid w:val="00EE5305"/>
    <w:rsid w:val="00EF41AE"/>
    <w:rsid w:val="00EF55F4"/>
    <w:rsid w:val="00EF7B87"/>
    <w:rsid w:val="00F0013F"/>
    <w:rsid w:val="00F07378"/>
    <w:rsid w:val="00F07E7F"/>
    <w:rsid w:val="00F10B9D"/>
    <w:rsid w:val="00F12130"/>
    <w:rsid w:val="00F130ED"/>
    <w:rsid w:val="00F13E76"/>
    <w:rsid w:val="00F15547"/>
    <w:rsid w:val="00F301DC"/>
    <w:rsid w:val="00F32CF9"/>
    <w:rsid w:val="00F33AC7"/>
    <w:rsid w:val="00F440FB"/>
    <w:rsid w:val="00F52BA0"/>
    <w:rsid w:val="00F563F0"/>
    <w:rsid w:val="00F65354"/>
    <w:rsid w:val="00F66CCB"/>
    <w:rsid w:val="00F672DA"/>
    <w:rsid w:val="00F67F03"/>
    <w:rsid w:val="00F74A7F"/>
    <w:rsid w:val="00F74E2E"/>
    <w:rsid w:val="00F7705E"/>
    <w:rsid w:val="00F855A1"/>
    <w:rsid w:val="00F97276"/>
    <w:rsid w:val="00FA2C29"/>
    <w:rsid w:val="00FA69EA"/>
    <w:rsid w:val="00FA74E7"/>
    <w:rsid w:val="00FB3162"/>
    <w:rsid w:val="00FB5BE4"/>
    <w:rsid w:val="00FB66FE"/>
    <w:rsid w:val="00FB6A9E"/>
    <w:rsid w:val="00FB7568"/>
    <w:rsid w:val="00FC6C12"/>
    <w:rsid w:val="00FD095C"/>
    <w:rsid w:val="00FD16E2"/>
    <w:rsid w:val="00FD196D"/>
    <w:rsid w:val="00FD291C"/>
    <w:rsid w:val="00FD2B1C"/>
    <w:rsid w:val="00FD4984"/>
    <w:rsid w:val="00FD79CC"/>
    <w:rsid w:val="00FE64B7"/>
    <w:rsid w:val="00FF2C99"/>
    <w:rsid w:val="173352CD"/>
    <w:rsid w:val="44F04CCD"/>
    <w:rsid w:val="5B3C338F"/>
    <w:rsid w:val="5E3E020D"/>
    <w:rsid w:val="7BB15B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qFormat="1"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iPriority="0" w:semiHidden="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color w:val="696867"/>
      <w:sz w:val="24"/>
      <w:szCs w:val="24"/>
      <w:lang w:val="vi" w:eastAsia="en-US" w:bidi="ar-SA"/>
    </w:rPr>
  </w:style>
  <w:style w:type="paragraph" w:styleId="2">
    <w:name w:val="heading 1"/>
    <w:basedOn w:val="1"/>
    <w:next w:val="1"/>
    <w:link w:val="37"/>
    <w:qFormat/>
    <w:uiPriority w:val="9"/>
    <w:pPr>
      <w:keepNext/>
      <w:keepLines/>
      <w:spacing w:before="480" w:after="100"/>
      <w:outlineLvl w:val="0"/>
    </w:pPr>
    <w:rPr>
      <w:rFonts w:ascii="Arial" w:hAnsi="Arial"/>
      <w:b/>
      <w:bCs/>
      <w:caps/>
      <w:color w:val="FF6C2C"/>
      <w:sz w:val="28"/>
      <w:szCs w:val="28"/>
    </w:rPr>
  </w:style>
  <w:style w:type="paragraph" w:styleId="3">
    <w:name w:val="heading 2"/>
    <w:basedOn w:val="1"/>
    <w:next w:val="1"/>
    <w:link w:val="38"/>
    <w:unhideWhenUsed/>
    <w:qFormat/>
    <w:uiPriority w:val="9"/>
    <w:pPr>
      <w:keepNext/>
      <w:spacing w:before="240" w:after="60"/>
      <w:ind w:left="360" w:hanging="360"/>
      <w:outlineLvl w:val="1"/>
    </w:pPr>
    <w:rPr>
      <w:rFonts w:ascii="Arial" w:hAnsi="Arial"/>
      <w:b/>
      <w:bCs/>
      <w:iCs/>
      <w:sz w:val="28"/>
      <w:szCs w:val="28"/>
    </w:rPr>
  </w:style>
  <w:style w:type="paragraph" w:styleId="4">
    <w:name w:val="heading 3"/>
    <w:basedOn w:val="1"/>
    <w:next w:val="1"/>
    <w:link w:val="39"/>
    <w:unhideWhenUsed/>
    <w:qFormat/>
    <w:uiPriority w:val="9"/>
    <w:pPr>
      <w:keepNext/>
      <w:spacing w:before="240" w:after="60"/>
      <w:outlineLvl w:val="2"/>
    </w:pPr>
    <w:rPr>
      <w:rFonts w:ascii="Cambria" w:hAnsi="Cambria"/>
      <w:b/>
      <w:bCs/>
      <w:sz w:val="26"/>
      <w:szCs w:val="26"/>
    </w:rPr>
  </w:style>
  <w:style w:type="paragraph" w:styleId="5">
    <w:name w:val="heading 4"/>
    <w:basedOn w:val="1"/>
    <w:next w:val="1"/>
    <w:link w:val="40"/>
    <w:unhideWhenUsed/>
    <w:qFormat/>
    <w:uiPriority w:val="9"/>
    <w:pPr>
      <w:keepNext/>
      <w:spacing w:before="240" w:after="60"/>
      <w:outlineLvl w:val="3"/>
    </w:pPr>
    <w:rPr>
      <w:rFonts w:ascii="Calibri" w:hAnsi="Calibri"/>
      <w:b/>
      <w:bCs/>
      <w:sz w:val="28"/>
      <w:szCs w:val="28"/>
    </w:rPr>
  </w:style>
  <w:style w:type="paragraph" w:styleId="6">
    <w:name w:val="heading 5"/>
    <w:basedOn w:val="1"/>
    <w:next w:val="1"/>
    <w:link w:val="41"/>
    <w:unhideWhenUsed/>
    <w:qFormat/>
    <w:uiPriority w:val="9"/>
    <w:pPr>
      <w:spacing w:before="240" w:after="60"/>
      <w:outlineLvl w:val="4"/>
    </w:pPr>
    <w:rPr>
      <w:rFonts w:ascii="Calibri" w:hAnsi="Calibri" w:eastAsia="Calibri"/>
      <w:b/>
      <w:bCs/>
      <w:i/>
      <w:iCs/>
      <w:sz w:val="26"/>
      <w:szCs w:val="26"/>
      <w:lang w:val="vi" w:bidi="en-US"/>
    </w:rPr>
  </w:style>
  <w:style w:type="paragraph" w:styleId="7">
    <w:name w:val="heading 6"/>
    <w:basedOn w:val="1"/>
    <w:next w:val="1"/>
    <w:link w:val="42"/>
    <w:unhideWhenUsed/>
    <w:qFormat/>
    <w:uiPriority w:val="9"/>
    <w:pPr>
      <w:spacing w:before="240" w:after="60"/>
      <w:outlineLvl w:val="5"/>
    </w:pPr>
    <w:rPr>
      <w:rFonts w:ascii="Calibri" w:hAnsi="Calibri" w:eastAsia="Calibri"/>
      <w:b/>
      <w:bCs/>
      <w:sz w:val="22"/>
      <w:szCs w:val="22"/>
      <w:lang w:val="vi" w:bidi="en-US"/>
    </w:rPr>
  </w:style>
  <w:style w:type="paragraph" w:styleId="8">
    <w:name w:val="heading 7"/>
    <w:basedOn w:val="1"/>
    <w:next w:val="1"/>
    <w:link w:val="43"/>
    <w:semiHidden/>
    <w:unhideWhenUsed/>
    <w:qFormat/>
    <w:uiPriority w:val="9"/>
    <w:pPr>
      <w:spacing w:before="240" w:after="60"/>
      <w:outlineLvl w:val="6"/>
    </w:pPr>
    <w:rPr>
      <w:rFonts w:ascii="Calibri" w:hAnsi="Calibri" w:eastAsia="Calibri"/>
      <w:lang w:val="vi" w:bidi="en-US"/>
    </w:rPr>
  </w:style>
  <w:style w:type="paragraph" w:styleId="9">
    <w:name w:val="heading 8"/>
    <w:basedOn w:val="1"/>
    <w:next w:val="1"/>
    <w:link w:val="44"/>
    <w:semiHidden/>
    <w:unhideWhenUsed/>
    <w:qFormat/>
    <w:uiPriority w:val="9"/>
    <w:pPr>
      <w:spacing w:before="240" w:after="60"/>
      <w:outlineLvl w:val="7"/>
    </w:pPr>
    <w:rPr>
      <w:rFonts w:ascii="Calibri" w:hAnsi="Calibri" w:eastAsia="Calibri"/>
      <w:i/>
      <w:iCs/>
      <w:lang w:val="vi" w:bidi="en-US"/>
    </w:rPr>
  </w:style>
  <w:style w:type="paragraph" w:styleId="10">
    <w:name w:val="heading 9"/>
    <w:basedOn w:val="1"/>
    <w:next w:val="1"/>
    <w:link w:val="45"/>
    <w:semiHidden/>
    <w:unhideWhenUsed/>
    <w:qFormat/>
    <w:uiPriority w:val="9"/>
    <w:pPr>
      <w:spacing w:before="240" w:after="60"/>
      <w:outlineLvl w:val="8"/>
    </w:pPr>
    <w:rPr>
      <w:rFonts w:ascii="Cambria" w:hAnsi="Cambria"/>
      <w:sz w:val="22"/>
      <w:szCs w:val="22"/>
      <w:lang w:val="vi" w:bidi="en-US"/>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9"/>
    <w:semiHidden/>
    <w:qFormat/>
    <w:uiPriority w:val="99"/>
    <w:rPr>
      <w:rFonts w:ascii="Tahoma" w:hAnsi="Tahoma" w:cs="Tahoma"/>
      <w:sz w:val="16"/>
      <w:szCs w:val="16"/>
    </w:rPr>
  </w:style>
  <w:style w:type="paragraph" w:styleId="14">
    <w:name w:val="Body Text"/>
    <w:basedOn w:val="1"/>
    <w:link w:val="67"/>
    <w:qFormat/>
    <w:uiPriority w:val="0"/>
    <w:pPr>
      <w:spacing w:after="120"/>
    </w:pPr>
    <w:rPr>
      <w:sz w:val="20"/>
      <w:szCs w:val="20"/>
    </w:rPr>
  </w:style>
  <w:style w:type="paragraph" w:styleId="15">
    <w:name w:val="Body Text Indent"/>
    <w:basedOn w:val="1"/>
    <w:link w:val="69"/>
    <w:unhideWhenUsed/>
    <w:qFormat/>
    <w:uiPriority w:val="99"/>
    <w:pPr>
      <w:spacing w:after="120"/>
      <w:ind w:left="360"/>
    </w:pPr>
    <w:rPr>
      <w:sz w:val="20"/>
      <w:szCs w:val="20"/>
    </w:rPr>
  </w:style>
  <w:style w:type="paragraph" w:styleId="16">
    <w:name w:val="Body Text Indent 3"/>
    <w:basedOn w:val="1"/>
    <w:link w:val="68"/>
    <w:unhideWhenUsed/>
    <w:qFormat/>
    <w:uiPriority w:val="0"/>
    <w:pPr>
      <w:spacing w:after="120"/>
      <w:ind w:left="360"/>
      <w:jc w:val="both"/>
    </w:pPr>
    <w:rPr>
      <w:sz w:val="16"/>
      <w:szCs w:val="16"/>
    </w:rPr>
  </w:style>
  <w:style w:type="paragraph" w:styleId="17">
    <w:name w:val="caption"/>
    <w:basedOn w:val="1"/>
    <w:next w:val="1"/>
    <w:qFormat/>
    <w:uiPriority w:val="0"/>
    <w:pPr>
      <w:spacing w:after="120"/>
      <w:jc w:val="center"/>
    </w:pPr>
    <w:rPr>
      <w:b/>
      <w:bCs/>
      <w:szCs w:val="20"/>
    </w:rPr>
  </w:style>
  <w:style w:type="character" w:styleId="18">
    <w:name w:val="annotation reference"/>
    <w:basedOn w:val="11"/>
    <w:semiHidden/>
    <w:qFormat/>
    <w:uiPriority w:val="0"/>
    <w:rPr>
      <w:sz w:val="16"/>
      <w:szCs w:val="16"/>
    </w:rPr>
  </w:style>
  <w:style w:type="paragraph" w:styleId="19">
    <w:name w:val="annotation text"/>
    <w:basedOn w:val="1"/>
    <w:link w:val="48"/>
    <w:semiHidden/>
    <w:qFormat/>
    <w:uiPriority w:val="0"/>
    <w:rPr>
      <w:sz w:val="20"/>
      <w:szCs w:val="20"/>
    </w:rPr>
  </w:style>
  <w:style w:type="paragraph" w:styleId="20">
    <w:name w:val="annotation subject"/>
    <w:basedOn w:val="19"/>
    <w:next w:val="19"/>
    <w:semiHidden/>
    <w:qFormat/>
    <w:uiPriority w:val="0"/>
    <w:rPr>
      <w:b/>
      <w:bCs/>
    </w:rPr>
  </w:style>
  <w:style w:type="character" w:styleId="21">
    <w:name w:val="Emphasis"/>
    <w:basedOn w:val="11"/>
    <w:qFormat/>
    <w:uiPriority w:val="20"/>
    <w:rPr>
      <w:rFonts w:ascii="Calibri" w:hAnsi="Calibri"/>
      <w:b/>
      <w:i/>
      <w:iCs/>
    </w:rPr>
  </w:style>
  <w:style w:type="paragraph" w:styleId="22">
    <w:name w:val="footer"/>
    <w:basedOn w:val="1"/>
    <w:link w:val="47"/>
    <w:qFormat/>
    <w:uiPriority w:val="99"/>
    <w:pPr>
      <w:tabs>
        <w:tab w:val="center" w:pos="4320"/>
        <w:tab w:val="right" w:pos="8640"/>
      </w:tabs>
    </w:pPr>
  </w:style>
  <w:style w:type="character" w:styleId="23">
    <w:name w:val="footnote reference"/>
    <w:basedOn w:val="11"/>
    <w:semiHidden/>
    <w:unhideWhenUsed/>
    <w:qFormat/>
    <w:uiPriority w:val="0"/>
    <w:rPr>
      <w:vertAlign w:val="superscript"/>
    </w:rPr>
  </w:style>
  <w:style w:type="paragraph" w:styleId="24">
    <w:name w:val="footnote text"/>
    <w:basedOn w:val="1"/>
    <w:link w:val="75"/>
    <w:semiHidden/>
    <w:unhideWhenUsed/>
    <w:qFormat/>
    <w:uiPriority w:val="0"/>
    <w:rPr>
      <w:sz w:val="20"/>
      <w:szCs w:val="20"/>
    </w:rPr>
  </w:style>
  <w:style w:type="paragraph" w:styleId="25">
    <w:name w:val="header"/>
    <w:basedOn w:val="1"/>
    <w:link w:val="46"/>
    <w:qFormat/>
    <w:uiPriority w:val="99"/>
    <w:pPr>
      <w:tabs>
        <w:tab w:val="center" w:pos="4320"/>
        <w:tab w:val="right" w:pos="8640"/>
      </w:tabs>
    </w:pPr>
  </w:style>
  <w:style w:type="character" w:styleId="26">
    <w:name w:val="Hyperlink"/>
    <w:basedOn w:val="11"/>
    <w:qFormat/>
    <w:uiPriority w:val="99"/>
    <w:rPr>
      <w:color w:val="0000FF"/>
      <w:u w:val="single"/>
    </w:rPr>
  </w:style>
  <w:style w:type="character" w:styleId="27">
    <w:name w:val="line number"/>
    <w:basedOn w:val="11"/>
    <w:qFormat/>
    <w:uiPriority w:val="0"/>
  </w:style>
  <w:style w:type="paragraph" w:styleId="28">
    <w:name w:val="List Number"/>
    <w:basedOn w:val="1"/>
    <w:qFormat/>
    <w:uiPriority w:val="0"/>
    <w:pPr>
      <w:widowControl w:val="0"/>
      <w:spacing w:after="120"/>
      <w:ind w:left="144" w:hanging="144"/>
      <w:jc w:val="both"/>
    </w:pPr>
  </w:style>
  <w:style w:type="character" w:styleId="29">
    <w:name w:val="page number"/>
    <w:basedOn w:val="11"/>
    <w:qFormat/>
    <w:uiPriority w:val="0"/>
  </w:style>
  <w:style w:type="character" w:styleId="30">
    <w:name w:val="Strong"/>
    <w:basedOn w:val="11"/>
    <w:qFormat/>
    <w:uiPriority w:val="22"/>
    <w:rPr>
      <w:b/>
      <w:bCs/>
    </w:rPr>
  </w:style>
  <w:style w:type="paragraph" w:styleId="31">
    <w:name w:val="Subtitle"/>
    <w:basedOn w:val="1"/>
    <w:next w:val="1"/>
    <w:link w:val="53"/>
    <w:qFormat/>
    <w:uiPriority w:val="11"/>
    <w:pPr>
      <w:spacing w:after="60"/>
      <w:jc w:val="center"/>
      <w:outlineLvl w:val="1"/>
    </w:pPr>
    <w:rPr>
      <w:rFonts w:ascii="Cambria" w:hAnsi="Cambria"/>
      <w:lang w:val="vi" w:bidi="en-US"/>
    </w:rPr>
  </w:style>
  <w:style w:type="table" w:styleId="32">
    <w:name w:val="Table Grid"/>
    <w:basedOn w:val="12"/>
    <w:qFormat/>
    <w:uiPriority w:val="59"/>
    <w:pPr>
      <w:ind w:left="720" w:hanging="720"/>
      <w:jc w:val="both"/>
    </w:pPr>
    <w:rPr>
      <w:rFonts w:ascii="Calibri" w:hAnsi="Calibri" w:eastAsia="Calibri"/>
      <w:sz w:val="22"/>
      <w:szCs w:val="22"/>
      <w:lang w:val="vi"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33">
    <w:name w:val="Title"/>
    <w:basedOn w:val="1"/>
    <w:next w:val="1"/>
    <w:link w:val="52"/>
    <w:qFormat/>
    <w:uiPriority w:val="10"/>
    <w:pPr>
      <w:spacing w:before="240" w:after="60"/>
      <w:jc w:val="center"/>
      <w:outlineLvl w:val="0"/>
    </w:pPr>
    <w:rPr>
      <w:rFonts w:ascii="Cambria" w:hAnsi="Cambria"/>
      <w:b/>
      <w:bCs/>
      <w:kern w:val="28"/>
      <w:sz w:val="32"/>
      <w:szCs w:val="32"/>
      <w:lang w:val="vi" w:bidi="en-US"/>
    </w:rPr>
  </w:style>
  <w:style w:type="paragraph" w:styleId="34">
    <w:name w:val="toc 1"/>
    <w:basedOn w:val="1"/>
    <w:next w:val="1"/>
    <w:qFormat/>
    <w:uiPriority w:val="39"/>
    <w:pPr>
      <w:spacing w:after="100"/>
    </w:pPr>
  </w:style>
  <w:style w:type="paragraph" w:styleId="35">
    <w:name w:val="toc 2"/>
    <w:basedOn w:val="1"/>
    <w:next w:val="1"/>
    <w:unhideWhenUsed/>
    <w:qFormat/>
    <w:uiPriority w:val="39"/>
    <w:pPr>
      <w:tabs>
        <w:tab w:val="left" w:pos="630"/>
        <w:tab w:val="right" w:leader="dot" w:pos="9350"/>
      </w:tabs>
      <w:spacing w:after="100"/>
      <w:ind w:left="240"/>
    </w:pPr>
    <w:rPr>
      <w:rFonts w:ascii="Calibri" w:hAnsi="Calibri" w:eastAsia="Calibri"/>
      <w:lang w:val="vi" w:bidi="en-US"/>
    </w:rPr>
  </w:style>
  <w:style w:type="paragraph" w:styleId="36">
    <w:name w:val="toc 3"/>
    <w:basedOn w:val="1"/>
    <w:next w:val="1"/>
    <w:unhideWhenUsed/>
    <w:qFormat/>
    <w:uiPriority w:val="39"/>
    <w:pPr>
      <w:spacing w:after="100"/>
      <w:ind w:left="480"/>
    </w:pPr>
    <w:rPr>
      <w:rFonts w:ascii="Calibri" w:hAnsi="Calibri" w:eastAsia="Calibri"/>
      <w:lang w:val="vi" w:bidi="en-US"/>
    </w:rPr>
  </w:style>
  <w:style w:type="character" w:customStyle="1" w:styleId="37">
    <w:name w:val="Heading 1 Char"/>
    <w:basedOn w:val="11"/>
    <w:link w:val="2"/>
    <w:uiPriority w:val="9"/>
    <w:rPr>
      <w:rFonts w:ascii="Arial" w:hAnsi="Arial"/>
      <w:b/>
      <w:bCs/>
      <w:caps/>
      <w:color w:val="FF6C2C"/>
      <w:sz w:val="28"/>
      <w:szCs w:val="28"/>
    </w:rPr>
  </w:style>
  <w:style w:type="character" w:customStyle="1" w:styleId="38">
    <w:name w:val="Heading 2 Char"/>
    <w:basedOn w:val="11"/>
    <w:link w:val="3"/>
    <w:uiPriority w:val="9"/>
    <w:rPr>
      <w:rFonts w:ascii="Arial" w:hAnsi="Arial"/>
      <w:b/>
      <w:bCs/>
      <w:iCs/>
      <w:color w:val="696867"/>
      <w:sz w:val="28"/>
      <w:szCs w:val="28"/>
    </w:rPr>
  </w:style>
  <w:style w:type="character" w:customStyle="1" w:styleId="39">
    <w:name w:val="Heading 3 Char"/>
    <w:basedOn w:val="11"/>
    <w:link w:val="4"/>
    <w:uiPriority w:val="9"/>
    <w:rPr>
      <w:rFonts w:ascii="Cambria" w:hAnsi="Cambria" w:eastAsia="Times New Roman" w:cs="Times New Roman"/>
      <w:b/>
      <w:bCs/>
      <w:sz w:val="26"/>
      <w:szCs w:val="26"/>
    </w:rPr>
  </w:style>
  <w:style w:type="character" w:customStyle="1" w:styleId="40">
    <w:name w:val="Heading 4 Char"/>
    <w:basedOn w:val="11"/>
    <w:link w:val="5"/>
    <w:uiPriority w:val="9"/>
    <w:rPr>
      <w:rFonts w:ascii="Calibri" w:hAnsi="Calibri" w:eastAsia="Times New Roman" w:cs="Times New Roman"/>
      <w:b/>
      <w:bCs/>
      <w:sz w:val="28"/>
      <w:szCs w:val="28"/>
    </w:rPr>
  </w:style>
  <w:style w:type="character" w:customStyle="1" w:styleId="41">
    <w:name w:val="Heading 5 Char"/>
    <w:basedOn w:val="11"/>
    <w:link w:val="6"/>
    <w:uiPriority w:val="9"/>
    <w:rPr>
      <w:rFonts w:ascii="Calibri" w:hAnsi="Calibri" w:eastAsia="Calibri"/>
      <w:b/>
      <w:bCs/>
      <w:i/>
      <w:iCs/>
      <w:sz w:val="26"/>
      <w:szCs w:val="26"/>
      <w:lang w:val="vi" w:bidi="en-US"/>
    </w:rPr>
  </w:style>
  <w:style w:type="character" w:customStyle="1" w:styleId="42">
    <w:name w:val="Heading 6 Char"/>
    <w:basedOn w:val="11"/>
    <w:link w:val="7"/>
    <w:uiPriority w:val="9"/>
    <w:rPr>
      <w:rFonts w:ascii="Calibri" w:hAnsi="Calibri" w:eastAsia="Calibri"/>
      <w:b/>
      <w:bCs/>
      <w:sz w:val="22"/>
      <w:szCs w:val="22"/>
      <w:lang w:val="vi" w:bidi="en-US"/>
    </w:rPr>
  </w:style>
  <w:style w:type="character" w:customStyle="1" w:styleId="43">
    <w:name w:val="Heading 7 Char"/>
    <w:basedOn w:val="11"/>
    <w:link w:val="8"/>
    <w:semiHidden/>
    <w:uiPriority w:val="9"/>
    <w:rPr>
      <w:rFonts w:ascii="Calibri" w:hAnsi="Calibri" w:eastAsia="Calibri"/>
      <w:sz w:val="24"/>
      <w:szCs w:val="24"/>
      <w:lang w:val="vi" w:bidi="en-US"/>
    </w:rPr>
  </w:style>
  <w:style w:type="character" w:customStyle="1" w:styleId="44">
    <w:name w:val="Heading 8 Char"/>
    <w:basedOn w:val="11"/>
    <w:link w:val="9"/>
    <w:semiHidden/>
    <w:qFormat/>
    <w:uiPriority w:val="9"/>
    <w:rPr>
      <w:rFonts w:ascii="Calibri" w:hAnsi="Calibri" w:eastAsia="Calibri"/>
      <w:i/>
      <w:iCs/>
      <w:sz w:val="24"/>
      <w:szCs w:val="24"/>
      <w:lang w:val="vi" w:bidi="en-US"/>
    </w:rPr>
  </w:style>
  <w:style w:type="character" w:customStyle="1" w:styleId="45">
    <w:name w:val="Heading 9 Char"/>
    <w:basedOn w:val="11"/>
    <w:link w:val="10"/>
    <w:semiHidden/>
    <w:qFormat/>
    <w:uiPriority w:val="9"/>
    <w:rPr>
      <w:rFonts w:ascii="Cambria" w:hAnsi="Cambria"/>
      <w:sz w:val="22"/>
      <w:szCs w:val="22"/>
      <w:lang w:val="vi" w:bidi="en-US"/>
    </w:rPr>
  </w:style>
  <w:style w:type="character" w:customStyle="1" w:styleId="46">
    <w:name w:val="Header Char"/>
    <w:basedOn w:val="11"/>
    <w:link w:val="25"/>
    <w:qFormat/>
    <w:uiPriority w:val="99"/>
    <w:rPr>
      <w:sz w:val="24"/>
      <w:szCs w:val="24"/>
    </w:rPr>
  </w:style>
  <w:style w:type="character" w:customStyle="1" w:styleId="47">
    <w:name w:val="Footer Char"/>
    <w:basedOn w:val="11"/>
    <w:link w:val="22"/>
    <w:qFormat/>
    <w:uiPriority w:val="99"/>
    <w:rPr>
      <w:sz w:val="24"/>
      <w:szCs w:val="24"/>
    </w:rPr>
  </w:style>
  <w:style w:type="character" w:customStyle="1" w:styleId="48">
    <w:name w:val="Comment Text Char"/>
    <w:basedOn w:val="11"/>
    <w:link w:val="19"/>
    <w:semiHidden/>
    <w:qFormat/>
    <w:uiPriority w:val="0"/>
  </w:style>
  <w:style w:type="character" w:customStyle="1" w:styleId="49">
    <w:name w:val="Balloon Text Char"/>
    <w:basedOn w:val="11"/>
    <w:link w:val="13"/>
    <w:semiHidden/>
    <w:qFormat/>
    <w:uiPriority w:val="99"/>
    <w:rPr>
      <w:rFonts w:ascii="Tahoma" w:hAnsi="Tahoma" w:cs="Tahoma"/>
      <w:sz w:val="16"/>
      <w:szCs w:val="16"/>
    </w:rPr>
  </w:style>
  <w:style w:type="paragraph" w:styleId="50">
    <w:name w:val="List Paragraph"/>
    <w:basedOn w:val="1"/>
    <w:qFormat/>
    <w:uiPriority w:val="34"/>
    <w:pPr>
      <w:ind w:left="720"/>
      <w:contextualSpacing/>
    </w:pPr>
  </w:style>
  <w:style w:type="paragraph" w:customStyle="1" w:styleId="51">
    <w:name w:val="TOC Heading"/>
    <w:basedOn w:val="2"/>
    <w:next w:val="1"/>
    <w:unhideWhenUsed/>
    <w:qFormat/>
    <w:uiPriority w:val="39"/>
    <w:pPr>
      <w:spacing w:line="276" w:lineRule="auto"/>
      <w:outlineLvl w:val="9"/>
    </w:pPr>
  </w:style>
  <w:style w:type="character" w:customStyle="1" w:styleId="52">
    <w:name w:val="Title Char"/>
    <w:basedOn w:val="11"/>
    <w:link w:val="33"/>
    <w:qFormat/>
    <w:uiPriority w:val="10"/>
    <w:rPr>
      <w:rFonts w:ascii="Cambria" w:hAnsi="Cambria"/>
      <w:b/>
      <w:bCs/>
      <w:kern w:val="28"/>
      <w:sz w:val="32"/>
      <w:szCs w:val="32"/>
      <w:lang w:val="vi" w:bidi="en-US"/>
    </w:rPr>
  </w:style>
  <w:style w:type="character" w:customStyle="1" w:styleId="53">
    <w:name w:val="Subtitle Char"/>
    <w:basedOn w:val="11"/>
    <w:link w:val="31"/>
    <w:qFormat/>
    <w:uiPriority w:val="11"/>
    <w:rPr>
      <w:rFonts w:ascii="Cambria" w:hAnsi="Cambria"/>
      <w:sz w:val="24"/>
      <w:szCs w:val="24"/>
      <w:lang w:val="vi" w:bidi="en-US"/>
    </w:rPr>
  </w:style>
  <w:style w:type="paragraph" w:styleId="54">
    <w:name w:val="No Spacing"/>
    <w:basedOn w:val="1"/>
    <w:qFormat/>
    <w:uiPriority w:val="1"/>
    <w:rPr>
      <w:rFonts w:ascii="Calibri" w:hAnsi="Calibri" w:eastAsia="Calibri"/>
      <w:szCs w:val="32"/>
      <w:lang w:val="vi" w:bidi="en-US"/>
    </w:rPr>
  </w:style>
  <w:style w:type="paragraph" w:styleId="55">
    <w:name w:val="Quote"/>
    <w:basedOn w:val="1"/>
    <w:next w:val="1"/>
    <w:link w:val="56"/>
    <w:qFormat/>
    <w:uiPriority w:val="29"/>
    <w:rPr>
      <w:rFonts w:ascii="Calibri" w:hAnsi="Calibri" w:eastAsia="Calibri"/>
      <w:i/>
      <w:lang w:val="vi" w:bidi="en-US"/>
    </w:rPr>
  </w:style>
  <w:style w:type="character" w:customStyle="1" w:styleId="56">
    <w:name w:val="Quote Char"/>
    <w:basedOn w:val="11"/>
    <w:link w:val="55"/>
    <w:qFormat/>
    <w:uiPriority w:val="29"/>
    <w:rPr>
      <w:rFonts w:ascii="Calibri" w:hAnsi="Calibri" w:eastAsia="Calibri"/>
      <w:i/>
      <w:sz w:val="24"/>
      <w:szCs w:val="24"/>
      <w:lang w:val="vi" w:bidi="en-US"/>
    </w:rPr>
  </w:style>
  <w:style w:type="paragraph" w:styleId="57">
    <w:name w:val="Intense Quote"/>
    <w:basedOn w:val="1"/>
    <w:next w:val="1"/>
    <w:link w:val="58"/>
    <w:qFormat/>
    <w:uiPriority w:val="30"/>
    <w:pPr>
      <w:ind w:left="720" w:right="720"/>
    </w:pPr>
    <w:rPr>
      <w:rFonts w:ascii="Calibri" w:hAnsi="Calibri" w:eastAsia="Calibri"/>
      <w:b/>
      <w:i/>
      <w:szCs w:val="22"/>
      <w:lang w:val="vi" w:bidi="en-US"/>
    </w:rPr>
  </w:style>
  <w:style w:type="character" w:customStyle="1" w:styleId="58">
    <w:name w:val="Intense Quote Char"/>
    <w:basedOn w:val="11"/>
    <w:link w:val="57"/>
    <w:qFormat/>
    <w:uiPriority w:val="30"/>
    <w:rPr>
      <w:rFonts w:ascii="Calibri" w:hAnsi="Calibri" w:eastAsia="Calibri"/>
      <w:b/>
      <w:i/>
      <w:sz w:val="24"/>
      <w:szCs w:val="22"/>
      <w:lang w:val="vi" w:bidi="en-US"/>
    </w:rPr>
  </w:style>
  <w:style w:type="character" w:customStyle="1" w:styleId="59">
    <w:name w:val="Subtle Emphasis"/>
    <w:qFormat/>
    <w:uiPriority w:val="19"/>
    <w:rPr>
      <w:i/>
      <w:color w:val="5A5A5A"/>
    </w:rPr>
  </w:style>
  <w:style w:type="character" w:customStyle="1" w:styleId="60">
    <w:name w:val="Intense Emphasis"/>
    <w:basedOn w:val="11"/>
    <w:qFormat/>
    <w:uiPriority w:val="21"/>
    <w:rPr>
      <w:b/>
      <w:i/>
      <w:sz w:val="24"/>
      <w:szCs w:val="24"/>
      <w:u w:val="single"/>
    </w:rPr>
  </w:style>
  <w:style w:type="character" w:customStyle="1" w:styleId="61">
    <w:name w:val="Subtle Reference"/>
    <w:basedOn w:val="11"/>
    <w:qFormat/>
    <w:uiPriority w:val="31"/>
    <w:rPr>
      <w:sz w:val="24"/>
      <w:szCs w:val="24"/>
      <w:u w:val="single"/>
    </w:rPr>
  </w:style>
  <w:style w:type="character" w:customStyle="1" w:styleId="62">
    <w:name w:val="Intense Reference"/>
    <w:basedOn w:val="11"/>
    <w:qFormat/>
    <w:uiPriority w:val="32"/>
    <w:rPr>
      <w:b/>
      <w:sz w:val="24"/>
      <w:u w:val="single"/>
    </w:rPr>
  </w:style>
  <w:style w:type="character" w:customStyle="1" w:styleId="63">
    <w:name w:val="Book Title"/>
    <w:basedOn w:val="11"/>
    <w:qFormat/>
    <w:uiPriority w:val="33"/>
    <w:rPr>
      <w:rFonts w:ascii="Cambria" w:hAnsi="Cambria" w:eastAsia="Times New Roman"/>
      <w:b/>
      <w:i/>
      <w:sz w:val="24"/>
      <w:szCs w:val="24"/>
    </w:rPr>
  </w:style>
  <w:style w:type="paragraph" w:customStyle="1" w:styleId="64">
    <w:name w:val="ABET Instructions"/>
    <w:basedOn w:val="1"/>
    <w:next w:val="1"/>
    <w:qFormat/>
    <w:uiPriority w:val="0"/>
    <w:pPr>
      <w:spacing w:after="120"/>
    </w:pPr>
    <w:rPr>
      <w:color w:val="0000FF"/>
      <w:szCs w:val="20"/>
    </w:rPr>
  </w:style>
  <w:style w:type="paragraph" w:customStyle="1" w:styleId="65">
    <w:name w:val="Table Level 2"/>
    <w:basedOn w:val="2"/>
    <w:next w:val="1"/>
    <w:qFormat/>
    <w:uiPriority w:val="0"/>
    <w:pPr>
      <w:keepNext w:val="0"/>
      <w:keepLines w:val="0"/>
      <w:widowControl w:val="0"/>
      <w:tabs>
        <w:tab w:val="left" w:pos="540"/>
      </w:tabs>
      <w:spacing w:before="0" w:after="120"/>
      <w:jc w:val="center"/>
      <w:outlineLvl w:val="1"/>
    </w:pPr>
    <w:rPr>
      <w:rFonts w:ascii="Times New Roman" w:hAnsi="Times New Roman" w:eastAsia="Arial Unicode MS"/>
      <w:caps w:val="0"/>
      <w:color w:val="auto"/>
      <w:kern w:val="28"/>
      <w:sz w:val="24"/>
      <w:szCs w:val="24"/>
    </w:rPr>
  </w:style>
  <w:style w:type="character" w:customStyle="1" w:styleId="66">
    <w:name w:val="apple-converted-space"/>
    <w:basedOn w:val="11"/>
    <w:qFormat/>
    <w:uiPriority w:val="0"/>
  </w:style>
  <w:style w:type="character" w:customStyle="1" w:styleId="67">
    <w:name w:val="Body Text Char"/>
    <w:basedOn w:val="11"/>
    <w:link w:val="14"/>
    <w:qFormat/>
    <w:uiPriority w:val="0"/>
  </w:style>
  <w:style w:type="character" w:customStyle="1" w:styleId="68">
    <w:name w:val="Body Text Indent 3 Char"/>
    <w:basedOn w:val="11"/>
    <w:link w:val="16"/>
    <w:qFormat/>
    <w:uiPriority w:val="0"/>
    <w:rPr>
      <w:sz w:val="16"/>
      <w:szCs w:val="16"/>
    </w:rPr>
  </w:style>
  <w:style w:type="character" w:customStyle="1" w:styleId="69">
    <w:name w:val="Body Text Indent Char"/>
    <w:basedOn w:val="11"/>
    <w:link w:val="15"/>
    <w:qFormat/>
    <w:uiPriority w:val="99"/>
  </w:style>
  <w:style w:type="paragraph" w:customStyle="1" w:styleId="70">
    <w:name w:val="Bullets 1"/>
    <w:basedOn w:val="14"/>
    <w:qFormat/>
    <w:uiPriority w:val="0"/>
    <w:pPr>
      <w:widowControl w:val="0"/>
      <w:suppressLineNumbers/>
      <w:jc w:val="both"/>
    </w:pPr>
    <w:rPr>
      <w:sz w:val="24"/>
      <w:szCs w:val="24"/>
    </w:rPr>
  </w:style>
  <w:style w:type="paragraph" w:customStyle="1" w:styleId="71">
    <w:name w:val="Paragraph Level 1"/>
    <w:basedOn w:val="14"/>
    <w:qFormat/>
    <w:uiPriority w:val="0"/>
    <w:pPr>
      <w:widowControl w:val="0"/>
      <w:suppressLineNumbers/>
      <w:jc w:val="center"/>
    </w:pPr>
    <w:rPr>
      <w:rFonts w:ascii="Arial" w:hAnsi="Arial" w:cs="Arial"/>
      <w:b/>
      <w:bCs/>
      <w:sz w:val="24"/>
      <w:szCs w:val="24"/>
    </w:rPr>
  </w:style>
  <w:style w:type="paragraph" w:customStyle="1" w:styleId="72">
    <w:name w:val="Number List"/>
    <w:qFormat/>
    <w:uiPriority w:val="0"/>
    <w:pPr>
      <w:widowControl w:val="0"/>
      <w:ind w:left="720"/>
    </w:pPr>
    <w:rPr>
      <w:rFonts w:ascii="Times New Roman" w:hAnsi="Times New Roman" w:eastAsia="Times New Roman" w:cs="Times New Roman"/>
      <w:color w:val="000000"/>
      <w:lang w:val="vi" w:eastAsia="en-US" w:bidi="ar-SA"/>
    </w:rPr>
  </w:style>
  <w:style w:type="paragraph" w:customStyle="1" w:styleId="73">
    <w:name w:val="Colorful List - Accent 11"/>
    <w:basedOn w:val="1"/>
    <w:qFormat/>
    <w:uiPriority w:val="34"/>
    <w:pPr>
      <w:ind w:left="720"/>
      <w:contextualSpacing/>
    </w:pPr>
  </w:style>
  <w:style w:type="paragraph" w:customStyle="1" w:styleId="74">
    <w:name w:val="Default"/>
    <w:qFormat/>
    <w:uiPriority w:val="0"/>
    <w:pPr>
      <w:autoSpaceDE w:val="0"/>
      <w:autoSpaceDN w:val="0"/>
      <w:adjustRightInd w:val="0"/>
    </w:pPr>
    <w:rPr>
      <w:rFonts w:ascii="Arial" w:hAnsi="Arial" w:eastAsia="Times New Roman" w:cs="Arial"/>
      <w:color w:val="000000"/>
      <w:sz w:val="24"/>
      <w:szCs w:val="24"/>
      <w:lang w:val="vi" w:eastAsia="en-US" w:bidi="ar-SA"/>
    </w:rPr>
  </w:style>
  <w:style w:type="character" w:customStyle="1" w:styleId="75">
    <w:name w:val="Footnote Text Char"/>
    <w:basedOn w:val="11"/>
    <w:link w:val="24"/>
    <w:semiHidden/>
    <w:qFormat/>
    <w:uiPriority w:val="0"/>
  </w:style>
  <w:style w:type="paragraph" w:customStyle="1" w:styleId="76">
    <w:name w:val="Revision"/>
    <w:hidden/>
    <w:semiHidden/>
    <w:qFormat/>
    <w:uiPriority w:val="99"/>
    <w:rPr>
      <w:rFonts w:ascii="Times New Roman" w:hAnsi="Times New Roman" w:eastAsia="Times New Roman" w:cs="Times New Roman"/>
      <w:color w:val="696867"/>
      <w:sz w:val="24"/>
      <w:szCs w:val="24"/>
      <w:lang w:val="vi" w:eastAsia="en-US" w:bidi="ar-SA"/>
    </w:rPr>
  </w:style>
  <w:style w:type="character" w:customStyle="1" w:styleId="77">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E4C73-4480-47A9-B465-188D534F742C}">
  <ds:schemaRefs/>
</ds:datastoreItem>
</file>

<file path=docProps/app.xml><?xml version="1.0" encoding="utf-8"?>
<Properties xmlns="http://schemas.openxmlformats.org/officeDocument/2006/extended-properties" xmlns:vt="http://schemas.openxmlformats.org/officeDocument/2006/docPropsVTypes">
  <Template>Normal.dotm</Template>
  <Company>ABET</Company>
  <Pages>29</Pages>
  <Words>5390</Words>
  <Characters>30725</Characters>
  <Lines>256</Lines>
  <Paragraphs>72</Paragraphs>
  <TotalTime>47</TotalTime>
  <ScaleCrop>false</ScaleCrop>
  <LinksUpToDate>false</LinksUpToDate>
  <CharactersWithSpaces>36043</CharactersWithSpaces>
  <Application>WPS Office_11.2.0.11130_F1E327BC-269C-435d-A152-05C5408002CA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2023-03-11T07:03:00Z</dcterms:created>
  <dc:creator>abet</dc:creator>
  <cp:lastModifiedBy>Tran Thanh Truc</cp:lastModifiedBy>
  <cp:lastPrinted>2020-02-28T15:27:00Z</cp:lastPrinted>
  <dcterms:modified xsi:type="dcterms:W3CDTF">2023-03-12T16:48:48Z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KSOProductBuildVer">
    <vt:lpwstr>1033-11.2.0.11130</vt:lpwstr>
  </property>
  <property fmtid="{D5CDD505-2E9C-101B-9397-08002B2CF9AE}" pid="12" name="ICV">
    <vt:lpwstr>52C4620054C14A2CB6F6DFA501A59E4F</vt:lpwstr>
  </property>
</Properties>
</file>