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954" w:after="0" w:line="240" w:lineRule="auto"/>
        <w:ind w:left="1387"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www.abet.org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769" w:after="0" w:line="240" w:lineRule="auto"/>
        <w:ind w:left="1475" w:right="0" w:firstLine="0"/>
        <w:jc w:val="left"/>
        <w:rPr>
          <w:rFonts w:hint="default" w:ascii="Times New Roman" w:hAnsi="Times New Roman" w:eastAsia="Noto Sans Mono" w:cs="Times New Roman"/>
          <w:b w:val="0"/>
          <w:i w:val="0"/>
          <w:smallCaps w:val="0"/>
          <w:strike w:val="0"/>
          <w:color w:val="7F7F7F"/>
          <w:sz w:val="26"/>
          <w:szCs w:val="26"/>
          <w:u w:val="none"/>
          <w:shd w:val="clear" w:fill="auto"/>
          <w:vertAlign w:val="baseline"/>
        </w:rPr>
      </w:pPr>
      <w:r>
        <w:rPr>
          <w:rFonts w:hint="default" w:ascii="Times New Roman" w:hAnsi="Times New Roman" w:eastAsia="Noto Sans Mono" w:cs="Times New Roman"/>
          <w:b w:val="0"/>
          <w:i w:val="0"/>
          <w:smallCaps w:val="0"/>
          <w:strike w:val="0"/>
          <w:color w:val="7F7F7F"/>
          <w:sz w:val="26"/>
          <w:szCs w:val="26"/>
          <w:u w:val="none"/>
          <w:shd w:val="clear" w:fill="auto"/>
          <w:vertAlign w:val="baseline"/>
          <w:rtl w:val="0"/>
        </w:rPr>
        <w:t xml:space="preserve">THÔNG TIN CHO CÁC CHƯƠNG TRÌNH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25" w:after="0" w:line="240" w:lineRule="auto"/>
        <w:ind w:left="1474" w:right="0" w:firstLine="0"/>
        <w:jc w:val="left"/>
        <w:rPr>
          <w:rFonts w:hint="default" w:ascii="Times New Roman" w:hAnsi="Times New Roman" w:eastAsia="Noto Sans Mono" w:cs="Times New Roman"/>
          <w:b w:val="0"/>
          <w:i w:val="0"/>
          <w:smallCaps w:val="0"/>
          <w:strike w:val="0"/>
          <w:color w:val="7F7F7F"/>
          <w:sz w:val="26"/>
          <w:szCs w:val="26"/>
          <w:u w:val="none"/>
          <w:shd w:val="clear" w:fill="auto"/>
          <w:vertAlign w:val="baseline"/>
        </w:rPr>
      </w:pPr>
      <w:r>
        <w:rPr>
          <w:rFonts w:hint="default" w:ascii="Times New Roman" w:hAnsi="Times New Roman" w:eastAsia="Noto Sans Mono" w:cs="Times New Roman"/>
          <w:b w:val="0"/>
          <w:i w:val="0"/>
          <w:smallCaps w:val="0"/>
          <w:strike w:val="0"/>
          <w:color w:val="7F7F7F"/>
          <w:sz w:val="26"/>
          <w:szCs w:val="26"/>
          <w:u w:val="none"/>
          <w:shd w:val="clear" w:fill="auto"/>
          <w:vertAlign w:val="baseline"/>
          <w:rtl w:val="0"/>
        </w:rPr>
        <w:t xml:space="preserve">YÊU CẦU ĐÁNH GIÁ SỰ SẴN SÀNG (REv) cho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55" w:after="0" w:line="240" w:lineRule="auto"/>
        <w:ind w:left="1465" w:right="0" w:firstLine="0"/>
        <w:jc w:val="left"/>
        <w:rPr>
          <w:rFonts w:hint="default" w:ascii="Times New Roman" w:hAnsi="Times New Roman" w:eastAsia="Noto Sans Mono" w:cs="Times New Roman"/>
          <w:b w:val="0"/>
          <w:i w:val="0"/>
          <w:smallCaps w:val="0"/>
          <w:strike w:val="0"/>
          <w:color w:val="7F7F7F"/>
          <w:sz w:val="26"/>
          <w:szCs w:val="26"/>
          <w:u w:val="none"/>
          <w:shd w:val="clear" w:fill="auto"/>
          <w:vertAlign w:val="baseline"/>
        </w:rPr>
      </w:pPr>
      <w:r>
        <w:rPr>
          <w:rFonts w:hint="default" w:ascii="Times New Roman" w:hAnsi="Times New Roman" w:eastAsia="Noto Sans Mono" w:cs="Times New Roman"/>
          <w:b w:val="0"/>
          <w:i w:val="0"/>
          <w:smallCaps w:val="0"/>
          <w:strike w:val="0"/>
          <w:color w:val="7F7F7F"/>
          <w:sz w:val="26"/>
          <w:szCs w:val="26"/>
          <w:u w:val="none"/>
          <w:shd w:val="clear" w:fill="auto"/>
          <w:vertAlign w:val="baseline"/>
          <w:rtl w:val="0"/>
        </w:rPr>
        <w:t xml:space="preserve">Chu kỳ đánh giá 2023-24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878" w:after="0" w:line="240" w:lineRule="auto"/>
        <w:ind w:left="1447"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GIỚI THIỆU VỀ  ĐÁNH GIÁ</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lang w:val="en-US"/>
        </w:rPr>
        <w:t xml:space="preserve">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SỰ SẴN SÀNG (REV)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41" w:after="0" w:line="356" w:lineRule="auto"/>
        <w:ind w:left="1453" w:right="1501" w:hanging="2"/>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Đánh giá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Sự s</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ẵn sàng là một quy trình sàng lọc không đánh giá nhằm xác định tính phù hợp/đủ điều kiện của  chương trình đối với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nhiệm vụ</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được áp dụng/được viện dẫn và hiểu về quy trình công nhận cũng như các yêu  cầu của nó trước khi gửi Yêu cầu Đánh giá (RFE) chính thức. Đánh giá công nhận chính thức yêu cầu cam kết  về thời gian, nguồn lực, kinh phí và nhân sự từ cả ABET và tổ chức của chương trình. Do đó, Đánh giá mức  độ sẵn sàng của ABET được coi là hỗ trợ cho hành trình công nhận của một chương trình. Các chương trình  tìm kiếm sự công nhận ban đầu được đặt trong một tổ chức mà không có bất kỳ chương trình được công nhận  nào trước đó cho một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nhiệm vụ</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nhất định được yêu cầu phải trải qua Đánh giá sẵn sàng. </w:t>
      </w:r>
      <w:r>
        <w:rPr>
          <w:rFonts w:hint="default" w:ascii="Times New Roman" w:hAnsi="Times New Roman" w:eastAsia="Noto Sans Mono" w:cs="Times New Roman"/>
          <w:b w:val="0"/>
          <w:i w:val="0"/>
          <w:smallCaps w:val="0"/>
          <w:strike w:val="0"/>
          <w:color w:val="7F7F7F" w:themeColor="background1" w:themeShade="80"/>
          <w:sz w:val="26"/>
          <w:szCs w:val="26"/>
          <w:u w:val="none"/>
          <w:shd w:val="clear" w:fill="auto"/>
          <w:vertAlign w:val="baseline"/>
          <w:rtl w:val="0"/>
        </w:rPr>
        <w:t>Vui lòng tham  khảo</w:t>
      </w: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Hướng dẫn thủ tục và chính sách công nhận ABET cập nhật nhất (APPM) phần IC liên quan đến Tính đủ  điều kiện và phần IC5.b. liên quan đến Đánh giá sẵn sàng.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061" w:after="0" w:line="240" w:lineRule="auto"/>
        <w:ind w:left="1468"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CÁCH THAM GIA ĐÁNH GIÁ SẴN SÀNG (REV)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38" w:after="0" w:line="356" w:lineRule="auto"/>
        <w:ind w:left="1452" w:right="1503" w:firstLine="1"/>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Đánh giá mức độ sẵn sàng (REv) bắt đầu vào ngày 1 tháng 10, ba tháng trước quy trình Yêu cầu đánh giá  (RFE) và kết thúc vào nửa cuối tháng 12. Việc tham gia REv bao gồm 2 bước có thể được bắt đầu sớm nhất là  vào tháng 3</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hạn chót ngày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1 tháng 10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35" w:after="0" w:line="240" w:lineRule="auto"/>
        <w:ind w:left="1828"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BƯỚC 1/2 – Gửi Yêu cầu Đánh giá Sẵn sàng (RREv) trực tuyến: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40" w:after="0" w:line="240" w:lineRule="auto"/>
        <w:ind w:left="1396"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Tháng 3–tháng 9 – Một tổ chức nên thông báo cho ABET về ý định xin Đánh giá sẵn sàng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91" w:after="0" w:line="355" w:lineRule="auto"/>
        <w:ind w:left="1815" w:right="1226" w:firstLine="7"/>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càng sớm càng tốt bằng cách gửi Yêu cầu Đánh giá Sẵn sàng (RREv) trực tuyến. ABET sẽ xem xét RREv sau đó  cung cấp cho tổ chức liên kết gửi, thông tin đăng nhập và hướng dẫn để gửi trực tuyến Báo cáo đánh giá  mức độ sẵn sàng bắt buộc và thông tin bảng điểm đến hạn vào ngày 1 tháng 10.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491" w:after="0" w:line="240" w:lineRule="auto"/>
        <w:ind w:left="0" w:right="1638" w:firstLine="0"/>
        <w:jc w:val="righ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BƯỚC 2/2 – Hoàn thành việc gửi Đánh giá mức độ sẵn sàng (REv) qua liên kết do ABET cung cấp: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41" w:after="0" w:line="357" w:lineRule="auto"/>
        <w:ind w:left="1811" w:right="1573" w:hanging="413"/>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Tháng 3–ngày 1 tháng 10 – Một tổ chức có thể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 xml:space="preserve">đăng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tải Báo cáo đánh giá mức độ sẵn sàng và thông tin bảng điểm lên công cụ web</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gửi Đánh giá mức độ của ABET và thực hiện các thay đổi cần  thiết bất cứ lúc nào kể từ khi nhận được liên kết do ABET cung cấp đến ngày 1 tháng 10. Việc gửi sau hạn chót ngày 1 tháng 10 sẽ không được thực hiện</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được xem xét. Không chấp nhận gửi email, thẻ dữ  liệu hoặc giấy tờ.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57" w:after="0" w:line="357" w:lineRule="auto"/>
        <w:ind w:left="1820" w:right="1580" w:hanging="422"/>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Tuần đầu tiên của tháng 10 – Một tổ chức hoàn thành đệ trình REv trước ngày 1 tháng 10 sẽ nhận được xác nhận chấp nhận cuối cùng từ ABET trong vòng một tuần kể từ ngày 1 tháng 10.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81" w:after="0" w:line="240" w:lineRule="auto"/>
        <w:ind w:left="1377"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THỜI GIAN ĐÁNH GIÁ SẴN SÀNG (REV)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74" w:after="0" w:line="420" w:lineRule="auto"/>
        <w:ind w:left="1382" w:right="1716" w:firstLine="1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Tháng 10 đến tháng 12 – ABET tiến hành Đánh giá mức độ sẵn sàng và chuẩn bị các đề xuất.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Tháng 11 – Hóa đơn cho các khoản phí Đánh giá sẵn sàng kèm theo hướng dẫn thanh toán được phát hành qua thanh toán@abet.org cho các tổ chức  bằng phương thức điện tử. Thanh toán nên được thực hiện trong vòng 30 ngày kể từ ngày nhận.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39" w:after="0" w:line="432" w:lineRule="auto"/>
        <w:ind w:left="1382" w:right="1515" w:firstLine="1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Giữa cuối tháng 12 – Thư giới thiệu từ Ủy ban đánh giá mức độ sẵn sàng được gửi đến các tổ chức bằng điện tử. Thư  giới thiệu có thể bị giữ lại đối với các tổ chức không hoàn thành yêu cầu thanh toán cho đến khi số dư chưa thanh toán được giải quyết.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Tuần thứ 2 </w:t>
      </w: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của tháng 1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Các tổ chức thông báo cho ABET về quyết định của họ về việc có chấp nhận các khuyến nghị Đánh giá Sẵn sàng của họ hay không.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516" w:after="0" w:line="401" w:lineRule="auto"/>
        <w:ind w:left="1453" w:right="1635" w:firstLine="4"/>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Yêu cầu Đánh giá (RFE) phải được gửi trước ngày 31 tháng 1. Lưu ý rằng RFE không có sẵn cho các chương trình đã hoàn thành Đánh giá Sẵn sàng; nó sẽ chỉ được thiết lập cho các tổ chức thông báo cho ABET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(ReadinessReview@abet.org)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về ý  định gửi RFE chính thức cho chu kỳ xem xét sắp tới. Sau khi ABET nhận được thông báo và hoàn tất thiết lập RFE, tổ  chức nên chuẩn bị để hoàn thành việc gửi Yêu cầu Đánh giá (RFE) trực tuyến trước ngày 31 tháng 1.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053" w:after="0" w:line="240" w:lineRule="auto"/>
        <w:ind w:left="1470"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PHÍ XEM XÉT SẴN SÀNG (REV)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92" w:after="0" w:line="398" w:lineRule="auto"/>
        <w:ind w:left="1908" w:right="1712" w:hanging="431"/>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FF6600"/>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US$1,010 mỗi chương trình cho một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nhiệm vụ</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nhất định. Hóa đơn có hướng dẫn thanh toán sẽ được phát hành qua  Payment@abet.org vào tháng 11 sau khi việc gửi REv được chấp nhận hoàn toàn.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494" w:after="0" w:line="240" w:lineRule="auto"/>
        <w:ind w:left="1460"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HƯỚNG DẪN LẬP BÁO CÁO XEM XÉT SẴN SÀNG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407" w:after="0" w:line="240" w:lineRule="auto"/>
        <w:ind w:left="1482"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Sổ tay thủ tục và chính sách công nhận (APPM):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39" w:after="0" w:line="401" w:lineRule="auto"/>
        <w:ind w:left="1906" w:right="1578" w:firstLine="1"/>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Vui lòng sử dụng APPM cập nhật nhất để gửi Đánh giá sẵn sàng của bạn. Tuy nhiên, hãy lưu ý rằng phiên bản cập  nhật của tài liệu này có thể bao gồm các thay đổi phải được sử dụng cho Báo cáo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tự đánh giá</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mà bạn gửi cuối cùng vào  ngày 1 tháng 7 năm sau. Phiên bản 2023-24 sẽ được đăng vào tháng 12 năm 2022.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57" w:after="0" w:line="240" w:lineRule="auto"/>
        <w:ind w:left="1511"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Tiêu chuẩn: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03" w:after="0" w:line="240" w:lineRule="auto"/>
        <w:ind w:left="1907"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Vui lòng sử dụng Tiêu chí hiện hành cập nhật nhất để gửi Đánh giá mức độ sẵn sàng của bạn.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09" w:after="0" w:line="399" w:lineRule="auto"/>
        <w:ind w:left="1903" w:right="1570" w:firstLine="6"/>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Tuy nhiên, hãy lưu ý rằng phiên bản cập nhật của tài liệu này có thể bao gồm các thay đổi phải được sử dụng cho  Báo cáo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tự đánh giá</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mà bạn gửi cuối cùng vào ngày 1 tháng 7 năm sau. Phiên bản 2023-24 sẽ được đăng vào tháng 12 năm  2022.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41" w:after="0" w:line="400" w:lineRule="auto"/>
        <w:ind w:left="1907" w:right="1497" w:firstLine="1"/>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Xin lưu ý rằng có thể có những thay đổi được đề xuất đối với một số tiêu chí chương trình hiện đang trong giai  đoạn xem xét và nhận xét kéo dài một năm cho đến ngày 15 tháng 6 năm 2022. Nếu những thay đổi được đề xuất được  thông qua và phê duyệt sau đó vào năm 2022, chúng sẽ có hiệu lực trong năm 2023-24 tiếp theo chu kỳ xem xét. Bạn  có thể tìm thấy những thay đổi về tiêu chí chương trình được đề xuất cho năm 2023-24 này ở mặt sau của phiên bản  2022-2023 hiện được xuất bản.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41" w:after="0" w:line="240" w:lineRule="auto"/>
        <w:ind w:left="1482"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Mẫu báo cáo sẵn sàng: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34" w:after="0" w:line="240" w:lineRule="auto"/>
        <w:ind w:left="1907"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Vui lòng sử dụng mẫu áp dụng cho </w:t>
      </w: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Chu kỳ đánh giá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2023-24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được đăng trên trang web của ABET tại https://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07" w:after="0" w:line="399" w:lineRule="auto"/>
        <w:ind w:left="1914" w:right="1791" w:hanging="1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www.abet.org/accreditation/get-accredited/accreditation-step-by step/readiness-review/ để chuẩn bị Báo cáo sẵn  sàng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12" w:after="0" w:line="240" w:lineRule="auto"/>
        <w:ind w:left="1453"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Đánh dấu bên dưới là các chủ đề được nhấn mạnh trong quá trình xem xét Báo cáo đánh giá mức độ sẵn sàng được gửi: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1" w:after="0" w:line="240" w:lineRule="auto"/>
        <w:ind w:left="1602" w:right="0" w:firstLine="0"/>
        <w:jc w:val="left"/>
        <w:rPr>
          <w:rFonts w:hint="default" w:ascii="Times New Roman" w:hAnsi="Times New Roman" w:eastAsia="Noto Sans Mono" w:cs="Times New Roman"/>
          <w:b w:val="0"/>
          <w:i w:val="0"/>
          <w:smallCaps w:val="0"/>
          <w:strike w:val="0"/>
          <w:color w:val="000000"/>
          <w:sz w:val="26"/>
          <w:szCs w:val="26"/>
          <w:u w:val="none"/>
          <w:shd w:val="clear" w:fill="auto"/>
          <w:vertAlign w:val="baseline"/>
        </w:rPr>
      </w:pP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Đáp ứng các yêu cầu về tính đủ điều kiện quy định trong APPM Mục IC , đặc biệt chú ý đến: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Tính  đủ điều kiện của tổ chức: APPM IC1. thông qua IC1.b.(1)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Sự phù hợp với một hoặc nhiều trong bốn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nhiệm vụ</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của ABET: APPM IC3.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thông qua</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IC3.d.(1)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Bản lưu trữ</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bài làm của học sinh: APPM IC2. thông qua IC2.c.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Tên chương trình: APPM IC2.b. &amp; IC4.b. thông qua IC4.c.(3)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520" w:lineRule="auto"/>
        <w:ind w:left="2006" w:right="1606" w:hanging="14"/>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Khóa</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t</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ốt nghiệp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lang w:val="en-US"/>
        </w:rPr>
        <w:t xml:space="preserve">ngay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trước khi xem xét: APPM IC5.a.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27" w:after="0" w:line="356" w:lineRule="auto"/>
        <w:ind w:left="1998" w:right="3122" w:hanging="422"/>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Hiểu các yêu cầu của Tiêu chí 1 đến Tiêu chí 6 và các tiêu chí của chương trình (nếu áp dụng)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41" w:after="0" w:line="240" w:lineRule="auto"/>
        <w:ind w:left="1597"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Xác định các vấn đề không tuân thủ tiềm ẩn (tham khảo “Đánh giá sau khi sẵn sàng” bên dưới để biết  các tùy chọn có sẵn)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59" w:after="0" w:line="361" w:lineRule="auto"/>
        <w:ind w:left="1997" w:right="2569" w:hanging="422"/>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Đang đi đúng hướng để bắt đầu đánh giá chính thức trước khi tổ chức của chương trình đầu tư  đáng kể thời gian, kinh phí và thời gian nhân sự vào việc công nhận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797" w:after="0" w:line="240" w:lineRule="auto"/>
        <w:ind w:left="1461"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KẾT QUẢ – KHUYẾN NGHỊ ĐÁNH GIÁ SỰ SẴN SÀNG (REV)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50" w:after="0" w:line="354" w:lineRule="auto"/>
        <w:ind w:left="1453" w:right="1667" w:hanging="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Như được đề cập trong APPM IC5.b., Ủy ban Đánh giá Sự sẵn sàng sẽ đưa ra một trong ba khuyến nghị không  ràng buộc sau đây: </w:t>
      </w:r>
    </w:p>
    <w:tbl>
      <w:tblPr>
        <w:tblStyle w:val="11"/>
        <w:tblpPr w:leftFromText="180" w:rightFromText="180" w:vertAnchor="page" w:horzAnchor="page" w:tblpX="1605" w:tblpY="106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4"/>
        <w:gridCol w:w="82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vAlign w:val="center"/>
          </w:tcPr>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Gửi </w:t>
            </w:r>
          </w:p>
        </w:tc>
        <w:tc>
          <w:tcPr>
            <w:tcW w:w="8243" w:type="dxa"/>
            <w:vAlign w:val="center"/>
          </w:tcPr>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Khuyến nghị này được đưa ra khi Tự nghiên cứu cho thấy rằng (1) chương  trình hiểu các yêu cầu của Tiêu chí 1 đến Tiêu chí 6 và các tiêu chí của  chương trình, và (2) người đánh giá không tìm thấy bất kỳ vấn đề không tuân  thủ tiềm ẩn nào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đối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với chương trình.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068" w:after="0" w:line="240" w:lineRule="auto"/>
              <w:ind w:left="0" w:right="0" w:firstLine="0"/>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Trì hoãn </w:t>
            </w:r>
          </w:p>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p>
        </w:tc>
        <w:tc>
          <w:tcPr>
            <w:tcW w:w="8243" w:type="dxa"/>
            <w:vAlign w:val="center"/>
          </w:tcPr>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Khuyến nghị này được đưa ra khi Tự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 xml:space="preserve">đánh giá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cho thấy (1) chương trình hiểu hầu hết  các yêu cầu của tiêu chí nhưng (2) có một hoặc nhiều vấn đề không tuân thủ  nghiêm trọng tiềm ẩn mà chương trình có thể không giải quyết được đầy đủ trong  thời gian ngắn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trong</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chu kỳ xem xét sắp tới.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K</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hông gửi </w:t>
            </w:r>
          </w:p>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p>
        </w:tc>
        <w:tc>
          <w:tcPr>
            <w:tcW w:w="8243" w:type="dxa"/>
            <w:vAlign w:val="center"/>
          </w:tcPr>
          <w:p>
            <w:pPr>
              <w:keepNext w:val="0"/>
              <w:keepLines w:val="0"/>
              <w:pageBreakBefore w:val="0"/>
              <w:widowControl w:val="0"/>
              <w:spacing w:before="350" w:after="0" w:line="354" w:lineRule="auto"/>
              <w:ind w:right="1667"/>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Đề xuất này được đưa ra khi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tự đánh giá</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cho thấy rằng (1) chương trình  dường như không hiểu hầu hết các yêu cầu của tiêu chí và (2) có những vấn đề  không tuân thủ nghiêm trọng </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rõ ràng </w:t>
            </w:r>
            <w:r>
              <w:rPr>
                <w:rFonts w:hint="default" w:ascii="Times New Roman" w:hAnsi="Times New Roman" w:eastAsia="Noto Sans Mono" w:cs="Times New Roman"/>
                <w:b w:val="0"/>
                <w:i w:val="0"/>
                <w:smallCaps w:val="0"/>
                <w:strike w:val="0"/>
                <w:color w:val="000000"/>
                <w:sz w:val="26"/>
                <w:szCs w:val="26"/>
                <w:u w:val="none"/>
                <w:shd w:val="clear" w:fill="auto"/>
                <w:vertAlign w:val="baseline"/>
                <w:rtl w:val="0"/>
              </w:rPr>
              <w:t xml:space="preserve">mà chương trình rất có thể sẽ cần thêm  thời gian để giải quyết ngoài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chu kỳ xem xét sắp tới ngay lập tức. </w:t>
            </w:r>
          </w:p>
        </w:tc>
      </w:tr>
    </w:tbl>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50" w:after="0" w:line="354" w:lineRule="auto"/>
        <w:ind w:left="1453" w:right="1667" w:hanging="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50" w:after="0" w:line="354" w:lineRule="auto"/>
        <w:ind w:left="1453" w:right="1667" w:hanging="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sectPr>
          <w:pgSz w:w="12240" w:h="15840"/>
          <w:pgMar w:top="0" w:right="0" w:bottom="0" w:left="0" w:header="0" w:footer="720" w:gutter="0"/>
          <w:pgNumType w:start="1"/>
          <w:cols w:space="720" w:num="1"/>
        </w:sect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357" w:lineRule="auto"/>
        <w:ind w:left="0"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sectPr>
          <w:type w:val="continuous"/>
          <w:pgSz w:w="12240" w:h="15840"/>
          <w:pgMar w:top="0" w:right="1652" w:bottom="0" w:left="1597" w:header="0" w:footer="720" w:gutter="0"/>
          <w:cols w:equalWidth="0" w:num="3">
            <w:col w:w="3000" w:space="0"/>
            <w:col w:w="3000" w:space="0"/>
            <w:col w:w="3000"/>
          </w:cols>
        </w:sectPr>
      </w:pPr>
      <w:r>
        <w:rPr>
          <w:rFonts w:hint="default" w:ascii="Times New Roman" w:hAnsi="Times New Roman" w:eastAsia="Noto Sans Mono" w:cs="Times New Roman"/>
          <w:b w:val="0"/>
          <w:i w:val="0"/>
          <w:smallCaps w:val="0"/>
          <w:strike w:val="0"/>
          <w:color w:val="FF6600"/>
          <w:sz w:val="26"/>
          <w:szCs w:val="26"/>
          <w:u w:val="none"/>
          <w:shd w:val="clear" w:fill="auto"/>
          <w:vertAlign w:val="baseline"/>
          <w:rtl w:val="0"/>
        </w:rPr>
        <w:t xml:space="preserve">•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534" w:after="0" w:line="356" w:lineRule="auto"/>
        <w:ind w:left="1454" w:right="1480" w:firstLine="8"/>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Các đề xuất Đánh giá mức độ sẵn sàng không ảnh hưởng đến bất kỳ đánh giá công nhận chính thức nào và được  giữ bí mật với Hội đồng ABET, Ủy ban ABET và bất kỳ Nhóm Đánh giá ABET nào được chỉ định. Bất kỳ ai muốn biết kết quả Đánh giá mức độ sẵn sàng phải có được sự đồng ý và thông tin trực tiếp từ tổ  chức của chương trình được đánh giá.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30" w:after="0" w:line="240" w:lineRule="auto"/>
        <w:ind w:left="1457"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ĐÁNH GIÁ SẴN SÀNG SAU (REV) – LỰA CHỌN CHO CÁC CHƯƠNG TRÌNH/</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lang w:val="en-US"/>
        </w:rPr>
        <w:t>CSGD</w:t>
      </w: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451" w:after="0" w:line="358" w:lineRule="auto"/>
        <w:ind w:left="1456" w:right="1566" w:hanging="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Đánh giá mức độ sẵn sàng không phải là đánh giá toàn diện cũng không phải là tư vấn; Đây là một đánh giá  lướt qua chỉ dựa trên thông tin được cung cấp trong Báo cáo đánh giá mức độ sẵn sàng của chương trình. Do  đó, phản hồi/khuyến nghị từ Ủy ban Đánh giá Sẵn sàng được cung cấp “nguyên trạng”; không có thêm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thông tin</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hoặc thảo luận nào.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91" w:after="0" w:line="327" w:lineRule="auto"/>
        <w:ind w:left="1448" w:right="1476" w:firstLine="8"/>
        <w:jc w:val="both"/>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Ủy ban đánh giá mức độ sẵn sàng không thể dự đoán kết quả của nhóm đánh giá và kết quả công nhận cuối cùng có thể được cấp bởi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lang w:val="en-US"/>
        </w:rPr>
        <w:t>tổ chức</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thích hợp cho một chương trình nhất định. Tùy thuộc vào tổ chức xem xét đề xuất Đánh giá sẵn sàng và quyết định con đường tốt nhất để đánh giá công nhận chương trình – bắt đầu quy trình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86" w:after="0" w:line="357" w:lineRule="auto"/>
        <w:ind w:left="1456" w:right="1563" w:firstLine="3"/>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công nhận chính thức ngay lập tức bằng cách hoàn thành các yêu cầu RFE trong khung thời gian yêu cầu hoặc  trì hoãn việc theo đuổi công nhận ABET.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549" w:after="0" w:line="358" w:lineRule="auto"/>
        <w:ind w:left="1450" w:right="1472" w:hanging="2"/>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Kết quả Đánh giá Sẵn sàng có giá trị trong một năm. Thông thường, các chương trình đã hoàn thành yêu cầu  Đánh giá mức độ sẵn sàng không cần phải trải qua một lần Đánh giá mức độ sẵn sàng khác bất kể kết quả Đánh  giá mức độ sẵn sàng như thế nào và có thể chọn gửi RFE chính thức cho chu kỳ đánh giá ngay lập tức hoặc  tiếp theo.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78" w:after="0" w:line="358" w:lineRule="auto"/>
        <w:ind w:left="1461" w:right="1465" w:hanging="16"/>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Nếu vì những lý do không mong muốn, các chương trình cần hoãn việc gửi RFE sau một chu kỳ xem xét (nếu  vượt quá Chu kỳ xem xét 2023-24), vui lòng kiểm tra lại với Ủy ban đánh giá mức độ sẵn sàng (tốt nhất là  trước ngày 1 tháng 10 năm 2022) tại ReadinessReview@abet.org để xem liệu một Đánh giá Sẵn sàng khác có cần  thiết hay không.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78" w:after="0" w:line="359" w:lineRule="auto"/>
        <w:ind w:left="1451" w:right="1568" w:firstLine="8"/>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Trong một số trường hợp – khi Báo cáo Đánh giá Mức độ sẵn sàng chưa được chuẩn bị đầy đủ – các chương  trình có thể phải trải qua một lần Đánh giá Mức độ sẵn sàng khác. Trong những trường hợp này, Ủy ban Đánh  giá Sẵn sàng sẽ chỉ ra yêu cầu gửi lại để Đánh giá Sẵn sàng trong thư gửi cho tổ chức của chương trình.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79" w:after="0" w:line="357" w:lineRule="auto"/>
        <w:ind w:left="1454" w:right="1988" w:firstLine="8"/>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Các chương trình cần hỗ trợ chuẩn bị cho việc công nhận hoặc cần thêm thông tin đầu vào liên quan đến Đề xuất Đánh giá sẵn sàng nhận được có thể xem xét các nguồn sau: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48" w:after="0" w:line="240" w:lineRule="auto"/>
        <w:ind w:left="1603"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Sự kiện cung cấp thông tin – ABET cung cấp nhiều sự kiện khác nhau trong suốt cả năm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89" w:after="0" w:line="361" w:lineRule="auto"/>
        <w:ind w:left="1816" w:right="1700" w:firstLine="5"/>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www.abet.org/events-and-workshops/).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Chúng tôi khuyên bạn nên tham dự Hội nghị chuyên đề và/hoặc Hội  thảo đánh giá chương trình: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38" w:after="0" w:line="319" w:lineRule="auto"/>
        <w:ind w:left="1814" w:right="1798" w:hanging="21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Arial" w:cs="Times New Roman"/>
          <w:b w:val="0"/>
          <w:i w:val="0"/>
          <w:smallCaps w:val="0"/>
          <w:strike w:val="0"/>
          <w:color w:val="000000"/>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Hội nghị chuyên đề – Sự kiện thường niên này (thường vào tháng 4) cung cấp thông tin toàn diện về  các khía cạnh khác nhau của công nhận ABET. Truy cập https://www.abet.org/events/abet-symposium/ để  biết chi tiết.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13" w:after="0" w:line="240" w:lineRule="auto"/>
        <w:ind w:left="1603"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(Các) Hội thảo Đánh giá Chương trình – Hội thảo được tổ chức đồng thời với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84" w:after="0" w:line="240" w:lineRule="auto"/>
        <w:ind w:left="1822"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Hội nghị chuyên đề và trong suốt cả năm. Truy cập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https://www.abet.org/assessment/ </w:t>
      </w: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để biết thêm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8" w:after="0" w:line="240" w:lineRule="auto"/>
        <w:ind w:left="1817" w:right="0" w:firstLine="0"/>
        <w:jc w:val="left"/>
        <w:rPr>
          <w:rFonts w:hint="default" w:ascii="Times New Roman" w:hAnsi="Times New Roman" w:eastAsia="Noto Sans Mono" w:cs="Times New Roman"/>
          <w:b w:val="0"/>
          <w:i w:val="0"/>
          <w:smallCaps w:val="0"/>
          <w:strike w:val="0"/>
          <w:color w:val="69686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thông tin.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82" w:after="0" w:line="240" w:lineRule="auto"/>
        <w:ind w:left="1603"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696867"/>
          <w:sz w:val="26"/>
          <w:szCs w:val="26"/>
          <w:u w:val="none"/>
          <w:shd w:val="clear" w:fill="auto"/>
          <w:vertAlign w:val="baseline"/>
          <w:rtl w:val="0"/>
        </w:rPr>
        <w:t xml:space="preserve"> Tài nguyên bổ sung – Vui lòng truy cập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https://www.abet.org/accreditation/get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23" w:after="0" w:line="240" w:lineRule="auto"/>
        <w:ind w:left="1818"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Certiied/additional-resources/.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922" w:after="0" w:line="240" w:lineRule="auto"/>
        <w:ind w:left="1436"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Bản quyền ABET – Bảo lưu mọi quyền. Việc sử dụng trang Web này biểu thị sự đồng ý của bạn với các Điều khoản và Điều kiện.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44" w:after="0" w:line="240" w:lineRule="auto"/>
        <w:ind w:left="0" w:right="624" w:firstLine="0"/>
        <w:jc w:val="righ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4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50" w:right="0" w:firstLine="0"/>
        <w:jc w:val="left"/>
        <w:rPr>
          <w:rFonts w:hint="default" w:ascii="Times New Roman" w:hAnsi="Times New Roman" w:eastAsia="Noto Sans Mono" w:cs="Times New Roman"/>
          <w:b w:val="0"/>
          <w:i w:val="0"/>
          <w:smallCaps w:val="0"/>
          <w:strike w:val="0"/>
          <w:color w:val="818181"/>
          <w:sz w:val="26"/>
          <w:szCs w:val="26"/>
          <w:u w:val="none"/>
          <w:shd w:val="clear" w:fill="auto"/>
          <w:vertAlign w:val="baseline"/>
        </w:rPr>
      </w:pPr>
      <w:r>
        <w:rPr>
          <w:rFonts w:hint="default" w:ascii="Times New Roman" w:hAnsi="Times New Roman" w:eastAsia="Noto Sans Mono" w:cs="Times New Roman"/>
          <w:b w:val="0"/>
          <w:i w:val="0"/>
          <w:smallCaps w:val="0"/>
          <w:strike w:val="0"/>
          <w:color w:val="818181"/>
          <w:sz w:val="26"/>
          <w:szCs w:val="26"/>
          <w:u w:val="none"/>
          <w:shd w:val="clear" w:fill="auto"/>
          <w:vertAlign w:val="baseline"/>
          <w:rtl w:val="0"/>
        </w:rPr>
        <w:t xml:space="preserve">A039 31-3-2022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954" w:after="0" w:line="240" w:lineRule="auto"/>
        <w:ind w:left="1387"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bookmarkStart w:id="0" w:name="_GoBack"/>
      <w:bookmarkEnd w:id="0"/>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www.abet.org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644" w:after="0" w:line="240" w:lineRule="auto"/>
        <w:ind w:left="1463"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TÀI LIỆU VÀ LIÊN KẾT HỮU ÍCH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525" w:after="0" w:line="240" w:lineRule="auto"/>
        <w:ind w:left="1614"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w:t>
      </w: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Sổ tay thủ tục và chính sách công nhận ABET (APPM) – https://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77" w:after="0" w:line="240" w:lineRule="auto"/>
        <w:ind w:left="180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www.abet.org/accreditation/accreditation-criteria/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81" w:after="0" w:line="240" w:lineRule="auto"/>
        <w:ind w:left="1612"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Tiêu chí ABET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24" w:after="0" w:line="240" w:lineRule="auto"/>
        <w:ind w:left="181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https://www.abet.org/accreditation/accreditation-criteria/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26" w:after="0" w:line="240" w:lineRule="auto"/>
        <w:ind w:left="1612"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Mẫu Đánh giá Sẵn sàng ABET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80" w:after="0" w:line="240" w:lineRule="auto"/>
        <w:ind w:left="181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https://www.abet.org/accreditation/get-accredited/accreditation-step-by-step/readiness-review/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12" w:after="0" w:line="240" w:lineRule="auto"/>
        <w:ind w:left="157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Hướng dẫn ABET dành cho người đánh giá mức độ sẵn sàng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32" w:after="0" w:line="240" w:lineRule="auto"/>
        <w:ind w:left="181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https://www.abet.org/accreditation/get-accredited/accreditation-step-by-step/readiness-review/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79" w:after="0" w:line="240" w:lineRule="auto"/>
        <w:ind w:left="1612"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Chứng nhận là gì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2" w:after="0" w:line="240" w:lineRule="auto"/>
        <w:ind w:left="1820"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https://www.abet.org/accreditation/what-is-accreditation/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280" w:after="0" w:line="240" w:lineRule="auto"/>
        <w:ind w:left="1612"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Công nhận Bên ngoài Hoa Kỳ –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24" w:after="0" w:line="240" w:lineRule="auto"/>
        <w:ind w:left="181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https://www.abet.org/accreditation/get-accredited/accreditation-outside-the-us/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27" w:after="0" w:line="240" w:lineRule="auto"/>
        <w:ind w:left="1612"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 Công nhận từng bước – https://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79" w:after="0" w:line="240" w:lineRule="auto"/>
        <w:ind w:left="1809"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www.abet.org/accreditation/get-accredited/accreditation-step-by-step/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144" w:after="0" w:line="240" w:lineRule="auto"/>
        <w:ind w:left="1460"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CÂU HỎI KHÁC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381" w:after="0" w:line="240" w:lineRule="auto"/>
        <w:ind w:left="1470" w:right="0" w:firstLine="0"/>
        <w:jc w:val="left"/>
        <w:rPr>
          <w:rFonts w:hint="default" w:ascii="Times New Roman" w:hAnsi="Times New Roman" w:eastAsia="Noto Sans Mono" w:cs="Times New Roman"/>
          <w:b w:val="0"/>
          <w:i w:val="0"/>
          <w:smallCaps w:val="0"/>
          <w:strike w:val="0"/>
          <w:color w:val="575757"/>
          <w:sz w:val="26"/>
          <w:szCs w:val="26"/>
          <w:u w:val="none"/>
          <w:shd w:val="clear" w:fill="auto"/>
          <w:vertAlign w:val="baseline"/>
        </w:rPr>
      </w:pPr>
      <w:r>
        <w:rPr>
          <w:rFonts w:hint="default" w:ascii="Times New Roman" w:hAnsi="Times New Roman" w:eastAsia="Noto Sans Mono" w:cs="Times New Roman"/>
          <w:b w:val="0"/>
          <w:i w:val="0"/>
          <w:smallCaps w:val="0"/>
          <w:strike w:val="0"/>
          <w:color w:val="575757"/>
          <w:sz w:val="26"/>
          <w:szCs w:val="26"/>
          <w:u w:val="none"/>
          <w:shd w:val="clear" w:fill="auto"/>
          <w:vertAlign w:val="baseline"/>
          <w:rtl w:val="0"/>
        </w:rPr>
        <w:t xml:space="preserve">Liên hệ ReadinessReview@abet.org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5204" w:after="0" w:line="240" w:lineRule="auto"/>
        <w:ind w:left="1436" w:right="0" w:firstLine="0"/>
        <w:jc w:val="lef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 Bản quyền ABET – Bảo lưu mọi quyền. Việc sử dụng trang Web này biểu thị sự đồng ý của bạn với các Điều khoản và Điều kiện.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146" w:after="0" w:line="240" w:lineRule="auto"/>
        <w:ind w:left="0" w:right="623" w:firstLine="0"/>
        <w:jc w:val="right"/>
        <w:rPr>
          <w:rFonts w:hint="default" w:ascii="Times New Roman" w:hAnsi="Times New Roman" w:eastAsia="Noto Sans Mono" w:cs="Times New Roman"/>
          <w:b w:val="0"/>
          <w:i w:val="0"/>
          <w:smallCaps w:val="0"/>
          <w:strike w:val="0"/>
          <w:color w:val="FF6C2C"/>
          <w:sz w:val="26"/>
          <w:szCs w:val="26"/>
          <w:u w:val="none"/>
          <w:shd w:val="clear" w:fill="auto"/>
          <w:vertAlign w:val="baseline"/>
        </w:rPr>
      </w:pPr>
      <w:r>
        <w:rPr>
          <w:rFonts w:hint="default" w:ascii="Times New Roman" w:hAnsi="Times New Roman" w:eastAsia="Noto Sans Mono" w:cs="Times New Roman"/>
          <w:b w:val="0"/>
          <w:i w:val="0"/>
          <w:smallCaps w:val="0"/>
          <w:strike w:val="0"/>
          <w:color w:val="FF6C2C"/>
          <w:sz w:val="26"/>
          <w:szCs w:val="26"/>
          <w:u w:val="none"/>
          <w:shd w:val="clear" w:fill="auto"/>
          <w:vertAlign w:val="baseline"/>
          <w:rtl w:val="0"/>
        </w:rPr>
        <w:t xml:space="preserve">5 </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50" w:right="0" w:firstLine="0"/>
        <w:jc w:val="left"/>
        <w:rPr>
          <w:rFonts w:hint="default" w:ascii="Times New Roman" w:hAnsi="Times New Roman" w:eastAsia="Noto Sans Mono" w:cs="Times New Roman"/>
          <w:b w:val="0"/>
          <w:i w:val="0"/>
          <w:smallCaps w:val="0"/>
          <w:strike w:val="0"/>
          <w:color w:val="818181"/>
          <w:sz w:val="26"/>
          <w:szCs w:val="26"/>
          <w:u w:val="none"/>
          <w:shd w:val="clear" w:fill="auto"/>
          <w:vertAlign w:val="baseline"/>
        </w:rPr>
      </w:pPr>
      <w:r>
        <w:rPr>
          <w:rFonts w:hint="default" w:ascii="Times New Roman" w:hAnsi="Times New Roman" w:eastAsia="Noto Sans Mono" w:cs="Times New Roman"/>
          <w:b w:val="0"/>
          <w:i w:val="0"/>
          <w:smallCaps w:val="0"/>
          <w:strike w:val="0"/>
          <w:color w:val="818181"/>
          <w:sz w:val="26"/>
          <w:szCs w:val="26"/>
          <w:u w:val="none"/>
          <w:shd w:val="clear" w:fill="auto"/>
          <w:vertAlign w:val="baseline"/>
          <w:rtl w:val="0"/>
        </w:rPr>
        <w:t xml:space="preserve">A039 31-3-2022 </w:t>
      </w:r>
    </w:p>
    <w:sectPr>
      <w:type w:val="continuous"/>
      <w:pgSz w:w="12240" w:h="15840"/>
      <w:pgMar w:top="0" w:right="0" w:bottom="0" w:left="0" w:header="0" w:footer="720" w:gutter="0"/>
      <w:cols w:equalWidth="0" w:num="1">
        <w:col w:w="1224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Georgia">
    <w:panose1 w:val="02040502050405020303"/>
    <w:charset w:val="00"/>
    <w:family w:val="auto"/>
    <w:pitch w:val="default"/>
    <w:sig w:usb0="00000287" w:usb1="00000000" w:usb2="00000000" w:usb3="00000000" w:csb0="2000009F" w:csb1="00000000"/>
  </w:font>
  <w:font w:name="Noto Sans Mon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oogle Sans">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0AE016B7"/>
    <w:rsid w:val="3445688A"/>
    <w:rsid w:val="356D7403"/>
    <w:rsid w:val="6BC369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qFormat="1"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line="276" w:lineRule="auto"/>
    </w:pPr>
    <w:rPr>
      <w:rFonts w:ascii="Arial" w:hAnsi="Arial" w:eastAsia="Arial" w:cs="Arial"/>
      <w:sz w:val="22"/>
      <w:szCs w:val="22"/>
    </w:rPr>
  </w:style>
  <w:style w:type="paragraph" w:styleId="2">
    <w:name w:val="heading 1"/>
    <w:basedOn w:val="1"/>
    <w:next w:val="1"/>
    <w:uiPriority w:val="0"/>
    <w:pPr>
      <w:keepNext/>
      <w:keepLines/>
      <w:pageBreakBefore w:val="0"/>
      <w:spacing w:before="480" w:after="120"/>
    </w:pPr>
    <w:rPr>
      <w:b/>
      <w:sz w:val="48"/>
      <w:szCs w:val="48"/>
    </w:rPr>
  </w:style>
  <w:style w:type="paragraph" w:styleId="3">
    <w:name w:val="heading 2"/>
    <w:basedOn w:val="1"/>
    <w:next w:val="1"/>
    <w:uiPriority w:val="0"/>
    <w:pPr>
      <w:keepNext/>
      <w:keepLines/>
      <w:pageBreakBefore w:val="0"/>
      <w:spacing w:before="360" w:after="80"/>
    </w:pPr>
    <w:rPr>
      <w:b/>
      <w:sz w:val="36"/>
      <w:szCs w:val="36"/>
    </w:rPr>
  </w:style>
  <w:style w:type="paragraph" w:styleId="4">
    <w:name w:val="heading 3"/>
    <w:basedOn w:val="1"/>
    <w:next w:val="1"/>
    <w:uiPriority w:val="0"/>
    <w:pPr>
      <w:keepNext/>
      <w:keepLines/>
      <w:pageBreakBefore w:val="0"/>
      <w:spacing w:before="280" w:after="80"/>
    </w:pPr>
    <w:rPr>
      <w:b/>
      <w:sz w:val="28"/>
      <w:szCs w:val="28"/>
    </w:rPr>
  </w:style>
  <w:style w:type="paragraph" w:styleId="5">
    <w:name w:val="heading 4"/>
    <w:basedOn w:val="1"/>
    <w:next w:val="1"/>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uiPriority w:val="0"/>
    <w:pPr>
      <w:keepNext/>
      <w:keepLines/>
      <w:pageBreakBefore w:val="0"/>
      <w:spacing w:before="200" w:after="40"/>
    </w:pPr>
    <w:rPr>
      <w:b/>
      <w:sz w:val="20"/>
      <w:szCs w:val="20"/>
    </w:rPr>
  </w:style>
  <w:style w:type="character" w:default="1" w:styleId="8">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table" w:styleId="11">
    <w:name w:val="Table Grid"/>
    <w:basedOn w:val="9"/>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Title"/>
    <w:basedOn w:val="1"/>
    <w:next w:val="1"/>
    <w:uiPriority w:val="0"/>
    <w:pPr>
      <w:keepNext/>
      <w:keepLines/>
      <w:pageBreakBefore w:val="0"/>
      <w:spacing w:before="480" w:after="120"/>
    </w:pPr>
    <w:rPr>
      <w:b/>
      <w:sz w:val="72"/>
      <w:szCs w:val="72"/>
    </w:rPr>
  </w:style>
  <w:style w:type="table" w:customStyle="1" w:styleId="13">
    <w:name w:val="Table Normal1"/>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otalTime>7</TotalTime>
  <ScaleCrop>false</ScaleCrop>
  <LinksUpToDate>false</LinksUpToDate>
  <Application>WPS Office_11.2.0.11130_F1E327BC-269C-435d-A152-05C5408002CA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2023-03-11T17:46:00Z</dcterms:created>
  <dc:creator>Admin</dc:creator>
  <cp:lastModifiedBy>Admin</cp:lastModifiedBy>
  <dcterms:modified xsi:type="dcterms:W3CDTF">2023-03-12T05:15:32Z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E009A7D864344C3F9BF361048A64B07E</vt:lpwstr>
  </property>
</Properties>
</file>