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0721DA" w14:textId="27D0858F" w:rsidR="00062A66" w:rsidRDefault="00DA1408" w:rsidP="00071F3A">
      <w:pPr>
        <w:spacing w:after="0" w:line="240" w:lineRule="auto"/>
        <w:jc w:val="center"/>
        <w:rPr>
          <w:rFonts w:ascii="Times New Roman" w:hAnsi="Times New Roman" w:cs="Times New Roman"/>
          <w:b/>
          <w:bCs/>
          <w:sz w:val="26"/>
          <w:szCs w:val="26"/>
          <w:lang w:val="vi-VN"/>
        </w:rPr>
      </w:pPr>
      <w:r>
        <w:rPr>
          <w:rFonts w:ascii="Times New Roman" w:hAnsi="Times New Roman" w:cs="Times New Roman"/>
          <w:b/>
          <w:bCs/>
          <w:sz w:val="26"/>
          <w:szCs w:val="26"/>
          <w:lang w:val="vi-VN"/>
        </w:rPr>
        <w:t>CHUYỂN ĐỔI SỐ Ở TRƯỜNG ĐẠI HỌC VÀ TÁC ĐỘNG CỦA NÓ ĐẾN HỆ SINH THÁI HỌC TẬP QUA MẠNG</w:t>
      </w:r>
    </w:p>
    <w:p w14:paraId="7D2D6DF1" w14:textId="6C2AD395" w:rsidR="00071F3A" w:rsidRPr="00071F3A" w:rsidRDefault="00071F3A" w:rsidP="00071F3A">
      <w:pPr>
        <w:spacing w:after="0" w:line="240" w:lineRule="auto"/>
        <w:jc w:val="center"/>
        <w:rPr>
          <w:rFonts w:ascii="Times New Roman" w:hAnsi="Times New Roman" w:cs="Times New Roman"/>
          <w:sz w:val="26"/>
          <w:szCs w:val="26"/>
          <w:lang w:val="vi-VN"/>
        </w:rPr>
      </w:pPr>
      <w:r w:rsidRPr="00071F3A">
        <w:rPr>
          <w:rFonts w:ascii="Times New Roman" w:hAnsi="Times New Roman" w:cs="Times New Roman"/>
          <w:sz w:val="26"/>
          <w:szCs w:val="26"/>
          <w:lang w:val="vi-VN"/>
        </w:rPr>
        <w:t>DIGITAL TRANSFORMATION IN UNIVERSITIES AND ITS IMPACT ON THE E-LEARNING ECOSYSTEM</w:t>
      </w:r>
    </w:p>
    <w:p w14:paraId="15F30C81" w14:textId="77777777" w:rsidR="003E0449" w:rsidRPr="001B188B" w:rsidRDefault="003E0449" w:rsidP="008137CB">
      <w:pPr>
        <w:widowControl w:val="0"/>
        <w:spacing w:after="0" w:line="240" w:lineRule="auto"/>
        <w:jc w:val="center"/>
        <w:outlineLvl w:val="0"/>
        <w:rPr>
          <w:rFonts w:ascii="Times New Roman" w:eastAsiaTheme="minorEastAsia" w:hAnsi="Times New Roman" w:cs="Times New Roman"/>
          <w:i/>
          <w:color w:val="000000" w:themeColor="text1"/>
          <w:spacing w:val="-4"/>
          <w:w w:val="98"/>
          <w:kern w:val="32"/>
          <w:sz w:val="26"/>
          <w:szCs w:val="26"/>
          <w:lang w:eastAsia="vi-VN"/>
        </w:rPr>
      </w:pPr>
    </w:p>
    <w:tbl>
      <w:tblPr>
        <w:tblStyle w:val="TableGrid"/>
        <w:tblW w:w="89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9"/>
        <w:gridCol w:w="276"/>
        <w:gridCol w:w="6186"/>
      </w:tblGrid>
      <w:tr w:rsidR="0032180B" w14:paraId="2662075D" w14:textId="77777777" w:rsidTr="00071F3A">
        <w:trPr>
          <w:trHeight w:val="323"/>
        </w:trPr>
        <w:tc>
          <w:tcPr>
            <w:tcW w:w="2529" w:type="dxa"/>
            <w:vAlign w:val="center"/>
          </w:tcPr>
          <w:p w14:paraId="2833804A" w14:textId="05A08097" w:rsidR="000F7B3F" w:rsidRPr="000F7B3F" w:rsidRDefault="000F7B3F" w:rsidP="00EB771F">
            <w:pPr>
              <w:spacing w:before="40"/>
              <w:rPr>
                <w:rFonts w:ascii="Times New Roman" w:hAnsi="Times New Roman" w:cs="Times New Roman"/>
                <w:b/>
                <w:color w:val="0000CC"/>
                <w:spacing w:val="-4"/>
                <w:w w:val="98"/>
                <w:sz w:val="21"/>
                <w:szCs w:val="26"/>
                <w:vertAlign w:val="superscript"/>
              </w:rPr>
            </w:pPr>
            <w:bookmarkStart w:id="0" w:name="_GoBack"/>
            <w:bookmarkEnd w:id="0"/>
          </w:p>
        </w:tc>
        <w:tc>
          <w:tcPr>
            <w:tcW w:w="276" w:type="dxa"/>
            <w:vMerge w:val="restart"/>
            <w:vAlign w:val="center"/>
          </w:tcPr>
          <w:p w14:paraId="5ACD5F0A" w14:textId="77777777" w:rsidR="0032180B" w:rsidRPr="007017A2" w:rsidRDefault="0032180B" w:rsidP="00B95DB8">
            <w:pPr>
              <w:spacing w:before="40"/>
              <w:jc w:val="both"/>
              <w:rPr>
                <w:rFonts w:ascii="Times New Roman" w:hAnsi="Times New Roman" w:cs="Times New Roman"/>
                <w:color w:val="000000" w:themeColor="text1"/>
                <w:spacing w:val="-4"/>
                <w:w w:val="98"/>
                <w:sz w:val="21"/>
                <w:szCs w:val="26"/>
              </w:rPr>
            </w:pPr>
          </w:p>
        </w:tc>
        <w:tc>
          <w:tcPr>
            <w:tcW w:w="6186" w:type="dxa"/>
            <w:vAlign w:val="center"/>
          </w:tcPr>
          <w:p w14:paraId="5B7804EE" w14:textId="71252CA8" w:rsidR="0032180B" w:rsidRPr="00071F3A" w:rsidRDefault="0032180B" w:rsidP="00B5290F">
            <w:pPr>
              <w:spacing w:before="40"/>
              <w:jc w:val="both"/>
              <w:rPr>
                <w:rFonts w:ascii="Times New Roman" w:hAnsi="Times New Roman" w:cs="Times New Roman"/>
                <w:color w:val="000000" w:themeColor="text1"/>
                <w:spacing w:val="-4"/>
                <w:w w:val="98"/>
                <w:sz w:val="21"/>
                <w:szCs w:val="26"/>
              </w:rPr>
            </w:pPr>
          </w:p>
        </w:tc>
      </w:tr>
      <w:tr w:rsidR="0032180B" w14:paraId="7DA019BA" w14:textId="77777777" w:rsidTr="00071F3A">
        <w:trPr>
          <w:trHeight w:val="110"/>
        </w:trPr>
        <w:tc>
          <w:tcPr>
            <w:tcW w:w="2529" w:type="dxa"/>
            <w:vAlign w:val="center"/>
          </w:tcPr>
          <w:p w14:paraId="19C139A7" w14:textId="77777777" w:rsidR="0032180B" w:rsidRPr="00EB771F" w:rsidRDefault="0032180B" w:rsidP="00EB771F">
            <w:pPr>
              <w:ind w:left="29"/>
              <w:jc w:val="both"/>
              <w:rPr>
                <w:rFonts w:ascii="Times New Roman" w:hAnsi="Times New Roman" w:cs="Times New Roman"/>
                <w:i/>
                <w:color w:val="000000" w:themeColor="text1"/>
                <w:spacing w:val="-4"/>
                <w:w w:val="98"/>
                <w:sz w:val="21"/>
                <w:szCs w:val="26"/>
              </w:rPr>
            </w:pPr>
          </w:p>
        </w:tc>
        <w:tc>
          <w:tcPr>
            <w:tcW w:w="276" w:type="dxa"/>
            <w:vMerge/>
            <w:vAlign w:val="center"/>
          </w:tcPr>
          <w:p w14:paraId="24CD7E5B" w14:textId="77777777" w:rsidR="0032180B" w:rsidRPr="007017A2" w:rsidRDefault="0032180B" w:rsidP="00B95DB8">
            <w:pPr>
              <w:spacing w:before="40"/>
              <w:jc w:val="both"/>
              <w:rPr>
                <w:rFonts w:ascii="Times New Roman" w:hAnsi="Times New Roman" w:cs="Times New Roman"/>
                <w:color w:val="000000" w:themeColor="text1"/>
                <w:spacing w:val="-4"/>
                <w:w w:val="98"/>
                <w:sz w:val="21"/>
                <w:szCs w:val="26"/>
              </w:rPr>
            </w:pPr>
          </w:p>
        </w:tc>
        <w:tc>
          <w:tcPr>
            <w:tcW w:w="6186" w:type="dxa"/>
            <w:vAlign w:val="center"/>
          </w:tcPr>
          <w:p w14:paraId="7A7535DB" w14:textId="77777777" w:rsidR="0032180B" w:rsidRPr="007017A2" w:rsidRDefault="0032180B" w:rsidP="00B95DB8">
            <w:pPr>
              <w:spacing w:before="40"/>
              <w:jc w:val="both"/>
              <w:rPr>
                <w:rFonts w:ascii="Times New Roman" w:hAnsi="Times New Roman" w:cs="Times New Roman"/>
                <w:color w:val="000000" w:themeColor="text1"/>
                <w:spacing w:val="-4"/>
                <w:w w:val="98"/>
                <w:sz w:val="21"/>
                <w:szCs w:val="26"/>
              </w:rPr>
            </w:pPr>
          </w:p>
        </w:tc>
      </w:tr>
      <w:tr w:rsidR="00F209EC" w14:paraId="2D447835" w14:textId="77777777" w:rsidTr="00071F3A">
        <w:trPr>
          <w:trHeight w:val="101"/>
        </w:trPr>
        <w:tc>
          <w:tcPr>
            <w:tcW w:w="2529" w:type="dxa"/>
            <w:shd w:val="clear" w:color="auto" w:fill="FFFFFF" w:themeFill="background1"/>
          </w:tcPr>
          <w:p w14:paraId="49D8660B" w14:textId="0804556C" w:rsidR="00F209EC" w:rsidRPr="0032180B" w:rsidRDefault="00071F3A" w:rsidP="00F209EC">
            <w:pPr>
              <w:ind w:left="29"/>
              <w:jc w:val="both"/>
              <w:rPr>
                <w:rFonts w:ascii="Times New Roman" w:eastAsiaTheme="minorEastAsia" w:hAnsi="Times New Roman" w:cstheme="majorHAnsi"/>
                <w:b/>
                <w:bCs/>
                <w:color w:val="000000" w:themeColor="text1"/>
                <w:spacing w:val="-4"/>
                <w:w w:val="98"/>
                <w:sz w:val="21"/>
                <w:szCs w:val="21"/>
              </w:rPr>
            </w:pPr>
            <w:r>
              <w:rPr>
                <w:rFonts w:ascii="Times New Roman" w:eastAsiaTheme="minorEastAsia" w:hAnsi="Times New Roman" w:cstheme="majorHAnsi"/>
                <w:b/>
                <w:bCs/>
                <w:color w:val="000000" w:themeColor="text1"/>
                <w:spacing w:val="-4"/>
                <w:w w:val="98"/>
                <w:sz w:val="21"/>
                <w:szCs w:val="21"/>
              </w:rPr>
              <w:t>Từ khóa</w:t>
            </w:r>
            <w:r w:rsidR="00F209EC" w:rsidRPr="007017A2">
              <w:rPr>
                <w:rFonts w:ascii="Times New Roman" w:eastAsiaTheme="minorEastAsia" w:hAnsi="Times New Roman" w:cstheme="majorHAnsi"/>
                <w:b/>
                <w:bCs/>
                <w:color w:val="000000" w:themeColor="text1"/>
                <w:spacing w:val="-4"/>
                <w:w w:val="98"/>
                <w:sz w:val="21"/>
                <w:szCs w:val="21"/>
              </w:rPr>
              <w:t>:</w:t>
            </w:r>
          </w:p>
        </w:tc>
        <w:tc>
          <w:tcPr>
            <w:tcW w:w="276" w:type="dxa"/>
            <w:vMerge/>
            <w:tcBorders>
              <w:right w:val="single" w:sz="18" w:space="0" w:color="auto"/>
            </w:tcBorders>
            <w:shd w:val="clear" w:color="auto" w:fill="FFFFFF" w:themeFill="background1"/>
            <w:vAlign w:val="center"/>
          </w:tcPr>
          <w:p w14:paraId="0DCF8825" w14:textId="77777777" w:rsidR="00F209EC" w:rsidRPr="007017A2" w:rsidRDefault="00F209EC" w:rsidP="00F209EC">
            <w:pPr>
              <w:spacing w:before="40"/>
              <w:jc w:val="center"/>
              <w:rPr>
                <w:rFonts w:ascii="Times New Roman" w:hAnsi="Times New Roman" w:cs="Times New Roman"/>
                <w:b/>
                <w:color w:val="000000" w:themeColor="text1"/>
                <w:spacing w:val="-4"/>
                <w:w w:val="98"/>
                <w:sz w:val="21"/>
                <w:szCs w:val="26"/>
              </w:rPr>
            </w:pPr>
          </w:p>
        </w:tc>
        <w:tc>
          <w:tcPr>
            <w:tcW w:w="6186" w:type="dxa"/>
            <w:vMerge w:val="restart"/>
            <w:tcBorders>
              <w:left w:val="single" w:sz="18" w:space="0" w:color="auto"/>
            </w:tcBorders>
            <w:shd w:val="clear" w:color="auto" w:fill="D0CECE" w:themeFill="background2" w:themeFillShade="E6"/>
            <w:vAlign w:val="center"/>
          </w:tcPr>
          <w:p w14:paraId="7949E24F" w14:textId="77777777" w:rsidR="00DA1408" w:rsidRPr="00071F3A" w:rsidRDefault="00DA1408" w:rsidP="00F209EC">
            <w:pPr>
              <w:spacing w:before="40"/>
              <w:jc w:val="both"/>
              <w:rPr>
                <w:rFonts w:ascii="Times New Roman" w:hAnsi="Times New Roman" w:cs="Times New Roman"/>
                <w:b/>
                <w:bCs/>
                <w:color w:val="000000" w:themeColor="text1"/>
                <w:spacing w:val="-4"/>
                <w:w w:val="98"/>
                <w:sz w:val="21"/>
                <w:szCs w:val="26"/>
                <w:lang w:val="vi-VN"/>
              </w:rPr>
            </w:pPr>
            <w:r w:rsidRPr="00071F3A">
              <w:rPr>
                <w:rFonts w:ascii="Times New Roman" w:hAnsi="Times New Roman" w:cs="Times New Roman"/>
                <w:b/>
                <w:bCs/>
                <w:color w:val="000000" w:themeColor="text1"/>
                <w:spacing w:val="-4"/>
                <w:w w:val="98"/>
                <w:sz w:val="21"/>
                <w:szCs w:val="26"/>
                <w:lang w:val="vi-VN"/>
              </w:rPr>
              <w:t>TÓM TẮT:</w:t>
            </w:r>
          </w:p>
          <w:p w14:paraId="6DA6A63E" w14:textId="735CE6AE" w:rsidR="00DA1408" w:rsidRPr="003C46BF" w:rsidRDefault="00DA1408" w:rsidP="003C46BF">
            <w:pPr>
              <w:spacing w:before="40"/>
              <w:jc w:val="both"/>
              <w:rPr>
                <w:rFonts w:ascii="Times New Roman" w:hAnsi="Times New Roman" w:cs="Times New Roman"/>
                <w:color w:val="000000" w:themeColor="text1"/>
                <w:spacing w:val="-4"/>
                <w:w w:val="98"/>
                <w:sz w:val="21"/>
                <w:szCs w:val="26"/>
              </w:rPr>
            </w:pPr>
            <w:r>
              <w:rPr>
                <w:rFonts w:ascii="Times New Roman" w:hAnsi="Times New Roman" w:cs="Times New Roman"/>
                <w:color w:val="000000" w:themeColor="text1"/>
                <w:spacing w:val="-4"/>
                <w:w w:val="98"/>
                <w:sz w:val="21"/>
                <w:szCs w:val="26"/>
                <w:lang w:val="vi-VN"/>
              </w:rPr>
              <w:t xml:space="preserve">Chuyển đổi số </w:t>
            </w:r>
            <w:r w:rsidR="00B3303F">
              <w:rPr>
                <w:rFonts w:ascii="Times New Roman" w:hAnsi="Times New Roman" w:cs="Times New Roman"/>
                <w:color w:val="000000" w:themeColor="text1"/>
                <w:spacing w:val="-4"/>
                <w:w w:val="98"/>
                <w:sz w:val="21"/>
                <w:szCs w:val="26"/>
                <w:lang w:val="vi-VN"/>
              </w:rPr>
              <w:t xml:space="preserve">đang là </w:t>
            </w:r>
            <w:r>
              <w:rPr>
                <w:rFonts w:ascii="Times New Roman" w:hAnsi="Times New Roman" w:cs="Times New Roman"/>
                <w:color w:val="000000" w:themeColor="text1"/>
                <w:spacing w:val="-4"/>
                <w:w w:val="98"/>
                <w:sz w:val="21"/>
                <w:szCs w:val="26"/>
                <w:lang w:val="vi-VN"/>
              </w:rPr>
              <w:t xml:space="preserve"> hiện tượng nổi lên và trở thành mối quan tâm của nhiều lĩnh vự</w:t>
            </w:r>
            <w:r w:rsidR="00B3303F">
              <w:rPr>
                <w:rFonts w:ascii="Times New Roman" w:hAnsi="Times New Roman" w:cs="Times New Roman"/>
                <w:color w:val="000000" w:themeColor="text1"/>
                <w:spacing w:val="-4"/>
                <w:w w:val="98"/>
                <w:sz w:val="21"/>
                <w:szCs w:val="26"/>
                <w:lang w:val="vi-VN"/>
              </w:rPr>
              <w:t>c. Trong giáo dục, chuyển đổi số ở trường Đại học có xu hướng tăng cường các kết nối mạng trong nội bộ để tạo thành văn hóa số, phổ biến rộng rãi và thúc đẩy các kỹ năng số của các bên liên quan. Tác động của chuyển đổi số tới hệ sinh thái học tập qua mạng đã chỉ ra vai trò và trách nhiệm của các bộ phận trong hệ thống quản lý của nhà trường và tạo ra cơ hội học tập cho cộng đồng ngày càng dễ dàng và thuận lợi hơn. Nghiên cứu này bàn luận về chuyển đổi số ở trường đại học và tác động của nó đến hệ sinh thái học tập qua mạ</w:t>
            </w:r>
            <w:r w:rsidR="003C46BF">
              <w:rPr>
                <w:rFonts w:ascii="Times New Roman" w:hAnsi="Times New Roman" w:cs="Times New Roman"/>
                <w:color w:val="000000" w:themeColor="text1"/>
                <w:spacing w:val="-4"/>
                <w:w w:val="98"/>
                <w:sz w:val="21"/>
                <w:szCs w:val="26"/>
                <w:lang w:val="vi-VN"/>
              </w:rPr>
              <w:t>ng t</w:t>
            </w:r>
            <w:r w:rsidR="003C46BF">
              <w:rPr>
                <w:rFonts w:ascii="Times New Roman" w:hAnsi="Times New Roman" w:cs="Times New Roman"/>
                <w:color w:val="000000" w:themeColor="text1"/>
                <w:spacing w:val="-4"/>
                <w:w w:val="98"/>
                <w:sz w:val="21"/>
                <w:szCs w:val="26"/>
              </w:rPr>
              <w:t>ừ đó đề xuất giải pháp thúc đẩy chuyển đổi số ở trường đại học định hướng nâng cao hiệu quả của dạy học qua mạng.</w:t>
            </w:r>
          </w:p>
        </w:tc>
      </w:tr>
      <w:tr w:rsidR="00F209EC" w14:paraId="59A7069B" w14:textId="77777777" w:rsidTr="00071F3A">
        <w:trPr>
          <w:trHeight w:val="157"/>
        </w:trPr>
        <w:tc>
          <w:tcPr>
            <w:tcW w:w="2529" w:type="dxa"/>
          </w:tcPr>
          <w:p w14:paraId="36C46172" w14:textId="2A102904" w:rsidR="00F209EC" w:rsidRPr="00DA1408" w:rsidRDefault="00DA1408" w:rsidP="00F209EC">
            <w:pPr>
              <w:ind w:left="29"/>
              <w:jc w:val="both"/>
              <w:rPr>
                <w:rFonts w:ascii="Times New Roman" w:eastAsiaTheme="minorEastAsia" w:hAnsi="Times New Roman" w:cstheme="majorHAnsi"/>
                <w:color w:val="000000" w:themeColor="text1"/>
                <w:spacing w:val="-4"/>
                <w:w w:val="98"/>
                <w:sz w:val="21"/>
                <w:szCs w:val="21"/>
                <w:lang w:val="vi-VN"/>
              </w:rPr>
            </w:pPr>
            <w:r>
              <w:rPr>
                <w:rFonts w:ascii="Times New Roman" w:eastAsiaTheme="minorEastAsia" w:hAnsi="Times New Roman" w:cstheme="majorHAnsi"/>
                <w:color w:val="000000" w:themeColor="text1"/>
                <w:spacing w:val="-4"/>
                <w:w w:val="98"/>
                <w:sz w:val="21"/>
                <w:szCs w:val="21"/>
                <w:lang w:val="vi-VN"/>
              </w:rPr>
              <w:t>Hệ sinh thái học tập, hệ sinh thái học tập qua mạng, chuyển đổi số, chuyển đối số ở trường đại học</w:t>
            </w:r>
          </w:p>
        </w:tc>
        <w:tc>
          <w:tcPr>
            <w:tcW w:w="276" w:type="dxa"/>
            <w:vMerge/>
            <w:tcBorders>
              <w:right w:val="single" w:sz="18" w:space="0" w:color="auto"/>
            </w:tcBorders>
            <w:shd w:val="clear" w:color="auto" w:fill="FFFFFF" w:themeFill="background1"/>
            <w:vAlign w:val="center"/>
          </w:tcPr>
          <w:p w14:paraId="26DB243D" w14:textId="77777777" w:rsidR="00F209EC" w:rsidRPr="007017A2" w:rsidRDefault="00F209EC" w:rsidP="00F209EC">
            <w:pPr>
              <w:spacing w:before="40"/>
              <w:jc w:val="center"/>
              <w:rPr>
                <w:rFonts w:ascii="Times New Roman" w:hAnsi="Times New Roman" w:cs="Times New Roman"/>
                <w:b/>
                <w:color w:val="000000" w:themeColor="text1"/>
                <w:spacing w:val="-4"/>
                <w:w w:val="98"/>
                <w:sz w:val="21"/>
                <w:szCs w:val="26"/>
              </w:rPr>
            </w:pPr>
          </w:p>
        </w:tc>
        <w:tc>
          <w:tcPr>
            <w:tcW w:w="6186" w:type="dxa"/>
            <w:vMerge/>
            <w:tcBorders>
              <w:left w:val="single" w:sz="18" w:space="0" w:color="auto"/>
            </w:tcBorders>
            <w:shd w:val="clear" w:color="auto" w:fill="D0CECE" w:themeFill="background2" w:themeFillShade="E6"/>
            <w:vAlign w:val="center"/>
          </w:tcPr>
          <w:p w14:paraId="4009F920" w14:textId="77777777" w:rsidR="00F209EC" w:rsidRPr="007017A2" w:rsidRDefault="00F209EC" w:rsidP="00F209EC">
            <w:pPr>
              <w:spacing w:before="40"/>
              <w:jc w:val="both"/>
              <w:rPr>
                <w:rFonts w:ascii="Times New Roman" w:hAnsi="Times New Roman" w:cs="Times New Roman"/>
                <w:color w:val="000000" w:themeColor="text1"/>
                <w:spacing w:val="-4"/>
                <w:w w:val="98"/>
                <w:sz w:val="21"/>
                <w:szCs w:val="26"/>
              </w:rPr>
            </w:pPr>
          </w:p>
        </w:tc>
      </w:tr>
      <w:tr w:rsidR="00F209EC" w14:paraId="231AEDDB" w14:textId="77777777" w:rsidTr="00071F3A">
        <w:trPr>
          <w:trHeight w:val="157"/>
        </w:trPr>
        <w:tc>
          <w:tcPr>
            <w:tcW w:w="2529" w:type="dxa"/>
          </w:tcPr>
          <w:p w14:paraId="132C107F" w14:textId="77777777" w:rsidR="00071F3A" w:rsidRDefault="00071F3A" w:rsidP="00F209EC">
            <w:pPr>
              <w:ind w:left="29"/>
              <w:jc w:val="both"/>
              <w:rPr>
                <w:rFonts w:ascii="Times New Roman" w:eastAsiaTheme="minorEastAsia" w:hAnsi="Times New Roman" w:cstheme="majorHAnsi"/>
                <w:b/>
                <w:bCs/>
                <w:color w:val="000000" w:themeColor="text1"/>
                <w:spacing w:val="-4"/>
                <w:w w:val="98"/>
                <w:sz w:val="21"/>
                <w:szCs w:val="21"/>
              </w:rPr>
            </w:pPr>
            <w:r w:rsidRPr="007017A2">
              <w:rPr>
                <w:rFonts w:ascii="Times New Roman" w:eastAsiaTheme="minorEastAsia" w:hAnsi="Times New Roman" w:cstheme="majorHAnsi"/>
                <w:b/>
                <w:bCs/>
                <w:color w:val="000000" w:themeColor="text1"/>
                <w:spacing w:val="-4"/>
                <w:w w:val="98"/>
                <w:sz w:val="21"/>
                <w:szCs w:val="21"/>
              </w:rPr>
              <w:t>Keywords:</w:t>
            </w:r>
          </w:p>
          <w:p w14:paraId="0B2B594D" w14:textId="199F6681" w:rsidR="00F209EC" w:rsidRPr="00CF2A84" w:rsidRDefault="00071F3A" w:rsidP="00F209EC">
            <w:pPr>
              <w:ind w:left="29"/>
              <w:jc w:val="both"/>
              <w:rPr>
                <w:rFonts w:ascii="Times New Roman" w:eastAsiaTheme="minorEastAsia" w:hAnsi="Times New Roman" w:cstheme="majorHAnsi"/>
                <w:color w:val="000000" w:themeColor="text1"/>
                <w:spacing w:val="-4"/>
                <w:w w:val="98"/>
                <w:sz w:val="21"/>
                <w:szCs w:val="21"/>
              </w:rPr>
            </w:pPr>
            <w:r w:rsidRPr="00071F3A">
              <w:rPr>
                <w:rFonts w:ascii="Times New Roman" w:eastAsiaTheme="minorEastAsia" w:hAnsi="Times New Roman" w:cstheme="majorHAnsi"/>
                <w:color w:val="000000" w:themeColor="text1"/>
                <w:spacing w:val="-4"/>
                <w:w w:val="98"/>
                <w:sz w:val="21"/>
                <w:szCs w:val="21"/>
              </w:rPr>
              <w:t>Learning ecosystem, e-learning ecosystem, digital transformation, digital transformation at universities</w:t>
            </w:r>
          </w:p>
        </w:tc>
        <w:tc>
          <w:tcPr>
            <w:tcW w:w="276" w:type="dxa"/>
            <w:tcBorders>
              <w:right w:val="single" w:sz="18" w:space="0" w:color="auto"/>
            </w:tcBorders>
            <w:shd w:val="clear" w:color="auto" w:fill="FFFFFF" w:themeFill="background1"/>
            <w:vAlign w:val="center"/>
          </w:tcPr>
          <w:p w14:paraId="190D8E8E" w14:textId="77777777" w:rsidR="00F209EC" w:rsidRPr="007017A2" w:rsidRDefault="00F209EC" w:rsidP="00F209EC">
            <w:pPr>
              <w:spacing w:before="40"/>
              <w:jc w:val="center"/>
              <w:rPr>
                <w:rFonts w:ascii="Times New Roman" w:hAnsi="Times New Roman" w:cs="Times New Roman"/>
                <w:b/>
                <w:color w:val="000000" w:themeColor="text1"/>
                <w:spacing w:val="-4"/>
                <w:w w:val="98"/>
                <w:sz w:val="21"/>
                <w:szCs w:val="26"/>
              </w:rPr>
            </w:pPr>
          </w:p>
        </w:tc>
        <w:tc>
          <w:tcPr>
            <w:tcW w:w="6186" w:type="dxa"/>
            <w:tcBorders>
              <w:left w:val="single" w:sz="18" w:space="0" w:color="auto"/>
            </w:tcBorders>
            <w:shd w:val="clear" w:color="auto" w:fill="D0CECE" w:themeFill="background2" w:themeFillShade="E6"/>
            <w:vAlign w:val="center"/>
          </w:tcPr>
          <w:p w14:paraId="308CFE99" w14:textId="77777777" w:rsidR="00F209EC" w:rsidRPr="00071F3A" w:rsidRDefault="00071F3A" w:rsidP="00F209EC">
            <w:pPr>
              <w:spacing w:before="40"/>
              <w:jc w:val="both"/>
              <w:rPr>
                <w:rFonts w:ascii="Times New Roman" w:hAnsi="Times New Roman" w:cs="Times New Roman"/>
                <w:b/>
                <w:bCs/>
                <w:color w:val="000000" w:themeColor="text1"/>
                <w:spacing w:val="-4"/>
                <w:w w:val="98"/>
                <w:sz w:val="21"/>
                <w:szCs w:val="26"/>
              </w:rPr>
            </w:pPr>
            <w:r w:rsidRPr="00071F3A">
              <w:rPr>
                <w:rFonts w:ascii="Times New Roman" w:hAnsi="Times New Roman" w:cs="Times New Roman"/>
                <w:b/>
                <w:bCs/>
                <w:color w:val="000000" w:themeColor="text1"/>
                <w:spacing w:val="-4"/>
                <w:w w:val="98"/>
                <w:sz w:val="21"/>
                <w:szCs w:val="26"/>
              </w:rPr>
              <w:t>ABSTRACT:</w:t>
            </w:r>
          </w:p>
          <w:p w14:paraId="38229E2D" w14:textId="7735602B" w:rsidR="00071F3A" w:rsidRPr="007017A2" w:rsidRDefault="00071F3A" w:rsidP="00F209EC">
            <w:pPr>
              <w:spacing w:before="40"/>
              <w:jc w:val="both"/>
              <w:rPr>
                <w:rFonts w:ascii="Times New Roman" w:hAnsi="Times New Roman" w:cs="Times New Roman"/>
                <w:color w:val="000000" w:themeColor="text1"/>
                <w:spacing w:val="-4"/>
                <w:w w:val="98"/>
                <w:sz w:val="21"/>
                <w:szCs w:val="26"/>
              </w:rPr>
            </w:pPr>
            <w:r w:rsidRPr="00071F3A">
              <w:rPr>
                <w:rFonts w:ascii="Times New Roman" w:hAnsi="Times New Roman" w:cs="Times New Roman"/>
                <w:color w:val="000000" w:themeColor="text1"/>
                <w:spacing w:val="-4"/>
                <w:w w:val="98"/>
                <w:sz w:val="21"/>
                <w:szCs w:val="26"/>
              </w:rPr>
              <w:t>Digital transformation is an emerging phenomenon and becomes the concern of many fields. In education, digital transformation at the University tends to strengthen internal network connections to form a digital culture, widely disseminate and promote the digital skills of stakeholders. The impact of digital transformation on the online learning ecosystem has shown the roles and responsibilities of various parts of the school's management system and creating learning opportunities for the community more easily and conveniently. more beneficial. This study discusses digital transformation at universities and its impact on the online learning ecosystem, and then proposes solutions to promote digital transformation at universities, aiming to improve the effectiveness of teaching. over the network.</w:t>
            </w:r>
          </w:p>
        </w:tc>
      </w:tr>
    </w:tbl>
    <w:p w14:paraId="77B55B2C" w14:textId="77777777" w:rsidR="00DF384F" w:rsidRPr="00DF384F" w:rsidRDefault="00DF384F" w:rsidP="00F209EC">
      <w:pPr>
        <w:spacing w:before="40" w:after="0" w:line="240" w:lineRule="auto"/>
        <w:rPr>
          <w:rFonts w:ascii="Times New Roman" w:hAnsi="Times New Roman" w:cs="Times New Roman"/>
          <w:i/>
          <w:color w:val="000000" w:themeColor="text1"/>
          <w:spacing w:val="-4"/>
          <w:w w:val="98"/>
          <w:sz w:val="21"/>
          <w:szCs w:val="26"/>
        </w:rPr>
      </w:pPr>
    </w:p>
    <w:p w14:paraId="03779249" w14:textId="56C14893" w:rsidR="00DF384F" w:rsidRPr="00D5665F" w:rsidRDefault="00DF384F" w:rsidP="00071F3A">
      <w:pPr>
        <w:pStyle w:val="ListParagraph"/>
        <w:numPr>
          <w:ilvl w:val="0"/>
          <w:numId w:val="30"/>
        </w:numPr>
        <w:tabs>
          <w:tab w:val="left" w:pos="567"/>
        </w:tabs>
        <w:spacing w:after="0" w:line="240" w:lineRule="auto"/>
        <w:ind w:left="0" w:firstLine="284"/>
        <w:jc w:val="both"/>
        <w:rPr>
          <w:rFonts w:ascii="Times New Roman" w:hAnsi="Times New Roman" w:cs="Times New Roman"/>
          <w:b/>
          <w:color w:val="000000" w:themeColor="text1"/>
          <w:spacing w:val="-4"/>
          <w:w w:val="98"/>
          <w:sz w:val="21"/>
          <w:szCs w:val="26"/>
        </w:rPr>
      </w:pPr>
      <w:r w:rsidRPr="00D5665F">
        <w:rPr>
          <w:rFonts w:ascii="Times New Roman" w:hAnsi="Times New Roman" w:cs="Times New Roman"/>
          <w:b/>
          <w:color w:val="000000" w:themeColor="text1"/>
          <w:spacing w:val="-4"/>
          <w:w w:val="98"/>
          <w:sz w:val="21"/>
          <w:szCs w:val="26"/>
        </w:rPr>
        <w:t>Mở đầu</w:t>
      </w:r>
    </w:p>
    <w:p w14:paraId="413564FF" w14:textId="473A1536" w:rsidR="00A361B8" w:rsidRDefault="00290409" w:rsidP="00071F3A">
      <w:pPr>
        <w:pStyle w:val="Tomtat"/>
        <w:tabs>
          <w:tab w:val="left" w:pos="567"/>
        </w:tabs>
        <w:ind w:left="0" w:right="-19" w:firstLine="284"/>
      </w:pPr>
      <w:r w:rsidRPr="00290409">
        <w:rPr>
          <w:lang w:val="vi-VN"/>
        </w:rPr>
        <w:t xml:space="preserve">Trong thế kỷ 21 được gọi là thời đại kỹ thuật số, với toàn cầu hóa, các cấu trúc ở hầu hết mọi lĩnh vực đều bị ảnh hưởng nhanh chóng bởi sự phát triển và thay đổi của công nghệ thông tin và truyền thông. </w:t>
      </w:r>
      <w:r w:rsidR="00A361B8">
        <w:rPr>
          <w:lang w:val="vi-VN"/>
        </w:rPr>
        <w:t xml:space="preserve">Chuyển đổi số đã trở thành xu hướng ở hầu hết các lĩnh vực và giáo dục cũng không phải là ngoại lệ. </w:t>
      </w:r>
      <w:r w:rsidR="00190111" w:rsidRPr="00190111">
        <w:rPr>
          <w:lang w:val="vi-VN"/>
        </w:rPr>
        <w:t>Giáo dục 4.0 đang thúc đẩy mô hình giáo dục mới dựa trên việc áp dụng các kỹ năng liên quan và dựa trên nhu cầu cải thiện và đánh giá lại, không học và học lại (Hong &amp; Ma, 2020).</w:t>
      </w:r>
      <w:r w:rsidR="00190111">
        <w:t xml:space="preserve"> </w:t>
      </w:r>
      <w:r w:rsidR="00A361B8">
        <w:rPr>
          <w:lang w:val="vi-VN"/>
        </w:rPr>
        <w:t>Trong môi trường đại học, chuyển đổi số mang lại những tiềm năng to lớn để cải thiện quá trình giảng dạy, học tập và quản lý người học. Chuyển đổi số ở đại học gồm việc áp dụng công nghệ thông tin và các phương pháp tối ưu hóa các hoạt động trong hệ thống giáo dục như nền tảng học trực tuyến, phần mềm quản lý học phần, hệ thống quản lý học tập, cơ sở hạ tầng mạng và nhiều ứng dụng khác. Chuyển đổi số mang lại nhiều lợi ích quan trọng như tăng cường trải nghiệm học tập của sinh viên. Sinh viên có thể truy cập vào tài liệu, nguồn tài nguyên và bài giảng trực tuyến một cách thuận tiện từ bất k</w:t>
      </w:r>
      <w:r w:rsidR="00143112">
        <w:rPr>
          <w:lang w:val="vi-VN"/>
        </w:rPr>
        <w:t>ỳ</w:t>
      </w:r>
      <w:r w:rsidR="00A361B8">
        <w:rPr>
          <w:lang w:val="vi-VN"/>
        </w:rPr>
        <w:t xml:space="preserve"> đâu và bất kỳ lúc nào. Các công cụ quản lý cũng giúp giảng viên theo dõi tiến độ của sinh viên và cung cấp các phản hồi tự động.</w:t>
      </w:r>
      <w:r w:rsidR="001A09D6">
        <w:t xml:space="preserve"> Hệ sinh thái học tập qua mạng là một phần không thể thiếu trong lĩnh vực giáo dục hiện đại. Sự phát triển mạng lưới học tập qua mạng là một cuộc cách mạng trong truyền đạt kiến thức và mang đến một môi trường học tập đa dạng linh hoạt và tính chất toàn cầu rất rõ rệt. Trong hệ sinh thái học tập qua mạng, các nền tảng và ứng dụng học trực tuyến cung cấp cho sinh viên các khóa học và tài nguyên học tập vô cùng phong phú. Hệ sinh thái học tập cũng khuyến khích sự tương tác và chia sẻ thông tin rộng rãi, vượt qua mọi rào cản về không gian để tạo nên môi trường học tập đa văn hóa và chứa đựng nhiều cơ hội trải nghiệm và sáng tạo. Chuyển đổi số và hệ sinh thái học tập qua mạng có mối quan hệ mật thiết với nhau trong </w:t>
      </w:r>
      <w:r w:rsidR="001A09D6">
        <w:lastRenderedPageBreak/>
        <w:t xml:space="preserve">việc cùng nhau tạo ra quá trình học tập hiệu quả. Chuyển đổi số là quá trình áp dụng công nghệ thông tin và phương pháp số hóa để cải thiện và tối ưu hóa các hoạt động giáo dục, trong khi đó hệ sinh thái học tập qua mạng là hệ thống phức tạp với các nền tảng, ứng dụng và nguồn tài nguyên học tập trực tuyến. Nhờ vào sự cung cấp cơ sở hạ tầng kỹ thuật và công nghệ mà duy trì được hệ sinht thái học tập qua mạng. Mối quan hệ này có thể thấy rõ qua việc áp dụng các nền tảng trực tuyến và phần mềm quản lý học phần trong quá trình giảng dạy. Chuyển đổi số cho phép các trường đại học tạo ra nền tảng học trực tuyến chất lượng cao để tạo nên môi trường học tập đa dạng, thú vị và hấp dẫn trong hệ sinh thái học qua mạng. </w:t>
      </w:r>
      <w:r w:rsidR="00E871A3">
        <w:t>Bài báo phân tích các đặc điểm của chuyển đổi số ở trường đại học và đặc điểm của Hệ sinh thái học tập qua mạng để từ đó làm rõ mối quan hệ giữa chúng</w:t>
      </w:r>
      <w:r w:rsidR="00B47328">
        <w:t>.</w:t>
      </w:r>
      <w:r w:rsidR="00C826AD">
        <w:t xml:space="preserve"> Từ mối quan hệ này có thể đề xuất một số giải pháp thúc đẩy chất lượng đào tạo trong trường đại học.</w:t>
      </w:r>
    </w:p>
    <w:p w14:paraId="5EE03C0B" w14:textId="722278D1" w:rsidR="00E35BDE" w:rsidRPr="00CF2A84" w:rsidRDefault="00A33EFE" w:rsidP="00071F3A">
      <w:pPr>
        <w:pStyle w:val="Tomtat"/>
        <w:tabs>
          <w:tab w:val="left" w:pos="567"/>
        </w:tabs>
        <w:ind w:left="0" w:right="-19" w:firstLine="284"/>
        <w:rPr>
          <w:rFonts w:eastAsia="MS Mincho" w:cs="Times New Roman"/>
          <w:b/>
          <w:color w:val="000000" w:themeColor="text1"/>
          <w:szCs w:val="26"/>
        </w:rPr>
      </w:pPr>
      <w:r>
        <w:rPr>
          <w:rFonts w:eastAsia="MS Mincho" w:cs="Times New Roman"/>
          <w:b/>
          <w:color w:val="000000" w:themeColor="text1"/>
          <w:szCs w:val="26"/>
        </w:rPr>
        <w:t xml:space="preserve">2. </w:t>
      </w:r>
      <w:r w:rsidR="008137CB" w:rsidRPr="00CF2A84">
        <w:rPr>
          <w:rFonts w:eastAsia="MS Mincho" w:cs="Times New Roman"/>
          <w:b/>
          <w:color w:val="000000" w:themeColor="text1"/>
          <w:szCs w:val="26"/>
        </w:rPr>
        <w:t>Kết quả nghiên cứu</w:t>
      </w:r>
    </w:p>
    <w:p w14:paraId="5B6C4876" w14:textId="627BBDAE" w:rsidR="00E35BDE" w:rsidRDefault="00A33EFE" w:rsidP="00071F3A">
      <w:pPr>
        <w:pStyle w:val="Tomtat"/>
        <w:tabs>
          <w:tab w:val="left" w:pos="567"/>
        </w:tabs>
        <w:ind w:left="0" w:right="-19" w:firstLine="284"/>
        <w:rPr>
          <w:rFonts w:eastAsia="MS Mincho" w:cs="Times New Roman"/>
          <w:b/>
          <w:i/>
          <w:iCs/>
          <w:color w:val="000000" w:themeColor="text1"/>
          <w:szCs w:val="26"/>
        </w:rPr>
      </w:pPr>
      <w:r>
        <w:rPr>
          <w:rFonts w:eastAsia="MS Mincho" w:cs="Times New Roman"/>
          <w:b/>
          <w:i/>
          <w:iCs/>
          <w:color w:val="000000" w:themeColor="text1"/>
          <w:szCs w:val="26"/>
        </w:rPr>
        <w:t xml:space="preserve">2.1. </w:t>
      </w:r>
      <w:r w:rsidR="00E35BDE">
        <w:rPr>
          <w:rFonts w:eastAsia="MS Mincho" w:cs="Times New Roman"/>
          <w:b/>
          <w:i/>
          <w:iCs/>
          <w:color w:val="000000" w:themeColor="text1"/>
          <w:szCs w:val="26"/>
        </w:rPr>
        <w:t>Tổng quan về Chuyển đổi số trong giáo dục đại học và Hệ sinh thái học tập qua mạng</w:t>
      </w:r>
    </w:p>
    <w:p w14:paraId="291BF38A" w14:textId="533340A9" w:rsidR="00832E1A" w:rsidRDefault="00832E1A" w:rsidP="00071F3A">
      <w:pPr>
        <w:pStyle w:val="Tomtat"/>
        <w:tabs>
          <w:tab w:val="left" w:pos="567"/>
        </w:tabs>
        <w:ind w:left="0" w:right="-19" w:firstLine="284"/>
        <w:rPr>
          <w:rFonts w:eastAsia="MS Mincho" w:cs="Times New Roman"/>
          <w:color w:val="000000" w:themeColor="text1"/>
          <w:szCs w:val="26"/>
        </w:rPr>
      </w:pPr>
      <w:r w:rsidRPr="00832E1A">
        <w:rPr>
          <w:rFonts w:eastAsia="MS Mincho" w:cs="Times New Roman"/>
          <w:color w:val="000000" w:themeColor="text1"/>
          <w:szCs w:val="26"/>
        </w:rPr>
        <w:t>Trong lĩnh vực giáo dục, sự chuyển đổi số đòi hỏi phải xem xét lại toàn diện các phương pháp giảng dạy và học tập phù hợp với việc áp dụng công nghệ số vào giảng dạy và học tập. Điều này liên quan đến việc hiểu một cách thực tế các yếu tố thực tế của tiến bộ kỹ thuật số bằng cách tăng cường kiến thức và kỹ năng về công nghệ, cũng như phát triển kỹ năng số để đáp ứng yêu cầu của cuộc cách mạng giáo dục 4.0, trong đó quyền lực được trao cho sự kết hợp mạnh mẽ của công nghệ, con người, tổ chức và giảng dạ</w:t>
      </w:r>
      <w:r w:rsidR="00894DF6">
        <w:rPr>
          <w:rFonts w:eastAsia="MS Mincho" w:cs="Times New Roman"/>
          <w:color w:val="000000" w:themeColor="text1"/>
          <w:szCs w:val="26"/>
        </w:rPr>
        <w:t>y (Oliveira &amp; Souza, 2020</w:t>
      </w:r>
      <w:r w:rsidRPr="00832E1A">
        <w:rPr>
          <w:rFonts w:eastAsia="MS Mincho" w:cs="Times New Roman"/>
          <w:color w:val="000000" w:themeColor="text1"/>
          <w:szCs w:val="26"/>
        </w:rPr>
        <w:t>). Một số kết quả kỳ vọng trong giáo dục đối mặt với yêu cầu của Cách mạng công nghiệp lần thứ tư là: cải thiện trình độ sử dụng công nghệ số của công dân trong một thế giới ngày càng phức tạp và liên kết, nơi công nghệ số ngày càng được áp dụng để đem lại sự tiến bộ hàng ngày (WEF, 2020); trường học phải điều chỉnh để trang bị cho học sinh những kỹ năng cần thiết để tham gia vào một xã hội đa văn hóa, đoàn kết và hiệu quả</w:t>
      </w:r>
      <w:r w:rsidR="00894DF6">
        <w:rPr>
          <w:rFonts w:eastAsia="MS Mincho" w:cs="Times New Roman"/>
          <w:color w:val="000000" w:themeColor="text1"/>
          <w:szCs w:val="26"/>
        </w:rPr>
        <w:t xml:space="preserve"> hơn (OECD, 2018</w:t>
      </w:r>
      <w:r w:rsidRPr="00832E1A">
        <w:rPr>
          <w:rFonts w:eastAsia="MS Mincho" w:cs="Times New Roman"/>
          <w:color w:val="000000" w:themeColor="text1"/>
          <w:szCs w:val="26"/>
        </w:rPr>
        <w:t>); giảng viên và sinh viên cần được trang bị kỹ năng số để thúc đẩy học tập dựa trên vấn đề/công việc thực tế</w:t>
      </w:r>
      <w:r w:rsidR="00894DF6">
        <w:rPr>
          <w:rFonts w:eastAsia="MS Mincho" w:cs="Times New Roman"/>
          <w:color w:val="000000" w:themeColor="text1"/>
          <w:szCs w:val="26"/>
        </w:rPr>
        <w:t xml:space="preserve"> (OECD, 2018</w:t>
      </w:r>
      <w:r w:rsidRPr="00832E1A">
        <w:rPr>
          <w:rFonts w:eastAsia="MS Mincho" w:cs="Times New Roman"/>
          <w:color w:val="000000" w:themeColor="text1"/>
          <w:szCs w:val="26"/>
        </w:rPr>
        <w:t>); và cần có phương pháp giảng dạy sáng tạo để khuyến khích học sinh tham gia tích cực trong việc phát triển và rèn luyện các kỹ năng và thái độ cần thiết cho quá trình học tập (Peterson và cộng sự, 2018).</w:t>
      </w:r>
    </w:p>
    <w:p w14:paraId="1792BADB" w14:textId="1A4C98AE" w:rsidR="001246D4" w:rsidRDefault="00832E1A" w:rsidP="00071F3A">
      <w:pPr>
        <w:pStyle w:val="Tomtat"/>
        <w:tabs>
          <w:tab w:val="left" w:pos="567"/>
        </w:tabs>
        <w:ind w:left="0" w:right="-19" w:firstLine="284"/>
        <w:rPr>
          <w:rFonts w:eastAsia="MS Mincho" w:cs="Times New Roman"/>
          <w:color w:val="000000" w:themeColor="text1"/>
          <w:szCs w:val="26"/>
        </w:rPr>
      </w:pPr>
      <w:r w:rsidRPr="00832E1A">
        <w:rPr>
          <w:rFonts w:eastAsia="MS Mincho" w:cs="Times New Roman"/>
          <w:color w:val="000000" w:themeColor="text1"/>
          <w:szCs w:val="26"/>
        </w:rPr>
        <w:t xml:space="preserve">Có một số nghiên cứu đã miêu tả học </w:t>
      </w:r>
      <w:r>
        <w:rPr>
          <w:rFonts w:eastAsia="MS Mincho" w:cs="Times New Roman"/>
          <w:color w:val="000000" w:themeColor="text1"/>
          <w:szCs w:val="26"/>
        </w:rPr>
        <w:t>tập qua mạng</w:t>
      </w:r>
      <w:r w:rsidRPr="00832E1A">
        <w:rPr>
          <w:rFonts w:eastAsia="MS Mincho" w:cs="Times New Roman"/>
          <w:color w:val="000000" w:themeColor="text1"/>
          <w:szCs w:val="26"/>
        </w:rPr>
        <w:t xml:space="preserve"> như là một dạng mở rộng của học từ xa, mang đến trải nghiệm học tập tuyệt vời thông qua sự sử dụng công nghệ (Moore và đồng nghiệp, 2011; Singh và Thurman, 2019). Các hệ thống học trực tuyến đã trải qua sự thay đổi và tiến bộ đáng kể nhờ sự xuất hiện của các công nghệ mới, và tất cả mọi người đều thừa nhận ảnh hưởng của nó (Gejendhiran và đồng nghiệp, 2020). Học trực tuyến đã chuyển đổi cách các khóa học và chương trình được thiết kế và triển khai, mang đến sự chuyển đổi sâu sắc (Moore et al., 2011). Hiện nay, khả năng kết nối và tính linh hoạt mà học trực tuyến tạo ra đã trở nên rõ ràng đến mức mà một số nhà nghiên cứu đồng ý rằng học trực tuyến là cốt lõi của tất cả các hoạt động và chức năng giáo dục trong các trường đại học (Cui và đồng nghiệp, 2013; Gejendhiran và đồng nghiệp, 2020). Tuy nhiên, bên cạnh những lợi ích đáng chú ý, vẫn có những lo ngại đặc biệt về học trực tuyến ảnh hưởng đến tất cả các bên liên quan và người tham gia (Dumford và Miller, 2018). Từ góc nhìn của giáo viên, họ nhận thấy rằng thích nghi với việc đạt hiệu quả qua hình thức trực tuyến thậm chí còn khó khăn hơn đối với sinh viên, điều này thường đòi hỏi họ được hướng dẫn hoặc đào tạo đặc biệ</w:t>
      </w:r>
      <w:r w:rsidR="00894DF6">
        <w:rPr>
          <w:rFonts w:eastAsia="MS Mincho" w:cs="Times New Roman"/>
          <w:color w:val="000000" w:themeColor="text1"/>
          <w:szCs w:val="26"/>
        </w:rPr>
        <w:t>t (Nacu và đồng nghiệp</w:t>
      </w:r>
      <w:r w:rsidRPr="00832E1A">
        <w:rPr>
          <w:rFonts w:eastAsia="MS Mincho" w:cs="Times New Roman"/>
          <w:color w:val="000000" w:themeColor="text1"/>
          <w:szCs w:val="26"/>
        </w:rPr>
        <w:t>, 2018). Do đó, giáo viên phải dành nhiều thời gian hơn để học các phương pháp giảng dạy mới và điều chỉnh nhanh chóng với sự thay đổi của công nghệ. Tuy nhiên, nếu họ tích cực học hỏi và tham gia thường xuyên vào các cuộc thảo luận trực tuyến, họ có thể đối mặt với một thách thức khác là duy trì sự cân bằng giữa công việc và cuộc sống (Wong và đồng nghiệp, 2021).</w:t>
      </w:r>
      <w:r>
        <w:rPr>
          <w:rFonts w:eastAsia="MS Mincho" w:cs="Times New Roman"/>
          <w:color w:val="000000" w:themeColor="text1"/>
          <w:szCs w:val="26"/>
        </w:rPr>
        <w:t xml:space="preserve"> </w:t>
      </w:r>
    </w:p>
    <w:p w14:paraId="0791DDB5" w14:textId="4302E44E" w:rsidR="00FA4A25" w:rsidRDefault="001246D4" w:rsidP="00071F3A">
      <w:pPr>
        <w:pStyle w:val="Tomtat"/>
        <w:tabs>
          <w:tab w:val="left" w:pos="567"/>
        </w:tabs>
        <w:ind w:left="0" w:right="-19" w:firstLine="284"/>
      </w:pPr>
      <w:r>
        <w:rPr>
          <w:rFonts w:eastAsia="MS Mincho" w:cs="Times New Roman"/>
          <w:color w:val="000000" w:themeColor="text1"/>
          <w:szCs w:val="26"/>
        </w:rPr>
        <w:tab/>
      </w:r>
      <w:r w:rsidR="00FA4A25" w:rsidRPr="001246D4">
        <w:rPr>
          <w:rFonts w:eastAsia="MS Mincho" w:cs="Times New Roman"/>
          <w:color w:val="000000" w:themeColor="text1"/>
          <w:szCs w:val="26"/>
        </w:rPr>
        <w:t>Các công nghệ mới không chỉ thay đổi bối cảnh của giáo dục và đào tạo chính thức, mà còn thay đổi cách chúng ta tiếp cận thông tin và quan hệ với nó, và mở rộng ra, ảnh hưởng đến cách chúng ta suy nghĩ, tương tác, phát triển và làm việc. Việc chuyển đổi từ các hệ thống độc lập sang một hệ sinh thái tập trung vào người học là một khía cạnh hấp dẫn đối với các chuyên gia trong lĩnh vực học tập. Theo Lorna Uden et al. (2003), hạ tầng của hệ sinh thái kỹ thuật số là một môi trường kỹ thuật số toàn diện, tập trung vào các thành phần kỹ thuật số như phần mềm, ứng dụng, dịch vụ, kiến thức, quy trình và mô hình kinh doanh, đào tạo, mô-đun. Hạ tầng của hệ sinh thái kỹ thuật số hỗ trợ mô tả, sáng tạo, tiến hóa, tích hợp, chia sẻ và phân phối các thành phần kỹ thuật số và kiến thức. Hệ sinh thái học tập điện tử mang lại nhiều lợi ích cho các tổ chức. Một hệ sinh thái học tập điện tử phát triển đầy đủ có thể bao gồm một nguồn nhân lực tích hợp. Theo Leona Norris et al. (2013), hệ sinh thái học tập cần đạt đến các tiêu chuẩn ngày càng hoàn thiện để phát triển các mô hình giảng dạy tốt hơn, tạo ra các cách tiếp cận đổi mới rộng rãi hơn và cung cấp trải nghiệm học tập toàn diện hơn. Hệ sinh thái học tập hỗ trợ bằng cách cho phép tất cả các bộ phận của quá trình học tập, gồm người học, chương trình học và giảng viên, tương tác một cách nhất quán và đồ</w:t>
      </w:r>
      <w:r w:rsidR="00FA4A25">
        <w:rPr>
          <w:rFonts w:eastAsia="MS Mincho" w:cs="Times New Roman"/>
          <w:color w:val="000000" w:themeColor="text1"/>
          <w:szCs w:val="26"/>
        </w:rPr>
        <w:t>ng đều.</w:t>
      </w:r>
      <w:r w:rsidR="00FA4A25">
        <w:t xml:space="preserve"> </w:t>
      </w:r>
      <w:r w:rsidR="00F54410" w:rsidRPr="00F54410">
        <w:t xml:space="preserve">Theo Chang, E. and West, M. (2006), một hệ sinh thái học tập trực tuyến có một số đặc điểm nhất định như: cơ sở hạ tầng </w:t>
      </w:r>
      <w:r w:rsidR="00F54410" w:rsidRPr="00F54410">
        <w:lastRenderedPageBreak/>
        <w:t>thông tin mạnh vượt ra ngoài phạm vi của một cá nhân, tổ chức; hệ thống tương tác cộng đồng và hỗ trợ nhau để tồn tại; chứa đựng tài nguyên phong phú phục vụ hỗ trợ hoạt động tạo giá trị cho những người tham gia; sử dụng các hình thức tương tác điện tử mới cung cấp các dịch vụ kỹ thuật số; mang tính kết nối cao, có sự kết hợp giữa năng lực cung cấp, con người và hệ thống thông tin tiên tiến trong hệ sinh thái kỹ thuật số, tạo điều kiện cho sự tương tác chặt chẽ giữa những người tham gia và hỗ trợ các nhu cầu khác nhau trong hệ sinh thái.</w:t>
      </w:r>
      <w:r w:rsidR="00F54410">
        <w:t xml:space="preserve"> </w:t>
      </w:r>
      <w:r w:rsidR="00F54410" w:rsidRPr="00F54410">
        <w:t>Christopher Pappas (2015) cho rằng: Một trong những khía cạnh quan trọng nhất của một hệ sinh thái học tập trực tuyến thành công là nội dung, tài nguyên dạy-học chất lượng cao thu hút và kết nối cảm xúc người học với khóa họ</w:t>
      </w:r>
      <w:r w:rsidR="00F54410">
        <w:t>c.</w:t>
      </w:r>
      <w:r w:rsidR="00F54410" w:rsidRPr="00F54410">
        <w:t xml:space="preserve"> Tác giả Paula Dewanti (2016) yếu tố con người là tiêu chí đánh giá hệ sinh thái trong tiêu chuẩn đảm bảo cho dạy học qua mạng. Tác giả cho rằng người học, người hỗ trợ, đó là các “sinh vật” thực sự của các hệ sinh thái học trực tuyến. Tuy nhiên để làm rõ các yếu tố con người tham gia vào hệ sinh thái thì giảng viên, người tư vấn, người quản lý cũng là yếu tố quan trọng. Vào năm 2019, Ủy ban Châu Âu đã khởi xướng một cuộc khảo sát các trường học về khả năng tích hợp công nghệ thông tin và truyền thông vào trong dạy học qua mạng. Kết quả khảo sát đã đưa ra các tiêu chí của hệ sinh thái để đáp ứng yêu cầu của dạy học qua mạng đó chính là: Tiếp cận và sử dụng công nghệ kỹ thuật số; Các hoạt động kỹ thuật số và sự tự tin của giáo viên và học sinh vào năng lực kỹ thuật số của họ; Phát triển nghề nghiệp giáo viên liên quan đến công nghệ thông tin và truyền thông; Môi trường gia đình kỹ thuật số của người học; Các chính sách, chiến lược và ý kiến kỹ thuật số của trường học; Thiết bị công nghệ kỹ thuật số; Yêu cầu mạng; Phát triển nghề nghiệp của giáo viên; Truy cập vào nội dung kỹ thuật số (</w:t>
      </w:r>
      <w:r w:rsidR="00F54410" w:rsidRPr="00F54410">
        <w:rPr>
          <w:spacing w:val="8"/>
        </w:rPr>
        <w:t>European Commission, 2019).</w:t>
      </w:r>
      <w:r w:rsidR="00FA4A25">
        <w:t xml:space="preserve"> Các nghiên cứu gần đây về hệ</w:t>
      </w:r>
      <w:r w:rsidR="00A52A38">
        <w:t xml:space="preserve"> sinh thái đã làm rõ những ảnh hưởng trực tiếp và gián tiếp lên hệ sinh thái của cơ sở giáo dục. </w:t>
      </w:r>
      <w:r w:rsidR="00A52A38" w:rsidRPr="00A52A38">
        <w:t>Học tập kỹ thuật số đã mang lại triển vọng thuận lợi cho các tổ chức giáo dục; tuy nhiên, nó cũng gây ra một số rào cản nhất định liên quan đến công nghệ, khóa học, người hướng dẫn và người học (Händel và cộng sự, 2020; Shehzadi và cộng sự, 2020). Hiệu quả của việc học trong môi trường số bị ảnh hưởng bởi nhiều yếu tố như hạn chế về nền tảng công nghệ, chất lượng internet, tương tác giữa người dạy và người học, chưa đủ đào tạo cho người dạy và người học về cách sử dụng hệ thống học trực tuyến. Hơn nữa, khả năng thích ứng nhanh chóng với hoàn cảnh phát triển đã nổi lên như một yếu tố quan trọng ảnh hưởng đến tương lai của học tập trực tuyến (Dinh &amp; Nguyen, 2020).</w:t>
      </w:r>
    </w:p>
    <w:p w14:paraId="087C0B5A" w14:textId="01F32D2B" w:rsidR="00B47328" w:rsidRPr="00FA4A25" w:rsidRDefault="00062A66" w:rsidP="00071F3A">
      <w:pPr>
        <w:pStyle w:val="Tomtat"/>
        <w:tabs>
          <w:tab w:val="left" w:pos="567"/>
        </w:tabs>
        <w:ind w:left="0" w:right="-19" w:firstLine="284"/>
      </w:pPr>
      <w:r w:rsidRPr="00B9263B">
        <w:rPr>
          <w:rFonts w:eastAsia="MS Mincho" w:cs="Times New Roman"/>
          <w:b/>
          <w:i/>
          <w:color w:val="000000" w:themeColor="text1"/>
          <w:szCs w:val="26"/>
        </w:rPr>
        <w:t xml:space="preserve">2.2. </w:t>
      </w:r>
      <w:r w:rsidR="00B47328" w:rsidRPr="00B9263B">
        <w:rPr>
          <w:rFonts w:eastAsia="MS Mincho" w:cs="Times New Roman"/>
          <w:b/>
          <w:i/>
          <w:color w:val="000000" w:themeColor="text1"/>
          <w:szCs w:val="26"/>
        </w:rPr>
        <w:t>Đặc điểm của chuyển đổi số</w:t>
      </w:r>
      <w:r w:rsidR="00E4188F" w:rsidRPr="00B9263B">
        <w:rPr>
          <w:rFonts w:eastAsia="MS Mincho" w:cs="Times New Roman"/>
          <w:b/>
          <w:i/>
          <w:color w:val="000000" w:themeColor="text1"/>
          <w:szCs w:val="26"/>
        </w:rPr>
        <w:t xml:space="preserve"> trong giáo dục đại học</w:t>
      </w:r>
    </w:p>
    <w:p w14:paraId="202BC36F" w14:textId="0789F972" w:rsidR="00546DB8" w:rsidRDefault="00FF6A57"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Cần nhấn mạnh một số đặc điểm sau của chuyển đổi số ở trường đại học:</w:t>
      </w:r>
    </w:p>
    <w:p w14:paraId="19E68110" w14:textId="4333D66F" w:rsidR="001246D4" w:rsidRDefault="00546DB8" w:rsidP="00071F3A">
      <w:pPr>
        <w:pStyle w:val="Tomtat"/>
        <w:shd w:val="clear" w:color="auto" w:fill="FFFFFF" w:themeFill="background1"/>
        <w:tabs>
          <w:tab w:val="left" w:pos="567"/>
        </w:tabs>
        <w:ind w:left="0" w:right="-19" w:firstLine="284"/>
        <w:rPr>
          <w:rFonts w:eastAsia="MS Mincho" w:cs="Times New Roman"/>
          <w:color w:val="000000" w:themeColor="text1"/>
          <w:szCs w:val="26"/>
        </w:rPr>
      </w:pPr>
      <w:r w:rsidRPr="00790EC6">
        <w:rPr>
          <w:rFonts w:eastAsia="MS Mincho" w:cs="Times New Roman"/>
          <w:i/>
          <w:color w:val="000000" w:themeColor="text1"/>
          <w:szCs w:val="26"/>
        </w:rPr>
        <w:t>- Sự gia tăng về tài liệu số</w:t>
      </w:r>
      <w:r>
        <w:rPr>
          <w:rFonts w:eastAsia="MS Mincho" w:cs="Times New Roman"/>
          <w:color w:val="000000" w:themeColor="text1"/>
          <w:szCs w:val="26"/>
        </w:rPr>
        <w:t xml:space="preserve">: </w:t>
      </w:r>
      <w:r w:rsidR="00CD463D">
        <w:rPr>
          <w:rFonts w:eastAsia="MS Mincho" w:cs="Times New Roman"/>
          <w:color w:val="000000" w:themeColor="text1"/>
          <w:szCs w:val="26"/>
        </w:rPr>
        <w:t>Sử dụng tài liệu số mang lại thuận tiện và tiết kiệm, thay vì sử dụng giáo trình truyền thống, sinh viên và giảng viên có thể truy cập và chia sẻ tài liệu qua nền tảng trực tuyến một cách dễ dàng.</w:t>
      </w:r>
      <w:r w:rsidR="001246D4">
        <w:rPr>
          <w:rFonts w:eastAsia="MS Mincho" w:cs="Times New Roman"/>
          <w:color w:val="000000" w:themeColor="text1"/>
          <w:szCs w:val="26"/>
        </w:rPr>
        <w:t xml:space="preserve"> </w:t>
      </w:r>
      <w:r w:rsidR="001246D4" w:rsidRPr="001246D4">
        <w:rPr>
          <w:rFonts w:eastAsia="MS Mincho" w:cs="Times New Roman"/>
          <w:color w:val="000000" w:themeColor="text1"/>
          <w:szCs w:val="26"/>
        </w:rPr>
        <w:t>Tài liệu số là phiên bản điện tử của tài liệu truyền thống, lưu trữ dưới dạng file điện tử. Nó có thể truy cập, chỉnh sửa và chia sẻ qua các thiết bị điện tử. Tài liệu số bao gồm nhiều định dạng như văn bản, hình ảnh, âm thanh, video và tệp tin đa phương tiện khác. Nó mang lại lợi ích tiện lợi, tìm kiếm nhanh, chia sẻ dễ dàng và cập nhật linh hoạt. Ngoài ra, tài liệu số giúp tiết kiệm tài nguyên và bảo vệ môi trường. Tuy nhiên, tài liệu số đối mặt với thách thức bảo mật, đáng tin cậy và quyền sở hữu trí tuệ. Đối với một số ngành, việc chuyển đổi hoàn toàn sang tài liệu số có thể gặp khó khăn.</w:t>
      </w:r>
    </w:p>
    <w:p w14:paraId="590834D0" w14:textId="77777777" w:rsidR="001246D4" w:rsidRPr="001246D4" w:rsidRDefault="00CD463D" w:rsidP="00071F3A">
      <w:pPr>
        <w:pStyle w:val="Tomtat"/>
        <w:shd w:val="clear" w:color="auto" w:fill="FFFFFF" w:themeFill="background1"/>
        <w:tabs>
          <w:tab w:val="left" w:pos="567"/>
        </w:tabs>
        <w:ind w:left="0" w:right="-14" w:firstLine="284"/>
        <w:rPr>
          <w:rFonts w:eastAsia="MS Mincho" w:cs="Times New Roman"/>
          <w:color w:val="000000" w:themeColor="text1"/>
          <w:szCs w:val="26"/>
        </w:rPr>
      </w:pPr>
      <w:r w:rsidRPr="00790EC6">
        <w:rPr>
          <w:rFonts w:eastAsia="MS Mincho" w:cs="Times New Roman"/>
          <w:i/>
          <w:color w:val="000000" w:themeColor="text1"/>
          <w:szCs w:val="26"/>
        </w:rPr>
        <w:t>- Phương pháp giảng dạy linh hoạt</w:t>
      </w:r>
      <w:r>
        <w:rPr>
          <w:rFonts w:eastAsia="MS Mincho" w:cs="Times New Roman"/>
          <w:color w:val="000000" w:themeColor="text1"/>
          <w:szCs w:val="26"/>
        </w:rPr>
        <w:t>: Các công cụ và ứng dụng giảng dạy trực tuyến đa dạng và mang tính thực tiễn cao. Giảng viên có thể tạo ra các khóa học trực tuyến, định hình quá trình học tập theo cách phù hợp với sinh viên để tăng cường sự tương tác và tham gia của sinh viên.</w:t>
      </w:r>
      <w:r w:rsidR="001246D4">
        <w:rPr>
          <w:rFonts w:eastAsia="MS Mincho" w:cs="Times New Roman"/>
          <w:color w:val="000000" w:themeColor="text1"/>
          <w:szCs w:val="26"/>
        </w:rPr>
        <w:t xml:space="preserve"> </w:t>
      </w:r>
      <w:r w:rsidR="001246D4" w:rsidRPr="001246D4">
        <w:rPr>
          <w:rFonts w:eastAsia="MS Mincho" w:cs="Times New Roman"/>
          <w:color w:val="000000" w:themeColor="text1"/>
          <w:szCs w:val="26"/>
        </w:rPr>
        <w:t>Trong kỷ nguyên số, phương pháp dạy học đã trải qua nhiều thay đổi để tận dụng sự phát triển của công nghệ và tạo ra môi trường học tập hiệu quả hơn. Dưới đây là một số phương pháp dạy học phổ biến trong kỷ nguyên số:</w:t>
      </w:r>
    </w:p>
    <w:p w14:paraId="4481C808" w14:textId="55387D05" w:rsidR="001246D4" w:rsidRPr="001246D4" w:rsidRDefault="001246D4" w:rsidP="00071F3A">
      <w:pPr>
        <w:pStyle w:val="Tomtat"/>
        <w:shd w:val="clear" w:color="auto" w:fill="FFFFFF" w:themeFill="background1"/>
        <w:tabs>
          <w:tab w:val="left" w:pos="567"/>
        </w:tabs>
        <w:ind w:left="0" w:right="-14" w:firstLine="284"/>
        <w:rPr>
          <w:rFonts w:eastAsia="MS Mincho" w:cs="Times New Roman"/>
          <w:color w:val="000000" w:themeColor="text1"/>
          <w:szCs w:val="26"/>
        </w:rPr>
      </w:pPr>
      <w:r>
        <w:rPr>
          <w:rFonts w:eastAsia="MS Mincho" w:cs="Times New Roman"/>
          <w:color w:val="000000" w:themeColor="text1"/>
          <w:szCs w:val="26"/>
        </w:rPr>
        <w:t xml:space="preserve">+ </w:t>
      </w:r>
      <w:r w:rsidRPr="001246D4">
        <w:rPr>
          <w:rFonts w:eastAsia="MS Mincho" w:cs="Times New Roman"/>
          <w:color w:val="000000" w:themeColor="text1"/>
          <w:szCs w:val="26"/>
        </w:rPr>
        <w:t>Học trực tuyến (Online Learning): Học trực tuyến cho phép sinh viên tiếp cận tài liệu học và tham gia vào quá trình học tập thông qua mạng internet. Các khóa học trực tuyến thường bao gồm video bài giảng, tài liệu điện tử, bài tập trực tuyến và các hoạt động tương tác thông qua diễn đàn hoặc hệ thống giao tiếp trực tuyến.</w:t>
      </w:r>
    </w:p>
    <w:p w14:paraId="554C8F92" w14:textId="5635E445" w:rsidR="001246D4" w:rsidRPr="001246D4" w:rsidRDefault="001246D4" w:rsidP="00071F3A">
      <w:pPr>
        <w:pStyle w:val="Tomtat"/>
        <w:shd w:val="clear" w:color="auto" w:fill="FFFFFF" w:themeFill="background1"/>
        <w:tabs>
          <w:tab w:val="left" w:pos="567"/>
        </w:tabs>
        <w:ind w:left="0" w:right="-14" w:firstLine="284"/>
        <w:rPr>
          <w:rFonts w:eastAsia="MS Mincho" w:cs="Times New Roman"/>
          <w:color w:val="000000" w:themeColor="text1"/>
          <w:szCs w:val="26"/>
        </w:rPr>
      </w:pPr>
      <w:r>
        <w:rPr>
          <w:rFonts w:eastAsia="MS Mincho" w:cs="Times New Roman"/>
          <w:color w:val="000000" w:themeColor="text1"/>
          <w:szCs w:val="26"/>
        </w:rPr>
        <w:t xml:space="preserve">+ </w:t>
      </w:r>
      <w:r w:rsidRPr="001246D4">
        <w:rPr>
          <w:rFonts w:eastAsia="MS Mincho" w:cs="Times New Roman"/>
          <w:color w:val="000000" w:themeColor="text1"/>
          <w:szCs w:val="26"/>
        </w:rPr>
        <w:t>Học kỹ thuật số (Digital Learning): Học kỹ thuật số sử dụng công nghệ số để cung cấp các tài liệu học, hoạt động và nhiệm vụ. Nó có thể bao gồm sử dụng phần mềm giáo dục, ứng dụng di động, trò chơi giảng dạy, mô phỏng và thực tế ảo để tăng cường trải nghiệm học tập.</w:t>
      </w:r>
    </w:p>
    <w:p w14:paraId="4E25C1C3" w14:textId="797708EA" w:rsidR="001246D4" w:rsidRPr="001246D4" w:rsidRDefault="001246D4" w:rsidP="00071F3A">
      <w:pPr>
        <w:pStyle w:val="Tomtat"/>
        <w:shd w:val="clear" w:color="auto" w:fill="FFFFFF" w:themeFill="background1"/>
        <w:tabs>
          <w:tab w:val="left" w:pos="567"/>
        </w:tabs>
        <w:ind w:left="0" w:right="-14" w:firstLine="284"/>
        <w:rPr>
          <w:rFonts w:eastAsia="MS Mincho" w:cs="Times New Roman"/>
          <w:color w:val="000000" w:themeColor="text1"/>
          <w:szCs w:val="26"/>
        </w:rPr>
      </w:pPr>
      <w:r>
        <w:rPr>
          <w:rFonts w:eastAsia="MS Mincho" w:cs="Times New Roman"/>
          <w:color w:val="000000" w:themeColor="text1"/>
          <w:szCs w:val="26"/>
        </w:rPr>
        <w:t xml:space="preserve">+ </w:t>
      </w:r>
      <w:r w:rsidRPr="001246D4">
        <w:rPr>
          <w:rFonts w:eastAsia="MS Mincho" w:cs="Times New Roman"/>
          <w:color w:val="000000" w:themeColor="text1"/>
          <w:szCs w:val="26"/>
        </w:rPr>
        <w:t>Học kết hợp (Blended Learning): Học kết hợp kết hợp giữa học trực tuyến và học truyền thống trong lớp học. Sinh viên tham gia vào các hoạt động trực tuyến trước hoặc sau lớp học trực tiếp, trong khi lớp học truyền thống tập trung vào thảo luận, thực hành và tương tác trực tiếp.</w:t>
      </w:r>
    </w:p>
    <w:p w14:paraId="74D7D9E0" w14:textId="5631D592" w:rsidR="001246D4" w:rsidRPr="001246D4" w:rsidRDefault="001246D4" w:rsidP="00071F3A">
      <w:pPr>
        <w:pStyle w:val="Tomtat"/>
        <w:shd w:val="clear" w:color="auto" w:fill="FFFFFF" w:themeFill="background1"/>
        <w:tabs>
          <w:tab w:val="left" w:pos="567"/>
        </w:tabs>
        <w:ind w:left="0" w:right="-14" w:firstLine="284"/>
        <w:rPr>
          <w:rFonts w:eastAsia="MS Mincho" w:cs="Times New Roman"/>
          <w:color w:val="000000" w:themeColor="text1"/>
          <w:szCs w:val="26"/>
        </w:rPr>
      </w:pPr>
      <w:r>
        <w:rPr>
          <w:rFonts w:eastAsia="MS Mincho" w:cs="Times New Roman"/>
          <w:color w:val="000000" w:themeColor="text1"/>
          <w:szCs w:val="26"/>
        </w:rPr>
        <w:t xml:space="preserve">+ </w:t>
      </w:r>
      <w:r w:rsidRPr="001246D4">
        <w:rPr>
          <w:rFonts w:eastAsia="MS Mincho" w:cs="Times New Roman"/>
          <w:color w:val="000000" w:themeColor="text1"/>
          <w:szCs w:val="26"/>
        </w:rPr>
        <w:t>Học tương tác (Interactive Learning): Học tương tác là một phương pháp dạy học kỷ nguyên số tập trung vào tương tác giữa giảng viên và sinh viên, cũng như tương tác giữa sinh viên và tài liệu học. Nó bao gồm sử dụng công cụ tương tác như hệ thống thảo luận trực tuyến, video họp trực tuyến, câu hỏi trắc nghiệm tương tác và bài tập trực tuyến để thúc đẩy sự tham gia và tương tác của sinh viên.</w:t>
      </w:r>
    </w:p>
    <w:p w14:paraId="64A3C91D" w14:textId="00030156" w:rsidR="001246D4" w:rsidRPr="001246D4" w:rsidRDefault="001246D4" w:rsidP="00071F3A">
      <w:pPr>
        <w:pStyle w:val="Tomtat"/>
        <w:shd w:val="clear" w:color="auto" w:fill="FFFFFF" w:themeFill="background1"/>
        <w:tabs>
          <w:tab w:val="left" w:pos="567"/>
        </w:tabs>
        <w:ind w:left="0" w:right="-14" w:firstLine="284"/>
        <w:rPr>
          <w:rFonts w:eastAsia="MS Mincho" w:cs="Times New Roman"/>
          <w:color w:val="000000" w:themeColor="text1"/>
          <w:szCs w:val="26"/>
        </w:rPr>
      </w:pPr>
      <w:r>
        <w:rPr>
          <w:rFonts w:eastAsia="MS Mincho" w:cs="Times New Roman"/>
          <w:color w:val="000000" w:themeColor="text1"/>
          <w:szCs w:val="26"/>
        </w:rPr>
        <w:lastRenderedPageBreak/>
        <w:t xml:space="preserve">+ </w:t>
      </w:r>
      <w:r w:rsidRPr="001246D4">
        <w:rPr>
          <w:rFonts w:eastAsia="MS Mincho" w:cs="Times New Roman"/>
          <w:color w:val="000000" w:themeColor="text1"/>
          <w:szCs w:val="26"/>
        </w:rPr>
        <w:t>Học tự học (Self-directed Learning): Học tự học cho phép sinh viên đảm nhận vai trò chủ động trong việc xác định mục tiêu học tập, quản lý thời gian và tiến độ học tập của mình. Công nghệ số cung cấp tài liệu học, nguồn tư liệu và công cụ tự học để hỗ trợ sinh viên trong việc tự học và phát triển kỹ năng tự học suốt đời.</w:t>
      </w:r>
    </w:p>
    <w:p w14:paraId="17006468" w14:textId="67BDED46" w:rsidR="00CD463D" w:rsidRDefault="001246D4" w:rsidP="00071F3A">
      <w:pPr>
        <w:pStyle w:val="Tomtat"/>
        <w:shd w:val="clear" w:color="auto" w:fill="FFFFFF" w:themeFill="background1"/>
        <w:tabs>
          <w:tab w:val="left" w:pos="567"/>
        </w:tabs>
        <w:ind w:left="0" w:right="-19" w:firstLine="284"/>
        <w:rPr>
          <w:rFonts w:eastAsia="MS Mincho" w:cs="Times New Roman"/>
          <w:color w:val="000000" w:themeColor="text1"/>
          <w:szCs w:val="26"/>
        </w:rPr>
      </w:pPr>
      <w:r w:rsidRPr="001246D4">
        <w:rPr>
          <w:rFonts w:eastAsia="MS Mincho" w:cs="Times New Roman"/>
          <w:color w:val="000000" w:themeColor="text1"/>
          <w:szCs w:val="26"/>
        </w:rPr>
        <w:t>Các phương pháp dạy học trong kỷ nguyên số tập trung vào việc sử dụng công nghệ số để tạo ra môi trường học tập linh hoạt, tương tác và truy cập dễ dàng đến tài liệu và nguồn kiến thức. Nó thúc đẩy sự tương tác giữa giảng viên và sinh viên, khuyến khích sự tự học và tạo ra trải nghiệm học tập đa dạng và tương tác.</w:t>
      </w:r>
    </w:p>
    <w:p w14:paraId="133FC3B4" w14:textId="787228D7" w:rsidR="00CD463D" w:rsidRDefault="00CD463D" w:rsidP="00071F3A">
      <w:pPr>
        <w:pStyle w:val="Tomtat"/>
        <w:shd w:val="clear" w:color="auto" w:fill="FFFFFF" w:themeFill="background1"/>
        <w:tabs>
          <w:tab w:val="left" w:pos="567"/>
        </w:tabs>
        <w:ind w:left="0" w:right="-19" w:firstLine="284"/>
        <w:rPr>
          <w:rFonts w:eastAsia="MS Mincho" w:cs="Times New Roman"/>
          <w:color w:val="000000" w:themeColor="text1"/>
          <w:szCs w:val="26"/>
        </w:rPr>
      </w:pPr>
      <w:r w:rsidRPr="00790EC6">
        <w:rPr>
          <w:rFonts w:eastAsia="MS Mincho" w:cs="Times New Roman"/>
          <w:i/>
          <w:color w:val="000000" w:themeColor="text1"/>
          <w:szCs w:val="26"/>
        </w:rPr>
        <w:t>- Tích hợp công nghệ vào quy trình đánh giá</w:t>
      </w:r>
      <w:r>
        <w:rPr>
          <w:rFonts w:eastAsia="MS Mincho" w:cs="Times New Roman"/>
          <w:color w:val="000000" w:themeColor="text1"/>
          <w:szCs w:val="26"/>
        </w:rPr>
        <w:t>: Các phần mềm đánh giá trực tuyến giúp giảng viên đánh giá năng lực của sinh viên một cách nhanh chóng và hiệu quả. Các bài tập trực tuyến và bài kiểm tra giúp giảng viên và sinh viên theo dõi tiến độ học tập và kết quả học tập.</w:t>
      </w:r>
      <w:r w:rsidR="007028C2">
        <w:rPr>
          <w:rFonts w:eastAsia="MS Mincho" w:cs="Times New Roman"/>
          <w:color w:val="000000" w:themeColor="text1"/>
          <w:szCs w:val="26"/>
        </w:rPr>
        <w:t xml:space="preserve"> </w:t>
      </w:r>
      <w:r w:rsidR="007028C2" w:rsidRPr="007028C2">
        <w:rPr>
          <w:rFonts w:eastAsia="MS Mincho" w:cs="Times New Roman"/>
          <w:color w:val="000000" w:themeColor="text1"/>
          <w:szCs w:val="26"/>
        </w:rPr>
        <w:t>Dưới đây là một số cách tích hợp công nghệ vào đánh giá:</w:t>
      </w:r>
    </w:p>
    <w:p w14:paraId="3748249D" w14:textId="114E9D42" w:rsidR="007028C2" w:rsidRPr="007028C2" w:rsidRDefault="007028C2" w:rsidP="00071F3A">
      <w:pPr>
        <w:pStyle w:val="Tomtat"/>
        <w:shd w:val="clear" w:color="auto" w:fill="FFFFFF" w:themeFill="background1"/>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7028C2">
        <w:rPr>
          <w:rFonts w:eastAsia="MS Mincho" w:cs="Times New Roman"/>
          <w:color w:val="000000" w:themeColor="text1"/>
          <w:szCs w:val="26"/>
        </w:rPr>
        <w:t>Sử dụng hệ thống đánh giá trực tuyến: Sử dụng các hệ thống đánh giá trực tuyến để thu thập và quản lý dữ liệu đánh giá. Các hệ thống này cung cấp khả năng tạo và quản lý các bài kiểm tra, bảng câu hỏi, và phiếu khảo sát trực tuyến, giúp thu thập dữ liệu một cách thuận tiện và tự động.</w:t>
      </w:r>
    </w:p>
    <w:p w14:paraId="6544D6E1" w14:textId="13DD4B98" w:rsidR="007028C2" w:rsidRPr="007028C2" w:rsidRDefault="007028C2" w:rsidP="00071F3A">
      <w:pPr>
        <w:pStyle w:val="Tomtat"/>
        <w:shd w:val="clear" w:color="auto" w:fill="FFFFFF" w:themeFill="background1"/>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7028C2">
        <w:rPr>
          <w:rFonts w:eastAsia="MS Mincho" w:cs="Times New Roman"/>
          <w:color w:val="000000" w:themeColor="text1"/>
          <w:szCs w:val="26"/>
        </w:rPr>
        <w:t>Sử dụng phần mềm đánh giá và phân tích dữ liệu: Sử dụng phần mềm đánh giá và phân tích dữ liệu để xử lý dữ liệu đánh giá và tạo ra báo cáo tổng hợp. Các phần mềm này giúp tự động hóa quá trình phân tích dữ liệu và đưa ra các phân tích thống kê, biểu đồ và báo cáo mô tả, giúp người dùng hiểu rõ hơn về kết quả đánh giá.</w:t>
      </w:r>
    </w:p>
    <w:p w14:paraId="66D6AD52" w14:textId="2C9B6CED" w:rsidR="007028C2" w:rsidRPr="007028C2" w:rsidRDefault="007028C2" w:rsidP="00071F3A">
      <w:pPr>
        <w:pStyle w:val="Tomtat"/>
        <w:shd w:val="clear" w:color="auto" w:fill="FFFFFF" w:themeFill="background1"/>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7028C2">
        <w:rPr>
          <w:rFonts w:eastAsia="MS Mincho" w:cs="Times New Roman"/>
          <w:color w:val="000000" w:themeColor="text1"/>
          <w:szCs w:val="26"/>
        </w:rPr>
        <w:t>Sử dụng công nghệ trực tuyến để thu thập dữ liệu đánh giá: Sử dụng các công nghệ trực tuyến như cuộc khảo sát trực tuyến, thảo luận trực tuyến hoặc hệ thống ghi chú điện tử để thu thập dữ liệu đánh giá từ giảng viên và sinh viên. Điều này giúp tạo sự thuận tiện và tương tác cho người dùng và thu thập dữ liệu nhanh chóng và dễ dàng.</w:t>
      </w:r>
    </w:p>
    <w:p w14:paraId="7EA853AE" w14:textId="02CFF84D" w:rsidR="007028C2" w:rsidRPr="007028C2" w:rsidRDefault="007028C2" w:rsidP="00071F3A">
      <w:pPr>
        <w:pStyle w:val="Tomtat"/>
        <w:shd w:val="clear" w:color="auto" w:fill="FFFFFF" w:themeFill="background1"/>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7028C2">
        <w:rPr>
          <w:rFonts w:eastAsia="MS Mincho" w:cs="Times New Roman"/>
          <w:color w:val="000000" w:themeColor="text1"/>
          <w:szCs w:val="26"/>
        </w:rPr>
        <w:t>Sử dụng công nghệ tương tác trong đánh giá: Sử dụng công nghệ tương tác như video họp trực tuyến, diễn đàn trực tuyến, hoặc các ứng dụng tương tác để thu thập phản hồi trực tiếp từ người dùng. Các công nghệ này tạo điều kiện cho giao tiếp trực tiếp và tương tác giữa người đánh giá và người được đánh giá, tạo ra phản hồi và ý kiến chính xác và tương tác hơn.</w:t>
      </w:r>
    </w:p>
    <w:p w14:paraId="6B375351" w14:textId="557B3602" w:rsidR="007028C2" w:rsidRPr="007028C2" w:rsidRDefault="007028C2" w:rsidP="00071F3A">
      <w:pPr>
        <w:pStyle w:val="Tomtat"/>
        <w:shd w:val="clear" w:color="auto" w:fill="FFFFFF" w:themeFill="background1"/>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7028C2">
        <w:rPr>
          <w:rFonts w:eastAsia="MS Mincho" w:cs="Times New Roman"/>
          <w:color w:val="000000" w:themeColor="text1"/>
          <w:szCs w:val="26"/>
        </w:rPr>
        <w:t>Sử dụng công nghệ phân tích dữ liệu tự động: Sử dụng công nghệ phân tích dữ liệu tự động, như trí tuệ nhân tạo và học máy, để phân tích dữ liệu đánh giá và tạo ra đánh giá tự động. Điều này giúp tăng tốc quá trình đánh giá và giảm công sức thủ công trong việc xem xét và đánh giá dữ liệu.</w:t>
      </w:r>
    </w:p>
    <w:p w14:paraId="4E62B77A" w14:textId="42CC6D77" w:rsidR="007028C2" w:rsidRDefault="007028C2" w:rsidP="00071F3A">
      <w:pPr>
        <w:pStyle w:val="Tomtat"/>
        <w:shd w:val="clear" w:color="auto" w:fill="FFFFFF" w:themeFill="background1"/>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7028C2">
        <w:rPr>
          <w:rFonts w:eastAsia="MS Mincho" w:cs="Times New Roman"/>
          <w:color w:val="000000" w:themeColor="text1"/>
          <w:szCs w:val="26"/>
        </w:rPr>
        <w:t>Tích hợp công nghệ vào quá trình đánh giá mang lại nhiều lợi ích, bao gồm tăng cường tương tác và sự thuận tiện cho người dùng, cải thiện chính xác và tốc độ thu thập dữ liệu, và cung cấp phân tích dữ liệu tự động và kịp thời. Điều này giúp tăng cường quy trình đánh giá và cung cấp thông tin quan trọng để cải thiện chất lượng giảng dạy và học tập.</w:t>
      </w:r>
    </w:p>
    <w:p w14:paraId="31CCE871" w14:textId="77777777" w:rsidR="007028C2" w:rsidRDefault="00CD463D" w:rsidP="00071F3A">
      <w:pPr>
        <w:pStyle w:val="Tomtat"/>
        <w:shd w:val="clear" w:color="auto" w:fill="FFFFFF" w:themeFill="background1"/>
        <w:tabs>
          <w:tab w:val="left" w:pos="567"/>
        </w:tabs>
        <w:ind w:left="0" w:right="-19" w:firstLine="284"/>
        <w:rPr>
          <w:rFonts w:eastAsia="MS Mincho" w:cs="Times New Roman"/>
          <w:color w:val="000000" w:themeColor="text1"/>
          <w:szCs w:val="26"/>
        </w:rPr>
      </w:pPr>
      <w:r w:rsidRPr="00790EC6">
        <w:rPr>
          <w:rFonts w:eastAsia="MS Mincho" w:cs="Times New Roman"/>
          <w:i/>
          <w:color w:val="000000" w:themeColor="text1"/>
          <w:szCs w:val="26"/>
        </w:rPr>
        <w:t>- Môi trường học tập kỹ thuật số</w:t>
      </w:r>
      <w:r>
        <w:rPr>
          <w:rFonts w:eastAsia="MS Mincho" w:cs="Times New Roman"/>
          <w:color w:val="000000" w:themeColor="text1"/>
          <w:szCs w:val="26"/>
        </w:rPr>
        <w:t>: Các diễn đàn trực tuyến và thảo luận trực tuyến dễ dàng chia sẻ, tạo cơ hội cho việc trao đổi thông tin không bị giới hạn bởi địa lý và thời gian.</w:t>
      </w:r>
      <w:r w:rsidR="007028C2">
        <w:rPr>
          <w:rFonts w:eastAsia="MS Mincho" w:cs="Times New Roman"/>
          <w:color w:val="000000" w:themeColor="text1"/>
          <w:szCs w:val="26"/>
        </w:rPr>
        <w:t xml:space="preserve"> </w:t>
      </w:r>
      <w:r w:rsidR="007028C2" w:rsidRPr="007028C2">
        <w:rPr>
          <w:rFonts w:eastAsia="MS Mincho" w:cs="Times New Roman"/>
          <w:color w:val="000000" w:themeColor="text1"/>
          <w:szCs w:val="26"/>
        </w:rPr>
        <w:t>Môi trường học tập kỹ thuật số có các đặc điểm sau:</w:t>
      </w:r>
    </w:p>
    <w:p w14:paraId="155A3EFF" w14:textId="6B623B32" w:rsidR="007028C2" w:rsidRPr="007028C2" w:rsidRDefault="007028C2" w:rsidP="00071F3A">
      <w:pPr>
        <w:pStyle w:val="Tomtat"/>
        <w:shd w:val="clear" w:color="auto" w:fill="FFFFFF" w:themeFill="background1"/>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7028C2">
        <w:rPr>
          <w:rFonts w:eastAsia="MS Mincho" w:cs="Times New Roman"/>
          <w:color w:val="000000" w:themeColor="text1"/>
          <w:szCs w:val="26"/>
        </w:rPr>
        <w:t>Cơ sở hạ tầng công nghệ: Môi trường học tập kỹ thuật số được xây dựng dựa trên cơ sở hạ tầng công nghệ, bao gồm các hệ thống quản lý học tập trực tuyến, phần mềm giảng dạy, hệ thống video họp trực tuyến, nền tảng diễn đàn và các công cụ tương tác trực tuyến khác. Cơ sở hạ tầng này cung cấp môi trường kỹ thuật số để thực hiện quá trình học tập và giao tiếp trực tuyến.</w:t>
      </w:r>
    </w:p>
    <w:p w14:paraId="33AD1A86" w14:textId="53160D2E" w:rsidR="007028C2" w:rsidRPr="007028C2" w:rsidRDefault="007028C2" w:rsidP="00071F3A">
      <w:pPr>
        <w:pStyle w:val="Tomtat"/>
        <w:shd w:val="clear" w:color="auto" w:fill="FFFFFF" w:themeFill="background1"/>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7028C2">
        <w:rPr>
          <w:rFonts w:eastAsia="MS Mincho" w:cs="Times New Roman"/>
          <w:color w:val="000000" w:themeColor="text1"/>
          <w:szCs w:val="26"/>
        </w:rPr>
        <w:t>Truy cập linh hoạt: Môi trường học tập kỹ thuật số cho phép sinh viên truy cập từ bất kỳ thiết bị kết nối internet nào, chẳng hạn như máy tính, máy tính bảng hay điện thoại thông minh. Điều này mang lại linh hoạt cao cho sinh viên, cho phép họ học tập và tiếp cận tài liệu bất cứ khi nào và ở bất cứ đâu.</w:t>
      </w:r>
    </w:p>
    <w:p w14:paraId="1CA0D5D9" w14:textId="1576D8E4" w:rsidR="007028C2" w:rsidRPr="007028C2" w:rsidRDefault="007028C2" w:rsidP="00071F3A">
      <w:pPr>
        <w:pStyle w:val="Tomtat"/>
        <w:shd w:val="clear" w:color="auto" w:fill="FFFFFF" w:themeFill="background1"/>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7028C2">
        <w:rPr>
          <w:rFonts w:eastAsia="MS Mincho" w:cs="Times New Roman"/>
          <w:color w:val="000000" w:themeColor="text1"/>
          <w:szCs w:val="26"/>
        </w:rPr>
        <w:t>Nội dung đa phương tiện: Môi trường học tập kỹ thuật số cung cấp nội dung đa dạng và đa phương tiện, bao gồm văn bản, hình ảnh, âm thanh, video và tệp tin đa phương tiện khác. Sinh viên có thể tiếp cận các tài liệu học tập, sách điện tử, bài giảng trực tuyến, video hướng dẫn và tài liệu đa phương tiện khác để nắm bắt kiến thức một cách phong phú và sáng tạo.</w:t>
      </w:r>
    </w:p>
    <w:p w14:paraId="543013EE" w14:textId="308A181F" w:rsidR="007028C2" w:rsidRPr="007028C2" w:rsidRDefault="007028C2" w:rsidP="00071F3A">
      <w:pPr>
        <w:pStyle w:val="Tomtat"/>
        <w:shd w:val="clear" w:color="auto" w:fill="FFFFFF" w:themeFill="background1"/>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7028C2">
        <w:rPr>
          <w:rFonts w:eastAsia="MS Mincho" w:cs="Times New Roman"/>
          <w:color w:val="000000" w:themeColor="text1"/>
          <w:szCs w:val="26"/>
        </w:rPr>
        <w:t>Tương tác và hợp tác trực tuyến: Môi trường học tập kỹ thuật số cung cấp khả năng tương tác và hợp tác trực tuyến giữa sinh viên và giảng viên, cũng như giữa sinh viên với nhau. Các diễn đàn, cuộc thảo luận trực tuyến, nhóm làm việc và dự án chung cho phép sinh viên tương tác, trao đổi ý kiến, hỗ trợ lẫn nhau và học tập theo nhóm dù không cùng một địa điểm vật lý.</w:t>
      </w:r>
    </w:p>
    <w:p w14:paraId="74EDD0F1" w14:textId="7E2BF77D" w:rsidR="007028C2" w:rsidRPr="007028C2" w:rsidRDefault="007028C2" w:rsidP="00071F3A">
      <w:pPr>
        <w:pStyle w:val="Tomtat"/>
        <w:shd w:val="clear" w:color="auto" w:fill="FFFFFF" w:themeFill="background1"/>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7028C2">
        <w:rPr>
          <w:rFonts w:eastAsia="MS Mincho" w:cs="Times New Roman"/>
          <w:color w:val="000000" w:themeColor="text1"/>
          <w:szCs w:val="26"/>
        </w:rPr>
        <w:t>Tích hợp công nghệ mới: Môi trường học tập kỹ thuật số liên tục tích hợp các công nghệ mới và xu hướng mới như trí tuệ nhân tạo, thực tế ảo, học sâu (deep learning) và phân tích dữ liệu. Điều này giúp tăng cường trải nghiệm học tập, tạo ra các phương pháp giảng dạy sáng tạo và khám phá các cách tiếp cận mới trong giáo dục.</w:t>
      </w:r>
    </w:p>
    <w:p w14:paraId="646CC510" w14:textId="5732FB4F" w:rsidR="00CD463D" w:rsidRDefault="007028C2" w:rsidP="00071F3A">
      <w:pPr>
        <w:pStyle w:val="Tomtat"/>
        <w:shd w:val="clear" w:color="auto" w:fill="FFFFFF" w:themeFill="background1"/>
        <w:tabs>
          <w:tab w:val="left" w:pos="567"/>
        </w:tabs>
        <w:ind w:left="0" w:right="-19" w:firstLine="284"/>
        <w:rPr>
          <w:rFonts w:eastAsia="MS Mincho" w:cs="Times New Roman"/>
          <w:color w:val="000000" w:themeColor="text1"/>
          <w:szCs w:val="26"/>
        </w:rPr>
      </w:pPr>
      <w:r w:rsidRPr="007028C2">
        <w:rPr>
          <w:rFonts w:eastAsia="MS Mincho" w:cs="Times New Roman"/>
          <w:color w:val="000000" w:themeColor="text1"/>
          <w:szCs w:val="26"/>
        </w:rPr>
        <w:t>Môi trường học tập kỹ thuật số mang lại linh hoạt, tương tác và đa phương tiện cho sinh viên, mở ra cơ hội học tập mới và tạo ra một không gian học tập đa dạng và phong phú.</w:t>
      </w:r>
    </w:p>
    <w:p w14:paraId="00161287" w14:textId="77777777" w:rsidR="007028C2" w:rsidRPr="007028C2" w:rsidRDefault="00CD463D" w:rsidP="00071F3A">
      <w:pPr>
        <w:pStyle w:val="Tomtat"/>
        <w:shd w:val="clear" w:color="auto" w:fill="FFFFFF" w:themeFill="background1"/>
        <w:tabs>
          <w:tab w:val="left" w:pos="567"/>
        </w:tabs>
        <w:ind w:left="0" w:right="-19" w:firstLine="284"/>
        <w:rPr>
          <w:rFonts w:eastAsia="MS Mincho" w:cs="Times New Roman"/>
          <w:color w:val="000000" w:themeColor="text1"/>
          <w:szCs w:val="26"/>
        </w:rPr>
      </w:pPr>
      <w:r w:rsidRPr="00790EC6">
        <w:rPr>
          <w:rFonts w:eastAsia="MS Mincho" w:cs="Times New Roman"/>
          <w:i/>
          <w:color w:val="000000" w:themeColor="text1"/>
          <w:szCs w:val="26"/>
        </w:rPr>
        <w:lastRenderedPageBreak/>
        <w:t>- Tăng cường các trải nghiệm học tập</w:t>
      </w:r>
      <w:r>
        <w:rPr>
          <w:rFonts w:eastAsia="MS Mincho" w:cs="Times New Roman"/>
          <w:color w:val="000000" w:themeColor="text1"/>
          <w:szCs w:val="26"/>
        </w:rPr>
        <w:t>: Các phương tiện tương tác và học tập trực quan như trò chơi, mô phỏng, thực tế ảo giúp sinh viên trải nghiệm các khái niệm trừu tượng một cách sinh động, cải thiện sử ghi nhớ và hiểu biết.</w:t>
      </w:r>
      <w:r w:rsidR="007028C2">
        <w:rPr>
          <w:rFonts w:eastAsia="MS Mincho" w:cs="Times New Roman"/>
          <w:color w:val="000000" w:themeColor="text1"/>
          <w:szCs w:val="26"/>
        </w:rPr>
        <w:t xml:space="preserve"> </w:t>
      </w:r>
      <w:r w:rsidR="007028C2" w:rsidRPr="007028C2">
        <w:rPr>
          <w:rFonts w:eastAsia="MS Mincho" w:cs="Times New Roman"/>
          <w:color w:val="000000" w:themeColor="text1"/>
          <w:szCs w:val="26"/>
        </w:rPr>
        <w:t>Dưới đây là một số cách mà chuyển đổi số tăng cường trải nghiệm học tập:</w:t>
      </w:r>
    </w:p>
    <w:p w14:paraId="20B67E46" w14:textId="4E74523A" w:rsidR="007028C2" w:rsidRPr="007028C2" w:rsidRDefault="007028C2" w:rsidP="00071F3A">
      <w:pPr>
        <w:pStyle w:val="Tomtat"/>
        <w:shd w:val="clear" w:color="auto" w:fill="FFFFFF" w:themeFill="background1"/>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7028C2">
        <w:rPr>
          <w:rFonts w:eastAsia="MS Mincho" w:cs="Times New Roman"/>
          <w:color w:val="000000" w:themeColor="text1"/>
          <w:szCs w:val="26"/>
        </w:rPr>
        <w:t>Truy cập và linh hoạt: Chuyển đổi số cho phép sinh viên truy cập vào tài liệu học tập và nguồn kiến thức từ bất kỳ đâu và bất kỳ khi nào, chỉ cần có kết nối internet. Sinh viên có thể tiếp cận thông tin, tài liệu, video học tập và bài giảng trực tuyến dễ dàng, đồng thời có thể tự điều chỉnh tốc độ và thời gian học tập phù hợp với lịch trình cá nhân.</w:t>
      </w:r>
    </w:p>
    <w:p w14:paraId="50D9EAA4" w14:textId="4A5AB777" w:rsidR="007028C2" w:rsidRPr="007028C2" w:rsidRDefault="007028C2" w:rsidP="00071F3A">
      <w:pPr>
        <w:pStyle w:val="Tomtat"/>
        <w:shd w:val="clear" w:color="auto" w:fill="FFFFFF" w:themeFill="background1"/>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7028C2">
        <w:rPr>
          <w:rFonts w:eastAsia="MS Mincho" w:cs="Times New Roman"/>
          <w:color w:val="000000" w:themeColor="text1"/>
          <w:szCs w:val="26"/>
        </w:rPr>
        <w:t>Nội dung đa phương tiện: Chuyển đổi số cung cấp nội dung học tập đa phương tiện và đa dạng, bao gồm văn bản, hình ảnh, âm thanh, video và tài liệu tương tác. Sinh viên có thể tiếp cận các sách điện tử, bài giảng trực tuyến, tài liệu đa phương tiện và các nguồn kiến thức trực tuyến khác. Điều này tạo ra trải nghiệm học tập sáng tạo, tương tác và gần gũi với thực tế.</w:t>
      </w:r>
    </w:p>
    <w:p w14:paraId="7A33DCBA" w14:textId="67C2D7DB" w:rsidR="007028C2" w:rsidRPr="007028C2" w:rsidRDefault="007028C2" w:rsidP="00071F3A">
      <w:pPr>
        <w:pStyle w:val="Tomtat"/>
        <w:shd w:val="clear" w:color="auto" w:fill="FFFFFF" w:themeFill="background1"/>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7028C2">
        <w:rPr>
          <w:rFonts w:eastAsia="MS Mincho" w:cs="Times New Roman"/>
          <w:color w:val="000000" w:themeColor="text1"/>
          <w:szCs w:val="26"/>
        </w:rPr>
        <w:t>Tương tác và hợp tác trực tuyến: Chuyển đổi số mở ra cơ hội tương tác và hợp tác trực tuyến giữa sinh viên, giảng viên và đồng sinh viên. Các diễn đàn trực tuyến, cuộc thảo luận, nhóm làm việc và dự án chung cho phép sinh viên trao đổi ý kiến, học tập theo nhóm và hỗ trợ lẫn nhau một cách linh hoạt và thuận tiện. Điều này khuyến khích tương tác xã hội và phát triển kỹ năng giao tiếp trong môi trường số.</w:t>
      </w:r>
    </w:p>
    <w:p w14:paraId="377CE2D8" w14:textId="7C29E475" w:rsidR="00E4188F" w:rsidRPr="00790EC6" w:rsidRDefault="007028C2" w:rsidP="00071F3A">
      <w:pPr>
        <w:pStyle w:val="Tomtat"/>
        <w:shd w:val="clear" w:color="auto" w:fill="FFFFFF" w:themeFill="background1"/>
        <w:tabs>
          <w:tab w:val="left" w:pos="567"/>
        </w:tabs>
        <w:ind w:left="0" w:right="-19" w:firstLine="284"/>
        <w:rPr>
          <w:rFonts w:eastAsia="MS Mincho" w:cs="Times New Roman"/>
          <w:szCs w:val="26"/>
        </w:rPr>
      </w:pPr>
      <w:r>
        <w:rPr>
          <w:rFonts w:eastAsia="MS Mincho" w:cs="Times New Roman"/>
          <w:color w:val="000000" w:themeColor="text1"/>
          <w:szCs w:val="26"/>
        </w:rPr>
        <w:t xml:space="preserve">+ </w:t>
      </w:r>
      <w:r w:rsidRPr="007028C2">
        <w:rPr>
          <w:rFonts w:eastAsia="MS Mincho" w:cs="Times New Roman"/>
          <w:color w:val="000000" w:themeColor="text1"/>
          <w:szCs w:val="26"/>
        </w:rPr>
        <w:t>Đánh giá và phản hồi trực tuyến: Chuyển đổi số cung cấp các hình thức đánh giá và phản hồi trực tuyến. Sinh viên có thể tham gia vào bài kiểm tra trực tuyến, hoàn thành bài tập trực tuyến và nhận phản hồi tức thì từ giảng viên. Điều này giúp sinh viên tự đánh giá tiến độ học tập và nhận phản hồi để cải thiện hiệu suất học tập của mình.</w:t>
      </w:r>
    </w:p>
    <w:p w14:paraId="29A24868" w14:textId="1BDE0EDB" w:rsidR="00B47328" w:rsidRDefault="00B47328" w:rsidP="00071F3A">
      <w:pPr>
        <w:pStyle w:val="Tomtat"/>
        <w:tabs>
          <w:tab w:val="left" w:pos="567"/>
        </w:tabs>
        <w:ind w:left="0" w:right="-19" w:firstLine="284"/>
        <w:rPr>
          <w:rFonts w:eastAsia="MS Mincho" w:cs="Times New Roman"/>
          <w:b/>
          <w:color w:val="000000" w:themeColor="text1"/>
          <w:szCs w:val="26"/>
        </w:rPr>
      </w:pPr>
      <w:r>
        <w:rPr>
          <w:rFonts w:eastAsia="MS Mincho" w:cs="Times New Roman"/>
          <w:b/>
          <w:color w:val="000000" w:themeColor="text1"/>
          <w:szCs w:val="26"/>
        </w:rPr>
        <w:t>2.3. Đặc điểm của hệ sinh thái học tập qua mạng</w:t>
      </w:r>
    </w:p>
    <w:p w14:paraId="0588920A" w14:textId="704480B6" w:rsidR="00E4188F" w:rsidRDefault="00705EA7"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Các đặc điểm của hệ sinh thái học tập qua mạng gồm:</w:t>
      </w:r>
    </w:p>
    <w:p w14:paraId="1795F639" w14:textId="77777777" w:rsidR="00A70B3D" w:rsidRPr="00A70B3D" w:rsidRDefault="00705EA7" w:rsidP="00071F3A">
      <w:pPr>
        <w:pStyle w:val="Tomtat"/>
        <w:tabs>
          <w:tab w:val="left" w:pos="567"/>
        </w:tabs>
        <w:ind w:left="0" w:right="-19" w:firstLine="284"/>
        <w:rPr>
          <w:rFonts w:eastAsia="MS Mincho" w:cs="Times New Roman"/>
          <w:color w:val="000000" w:themeColor="text1"/>
          <w:szCs w:val="26"/>
        </w:rPr>
      </w:pPr>
      <w:r w:rsidRPr="000E2166">
        <w:rPr>
          <w:rFonts w:eastAsia="MS Mincho" w:cs="Times New Roman"/>
          <w:i/>
          <w:color w:val="000000" w:themeColor="text1"/>
          <w:szCs w:val="26"/>
        </w:rPr>
        <w:t>- Tiếp cận toàn cầu</w:t>
      </w:r>
      <w:r>
        <w:rPr>
          <w:rFonts w:eastAsia="MS Mincho" w:cs="Times New Roman"/>
          <w:color w:val="000000" w:themeColor="text1"/>
          <w:szCs w:val="26"/>
        </w:rPr>
        <w:t>: Hệ sinh thái học tập qua mạng mang lại khả năng tiếp cận kiến thức và giáo dục trên phạm vi toàn cầu. Sinh viên và giảng viên có thể truy cập vào các khóa học và tài liệu học tập từ mọi nơi trên thế giới, vượt qua các rào cản về địa lý và thời gian. Điều này mở rộng cơ hội học tập và tạo điều kiện bình đẳng cho mọi người.</w:t>
      </w:r>
      <w:r w:rsidR="00A70B3D" w:rsidRPr="00A70B3D">
        <w:rPr>
          <w:rFonts w:eastAsia="MS Mincho" w:cs="Times New Roman"/>
          <w:color w:val="000000" w:themeColor="text1"/>
          <w:szCs w:val="26"/>
        </w:rPr>
        <w:t>Tiếp cận toàn cầu trong hệ sinh thái học tập qua mạng là một khía cạnh quan trọng của chuyển đổi số trong giáo dục. Dưới đây là một số cách mà hệ sinh thái học tập qua mạng tạo điều kiện cho tiếp cận toàn cầu:</w:t>
      </w:r>
    </w:p>
    <w:p w14:paraId="61FEDED8" w14:textId="5EA23983" w:rsidR="00A70B3D" w:rsidRPr="00A70B3D" w:rsidRDefault="00A70B3D"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A70B3D">
        <w:rPr>
          <w:rFonts w:eastAsia="MS Mincho" w:cs="Times New Roman"/>
          <w:color w:val="000000" w:themeColor="text1"/>
          <w:szCs w:val="26"/>
        </w:rPr>
        <w:t>Truy cập không gian và thời gian linh hoạt: Hệ sinh thái học tập qua mạng cho phép sinh viên truy cập vào các khóa học và tài liệu học tập từ bất kỳ nơi nào trên thế giới, không bị ràng buộc bởi không gian và thời gian. Sinh viên có thể tham gia vào các khóa học trực tuyến, tham gia vào diễn đàn và thảo luận trực tuyến vào bất kỳ lúc nào phù hợp với mình.</w:t>
      </w:r>
    </w:p>
    <w:p w14:paraId="6EEC41F4" w14:textId="6473F188" w:rsidR="00A70B3D" w:rsidRPr="00A70B3D" w:rsidRDefault="00A70B3D"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A70B3D">
        <w:rPr>
          <w:rFonts w:eastAsia="MS Mincho" w:cs="Times New Roman"/>
          <w:color w:val="000000" w:themeColor="text1"/>
          <w:szCs w:val="26"/>
        </w:rPr>
        <w:t>Hợp tác đa vùng và đa quốc gia: Hệ sinh thái học tập qua mạng tạo ra cơ hội cho hợp tác đa vùng và đa quốc gia. Sinh viên có thể làm việc cùng nhau trong các nhóm đa quốc gia, thảo luận và chia sẻ ý kiến từ các góc nhìn và nền văn hóa khác nhau. Điều này mở rộng định kiến ​​và khám phá cho sinh viên và làm tăng giá trị học tập xuyên quốc gia.</w:t>
      </w:r>
    </w:p>
    <w:p w14:paraId="582D5EAF" w14:textId="2DEDF2E5" w:rsidR="00A70B3D" w:rsidRPr="00A70B3D" w:rsidRDefault="00A70B3D"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A70B3D">
        <w:rPr>
          <w:rFonts w:eastAsia="MS Mincho" w:cs="Times New Roman"/>
          <w:color w:val="000000" w:themeColor="text1"/>
          <w:szCs w:val="26"/>
        </w:rPr>
        <w:t>Ngôn ngữ đa dạng: Hệ sinh thái học tập qua mạng cho phép sử dụng nhiều ngôn ngữ trong quá trình học tập. Các khóa học và tài liệu có thể được cung cấp bằng nhiều ngôn ngữ khác nhau, giúp sinh viên từ các quốc gia và ngôn ngữ khác nhau có thể tiếp cận kiến thức một cách dễ dàng và hiệu quả.</w:t>
      </w:r>
    </w:p>
    <w:p w14:paraId="212B28EC" w14:textId="4135B1F0" w:rsidR="00A70B3D" w:rsidRPr="00A70B3D" w:rsidRDefault="00A70B3D"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A70B3D">
        <w:rPr>
          <w:rFonts w:eastAsia="MS Mincho" w:cs="Times New Roman"/>
          <w:color w:val="000000" w:themeColor="text1"/>
          <w:szCs w:val="26"/>
        </w:rPr>
        <w:t>Sự chia sẻ và mở rộng kiến thức: Hệ sinh thái học tập qua mạng tạo ra cơ hội cho việc chia sẻ và mở rộng kiến thức trên phạm vi toàn cầu. Giảng viên và sinh viên có thể chia sẻ tài liệu, tài nguyên và kinh nghiệm học tập của mình thông qua các nền tảng trực tuyến. Điều này tạo ra một môi trường học tập phong phú, đa dạng và đóng góp vào sự phát triển kiến thức toàn cầu.</w:t>
      </w:r>
    </w:p>
    <w:p w14:paraId="61EDCB13" w14:textId="1FB06F36" w:rsidR="00A70B3D" w:rsidRPr="00A70B3D" w:rsidRDefault="00A70B3D"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A70B3D">
        <w:rPr>
          <w:rFonts w:eastAsia="MS Mincho" w:cs="Times New Roman"/>
          <w:color w:val="000000" w:themeColor="text1"/>
          <w:szCs w:val="26"/>
        </w:rPr>
        <w:t>Học tập liên quan và áp dụng thực tế: Hệ sinh thái học tập qua mạng cung cấp khả năng áp dụng kiến thức vào thực tế toàn cầu. Sinh viên có thể áp dụng những gì họ học được trong môi trường quốc tế, nắm bắt xu hướng và vấn đề toàn cầu và đóng góp vào giải quyết các vấn đề toàn cầu.</w:t>
      </w:r>
    </w:p>
    <w:p w14:paraId="41E18A21" w14:textId="033F4C8C" w:rsidR="00A70B3D" w:rsidRPr="00A70B3D" w:rsidRDefault="00705EA7" w:rsidP="00071F3A">
      <w:pPr>
        <w:pStyle w:val="Tomtat"/>
        <w:tabs>
          <w:tab w:val="left" w:pos="567"/>
        </w:tabs>
        <w:ind w:left="0" w:right="-19" w:firstLine="284"/>
        <w:rPr>
          <w:rFonts w:eastAsia="MS Mincho" w:cs="Times New Roman"/>
          <w:color w:val="000000" w:themeColor="text1"/>
          <w:szCs w:val="26"/>
        </w:rPr>
      </w:pPr>
      <w:r w:rsidRPr="000E2166">
        <w:rPr>
          <w:rFonts w:eastAsia="MS Mincho" w:cs="Times New Roman"/>
          <w:i/>
          <w:color w:val="000000" w:themeColor="text1"/>
          <w:szCs w:val="26"/>
        </w:rPr>
        <w:t>- Linh hoạt về thời gian và không gian</w:t>
      </w:r>
      <w:r>
        <w:rPr>
          <w:rFonts w:eastAsia="MS Mincho" w:cs="Times New Roman"/>
          <w:color w:val="000000" w:themeColor="text1"/>
          <w:szCs w:val="26"/>
        </w:rPr>
        <w:t>: Hệ sinh thái học tập qua mạng cho phép sinh viên tự điều chỉnh thời gian học tập của mình và tiếp cận tài liệu từ bất kỳ đâu. Họ có thể học theo tốc độ cá nhân và xếp lịch học linh hoạt theo công việc và các hoạt động cá nhân khác. Điều này tạo thuận lợi cho học tập và tạo ra môi trường học tập cá nhân hóa.</w:t>
      </w:r>
      <w:r w:rsidR="00A70B3D">
        <w:rPr>
          <w:rFonts w:eastAsia="MS Mincho" w:cs="Times New Roman"/>
          <w:color w:val="000000" w:themeColor="text1"/>
          <w:szCs w:val="26"/>
        </w:rPr>
        <w:t xml:space="preserve"> S</w:t>
      </w:r>
      <w:r w:rsidR="00A70B3D" w:rsidRPr="00A70B3D">
        <w:rPr>
          <w:rFonts w:eastAsia="MS Mincho" w:cs="Times New Roman"/>
          <w:color w:val="000000" w:themeColor="text1"/>
          <w:szCs w:val="26"/>
        </w:rPr>
        <w:t>ự linh hoạt về không gian và thời gian trong Hệ sinh thái học tập qua mạng là một trong những lợi ích quan trọng của hình thức học tập này. Dưới đây là một số đặc điểm về linh hoạt không gian và thời gian trong hệ sinh thái học tập qua mạng:</w:t>
      </w:r>
    </w:p>
    <w:p w14:paraId="46D54A23" w14:textId="72D16AAB" w:rsidR="00A70B3D" w:rsidRPr="00A70B3D" w:rsidRDefault="00A70B3D"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A70B3D">
        <w:rPr>
          <w:rFonts w:eastAsia="MS Mincho" w:cs="Times New Roman"/>
          <w:color w:val="000000" w:themeColor="text1"/>
          <w:szCs w:val="26"/>
        </w:rPr>
        <w:t>Tiếp cận từ mọi nơi: Hệ sinh thái học tập qua mạng cho phép sinh viên tiếp cận tài liệu học tập và tham gia vào quá trình học tập từ bất kỳ đâu có kết nối internet. Sinh viên không bị ràng buộc bởi địa lý hay khoảng cách về không gian, và có thể học ở nhà, trong thư viện, hoặc bất kỳ nơi nào thuận tiện cho họ.</w:t>
      </w:r>
    </w:p>
    <w:p w14:paraId="69CB7D5C" w14:textId="070C0FE4" w:rsidR="00A70B3D" w:rsidRPr="00A70B3D" w:rsidRDefault="00A70B3D"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lastRenderedPageBreak/>
        <w:t xml:space="preserve">+ </w:t>
      </w:r>
      <w:r w:rsidRPr="00A70B3D">
        <w:rPr>
          <w:rFonts w:eastAsia="MS Mincho" w:cs="Times New Roman"/>
          <w:color w:val="000000" w:themeColor="text1"/>
          <w:szCs w:val="26"/>
        </w:rPr>
        <w:t>Linh hoạt về thời gian: Hệ sinh thái học tập qua mạng cho phép sinh viên tự quản lý thời gian học tập của mình. Sinh viên có thể xem và tiếp cận tài liệu học tập, xem video bài giảng, hoàn thành bài tập và tham gia thảo luận vào bất kỳ thời điểm nào phù hợp với lịch trình cá nhân. Điều này giúp sinh viên tổ chức thời gian một cách linh hoạt và tạo điều kiện thuận lợi cho việc học tập cùng với các hoạt động khác.</w:t>
      </w:r>
    </w:p>
    <w:p w14:paraId="7CF1F3B9" w14:textId="12A6379A" w:rsidR="00A70B3D" w:rsidRPr="00A70B3D" w:rsidRDefault="00A70B3D"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A70B3D">
        <w:rPr>
          <w:rFonts w:eastAsia="MS Mincho" w:cs="Times New Roman"/>
          <w:color w:val="000000" w:themeColor="text1"/>
          <w:szCs w:val="26"/>
        </w:rPr>
        <w:t>Học theo tốc độ cá nhân: Hệ sinh thái học tập qua mạng cho phép sinh viên học theo tốc độ cá nhân. Sinh viên có thể điều chỉnh tốc độ học tập phù hợp với khả năng và nhu cầu cá nhân. Họ có thể xem lại nội dung, tìm hiểu sâu hơn về các khái niệm khó hay tiến nhanh qua những phần đã nắm bắt được. Điều này tạo điều kiện cho việc học tập hiệu quả và phù hợp với từng sinh viên.</w:t>
      </w:r>
    </w:p>
    <w:p w14:paraId="0D493C0C" w14:textId="2DE756B2" w:rsidR="00A70B3D" w:rsidRPr="00A70B3D" w:rsidRDefault="00A70B3D"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A70B3D">
        <w:rPr>
          <w:rFonts w:eastAsia="MS Mincho" w:cs="Times New Roman"/>
          <w:color w:val="000000" w:themeColor="text1"/>
          <w:szCs w:val="26"/>
        </w:rPr>
        <w:t>Khả năng học song song: Hệ sinh thái học tập qua mạng cho phép sinh viên học song song với các nhiệm vụ và hoạt động khác. Sinh viên có thể tận dụng những khoảng thời gian rảnh rỗi trong ngày, chẳng hạn như giữa các buổi làm việc hoặc giữa các lớp học truyền thống, để tiếp tục học tập và hoàn thành các nhiệm vụ trên nền tảng học tập qua mạng.</w:t>
      </w:r>
    </w:p>
    <w:p w14:paraId="7F37833C" w14:textId="54FC207C" w:rsidR="00705EA7" w:rsidRDefault="00A70B3D"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A70B3D">
        <w:rPr>
          <w:rFonts w:eastAsia="MS Mincho" w:cs="Times New Roman"/>
          <w:color w:val="000000" w:themeColor="text1"/>
          <w:szCs w:val="26"/>
        </w:rPr>
        <w:t>Phù hợp với người đi làm và người có lịch trình bận rộn: Hệ sinh thái học tập qua mạng đáp ứng tốt với nhu cầu học tập của những người đi làm và những người có lịch trình bận rộn. Sinh viên có thể tự lựa chọn thời gian học tập phù hợp với công việc và lịch trình cá nhân, từ đó không phải đối mặt với các hạn chế thời gian và không gian của các lớp học truyền thống.</w:t>
      </w:r>
    </w:p>
    <w:p w14:paraId="1C5E27F6" w14:textId="77777777" w:rsidR="00A70B3D" w:rsidRPr="00A70B3D" w:rsidRDefault="00705EA7" w:rsidP="00071F3A">
      <w:pPr>
        <w:pStyle w:val="Tomtat"/>
        <w:tabs>
          <w:tab w:val="left" w:pos="567"/>
        </w:tabs>
        <w:ind w:left="0" w:right="-19" w:firstLine="284"/>
        <w:rPr>
          <w:rFonts w:eastAsia="MS Mincho" w:cs="Times New Roman"/>
          <w:color w:val="000000" w:themeColor="text1"/>
          <w:szCs w:val="26"/>
        </w:rPr>
      </w:pPr>
      <w:r w:rsidRPr="000E2166">
        <w:rPr>
          <w:rFonts w:eastAsia="MS Mincho" w:cs="Times New Roman"/>
          <w:i/>
          <w:color w:val="000000" w:themeColor="text1"/>
          <w:szCs w:val="26"/>
        </w:rPr>
        <w:t>- Tính tương tác và hợp tác</w:t>
      </w:r>
      <w:r>
        <w:rPr>
          <w:rFonts w:eastAsia="MS Mincho" w:cs="Times New Roman"/>
          <w:color w:val="000000" w:themeColor="text1"/>
          <w:szCs w:val="26"/>
        </w:rPr>
        <w:t>: Hệ sinh thái học tập qua mạng khuyến khích tương tác và hợp tác giữa sinh viên và giảng viên và giữa sinh viên với nhau. Các công cụ giao tiếp trực tuyến như diễn đàn, hội thảo trực tuyến và nhóm thảo luận cho phép sinh viên trao đổi ý kiến, hỏi đáp và học hỏi từ nhau. Điều này tạo ra một môi trường học tập đa văn hóa và khám phá thông qua sự tương tác và trao đổi kinh nghiệm.</w:t>
      </w:r>
      <w:r w:rsidR="00A70B3D">
        <w:rPr>
          <w:rFonts w:eastAsia="MS Mincho" w:cs="Times New Roman"/>
          <w:color w:val="000000" w:themeColor="text1"/>
          <w:szCs w:val="26"/>
        </w:rPr>
        <w:t xml:space="preserve"> </w:t>
      </w:r>
      <w:r w:rsidR="00A70B3D" w:rsidRPr="00A70B3D">
        <w:rPr>
          <w:rFonts w:eastAsia="MS Mincho" w:cs="Times New Roman"/>
          <w:color w:val="000000" w:themeColor="text1"/>
          <w:szCs w:val="26"/>
        </w:rPr>
        <w:t>Dưới đây là một số đặc điểm về tính tương tác và hợp tác trong hệ sinh thái học tập qua mạng:</w:t>
      </w:r>
    </w:p>
    <w:p w14:paraId="390CA1BA" w14:textId="50C651F5" w:rsidR="00A70B3D" w:rsidRPr="00A70B3D" w:rsidRDefault="00A70B3D"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A70B3D">
        <w:rPr>
          <w:rFonts w:eastAsia="MS Mincho" w:cs="Times New Roman"/>
          <w:color w:val="000000" w:themeColor="text1"/>
          <w:szCs w:val="26"/>
        </w:rPr>
        <w:t>Diễn đàn và thảo luận trực tuyến: Hệ sinh thái học tập qua mạng cung cấp các diễn đàn và nền tảng thảo luận trực tuyến, cho phép sinh viên thảo luận, trao đổi ý kiến và chia sẻ kiến thức với nhau và giảng viên. Sinh viên có thể gửi câu hỏi, bình luận và phản hồi trực tuyến, tạo ra một môi trường tương tác và hợp tác trong quá trình học tập.</w:t>
      </w:r>
    </w:p>
    <w:p w14:paraId="41EE62C4" w14:textId="1CFCCE8A" w:rsidR="00A70B3D" w:rsidRPr="00A70B3D" w:rsidRDefault="00A70B3D"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A70B3D">
        <w:rPr>
          <w:rFonts w:eastAsia="MS Mincho" w:cs="Times New Roman"/>
          <w:color w:val="000000" w:themeColor="text1"/>
          <w:szCs w:val="26"/>
        </w:rPr>
        <w:t>Công cụ giao tiếp trực tuyến: Hệ sinh thái học tập qua mạng cung cấp các công cụ giao tiếp trực tuyến như cuộc họp video, trò chuyện trực tuyến và email. Sinh viên có thể liên lạc trực tiếp với giảng viên và các đồng sinh viên để thảo luận, trao đổi thông tin và hỗ trợ lẫn nhau. Điều này tạo điều kiện cho tương tác trực tiếp và hợp tác thông qua mạng.</w:t>
      </w:r>
    </w:p>
    <w:p w14:paraId="1B5241D9" w14:textId="0446A173" w:rsidR="00A70B3D" w:rsidRPr="00A70B3D" w:rsidRDefault="00A70B3D"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A70B3D">
        <w:rPr>
          <w:rFonts w:eastAsia="MS Mincho" w:cs="Times New Roman"/>
          <w:color w:val="000000" w:themeColor="text1"/>
          <w:szCs w:val="26"/>
        </w:rPr>
        <w:t>Học tập theo nhóm và dự án chung: Hệ sinh thái học tập qua mạng cho phép sinh viên học tập theo nhóm và thực hiện các dự án chung. Sinh viên có thể làm việc cùng nhau từ xa, chia sẻ tài liệu và công việc, và thực hiện các bài tập và dự án nhóm. Điều này khuyến khích tính tương tác và hợp tác, cùng với khả năng học hỏi và phát triển kỹ năng làm việc nhóm.</w:t>
      </w:r>
    </w:p>
    <w:p w14:paraId="5E9E7B67" w14:textId="065D044E" w:rsidR="00A70B3D" w:rsidRPr="00A70B3D" w:rsidRDefault="00A70B3D"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A70B3D">
        <w:rPr>
          <w:rFonts w:eastAsia="MS Mincho" w:cs="Times New Roman"/>
          <w:color w:val="000000" w:themeColor="text1"/>
          <w:szCs w:val="26"/>
        </w:rPr>
        <w:t>Phản hồi và đánh giá từ giảng viên và đồng sinh viên: Hệ sinh thái học tập qua mạng cung cấp cơ chế phản hồi và đánh giá từ giảng viên và đồng sinh viên. Sinh viên có thể nhận phản hồi tức thì về bài tập, dự án hoặc thảo luận của mình thông qua các phần mềm hoặc hệ thống đánh giá trực tuyến. Điều này khuyến khích sự tương tác và hợp tác, cùng với cơ hội cải thiện kỹ năng và hiệu suất học tập.</w:t>
      </w:r>
    </w:p>
    <w:p w14:paraId="39A9F40B" w14:textId="39CA0BD2" w:rsidR="00A70B3D" w:rsidRPr="00A70B3D" w:rsidRDefault="00A70B3D"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A70B3D">
        <w:rPr>
          <w:rFonts w:eastAsia="MS Mincho" w:cs="Times New Roman"/>
          <w:color w:val="000000" w:themeColor="text1"/>
          <w:szCs w:val="26"/>
        </w:rPr>
        <w:t>Chia sẻ tài liệu và nguồn kiến thức: Hệ sinh thái học tập qua mạng cho phép sinh viên chia sẻ tài liệu và nguồn kiến thức với nhau. Sinh viên có thể tạo ra và chia sẻ tài liệu, tài nguyên học tập, bài giảng, và các nguồn tham khảo trực tuyến. Điều này khuyến khích tính tương tác và hợp tác trong việc chia sẻ kiến thức và mở rộng phạm vi học tập.</w:t>
      </w:r>
    </w:p>
    <w:p w14:paraId="5DDEB342" w14:textId="77777777" w:rsidR="00A70B3D" w:rsidRPr="00A70B3D" w:rsidRDefault="00705EA7" w:rsidP="00071F3A">
      <w:pPr>
        <w:pStyle w:val="Tomtat"/>
        <w:tabs>
          <w:tab w:val="left" w:pos="567"/>
        </w:tabs>
        <w:ind w:left="0" w:right="-19" w:firstLine="284"/>
        <w:rPr>
          <w:rFonts w:eastAsia="MS Mincho" w:cs="Times New Roman"/>
          <w:color w:val="000000" w:themeColor="text1"/>
          <w:szCs w:val="26"/>
        </w:rPr>
      </w:pPr>
      <w:r w:rsidRPr="000E2166">
        <w:rPr>
          <w:rFonts w:eastAsia="MS Mincho" w:cs="Times New Roman"/>
          <w:i/>
          <w:color w:val="000000" w:themeColor="text1"/>
          <w:szCs w:val="26"/>
        </w:rPr>
        <w:t>- Đa dạng về nguồn tài nguyên</w:t>
      </w:r>
      <w:r>
        <w:rPr>
          <w:rFonts w:eastAsia="MS Mincho" w:cs="Times New Roman"/>
          <w:color w:val="000000" w:themeColor="text1"/>
          <w:szCs w:val="26"/>
        </w:rPr>
        <w:t>: Hệ sinh thái học tập qua mạng cung cấp nguồn tài nguyên phong phú và đa dạng. Các khóa học trực tuyến, tài liệu, bài giảng và bài thảo luận đều có sẵn thuận tiện cho sinh viên tìm hiểu sâu về các lĩnh vực họ quan tâm.</w:t>
      </w:r>
      <w:r w:rsidR="00A70B3D">
        <w:rPr>
          <w:rFonts w:eastAsia="MS Mincho" w:cs="Times New Roman"/>
          <w:color w:val="000000" w:themeColor="text1"/>
          <w:szCs w:val="26"/>
        </w:rPr>
        <w:t xml:space="preserve"> </w:t>
      </w:r>
      <w:r w:rsidR="00A70B3D" w:rsidRPr="00A70B3D">
        <w:rPr>
          <w:rFonts w:eastAsia="MS Mincho" w:cs="Times New Roman"/>
          <w:color w:val="000000" w:themeColor="text1"/>
          <w:szCs w:val="26"/>
        </w:rPr>
        <w:t>Dưới đây là một số nguồn tài nguyên quan trọng trong hệ sinh thái học tập qua mạng:</w:t>
      </w:r>
    </w:p>
    <w:p w14:paraId="01FC23DF" w14:textId="43B4EE0B" w:rsidR="00A70B3D" w:rsidRPr="00A70B3D" w:rsidRDefault="00A70B3D"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A70B3D">
        <w:rPr>
          <w:rFonts w:eastAsia="MS Mincho" w:cs="Times New Roman"/>
          <w:color w:val="000000" w:themeColor="text1"/>
          <w:szCs w:val="26"/>
        </w:rPr>
        <w:t>Tài liệu học tập trực tuyến: Hệ sinh thái học tập qua mạng cung cấp tài liệu học tập trực tuyến, bao gồm sách điện tử, bài giảng trực tuyến, tài liệu đào tạo, bài viết, báo cáo nghiên cứu, tạp chí trực tuyến và nhiều nguồn tài liệu học tập khác. Sinh viên có thể truy cập vào các tài liệu này để tiếp thu kiến thức và nghiên cứu thêm về các chủ đề cụ thể.</w:t>
      </w:r>
    </w:p>
    <w:p w14:paraId="253FACCB" w14:textId="648E8A3B" w:rsidR="00A70B3D" w:rsidRPr="00A70B3D" w:rsidRDefault="00A70B3D"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A70B3D">
        <w:rPr>
          <w:rFonts w:eastAsia="MS Mincho" w:cs="Times New Roman"/>
          <w:color w:val="000000" w:themeColor="text1"/>
          <w:szCs w:val="26"/>
        </w:rPr>
        <w:t>Các khóa học trực tuyến: Hệ sinh thái học tập qua mạng cung cấp các khóa học trực tuyến từ các trường đại học và tổ chức giáo dục trực tuyến. Những khóa học này cung cấp cấu trúc học tập, nội dung giảng dạy và các hoạt động liên quan để hỗ trợ việc học tập. Sinh viên có thể tham gia vào các khóa học này để nắm bắt kiến thức mới, phát triển kỹ năng và nhận chứng chỉ hoặc bằng cấp.</w:t>
      </w:r>
    </w:p>
    <w:p w14:paraId="7847A95D" w14:textId="54C51FA8" w:rsidR="00A70B3D" w:rsidRPr="00A70B3D" w:rsidRDefault="00A70B3D"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lastRenderedPageBreak/>
        <w:t xml:space="preserve">+ </w:t>
      </w:r>
      <w:r w:rsidRPr="00A70B3D">
        <w:rPr>
          <w:rFonts w:eastAsia="MS Mincho" w:cs="Times New Roman"/>
          <w:color w:val="000000" w:themeColor="text1"/>
          <w:szCs w:val="26"/>
        </w:rPr>
        <w:t>Thư viện trực tuyến: Hệ sinh thái học tập qua mạng cung cấp truy cập vào các thư viện trực tuyến, bao gồm cơ sở dữ liệu tạp chí, sách điện tử, bài viết và tài liệu nghiên cứu. Sinh viên có thể tìm kiếm, truy cập và sử dụng các nguồn tài nguyên này để nghiên cứu và trình bày công việc học tập của mình.</w:t>
      </w:r>
    </w:p>
    <w:p w14:paraId="60FA310A" w14:textId="532EF155" w:rsidR="00A70B3D" w:rsidRPr="00A70B3D" w:rsidRDefault="00A70B3D"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A70B3D">
        <w:rPr>
          <w:rFonts w:eastAsia="MS Mincho" w:cs="Times New Roman"/>
          <w:color w:val="000000" w:themeColor="text1"/>
          <w:szCs w:val="26"/>
        </w:rPr>
        <w:t>Diễn đàn và mạng xã hội học tập: Hệ sinh thái học tập qua mạng cung cấp các diễn đàn và mạng xã hội học tập, nơi sinh viên có thể thảo luận, giao lưu và chia sẻ kiến thức với nhau. Những diễn đàn này tạo ra một cộng đồng học tập trực tuyến, cho phép sinh viên tương tác, hỗ trợ lẫn nhau và chia sẻ ý kiến, kinh nghiệm và tài liệu học tập.</w:t>
      </w:r>
    </w:p>
    <w:p w14:paraId="25B51C14" w14:textId="066BFC6D" w:rsidR="00705EA7" w:rsidRDefault="00A70B3D"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A70B3D">
        <w:rPr>
          <w:rFonts w:eastAsia="MS Mincho" w:cs="Times New Roman"/>
          <w:color w:val="000000" w:themeColor="text1"/>
          <w:szCs w:val="26"/>
        </w:rPr>
        <w:t>Các công cụ và ứng dụng học tập trực tuyến: Hệ sinh thái học tập qua mạng cung cấp các công cụ và ứng dụng học tập trực tuyến, bao gồm phần mềm và nền tảng dạy học trực tuyến, công cụ tạo bài kiểm tra, công cụ ghi chú và ghi âm, công cụ tương tác trực tuyến và nhiều công cụ khác. Các công cụ này hỗ trợ quá trình học tập và giúp sinh viên tương tác và tham gia tích cực trong quá trình học tập.</w:t>
      </w:r>
    </w:p>
    <w:p w14:paraId="7348818B" w14:textId="77777777" w:rsidR="002A7D1C" w:rsidRPr="002A7D1C" w:rsidRDefault="00705EA7" w:rsidP="00071F3A">
      <w:pPr>
        <w:pStyle w:val="Tomtat"/>
        <w:tabs>
          <w:tab w:val="left" w:pos="567"/>
        </w:tabs>
        <w:ind w:left="0" w:right="-19" w:firstLine="284"/>
        <w:rPr>
          <w:rFonts w:eastAsia="MS Mincho" w:cs="Times New Roman"/>
          <w:color w:val="000000" w:themeColor="text1"/>
          <w:szCs w:val="26"/>
        </w:rPr>
      </w:pPr>
      <w:r w:rsidRPr="000E2166">
        <w:rPr>
          <w:rFonts w:eastAsia="MS Mincho" w:cs="Times New Roman"/>
          <w:i/>
          <w:color w:val="000000" w:themeColor="text1"/>
          <w:szCs w:val="26"/>
        </w:rPr>
        <w:t>- Đánh giá và phản hồi nhanh chóng</w:t>
      </w:r>
      <w:r>
        <w:rPr>
          <w:rFonts w:eastAsia="MS Mincho" w:cs="Times New Roman"/>
          <w:color w:val="000000" w:themeColor="text1"/>
          <w:szCs w:val="26"/>
        </w:rPr>
        <w:t>: Hệ sinh thái học tập qua mạng cung cấp công cụ và cơ chế đánh giá, đo lường sự tiến bộ của sinh viên và phản hồi cho sinh viên tức th</w:t>
      </w:r>
      <w:r w:rsidR="003C46BF">
        <w:rPr>
          <w:rFonts w:eastAsia="MS Mincho" w:cs="Times New Roman"/>
          <w:color w:val="000000" w:themeColor="text1"/>
          <w:szCs w:val="26"/>
        </w:rPr>
        <w:t>ì.</w:t>
      </w:r>
      <w:r w:rsidR="002A7D1C">
        <w:rPr>
          <w:rFonts w:eastAsia="MS Mincho" w:cs="Times New Roman"/>
          <w:color w:val="000000" w:themeColor="text1"/>
          <w:szCs w:val="26"/>
        </w:rPr>
        <w:t xml:space="preserve"> </w:t>
      </w:r>
      <w:r w:rsidR="002A7D1C" w:rsidRPr="002A7D1C">
        <w:rPr>
          <w:rFonts w:eastAsia="MS Mincho" w:cs="Times New Roman"/>
          <w:color w:val="000000" w:themeColor="text1"/>
          <w:szCs w:val="26"/>
        </w:rPr>
        <w:t>Dưới đây là một số phương pháp đánh giá và phản hồi trong hệ sinh thái học tập qua mạng:</w:t>
      </w:r>
    </w:p>
    <w:p w14:paraId="422B9EC8" w14:textId="349DFAB6" w:rsidR="002A7D1C" w:rsidRPr="002A7D1C" w:rsidRDefault="002A7D1C"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2A7D1C">
        <w:rPr>
          <w:rFonts w:eastAsia="MS Mincho" w:cs="Times New Roman"/>
          <w:color w:val="000000" w:themeColor="text1"/>
          <w:szCs w:val="26"/>
        </w:rPr>
        <w:t>Bài kiểm tra trực tuyến: Sinh viên có thể tham gia vào các bài kiểm tra trực tuyến để đánh giá kiến thức và hiểu biết của mình về một chủ đề cụ thể. Các bài kiểm tra này thường được thiết kế để đánh giá độ hiểu và ứng dụng kiến thức của sinh viên thông qua câu hỏi trắc nghiệm, câu hỏi tự luận hoặc bài tập thực hành.</w:t>
      </w:r>
    </w:p>
    <w:p w14:paraId="5C2CEF6C" w14:textId="61F7B855" w:rsidR="002A7D1C" w:rsidRPr="002A7D1C" w:rsidRDefault="002A7D1C"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2A7D1C">
        <w:rPr>
          <w:rFonts w:eastAsia="MS Mincho" w:cs="Times New Roman"/>
          <w:color w:val="000000" w:themeColor="text1"/>
          <w:szCs w:val="26"/>
        </w:rPr>
        <w:t>Bài tập và dự án trực tuyến: Sinh viên thường hoàn thành các bài tập và dự án trực tuyến để áp dụng kiến thức và kỹ năng học tập vào thực tế. Giảng viên đánh giá các bài tập và dự án này dựa trên tiêu chí cụ thể và cung cấp phản hồi về hiệu suất và tiến bộ của sinh viên.</w:t>
      </w:r>
    </w:p>
    <w:p w14:paraId="240DCFA6" w14:textId="5A87670B" w:rsidR="002A7D1C" w:rsidRPr="002A7D1C" w:rsidRDefault="002A7D1C"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2A7D1C">
        <w:rPr>
          <w:rFonts w:eastAsia="MS Mincho" w:cs="Times New Roman"/>
          <w:color w:val="000000" w:themeColor="text1"/>
          <w:szCs w:val="26"/>
        </w:rPr>
        <w:t>Thảo luận và đánh giá trong diễn đàn trực tuyến: Diễn đàn trực tuyến là nơi sinh viên có thể thảo luận, chia sẻ ý kiến và tham gia vào các hoạt động tương tác. Giảng viên có thể đánh giá và phản hồi trực tiếp trên các bài đăng của sinh viên, cung cấp sự định hướng và hỗ trợ trong quá trình thảo luận.</w:t>
      </w:r>
    </w:p>
    <w:p w14:paraId="0110AD02" w14:textId="7BFED5E4" w:rsidR="002A7D1C" w:rsidRPr="002A7D1C" w:rsidRDefault="002A7D1C"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2A7D1C">
        <w:rPr>
          <w:rFonts w:eastAsia="MS Mincho" w:cs="Times New Roman"/>
          <w:color w:val="000000" w:themeColor="text1"/>
          <w:szCs w:val="26"/>
        </w:rPr>
        <w:t>Phản hồi từ giảng viên: Giảng viên cung cấp phản hồi cá nhân về hiệu suất và tiến bộ của sinh viên trong quá trình học tập. Phản hồi này có thể được cung cấp qua email, thông qua hệ thống quản lý học tập hoặc qua các cuộc họp trực tuyến. Phản hồi từ giảng viên giúp sinh viên hiểu rõ hơn về điểm mạnh, điểm yếu và cách cải thiện hiệu suất học tập của mình.</w:t>
      </w:r>
    </w:p>
    <w:p w14:paraId="15A15170" w14:textId="65789A2F" w:rsidR="002A7D1C" w:rsidRPr="002A7D1C" w:rsidRDefault="002A7D1C"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2A7D1C">
        <w:rPr>
          <w:rFonts w:eastAsia="MS Mincho" w:cs="Times New Roman"/>
          <w:color w:val="000000" w:themeColor="text1"/>
          <w:szCs w:val="26"/>
        </w:rPr>
        <w:t>Phản hồi từ sinh viên khác: Sinh viên có thể cung cấp phản hồi cho nhau trong quá trình học tập qua các hoạt động nhóm, diễn đàn hoặc thông qua các công cụ giao tiếp trực tuyến khác. Phản hồi từ sinh viên khác giúp tạo ra một môi trường học tập đồng nghiệp và khuyến khích sự trao đổi ý kiến và hỗ trợ giữa các thành viên của cộng đồng học tập.</w:t>
      </w:r>
    </w:p>
    <w:p w14:paraId="75B192F1" w14:textId="09FDC44D" w:rsidR="00705EA7" w:rsidRDefault="002A7D1C"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T</w:t>
      </w:r>
      <w:r w:rsidRPr="002A7D1C">
        <w:rPr>
          <w:rFonts w:eastAsia="MS Mincho" w:cs="Times New Roman"/>
          <w:color w:val="000000" w:themeColor="text1"/>
          <w:szCs w:val="26"/>
        </w:rPr>
        <w:t>ự đánh giá: Sinh viên có thể tự đánh giá tiến bộ và hiệu suất của mình thông qua các bài tập, bài viết hoặc biểu đồ tiến trình. Đánh giá tự đánh giá giúp sinh viên tự nhìn nhận điểm mạnh, điểm yếu và lập kế hoạch để cải thiện kỹ năng và hiệu suất học tập của mình.</w:t>
      </w:r>
    </w:p>
    <w:p w14:paraId="2D601133" w14:textId="77777777" w:rsidR="002A7D1C" w:rsidRPr="002A7D1C" w:rsidRDefault="003C46BF" w:rsidP="00071F3A">
      <w:pPr>
        <w:pStyle w:val="Tomtat"/>
        <w:tabs>
          <w:tab w:val="left" w:pos="567"/>
        </w:tabs>
        <w:ind w:left="0" w:right="-19" w:firstLine="284"/>
        <w:rPr>
          <w:rFonts w:eastAsia="MS Mincho" w:cs="Times New Roman"/>
          <w:color w:val="000000" w:themeColor="text1"/>
          <w:szCs w:val="26"/>
        </w:rPr>
      </w:pPr>
      <w:r w:rsidRPr="000E2166">
        <w:rPr>
          <w:rFonts w:eastAsia="MS Mincho" w:cs="Times New Roman"/>
          <w:i/>
          <w:color w:val="000000" w:themeColor="text1"/>
          <w:szCs w:val="26"/>
        </w:rPr>
        <w:t>- Tính bảo mật và quyền riêng tư</w:t>
      </w:r>
      <w:r>
        <w:rPr>
          <w:rFonts w:eastAsia="MS Mincho" w:cs="Times New Roman"/>
          <w:color w:val="000000" w:themeColor="text1"/>
          <w:szCs w:val="26"/>
        </w:rPr>
        <w:t>: Hệ sinh thái học tập qua mạng đặt ra yêu cầu bảo mật và quyền riêng tư của dữ liệu cá nhân</w:t>
      </w:r>
      <w:r w:rsidR="002A7D1C">
        <w:rPr>
          <w:rFonts w:eastAsia="MS Mincho" w:cs="Times New Roman"/>
          <w:color w:val="000000" w:themeColor="text1"/>
          <w:szCs w:val="26"/>
        </w:rPr>
        <w:t xml:space="preserve">. </w:t>
      </w:r>
      <w:r w:rsidR="002A7D1C" w:rsidRPr="002A7D1C">
        <w:rPr>
          <w:rFonts w:eastAsia="MS Mincho" w:cs="Times New Roman"/>
          <w:color w:val="000000" w:themeColor="text1"/>
          <w:szCs w:val="26"/>
        </w:rPr>
        <w:t>Dưới đây là một số khía cạnh liên quan đến tính bảo mật và quyền riêng tư trong môi trường này:</w:t>
      </w:r>
    </w:p>
    <w:p w14:paraId="363E3DB6" w14:textId="14D68F30" w:rsidR="002A7D1C" w:rsidRPr="002A7D1C" w:rsidRDefault="002A7D1C"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2A7D1C">
        <w:rPr>
          <w:rFonts w:eastAsia="MS Mincho" w:cs="Times New Roman"/>
          <w:color w:val="000000" w:themeColor="text1"/>
          <w:szCs w:val="26"/>
        </w:rPr>
        <w:t>Bảo mật thông tin cá nhân: Hệ sinh thái học tập qua mạng cần đảm bảo bảo mật thông tin cá nhân của sinh viên và giảng viên. Các dữ liệu cá nhân như tên, địa chỉ, thông tin tài khoản và điểm số phải được bảo vệ an toàn để ngăn chặn việc truy cập trái phép hoặc lạm dụng thông tin này.</w:t>
      </w:r>
    </w:p>
    <w:p w14:paraId="7A48908B" w14:textId="58FAB850" w:rsidR="002A7D1C" w:rsidRPr="002A7D1C" w:rsidRDefault="002A7D1C"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2A7D1C">
        <w:rPr>
          <w:rFonts w:eastAsia="MS Mincho" w:cs="Times New Roman"/>
          <w:color w:val="000000" w:themeColor="text1"/>
          <w:szCs w:val="26"/>
        </w:rPr>
        <w:t>Quyền riêng tư trong thảo luận: Trong các diễn đàn và môi trường trao đổi thông tin trực tuyến, sinh viên và giảng viên cần được đảm bảo quyền riêng tư. Thông tin cá nhân, ý kiến và các tài liệu được chia sẻ trong quá trình thảo luận phải được bảo vệ và không được tiết lộ cho bất kỳ bên thứ ba nào mà không có sự đồng ý của người liên quan.</w:t>
      </w:r>
    </w:p>
    <w:p w14:paraId="008360BE" w14:textId="615119A0" w:rsidR="002A7D1C" w:rsidRPr="002A7D1C" w:rsidRDefault="002A7D1C"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2A7D1C">
        <w:rPr>
          <w:rFonts w:eastAsia="MS Mincho" w:cs="Times New Roman"/>
          <w:color w:val="000000" w:themeColor="text1"/>
          <w:szCs w:val="26"/>
        </w:rPr>
        <w:t>Quản lý quyền truy cập: Hệ sinh thái học tập qua mạng cần có các biện pháp quản lý quyền truy cập để đảm bảo rằng chỉ những người có quyền truy cập được phép truy cập vào thông tin và tài nguyên trong môi trường học tập trực tuyến. Điều này đảm bảo tính riêng tư và ngăn chặn việc truy cập trái phép.</w:t>
      </w:r>
    </w:p>
    <w:p w14:paraId="1A168283" w14:textId="5FA40AC7" w:rsidR="002A7D1C" w:rsidRPr="002A7D1C" w:rsidRDefault="002A7D1C"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2A7D1C">
        <w:rPr>
          <w:rFonts w:eastAsia="MS Mincho" w:cs="Times New Roman"/>
          <w:color w:val="000000" w:themeColor="text1"/>
          <w:szCs w:val="26"/>
        </w:rPr>
        <w:t>Chính sách bảo mật và quyền riêng tư: Các tổ chức và cơ sở giáo dục đại học cần thiết lập các chính sách và quy định về bảo mật và quyền riêng tư trong hệ sinh thái học tập qua mạng. Các chính sách này xác định các nguyên tắc, quy định và hướng dẫn về việc bảo vệ thông tin cá nhân, quyền riêng tư và việc áp dụng các biện pháp bảo mật.</w:t>
      </w:r>
    </w:p>
    <w:p w14:paraId="3FF43EF1" w14:textId="7B4A9D5C" w:rsidR="003C46BF" w:rsidRPr="00705EA7" w:rsidRDefault="002A7D1C" w:rsidP="00071F3A">
      <w:pPr>
        <w:pStyle w:val="Tomtat"/>
        <w:tabs>
          <w:tab w:val="left" w:pos="567"/>
        </w:tabs>
        <w:ind w:left="0" w:right="-19" w:firstLine="284"/>
        <w:rPr>
          <w:rFonts w:eastAsia="MS Mincho" w:cs="Times New Roman"/>
          <w:color w:val="000000" w:themeColor="text1"/>
          <w:szCs w:val="26"/>
        </w:rPr>
      </w:pPr>
      <w:r>
        <w:rPr>
          <w:rFonts w:eastAsia="MS Mincho" w:cs="Times New Roman"/>
          <w:color w:val="000000" w:themeColor="text1"/>
          <w:szCs w:val="26"/>
        </w:rPr>
        <w:t xml:space="preserve">+ </w:t>
      </w:r>
      <w:r w:rsidRPr="002A7D1C">
        <w:rPr>
          <w:rFonts w:eastAsia="MS Mincho" w:cs="Times New Roman"/>
          <w:color w:val="000000" w:themeColor="text1"/>
          <w:szCs w:val="26"/>
        </w:rPr>
        <w:t>Hợp pháp và tuân thủ: Hệ sinh thái học tập qua mạng cần tuân thủ các quy định pháp luật và quyền riêng tư liên quan đến bảo mật thông tin. Các tổ chức và cơ sở giáo dục đại học phải đảm bảo rằng họ tuân thủ các quy tắc và quy định về bảo mật và quyền riêng tư, bao gồm việc bảo vệ thông tin cá nhân và tuân thủ quy định bảo vệ dữ liệu.</w:t>
      </w:r>
    </w:p>
    <w:p w14:paraId="7C2401E3" w14:textId="303FB8F5" w:rsidR="00B47328" w:rsidRDefault="000E2166" w:rsidP="00071F3A">
      <w:pPr>
        <w:pStyle w:val="Tomtat"/>
        <w:tabs>
          <w:tab w:val="left" w:pos="567"/>
        </w:tabs>
        <w:ind w:left="0" w:right="-19" w:firstLine="284"/>
        <w:rPr>
          <w:rFonts w:eastAsia="MS Mincho" w:cs="Times New Roman"/>
          <w:b/>
          <w:color w:val="000000" w:themeColor="text1"/>
          <w:szCs w:val="26"/>
        </w:rPr>
      </w:pPr>
      <w:r>
        <w:rPr>
          <w:rFonts w:eastAsia="MS Mincho" w:cs="Times New Roman"/>
          <w:b/>
          <w:color w:val="000000" w:themeColor="text1"/>
          <w:szCs w:val="26"/>
        </w:rPr>
        <w:lastRenderedPageBreak/>
        <w:t>2.4. Mối quan hệ giữa chuyển đổi số và hệ sinh thái học tập qua mạng</w:t>
      </w:r>
    </w:p>
    <w:p w14:paraId="279E2E92" w14:textId="2B7B28B5" w:rsidR="007A35C0" w:rsidRDefault="000E2166" w:rsidP="00071F3A">
      <w:pPr>
        <w:pStyle w:val="Tomtat"/>
        <w:tabs>
          <w:tab w:val="left" w:pos="567"/>
        </w:tabs>
        <w:ind w:left="0" w:right="-14" w:firstLine="284"/>
        <w:rPr>
          <w:rFonts w:eastAsia="MS Mincho" w:cs="Times New Roman"/>
          <w:color w:val="000000" w:themeColor="text1"/>
          <w:szCs w:val="26"/>
        </w:rPr>
      </w:pPr>
      <w:r w:rsidRPr="00764025">
        <w:rPr>
          <w:rFonts w:eastAsia="MS Mincho" w:cs="Times New Roman"/>
          <w:color w:val="000000" w:themeColor="text1"/>
          <w:szCs w:val="26"/>
        </w:rPr>
        <w:t>Mối quan hệ giữa chuyển đổi kỹ thuật số và hệ sinh thái học tập trực tuyến là rất quan trọng và liên kết với nhau. Chuyển đổi kỹ thuật số đề cập đến việc tích hợp các công nghệ kỹ thuật số vào các khía cạnh khác nhau của một tổ chức hoặc xã hội, dẫn đến những thay đổi trong quy trình, hoạt động và tạo ra giá trị tổng thể. Mặt khác, hệ sinh thái học tập trực tuyến bao gồm các nền tảng, công cụ và tài nguyên kỹ thuật số hỗ trợ giáo dục trực tuyến và từ xa.</w:t>
      </w:r>
      <w:r w:rsidR="00EB0D30">
        <w:rPr>
          <w:rFonts w:eastAsia="MS Mincho" w:cs="Times New Roman"/>
          <w:color w:val="000000" w:themeColor="text1"/>
          <w:szCs w:val="26"/>
        </w:rPr>
        <w:t xml:space="preserve"> Theo Keengwe ( ) </w:t>
      </w:r>
      <w:r w:rsidR="00C87981">
        <w:rPr>
          <w:rFonts w:eastAsia="MS Mincho" w:cs="Times New Roman"/>
          <w:color w:val="000000" w:themeColor="text1"/>
          <w:szCs w:val="26"/>
        </w:rPr>
        <w:t xml:space="preserve"> </w:t>
      </w:r>
      <w:r w:rsidR="00C87981" w:rsidRPr="00C87981">
        <w:rPr>
          <w:rFonts w:eastAsia="MS Mincho" w:cs="Times New Roman"/>
          <w:color w:val="000000" w:themeColor="text1"/>
          <w:szCs w:val="26"/>
        </w:rPr>
        <w:t>Công nghệ thông tin đã xuất hiện để truyền bá tri thức được chia sẻ và là động lực chính thúc đẩy cải cách giáo dục. Việc giới thiệu các công cụ học tập hỗ trợ công nghệ mới như thiết bị di động, bảng thông minh, MOOC, máy tính bảng, máy tính xách tay, mô phỏng, trực quan động và phòng thí nghiệm ảo đã thay đổi giáo dục trong các trường học và tổ chức. Internet of Things (IoT) được chứng minh là một trong những phương pháp giáo dục bộ não trẻ hiệu quả nhất về chi phí. Đây cũng là một cơ chế mạnh mẽ để tích hợp trải nghiệm học tập đẳng cấp thế giới cho mọi ngườ</w:t>
      </w:r>
      <w:r w:rsidR="00C87981">
        <w:rPr>
          <w:rFonts w:eastAsia="MS Mincho" w:cs="Times New Roman"/>
          <w:color w:val="000000" w:themeColor="text1"/>
          <w:szCs w:val="26"/>
        </w:rPr>
        <w:t>i (J.Keengwe)</w:t>
      </w:r>
      <w:r w:rsidR="000D42E0">
        <w:rPr>
          <w:rFonts w:eastAsia="MS Mincho" w:cs="Times New Roman"/>
          <w:color w:val="000000" w:themeColor="text1"/>
          <w:szCs w:val="26"/>
        </w:rPr>
        <w:t xml:space="preserve">. </w:t>
      </w:r>
      <w:r w:rsidR="00EB0D30">
        <w:rPr>
          <w:rFonts w:eastAsia="MS Mincho" w:cs="Times New Roman"/>
          <w:color w:val="000000" w:themeColor="text1"/>
          <w:szCs w:val="26"/>
        </w:rPr>
        <w:t>Lockeyer ( ) cũng khẳng định rằng c</w:t>
      </w:r>
      <w:r w:rsidR="000D42E0" w:rsidRPr="000D42E0">
        <w:rPr>
          <w:rFonts w:eastAsia="MS Mincho" w:cs="Times New Roman"/>
          <w:color w:val="000000" w:themeColor="text1"/>
          <w:szCs w:val="26"/>
        </w:rPr>
        <w:t>ông nghệ kỹ thuật số là một công cụ mạnh mẽ có thể giúp cải thiện giáo dục theo nhiều cách khác nhau, chẳng hạn như giúp người hướng dẫn tạo tài liệu giảng dạy dễ dàng hơn và cung cấp các phương pháp mới để mọi người học hỏi và cộng tác. Một kỷ nguyên mới đã đến với phạm vi phủ sóng toàn cầu của Internet và nhiều thiết bị thông minh được kết nối với nó. Do đó, việc sử dụng tiềm năng của công nghệ kỹ thuật số tiên tiến để cách mạng hóa giáo dục sao cho giáo dục hiệu quả và hiệu quả có sẵn cho mọi người và mọi nơi sẽ tùy thuộc vào các nhà thiết kế và giáo dụ</w:t>
      </w:r>
      <w:r w:rsidR="000D42E0">
        <w:rPr>
          <w:rFonts w:eastAsia="MS Mincho" w:cs="Times New Roman"/>
          <w:color w:val="000000" w:themeColor="text1"/>
          <w:szCs w:val="26"/>
        </w:rPr>
        <w:t xml:space="preserve">c (L. Lockyer). </w:t>
      </w:r>
      <w:r w:rsidR="007A35C0">
        <w:rPr>
          <w:rFonts w:eastAsia="MS Mincho" w:cs="Times New Roman"/>
          <w:color w:val="000000" w:themeColor="text1"/>
          <w:szCs w:val="26"/>
        </w:rPr>
        <w:t xml:space="preserve">Mối quan hệ giữa Chuyển đổi số và Hệ sinh thái học tập được </w:t>
      </w:r>
      <w:r w:rsidR="002A7D1C">
        <w:rPr>
          <w:rFonts w:eastAsia="MS Mincho" w:cs="Times New Roman"/>
          <w:color w:val="000000" w:themeColor="text1"/>
          <w:szCs w:val="26"/>
        </w:rPr>
        <w:t>lồng ghép trong các hạng mục</w:t>
      </w:r>
      <w:r w:rsidR="007A35C0">
        <w:rPr>
          <w:rFonts w:eastAsia="MS Mincho" w:cs="Times New Roman"/>
          <w:color w:val="000000" w:themeColor="text1"/>
          <w:szCs w:val="26"/>
        </w:rPr>
        <w:t xml:space="preserve"> sau:</w:t>
      </w:r>
    </w:p>
    <w:p w14:paraId="484A05E9" w14:textId="0F887009" w:rsidR="00EB0D30" w:rsidRDefault="00EB0D30" w:rsidP="00071F3A">
      <w:pPr>
        <w:pStyle w:val="Tomtat"/>
        <w:tabs>
          <w:tab w:val="left" w:pos="567"/>
        </w:tabs>
        <w:ind w:left="0" w:right="-14" w:firstLine="284"/>
        <w:rPr>
          <w:rFonts w:eastAsia="MS Mincho" w:cs="Times New Roman"/>
          <w:color w:val="000000" w:themeColor="text1"/>
          <w:szCs w:val="26"/>
        </w:rPr>
      </w:pPr>
      <w:r>
        <w:rPr>
          <w:rFonts w:eastAsia="MS Mincho" w:cs="Times New Roman"/>
          <w:noProof/>
          <w:color w:val="000000" w:themeColor="text1"/>
          <w:szCs w:val="26"/>
        </w:rPr>
        <w:drawing>
          <wp:inline distT="0" distB="0" distL="0" distR="0" wp14:anchorId="003EB149" wp14:editId="4FB07F6E">
            <wp:extent cx="5419725" cy="1222375"/>
            <wp:effectExtent l="19050" t="0" r="952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9C4C8D6" w14:textId="6B242887" w:rsidR="000E2166" w:rsidRPr="00764025" w:rsidRDefault="007A35C0" w:rsidP="00071F3A">
      <w:pPr>
        <w:pStyle w:val="Tomtat"/>
        <w:tabs>
          <w:tab w:val="left" w:pos="567"/>
        </w:tabs>
        <w:ind w:left="0" w:right="-14" w:firstLine="284"/>
        <w:rPr>
          <w:rFonts w:eastAsia="MS Mincho" w:cs="Times New Roman"/>
          <w:color w:val="000000" w:themeColor="text1"/>
          <w:szCs w:val="26"/>
        </w:rPr>
      </w:pPr>
      <w:r>
        <w:rPr>
          <w:rFonts w:eastAsia="MS Mincho" w:cs="Times New Roman"/>
          <w:color w:val="000000" w:themeColor="text1"/>
          <w:szCs w:val="26"/>
        </w:rPr>
        <w:t xml:space="preserve">- </w:t>
      </w:r>
      <w:r w:rsidR="000E2166" w:rsidRPr="007A35C0">
        <w:rPr>
          <w:rFonts w:eastAsia="MS Mincho" w:cs="Times New Roman"/>
          <w:i/>
          <w:color w:val="000000" w:themeColor="text1"/>
          <w:szCs w:val="26"/>
        </w:rPr>
        <w:t>Cơ sở hạ tầ</w:t>
      </w:r>
      <w:r>
        <w:rPr>
          <w:rFonts w:eastAsia="MS Mincho" w:cs="Times New Roman"/>
          <w:i/>
          <w:color w:val="000000" w:themeColor="text1"/>
          <w:szCs w:val="26"/>
        </w:rPr>
        <w:t>ng</w:t>
      </w:r>
      <w:r w:rsidR="000E2166" w:rsidRPr="00764025">
        <w:rPr>
          <w:rFonts w:eastAsia="MS Mincho" w:cs="Times New Roman"/>
          <w:color w:val="000000" w:themeColor="text1"/>
          <w:szCs w:val="26"/>
        </w:rPr>
        <w:t>: Chuyển đổi kỹ thuật số thường liên quan đến việc cải thiện cơ sở hạ tầng kỹ thuật số, chẳng hạn như mở rộng kết nối băng thông rộng và nâng cấp mạng. Những cải tiến này tạo điều kiện thuận lợi cho việc học trực tuyến bằng cách đảm bảo rằng người học có quyền truy cập vào các kết nối internet đáng tin cậy và có thể tham gia vào các khóa học trực tuyến một cách liền mạch.</w:t>
      </w:r>
    </w:p>
    <w:p w14:paraId="496C9E47" w14:textId="2E87EEE1" w:rsidR="000E2166" w:rsidRPr="00764025" w:rsidRDefault="007A35C0" w:rsidP="00071F3A">
      <w:pPr>
        <w:pStyle w:val="Tomtat"/>
        <w:tabs>
          <w:tab w:val="left" w:pos="567"/>
        </w:tabs>
        <w:ind w:left="0" w:right="-14" w:firstLine="284"/>
        <w:rPr>
          <w:rFonts w:eastAsia="MS Mincho" w:cs="Times New Roman"/>
          <w:color w:val="000000" w:themeColor="text1"/>
          <w:szCs w:val="26"/>
        </w:rPr>
      </w:pPr>
      <w:r>
        <w:rPr>
          <w:rFonts w:eastAsia="MS Mincho" w:cs="Times New Roman"/>
          <w:color w:val="000000" w:themeColor="text1"/>
          <w:szCs w:val="26"/>
        </w:rPr>
        <w:t xml:space="preserve">- </w:t>
      </w:r>
      <w:r w:rsidR="000E2166" w:rsidRPr="007A35C0">
        <w:rPr>
          <w:rFonts w:eastAsia="MS Mincho" w:cs="Times New Roman"/>
          <w:i/>
          <w:color w:val="000000" w:themeColor="text1"/>
          <w:szCs w:val="26"/>
        </w:rPr>
        <w:t>Truy cậ</w:t>
      </w:r>
      <w:r>
        <w:rPr>
          <w:rFonts w:eastAsia="MS Mincho" w:cs="Times New Roman"/>
          <w:i/>
          <w:color w:val="000000" w:themeColor="text1"/>
          <w:szCs w:val="26"/>
        </w:rPr>
        <w:t>p</w:t>
      </w:r>
      <w:r w:rsidR="000E2166" w:rsidRPr="00764025">
        <w:rPr>
          <w:rFonts w:eastAsia="MS Mincho" w:cs="Times New Roman"/>
          <w:color w:val="000000" w:themeColor="text1"/>
          <w:szCs w:val="26"/>
        </w:rPr>
        <w:t>: Hệ sinh thái học tập trực tuyến cho phép các cá nhân truy cập các tài nguyên và chương trình giáo dục từ mọi nơi, vượt qua các rào cản địa lý. Các nỗ lực chuyển đổi kỹ thuật số nhằm mục đích mở rộng khả năng tiếp cận công nghệ và nền tảng kỹ thuật số, giúp việc học trực tuyến trở nên dễ tiếp cận hơn đối với các nhóm dân cư đa dạng, bao gồm cả những người ở vùng sâu vùng xa hoặc vùng khó khăn.</w:t>
      </w:r>
    </w:p>
    <w:p w14:paraId="263B25C5" w14:textId="14B42487" w:rsidR="000E2166" w:rsidRPr="00764025" w:rsidRDefault="007A35C0" w:rsidP="00071F3A">
      <w:pPr>
        <w:pStyle w:val="Tomtat"/>
        <w:tabs>
          <w:tab w:val="left" w:pos="567"/>
        </w:tabs>
        <w:ind w:left="0" w:right="-14" w:firstLine="284"/>
        <w:rPr>
          <w:rFonts w:eastAsia="MS Mincho" w:cs="Times New Roman"/>
          <w:color w:val="000000" w:themeColor="text1"/>
          <w:szCs w:val="26"/>
        </w:rPr>
      </w:pPr>
      <w:r>
        <w:rPr>
          <w:rFonts w:eastAsia="MS Mincho" w:cs="Times New Roman"/>
          <w:color w:val="000000" w:themeColor="text1"/>
          <w:szCs w:val="26"/>
        </w:rPr>
        <w:t xml:space="preserve">- </w:t>
      </w:r>
      <w:r w:rsidR="000E2166" w:rsidRPr="007A35C0">
        <w:rPr>
          <w:rFonts w:eastAsia="MS Mincho" w:cs="Times New Roman"/>
          <w:i/>
          <w:color w:val="000000" w:themeColor="text1"/>
          <w:szCs w:val="26"/>
        </w:rPr>
        <w:t>Hệ thống quản lý học tập (LMS)</w:t>
      </w:r>
      <w:r w:rsidR="000E2166" w:rsidRPr="00764025">
        <w:rPr>
          <w:rFonts w:eastAsia="MS Mincho" w:cs="Times New Roman"/>
          <w:color w:val="000000" w:themeColor="text1"/>
          <w:szCs w:val="26"/>
        </w:rPr>
        <w:t>: Thành phần trung tâm của hệ sinh thái học tập trực tuyến là Hệ thống quản lý học tập, cung cấp nền tảng để phân phối khóa học, quản lý nội dung, đánh giá và tương tác với người học. Các sáng kiến chuyển đổi kỹ thuật số thường liên quan đến việc áp dụng hoặc nâng cao nền tảng LMS để hỗ trợ giáo dục trực tuyến và cho phép cá nhân hóa trải nghiệm học tập.</w:t>
      </w:r>
    </w:p>
    <w:p w14:paraId="0A485AE4" w14:textId="50F5DED7" w:rsidR="000E2166" w:rsidRPr="00764025" w:rsidRDefault="007A35C0" w:rsidP="00071F3A">
      <w:pPr>
        <w:pStyle w:val="Tomtat"/>
        <w:tabs>
          <w:tab w:val="left" w:pos="567"/>
        </w:tabs>
        <w:ind w:left="0" w:right="-14" w:firstLine="284"/>
        <w:rPr>
          <w:rFonts w:eastAsia="MS Mincho" w:cs="Times New Roman"/>
          <w:color w:val="000000" w:themeColor="text1"/>
          <w:szCs w:val="26"/>
        </w:rPr>
      </w:pPr>
      <w:r w:rsidRPr="007A35C0">
        <w:rPr>
          <w:rFonts w:eastAsia="MS Mincho" w:cs="Times New Roman"/>
          <w:i/>
          <w:color w:val="000000" w:themeColor="text1"/>
          <w:szCs w:val="26"/>
        </w:rPr>
        <w:t xml:space="preserve">- </w:t>
      </w:r>
      <w:r w:rsidR="000E2166" w:rsidRPr="007A35C0">
        <w:rPr>
          <w:rFonts w:eastAsia="MS Mincho" w:cs="Times New Roman"/>
          <w:i/>
          <w:color w:val="000000" w:themeColor="text1"/>
          <w:szCs w:val="26"/>
        </w:rPr>
        <w:t>Giao tiếp</w:t>
      </w:r>
      <w:r w:rsidR="000E2166" w:rsidRPr="00764025">
        <w:rPr>
          <w:rFonts w:eastAsia="MS Mincho" w:cs="Times New Roman"/>
          <w:color w:val="000000" w:themeColor="text1"/>
          <w:szCs w:val="26"/>
        </w:rPr>
        <w:t>: Chuyển đổi kỹ thuật số cho phép tích hợp các công cụ cộng tác, chẳng hạn như hội nghị truyền hình, diễn đàn thảo luận và nhắn tin theo thời gian thực, trong hệ sinh thái học tập trực tuyến. Những công cụ này tạo điều kiện giao tiếp và tương tác giữa người học, người hướng dẫn và đồng nghiệp, thúc đẩy trải nghiệm học tập hợp tác.</w:t>
      </w:r>
    </w:p>
    <w:p w14:paraId="15C0B614" w14:textId="0C1E3ADB" w:rsidR="000E2166" w:rsidRPr="00764025" w:rsidRDefault="007A35C0" w:rsidP="00071F3A">
      <w:pPr>
        <w:pStyle w:val="Tomtat"/>
        <w:tabs>
          <w:tab w:val="left" w:pos="567"/>
        </w:tabs>
        <w:ind w:left="0" w:right="-14" w:firstLine="284"/>
        <w:rPr>
          <w:rFonts w:eastAsia="MS Mincho" w:cs="Times New Roman"/>
          <w:color w:val="000000" w:themeColor="text1"/>
          <w:szCs w:val="26"/>
        </w:rPr>
      </w:pPr>
      <w:r w:rsidRPr="007A35C0">
        <w:rPr>
          <w:rFonts w:eastAsia="MS Mincho" w:cs="Times New Roman"/>
          <w:i/>
          <w:color w:val="000000" w:themeColor="text1"/>
          <w:szCs w:val="26"/>
        </w:rPr>
        <w:t xml:space="preserve">- </w:t>
      </w:r>
      <w:r>
        <w:rPr>
          <w:rFonts w:eastAsia="MS Mincho" w:cs="Times New Roman"/>
          <w:i/>
          <w:color w:val="000000" w:themeColor="text1"/>
          <w:szCs w:val="26"/>
        </w:rPr>
        <w:t>Phân tích dữ liệu</w:t>
      </w:r>
      <w:r w:rsidR="000E2166" w:rsidRPr="00764025">
        <w:rPr>
          <w:rFonts w:eastAsia="MS Mincho" w:cs="Times New Roman"/>
          <w:color w:val="000000" w:themeColor="text1"/>
          <w:szCs w:val="26"/>
        </w:rPr>
        <w:t>: Các sáng kiến chuyển đổi kỹ thuật số tạo ra lượng dữ liệu khổng lồ trong hệ sinh thái học tập trực tuyến. Thông qua phân tích dữ liệu và phân tích học tập, các tổ chức có thể hiểu rõ hơn về hành vi, hiệu suất và mức độ tương tác của người học. Những hiểu biết sâu sắc này giúp các nhà giáo dục và tổ chức đưa ra quyết định dựa trên dữ liệu để cải thiện phương pháp giảng dạy, thiết kế nội dung và hỗ trợ người học.</w:t>
      </w:r>
    </w:p>
    <w:p w14:paraId="58923814" w14:textId="20AA32E4" w:rsidR="000E2166" w:rsidRPr="00764025" w:rsidRDefault="007A35C0" w:rsidP="00071F3A">
      <w:pPr>
        <w:pStyle w:val="Tomtat"/>
        <w:tabs>
          <w:tab w:val="left" w:pos="567"/>
        </w:tabs>
        <w:ind w:left="0" w:right="-14" w:firstLine="284"/>
        <w:rPr>
          <w:rFonts w:eastAsia="MS Mincho" w:cs="Times New Roman"/>
          <w:color w:val="000000" w:themeColor="text1"/>
          <w:szCs w:val="26"/>
        </w:rPr>
      </w:pPr>
      <w:r w:rsidRPr="007A35C0">
        <w:rPr>
          <w:rFonts w:eastAsia="MS Mincho" w:cs="Times New Roman"/>
          <w:i/>
          <w:color w:val="000000" w:themeColor="text1"/>
          <w:szCs w:val="26"/>
        </w:rPr>
        <w:t xml:space="preserve">- </w:t>
      </w:r>
      <w:r>
        <w:rPr>
          <w:rFonts w:eastAsia="MS Mincho" w:cs="Times New Roman"/>
          <w:i/>
          <w:color w:val="000000" w:themeColor="text1"/>
          <w:szCs w:val="26"/>
        </w:rPr>
        <w:t>Trải nghiệm cá nhân</w:t>
      </w:r>
      <w:r w:rsidR="000E2166" w:rsidRPr="00764025">
        <w:rPr>
          <w:rFonts w:eastAsia="MS Mincho" w:cs="Times New Roman"/>
          <w:color w:val="000000" w:themeColor="text1"/>
          <w:szCs w:val="26"/>
        </w:rPr>
        <w:t>: Chuyển đổi kỹ thuật số cho phép triển khai các công nghệ học tập thích ứng trong hệ sinh thái học tập trực tuyến. Các hệ thống học tập thích ứng tận dụng dữ liệu và thuật toán để cung cấp trải nghiệm học tập được cá nhân hóa phù hợp với nhu cầu, khả năng và sở thích của từng người học. Việc cá nhân hóa này tăng cường sự tham gia và cải thiện kết quả học tập.</w:t>
      </w:r>
    </w:p>
    <w:p w14:paraId="6350E09A" w14:textId="035563DE" w:rsidR="000E2166" w:rsidRPr="00764025" w:rsidRDefault="007A35C0" w:rsidP="00071F3A">
      <w:pPr>
        <w:pStyle w:val="Tomtat"/>
        <w:tabs>
          <w:tab w:val="left" w:pos="567"/>
        </w:tabs>
        <w:ind w:left="0" w:right="-14" w:firstLine="284"/>
        <w:rPr>
          <w:rFonts w:eastAsia="MS Mincho" w:cs="Times New Roman"/>
          <w:color w:val="000000" w:themeColor="text1"/>
          <w:szCs w:val="26"/>
        </w:rPr>
      </w:pPr>
      <w:r w:rsidRPr="007A35C0">
        <w:rPr>
          <w:rFonts w:eastAsia="MS Mincho" w:cs="Times New Roman"/>
          <w:i/>
          <w:color w:val="000000" w:themeColor="text1"/>
          <w:szCs w:val="26"/>
        </w:rPr>
        <w:t xml:space="preserve">- </w:t>
      </w:r>
      <w:r w:rsidR="000E2166" w:rsidRPr="007A35C0">
        <w:rPr>
          <w:rFonts w:eastAsia="MS Mincho" w:cs="Times New Roman"/>
          <w:i/>
          <w:color w:val="000000" w:themeColor="text1"/>
          <w:szCs w:val="26"/>
        </w:rPr>
        <w:t>Học tập suốt đờ</w:t>
      </w:r>
      <w:r w:rsidRPr="007A35C0">
        <w:rPr>
          <w:rFonts w:eastAsia="MS Mincho" w:cs="Times New Roman"/>
          <w:i/>
          <w:color w:val="000000" w:themeColor="text1"/>
          <w:szCs w:val="26"/>
        </w:rPr>
        <w:t>i</w:t>
      </w:r>
      <w:r w:rsidR="000E2166" w:rsidRPr="00764025">
        <w:rPr>
          <w:rFonts w:eastAsia="MS Mincho" w:cs="Times New Roman"/>
          <w:color w:val="000000" w:themeColor="text1"/>
          <w:szCs w:val="26"/>
        </w:rPr>
        <w:t xml:space="preserve">: Hệ sinh thái học tập trực tuyến, được hỗ trợ bởi quá trình chuyển đổi kỹ thuật số, mang đến cơ hội học tập suốt đời và phát triển chuyên môn liên tục. Người học có thể tiếp cận nhiều khóa học, chương trình </w:t>
      </w:r>
      <w:r w:rsidR="000E2166" w:rsidRPr="00764025">
        <w:rPr>
          <w:rFonts w:eastAsia="MS Mincho" w:cs="Times New Roman"/>
          <w:color w:val="000000" w:themeColor="text1"/>
          <w:szCs w:val="26"/>
        </w:rPr>
        <w:lastRenderedPageBreak/>
        <w:t>đào tạo và chứng chỉ để nâng cao kỹ năng và kiến thức trong suốt sự nghiệp của họ, thúc đẩy văn hóa học tập suốt đời trong thời đại kỹ thuật số.</w:t>
      </w:r>
    </w:p>
    <w:p w14:paraId="1E03EB0B" w14:textId="60E63B13" w:rsidR="00B47328" w:rsidRDefault="002A7D1C" w:rsidP="00071F3A">
      <w:pPr>
        <w:pStyle w:val="Tomtat"/>
        <w:tabs>
          <w:tab w:val="left" w:pos="567"/>
        </w:tabs>
        <w:ind w:left="0" w:right="-14" w:firstLine="284"/>
        <w:rPr>
          <w:rFonts w:eastAsia="MS Mincho" w:cs="Times New Roman"/>
          <w:color w:val="000000" w:themeColor="text1"/>
          <w:szCs w:val="26"/>
        </w:rPr>
      </w:pPr>
      <w:r>
        <w:rPr>
          <w:rFonts w:eastAsia="MS Mincho" w:cs="Times New Roman"/>
          <w:color w:val="000000" w:themeColor="text1"/>
          <w:szCs w:val="26"/>
        </w:rPr>
        <w:tab/>
        <w:t>Như vậy</w:t>
      </w:r>
      <w:r w:rsidR="000E2166" w:rsidRPr="00764025">
        <w:rPr>
          <w:rFonts w:eastAsia="MS Mincho" w:cs="Times New Roman"/>
          <w:color w:val="000000" w:themeColor="text1"/>
          <w:szCs w:val="26"/>
        </w:rPr>
        <w:t>, chuyển đổi kỹ thuật số mang lại nhiều lợi ích cho hệ sinh thái học tập trực tuyến, bao gồm quyền truy cập mở rộng, học tập được cá nhân hóa, cộng tác, hiểu biết sâu sắc dựa trên dữ liệu và hiệu quả chi phí. Nó đã chuyển đổi nền giáo dục bằng cách khai thác các công nghệ kỹ thuật số để tạo ra những trải nghiệm học tập toàn diện, hấp dẫn và hiệu quả hơn.</w:t>
      </w:r>
    </w:p>
    <w:p w14:paraId="02243954" w14:textId="353CAD43" w:rsidR="00764025" w:rsidRPr="00E44211" w:rsidRDefault="00764025" w:rsidP="00071F3A">
      <w:pPr>
        <w:pStyle w:val="Tomtat"/>
        <w:tabs>
          <w:tab w:val="left" w:pos="567"/>
        </w:tabs>
        <w:ind w:left="0" w:right="-14" w:firstLine="284"/>
        <w:rPr>
          <w:rFonts w:eastAsia="MS Mincho" w:cs="Times New Roman"/>
          <w:b/>
          <w:color w:val="000000" w:themeColor="text1"/>
          <w:szCs w:val="26"/>
        </w:rPr>
      </w:pPr>
      <w:r w:rsidRPr="00E44211">
        <w:rPr>
          <w:rFonts w:eastAsia="MS Mincho" w:cs="Times New Roman"/>
          <w:b/>
          <w:color w:val="000000" w:themeColor="text1"/>
          <w:szCs w:val="26"/>
        </w:rPr>
        <w:t>2.5 Giải pháp thúc đẩy chuyển đổi số nhằm phát triển hệ sinh thái học tập qua mạng</w:t>
      </w:r>
    </w:p>
    <w:p w14:paraId="263930F7" w14:textId="0F0AC6D9" w:rsidR="00A40F58" w:rsidRDefault="00A40F58" w:rsidP="00071F3A">
      <w:pPr>
        <w:pStyle w:val="Tomtat"/>
        <w:tabs>
          <w:tab w:val="left" w:pos="567"/>
        </w:tabs>
        <w:ind w:left="0" w:right="-14" w:firstLine="284"/>
        <w:rPr>
          <w:rFonts w:eastAsia="MS Mincho" w:cs="Times New Roman"/>
          <w:color w:val="000000" w:themeColor="text1"/>
          <w:szCs w:val="26"/>
        </w:rPr>
      </w:pPr>
      <w:r w:rsidRPr="00A40F58">
        <w:rPr>
          <w:rFonts w:eastAsia="MS Mincho" w:cs="Times New Roman"/>
          <w:color w:val="000000" w:themeColor="text1"/>
          <w:szCs w:val="26"/>
        </w:rPr>
        <w:t>Giải pháp thúc đẩy chuyển đổi số nhằm phát triển hệ sinh thái học tập qua mạng là tập hợp các biện pháp và công nghệ nhằm cải thiện và nâng cao chất lượng học tập trực tuyến. Đây là việc ứng dụng các công nghệ số như internet, phần mềm giáo dục, ứng dụng di động, trí tuệ nhân tạo và trải nghiệm thực tế ảo để cung cấp cho người học những cơ hội học tập đa dạng và tương tác. Một số giải pháp thúc đẩy chuyển đổi số để phát triển hệ sinh thái học tập qua mạng có thể bao gồm:</w:t>
      </w:r>
    </w:p>
    <w:p w14:paraId="54FA49D0" w14:textId="7B1845D9" w:rsidR="00764025" w:rsidRPr="00764025" w:rsidRDefault="002A7D1C" w:rsidP="00071F3A">
      <w:pPr>
        <w:pStyle w:val="Tomtat"/>
        <w:tabs>
          <w:tab w:val="left" w:pos="567"/>
        </w:tabs>
        <w:ind w:left="0" w:right="-14" w:firstLine="284"/>
        <w:rPr>
          <w:rFonts w:eastAsia="MS Mincho" w:cs="Times New Roman"/>
          <w:color w:val="000000" w:themeColor="text1"/>
          <w:szCs w:val="26"/>
        </w:rPr>
      </w:pPr>
      <w:r>
        <w:rPr>
          <w:rFonts w:eastAsia="MS Mincho" w:cs="Times New Roman"/>
          <w:color w:val="000000" w:themeColor="text1"/>
          <w:szCs w:val="26"/>
        </w:rPr>
        <w:t xml:space="preserve">- </w:t>
      </w:r>
      <w:r w:rsidR="00764025" w:rsidRPr="002A7D1C">
        <w:rPr>
          <w:rFonts w:eastAsia="MS Mincho" w:cs="Times New Roman"/>
          <w:i/>
          <w:color w:val="000000" w:themeColor="text1"/>
          <w:szCs w:val="26"/>
        </w:rPr>
        <w:t>Đầu tư vào cơ sở hạ tầng kỹ thuật</w:t>
      </w:r>
      <w:r w:rsidR="00764025" w:rsidRPr="00764025">
        <w:rPr>
          <w:rFonts w:eastAsia="MS Mincho" w:cs="Times New Roman"/>
          <w:color w:val="000000" w:themeColor="text1"/>
          <w:szCs w:val="26"/>
        </w:rPr>
        <w:t>: Cải thiện cơ sở hạ tầng mạng, nâng cấp hệ thống máy chủ, và đảm bảo kết nối internet ổn định và nhanh chóng là một yếu tố quan trọng. Đầu tư vào cơ sở hạ tầng kỹ thuật sẽ đảm bảo sự truy cập dễ dàng và ổn định cho người học và giảng viên.</w:t>
      </w:r>
      <w:r w:rsidR="00ED43BB">
        <w:rPr>
          <w:rFonts w:eastAsia="MS Mincho" w:cs="Times New Roman"/>
          <w:color w:val="000000" w:themeColor="text1"/>
          <w:szCs w:val="26"/>
        </w:rPr>
        <w:t xml:space="preserve"> </w:t>
      </w:r>
      <w:r w:rsidR="00ED43BB" w:rsidRPr="00E44211">
        <w:rPr>
          <w:rFonts w:eastAsia="MS Mincho" w:cs="Times New Roman"/>
          <w:color w:val="000000" w:themeColor="text1"/>
          <w:szCs w:val="26"/>
        </w:rPr>
        <w:t>Đầu tư vào cơ sở hạ tầng kỹ thuật số mạnh mẽ và đáng tin cậy, bao gồm truy cập internet tốc độ cao và mạng ổn định, để đảm bảo kết nối thông suốt cho người học. Điều này liên quan đến việc mở rộng phạm vi phủ sóng băng thông rộng, cải thiện khả năng Wi-Fi và cung cấp quyền truy cập vào các thiết bị cần thiết cho các cộng đồng chưa được phục vụ.</w:t>
      </w:r>
    </w:p>
    <w:p w14:paraId="7ADE7BF9" w14:textId="59BACC29" w:rsidR="00764025" w:rsidRPr="00764025" w:rsidRDefault="002A7D1C" w:rsidP="00071F3A">
      <w:pPr>
        <w:pStyle w:val="Tomtat"/>
        <w:tabs>
          <w:tab w:val="left" w:pos="567"/>
        </w:tabs>
        <w:ind w:left="0" w:right="-14" w:firstLine="284"/>
        <w:rPr>
          <w:rFonts w:eastAsia="MS Mincho" w:cs="Times New Roman"/>
          <w:color w:val="000000" w:themeColor="text1"/>
          <w:szCs w:val="26"/>
        </w:rPr>
      </w:pPr>
      <w:r>
        <w:rPr>
          <w:rFonts w:eastAsia="MS Mincho" w:cs="Times New Roman"/>
          <w:color w:val="000000" w:themeColor="text1"/>
          <w:szCs w:val="26"/>
        </w:rPr>
        <w:t xml:space="preserve">- </w:t>
      </w:r>
      <w:r w:rsidR="00764025" w:rsidRPr="002A7D1C">
        <w:rPr>
          <w:rFonts w:eastAsia="MS Mincho" w:cs="Times New Roman"/>
          <w:i/>
          <w:color w:val="000000" w:themeColor="text1"/>
          <w:szCs w:val="26"/>
        </w:rPr>
        <w:t>Phát triển và tăng cường khả năng sử dụng công nghệ</w:t>
      </w:r>
      <w:r w:rsidR="00764025" w:rsidRPr="00764025">
        <w:rPr>
          <w:rFonts w:eastAsia="MS Mincho" w:cs="Times New Roman"/>
          <w:color w:val="000000" w:themeColor="text1"/>
          <w:szCs w:val="26"/>
        </w:rPr>
        <w:t xml:space="preserve">: </w:t>
      </w:r>
      <w:r w:rsidR="00ED43BB" w:rsidRPr="00E44211">
        <w:rPr>
          <w:rFonts w:eastAsia="MS Mincho" w:cs="Times New Roman"/>
          <w:color w:val="000000" w:themeColor="text1"/>
          <w:szCs w:val="26"/>
        </w:rPr>
        <w:t>Cung cấp các chương trình đào tạo và phát triển chuyên môn toàn diện cho các nhà giáo dục để nâng cao kỹ năng hiểu biết về kỹ thuật số và phương pháp sư phạm trong giảng dạy trực tuyến. Điều này bao gồm các hội thảo, khóa học và cố vấn để trang bị cho họ những kiến thức và kỹ năng cần thiết để tạo điều kiện thuận lợi cho việc học trực tuyến.</w:t>
      </w:r>
      <w:r w:rsidR="00ED43BB">
        <w:rPr>
          <w:rFonts w:eastAsia="MS Mincho" w:cs="Times New Roman"/>
          <w:color w:val="000000" w:themeColor="text1"/>
          <w:szCs w:val="26"/>
        </w:rPr>
        <w:t xml:space="preserve"> </w:t>
      </w:r>
      <w:r w:rsidR="00764025" w:rsidRPr="00764025">
        <w:rPr>
          <w:rFonts w:eastAsia="MS Mincho" w:cs="Times New Roman"/>
          <w:color w:val="000000" w:themeColor="text1"/>
          <w:szCs w:val="26"/>
        </w:rPr>
        <w:t>Cung cấp đào tạo và hỗ trợ cho giảng viên và nhà quản lý để tăng khả năng sử dụng công nghệ trong việc tạo ra, quản lý và cung cấp nội dung học tập trực tuyến. Điều này bao gồm việc đào tạo về các nền tảng học tập trực tuyến, công cụ giao tiếp, phần mềm hỗ trợ, và quản lý hệ thống.</w:t>
      </w:r>
    </w:p>
    <w:p w14:paraId="7340A2C3" w14:textId="1285F5FC" w:rsidR="00764025" w:rsidRPr="00764025" w:rsidRDefault="002A7D1C" w:rsidP="00071F3A">
      <w:pPr>
        <w:pStyle w:val="Tomtat"/>
        <w:tabs>
          <w:tab w:val="left" w:pos="567"/>
        </w:tabs>
        <w:ind w:left="0" w:right="-14" w:firstLine="284"/>
        <w:rPr>
          <w:rFonts w:eastAsia="MS Mincho" w:cs="Times New Roman"/>
          <w:color w:val="000000" w:themeColor="text1"/>
          <w:szCs w:val="26"/>
        </w:rPr>
      </w:pPr>
      <w:r>
        <w:rPr>
          <w:rFonts w:eastAsia="MS Mincho" w:cs="Times New Roman"/>
          <w:color w:val="000000" w:themeColor="text1"/>
          <w:szCs w:val="26"/>
        </w:rPr>
        <w:t xml:space="preserve">- </w:t>
      </w:r>
      <w:r w:rsidR="00764025" w:rsidRPr="002A7D1C">
        <w:rPr>
          <w:rFonts w:eastAsia="MS Mincho" w:cs="Times New Roman"/>
          <w:i/>
          <w:color w:val="000000" w:themeColor="text1"/>
          <w:szCs w:val="26"/>
        </w:rPr>
        <w:t>Xây dựng nội dung học tập trực tuyến hấp dẫn</w:t>
      </w:r>
      <w:r w:rsidR="00764025" w:rsidRPr="00764025">
        <w:rPr>
          <w:rFonts w:eastAsia="MS Mincho" w:cs="Times New Roman"/>
          <w:color w:val="000000" w:themeColor="text1"/>
          <w:szCs w:val="26"/>
        </w:rPr>
        <w:t>: Tạo ra nội dung học tập đa dạng, tương tác và hấp dẫn là một yếu tố quan trọng để thu hút và giữ chân người học. Điều này bao gồm việc phát triển video giảng dạy, bài giảng trực tuyến, tài liệu tham khảo, và các hoạt động tương tác để tạo ra một trải nghiệm học tập sáng tạo và thú vị.</w:t>
      </w:r>
      <w:r w:rsidR="00ED43BB">
        <w:rPr>
          <w:rFonts w:eastAsia="MS Mincho" w:cs="Times New Roman"/>
          <w:color w:val="000000" w:themeColor="text1"/>
          <w:szCs w:val="26"/>
        </w:rPr>
        <w:t xml:space="preserve"> </w:t>
      </w:r>
      <w:r w:rsidR="00ED43BB" w:rsidRPr="00E44211">
        <w:rPr>
          <w:rFonts w:eastAsia="MS Mincho" w:cs="Times New Roman"/>
          <w:color w:val="000000" w:themeColor="text1"/>
          <w:szCs w:val="26"/>
        </w:rPr>
        <w:t>Phát triển và tuyển chọn các tài liệu học tập chất lượng cao, tương tác và hấp dẫn. Điều này bao gồm nhiều tài nguyên đa phương tiện, chẳng hạn như video, mô phỏng, câu đố tương tác và nội dung được trò chơi hóa, để phục vụ cho các phong cách học tập khác nhau và tăng cường sự tham gia của người học.</w:t>
      </w:r>
    </w:p>
    <w:p w14:paraId="4ED01A5D" w14:textId="3EE04D37" w:rsidR="00764025" w:rsidRPr="00764025" w:rsidRDefault="002A7D1C" w:rsidP="00071F3A">
      <w:pPr>
        <w:pStyle w:val="Tomtat"/>
        <w:tabs>
          <w:tab w:val="left" w:pos="567"/>
        </w:tabs>
        <w:ind w:left="0" w:right="-14" w:firstLine="284"/>
        <w:rPr>
          <w:rFonts w:eastAsia="MS Mincho" w:cs="Times New Roman"/>
          <w:color w:val="000000" w:themeColor="text1"/>
          <w:szCs w:val="26"/>
        </w:rPr>
      </w:pPr>
      <w:r>
        <w:rPr>
          <w:rFonts w:eastAsia="MS Mincho" w:cs="Times New Roman"/>
          <w:color w:val="000000" w:themeColor="text1"/>
          <w:szCs w:val="26"/>
        </w:rPr>
        <w:t xml:space="preserve">- </w:t>
      </w:r>
      <w:r w:rsidR="00764025" w:rsidRPr="002A7D1C">
        <w:rPr>
          <w:rFonts w:eastAsia="MS Mincho" w:cs="Times New Roman"/>
          <w:i/>
          <w:color w:val="000000" w:themeColor="text1"/>
          <w:szCs w:val="26"/>
        </w:rPr>
        <w:t>Thiết kế hệ thống học tập cá nhân hóa</w:t>
      </w:r>
      <w:r w:rsidR="00764025" w:rsidRPr="00764025">
        <w:rPr>
          <w:rFonts w:eastAsia="MS Mincho" w:cs="Times New Roman"/>
          <w:color w:val="000000" w:themeColor="text1"/>
          <w:szCs w:val="26"/>
        </w:rPr>
        <w:t>: Sử dụng công nghệ để tạo ra trải nghiệm học tập cá nhân hóa, tùy chỉnh cho từng người học. Áp dụng các phương pháp học tập theo nhu cầu và khả năng của từng người học, cung cấp các tài liệu, bài giảng, và đánh giá theo hướng cá nhân hóa giúp tăng cường hiệu quả học tập.</w:t>
      </w:r>
      <w:r w:rsidR="00ED43BB">
        <w:rPr>
          <w:rFonts w:eastAsia="MS Mincho" w:cs="Times New Roman"/>
          <w:color w:val="000000" w:themeColor="text1"/>
          <w:szCs w:val="26"/>
        </w:rPr>
        <w:t xml:space="preserve"> </w:t>
      </w:r>
      <w:r w:rsidR="00ED43BB" w:rsidRPr="00E44211">
        <w:rPr>
          <w:rFonts w:eastAsia="MS Mincho" w:cs="Times New Roman"/>
          <w:color w:val="000000" w:themeColor="text1"/>
          <w:szCs w:val="26"/>
        </w:rPr>
        <w:t>Sử dụng các công nghệ học tập thích ứng và phân tích dữ liệu để mang lại trải nghiệm học tập được cá nhân hóa. Các nền tảng học tập thích ứng có thể đánh giá điểm mạnh và điểm yếu của người học, đồng thời cung cấp nội dung và phản hồi phù hợp, cho phép người học tiến bộ theo tốc độ của riêng họ và tập trung vào các lĩnh vực cần chú ý nhiều hơn.</w:t>
      </w:r>
    </w:p>
    <w:p w14:paraId="59A24B68" w14:textId="3D7369E1" w:rsidR="00764025" w:rsidRPr="00764025" w:rsidRDefault="002A7D1C" w:rsidP="00071F3A">
      <w:pPr>
        <w:pStyle w:val="Tomtat"/>
        <w:tabs>
          <w:tab w:val="left" w:pos="567"/>
        </w:tabs>
        <w:ind w:left="0" w:right="-14" w:firstLine="284"/>
        <w:rPr>
          <w:rFonts w:eastAsia="MS Mincho" w:cs="Times New Roman"/>
          <w:color w:val="000000" w:themeColor="text1"/>
          <w:szCs w:val="26"/>
        </w:rPr>
      </w:pPr>
      <w:r>
        <w:rPr>
          <w:rFonts w:eastAsia="MS Mincho" w:cs="Times New Roman"/>
          <w:color w:val="000000" w:themeColor="text1"/>
          <w:szCs w:val="26"/>
        </w:rPr>
        <w:t xml:space="preserve">- </w:t>
      </w:r>
      <w:r w:rsidR="00764025" w:rsidRPr="002A7D1C">
        <w:rPr>
          <w:rFonts w:eastAsia="MS Mincho" w:cs="Times New Roman"/>
          <w:i/>
          <w:color w:val="000000" w:themeColor="text1"/>
          <w:szCs w:val="26"/>
        </w:rPr>
        <w:t>Đảm bảo an ninh và bảo mật thông tin</w:t>
      </w:r>
      <w:r w:rsidR="00764025" w:rsidRPr="00764025">
        <w:rPr>
          <w:rFonts w:eastAsia="MS Mincho" w:cs="Times New Roman"/>
          <w:color w:val="000000" w:themeColor="text1"/>
          <w:szCs w:val="26"/>
        </w:rPr>
        <w:t>: Quan tâm đến vấn đề an ninh và bảo mật thông tin là rất quan trọng trong hệ thống học tập qua mạng. Cung cấp các biện pháp bảo vệ dữ liệu người dùng, đảm bảo quyền riêng tư, và tuân thủ các quy định về bảo mật thông tin là yếu tố cốt lõi để xây dựng lòng tin và sự an tâm cho người học và giảng viên.</w:t>
      </w:r>
    </w:p>
    <w:p w14:paraId="54ECADDA" w14:textId="07A30F99" w:rsidR="00764025" w:rsidRPr="00764025" w:rsidRDefault="002A7D1C" w:rsidP="00071F3A">
      <w:pPr>
        <w:pStyle w:val="Tomtat"/>
        <w:tabs>
          <w:tab w:val="left" w:pos="567"/>
        </w:tabs>
        <w:ind w:left="0" w:right="-14" w:firstLine="284"/>
        <w:rPr>
          <w:rFonts w:eastAsia="MS Mincho" w:cs="Times New Roman"/>
          <w:color w:val="000000" w:themeColor="text1"/>
          <w:szCs w:val="26"/>
        </w:rPr>
      </w:pPr>
      <w:r>
        <w:rPr>
          <w:rFonts w:eastAsia="MS Mincho" w:cs="Times New Roman"/>
          <w:color w:val="000000" w:themeColor="text1"/>
          <w:szCs w:val="26"/>
        </w:rPr>
        <w:t xml:space="preserve">- </w:t>
      </w:r>
      <w:r w:rsidRPr="002A7D1C">
        <w:rPr>
          <w:rFonts w:eastAsia="MS Mincho" w:cs="Times New Roman"/>
          <w:i/>
          <w:color w:val="000000" w:themeColor="text1"/>
          <w:szCs w:val="26"/>
        </w:rPr>
        <w:t>H</w:t>
      </w:r>
      <w:r w:rsidR="00764025" w:rsidRPr="002A7D1C">
        <w:rPr>
          <w:rFonts w:eastAsia="MS Mincho" w:cs="Times New Roman"/>
          <w:i/>
          <w:color w:val="000000" w:themeColor="text1"/>
          <w:szCs w:val="26"/>
        </w:rPr>
        <w:t>ợp tác với các bên liên quan</w:t>
      </w:r>
      <w:r w:rsidR="00764025" w:rsidRPr="00764025">
        <w:rPr>
          <w:rFonts w:eastAsia="MS Mincho" w:cs="Times New Roman"/>
          <w:color w:val="000000" w:themeColor="text1"/>
          <w:szCs w:val="26"/>
        </w:rPr>
        <w:t>: Xây dựng mối quan hệ hợp tác với các cơ quan giáo dục, doanh nghiệp và cộng đồng để tạo ra một môi trường học tập chung và liên kết. Sự hợp tác giữa các bên có thể mang lại lợi ích chung và mở ra cơ hội cho sự phát triển bền vững của hệ sinh thái học tập qua mạng.</w:t>
      </w:r>
      <w:r w:rsidR="00ED43BB">
        <w:rPr>
          <w:rFonts w:eastAsia="MS Mincho" w:cs="Times New Roman"/>
          <w:color w:val="000000" w:themeColor="text1"/>
          <w:szCs w:val="26"/>
        </w:rPr>
        <w:t xml:space="preserve"> </w:t>
      </w:r>
      <w:r w:rsidR="00ED43BB" w:rsidRPr="00E44211">
        <w:rPr>
          <w:rFonts w:eastAsia="MS Mincho" w:cs="Times New Roman"/>
          <w:color w:val="000000" w:themeColor="text1"/>
          <w:szCs w:val="26"/>
        </w:rPr>
        <w:t>Tạo nền tảng và cơ hội hợp tác và xây dựng cộng đồng giữa những người học, người hướng dẫn và đồng nghiệp. Điều này có thể đạt được thông qua các diễn đàn thảo luận, nhóm học tập ảo, dự án trực tuyến và mạng lưới học tập xã hội. Khuyến khích tương tác và tham gia ngang hàng sẽ thúc đẩy cảm giác thân thuộc và tạo điều kiện cho một môi trường học tập hợp tác.</w:t>
      </w:r>
    </w:p>
    <w:p w14:paraId="3D756813" w14:textId="12384CBF" w:rsidR="00E44211" w:rsidRDefault="002A7D1C" w:rsidP="00071F3A">
      <w:pPr>
        <w:pStyle w:val="Tomtat"/>
        <w:tabs>
          <w:tab w:val="left" w:pos="567"/>
        </w:tabs>
        <w:ind w:left="0" w:right="-14" w:firstLine="284"/>
        <w:rPr>
          <w:rFonts w:eastAsia="MS Mincho" w:cs="Times New Roman"/>
          <w:color w:val="000000" w:themeColor="text1"/>
          <w:szCs w:val="26"/>
        </w:rPr>
      </w:pPr>
      <w:r>
        <w:rPr>
          <w:rFonts w:eastAsia="MS Mincho" w:cs="Times New Roman"/>
          <w:color w:val="000000" w:themeColor="text1"/>
          <w:szCs w:val="26"/>
        </w:rPr>
        <w:t xml:space="preserve">- </w:t>
      </w:r>
      <w:r w:rsidR="00764025" w:rsidRPr="002A7D1C">
        <w:rPr>
          <w:rFonts w:eastAsia="MS Mincho" w:cs="Times New Roman"/>
          <w:i/>
          <w:color w:val="000000" w:themeColor="text1"/>
          <w:szCs w:val="26"/>
        </w:rPr>
        <w:t>Giám sát và đánh giá</w:t>
      </w:r>
      <w:r w:rsidR="00764025" w:rsidRPr="00764025">
        <w:rPr>
          <w:rFonts w:eastAsia="MS Mincho" w:cs="Times New Roman"/>
          <w:color w:val="000000" w:themeColor="text1"/>
          <w:szCs w:val="26"/>
        </w:rPr>
        <w:t>: Theo dõi và đánh giá hoạt động của hệ thống học tập qua mạng để đảm bảo chất lượng và hiệu quả. Thu thập dữ liệu và phân tích để đưa ra các biện pháp cải tiến, đáp ứng nhu cầu của người học và phù hợp với môi trường học tập.</w:t>
      </w:r>
      <w:r w:rsidR="00ED43BB">
        <w:rPr>
          <w:rFonts w:eastAsia="MS Mincho" w:cs="Times New Roman"/>
          <w:color w:val="000000" w:themeColor="text1"/>
          <w:szCs w:val="26"/>
        </w:rPr>
        <w:t xml:space="preserve"> </w:t>
      </w:r>
      <w:r w:rsidR="00ED43BB" w:rsidRPr="00E44211">
        <w:rPr>
          <w:rFonts w:eastAsia="MS Mincho" w:cs="Times New Roman"/>
          <w:color w:val="000000" w:themeColor="text1"/>
          <w:szCs w:val="26"/>
        </w:rPr>
        <w:t xml:space="preserve">Thường xuyên đánh giá hiệu quả và tác động của hệ sinh thái học tập trực tuyến thông </w:t>
      </w:r>
      <w:r w:rsidR="00ED43BB" w:rsidRPr="00E44211">
        <w:rPr>
          <w:rFonts w:eastAsia="MS Mincho" w:cs="Times New Roman"/>
          <w:color w:val="000000" w:themeColor="text1"/>
          <w:szCs w:val="26"/>
        </w:rPr>
        <w:lastRenderedPageBreak/>
        <w:t>qua phân tích dữ liệu, phản hồi của người học và các chỉ số đánh giá. Sử dụng thông tin này để xác định các lĩnh vực cần cải thiện, tinh chỉnh các chiến lược và thích ứng với các xu hướng và công nghệ mới nổi.</w:t>
      </w:r>
    </w:p>
    <w:p w14:paraId="5D16118B" w14:textId="0A3A40B8" w:rsidR="00DF384F" w:rsidRDefault="00DF384F" w:rsidP="00071F3A">
      <w:pPr>
        <w:tabs>
          <w:tab w:val="left" w:pos="567"/>
        </w:tabs>
        <w:spacing w:after="0" w:line="240" w:lineRule="auto"/>
        <w:ind w:firstLine="284"/>
        <w:jc w:val="both"/>
        <w:rPr>
          <w:rFonts w:ascii="Times New Roman" w:hAnsi="Times New Roman" w:cs="Times New Roman"/>
          <w:b/>
          <w:color w:val="000000" w:themeColor="text1"/>
          <w:spacing w:val="-4"/>
          <w:w w:val="98"/>
          <w:sz w:val="21"/>
          <w:szCs w:val="26"/>
        </w:rPr>
      </w:pPr>
      <w:bookmarkStart w:id="1" w:name="_Toc10838450"/>
      <w:bookmarkStart w:id="2" w:name="_Toc10839344"/>
      <w:bookmarkStart w:id="3" w:name="_Toc10839685"/>
      <w:r w:rsidRPr="00DF384F">
        <w:rPr>
          <w:rFonts w:ascii="Times New Roman" w:hAnsi="Times New Roman" w:cs="Times New Roman"/>
          <w:b/>
          <w:color w:val="000000" w:themeColor="text1"/>
          <w:spacing w:val="-4"/>
          <w:w w:val="98"/>
          <w:sz w:val="21"/>
          <w:szCs w:val="26"/>
        </w:rPr>
        <w:t>3. Kết luận</w:t>
      </w:r>
    </w:p>
    <w:p w14:paraId="7B02CF0E" w14:textId="411575A7" w:rsidR="00D5665F" w:rsidRDefault="00ED43BB" w:rsidP="00071F3A">
      <w:pPr>
        <w:tabs>
          <w:tab w:val="left" w:pos="567"/>
        </w:tabs>
        <w:spacing w:after="0" w:line="240" w:lineRule="auto"/>
        <w:ind w:firstLine="284"/>
        <w:jc w:val="both"/>
        <w:rPr>
          <w:rFonts w:ascii="Times New Roman" w:hAnsi="Times New Roman" w:cs="Times New Roman"/>
          <w:color w:val="000000" w:themeColor="text1"/>
          <w:spacing w:val="-4"/>
          <w:w w:val="98"/>
          <w:sz w:val="21"/>
          <w:szCs w:val="26"/>
        </w:rPr>
      </w:pPr>
      <w:r w:rsidRPr="00ED43BB">
        <w:rPr>
          <w:rFonts w:ascii="Times New Roman" w:hAnsi="Times New Roman" w:cs="Times New Roman"/>
          <w:color w:val="000000" w:themeColor="text1"/>
          <w:spacing w:val="-4"/>
          <w:w w:val="98"/>
          <w:sz w:val="21"/>
          <w:szCs w:val="26"/>
        </w:rPr>
        <w:t>Chuyển đổi số và hệ sinh thái học tập qua mạng là hai khía cạnh tương đồng và tương hỗ, tạo nên một mối quan hệ chặt chẽ và tăng cường lẫn nhau. Chuyển đổi số đem lại các công nghệ và công cụ mới, mang lại sự linh hoạt, tương tác và khả năng tiếp cận toàn cầu. Đồng thời, hệ sinh thái học tập qua mạng tận dụng và tận hưởng sự phát triển của chuyển đổi số để cung cấp môi trường học tập tiên tiế</w:t>
      </w:r>
      <w:r>
        <w:rPr>
          <w:rFonts w:ascii="Times New Roman" w:hAnsi="Times New Roman" w:cs="Times New Roman"/>
          <w:color w:val="000000" w:themeColor="text1"/>
          <w:spacing w:val="-4"/>
          <w:w w:val="98"/>
          <w:sz w:val="21"/>
          <w:szCs w:val="26"/>
        </w:rPr>
        <w:t xml:space="preserve">n và tương tác. </w:t>
      </w:r>
      <w:r w:rsidRPr="00ED43BB">
        <w:rPr>
          <w:rFonts w:ascii="Times New Roman" w:hAnsi="Times New Roman" w:cs="Times New Roman"/>
          <w:color w:val="000000" w:themeColor="text1"/>
          <w:spacing w:val="-4"/>
          <w:w w:val="98"/>
          <w:sz w:val="21"/>
          <w:szCs w:val="26"/>
        </w:rPr>
        <w:t>Thông qua việc tích hợp công nghệ và ứng dụng số vào quá trình học tập, hệ sinh thái học tập qua mạng cung cấp trải nghiệm học tập đa dạng và linh hoạt, vượt qua hạn chế không gian và thời gian. Sinh viên có thể tiếp cận tài liệu và nguồn kiến thức từ khắp nơi trên thế giới, tham gia vào các hoạt động tương tác và hợp tác với giảng viên và sinh viên khác. Điều này mở ra những cơ hội học tập không giới hạn và khả năng kết nối với cộng đồng học tập toàn cầ</w:t>
      </w:r>
      <w:r>
        <w:rPr>
          <w:rFonts w:ascii="Times New Roman" w:hAnsi="Times New Roman" w:cs="Times New Roman"/>
          <w:color w:val="000000" w:themeColor="text1"/>
          <w:spacing w:val="-4"/>
          <w:w w:val="98"/>
          <w:sz w:val="21"/>
          <w:szCs w:val="26"/>
        </w:rPr>
        <w:t xml:space="preserve">u. </w:t>
      </w:r>
      <w:r w:rsidRPr="00ED43BB">
        <w:rPr>
          <w:rFonts w:ascii="Times New Roman" w:hAnsi="Times New Roman" w:cs="Times New Roman"/>
          <w:color w:val="000000" w:themeColor="text1"/>
          <w:spacing w:val="-4"/>
          <w:w w:val="98"/>
          <w:sz w:val="21"/>
          <w:szCs w:val="26"/>
        </w:rPr>
        <w:t>Hơn nữa, chuyển đổi số trong hệ sinh thái học tập qua mạng cung cấp các công cụ đánh giá, phản hồi và quản lý hiệu quả. Sinh viên có thể tham gia vào các bài kiểm tra trực tuyến, hoàn thành bài tập và dự án trực tuyến và nhận được phản hồi từ giảng viên và sinh viên khác. Điều này giúp nâng cao chất lượng học tập, đánh giá tiến bộ và đáp ứng tốt hơn với nhu cầ</w:t>
      </w:r>
      <w:r>
        <w:rPr>
          <w:rFonts w:ascii="Times New Roman" w:hAnsi="Times New Roman" w:cs="Times New Roman"/>
          <w:color w:val="000000" w:themeColor="text1"/>
          <w:spacing w:val="-4"/>
          <w:w w:val="98"/>
          <w:sz w:val="21"/>
          <w:szCs w:val="26"/>
        </w:rPr>
        <w:t xml:space="preserve">u cá nhân. </w:t>
      </w:r>
      <w:r w:rsidRPr="00ED43BB">
        <w:rPr>
          <w:rFonts w:ascii="Times New Roman" w:hAnsi="Times New Roman" w:cs="Times New Roman"/>
          <w:color w:val="000000" w:themeColor="text1"/>
          <w:spacing w:val="-4"/>
          <w:w w:val="98"/>
          <w:sz w:val="21"/>
          <w:szCs w:val="26"/>
        </w:rPr>
        <w:t xml:space="preserve">Tuy nhiên, để đảm bảo thành công của hệ sinh thái học tập qua mạng, cần quan tâm đến các yếu tố như bảo mật thông tin, quyền riêng tư và quản lý quyền truy cập. Các chính sách và biện pháp bảo mật phù hợp cần được áp dụng để bảo vệ thông tin cá nhân và đảm bảo tính riêng tư cho tất cả các bên liên </w:t>
      </w:r>
      <w:r>
        <w:rPr>
          <w:rFonts w:ascii="Times New Roman" w:hAnsi="Times New Roman" w:cs="Times New Roman"/>
          <w:color w:val="000000" w:themeColor="text1"/>
          <w:spacing w:val="-4"/>
          <w:w w:val="98"/>
          <w:sz w:val="21"/>
          <w:szCs w:val="26"/>
        </w:rPr>
        <w:t xml:space="preserve">quan. </w:t>
      </w:r>
      <w:r w:rsidRPr="00ED43BB">
        <w:rPr>
          <w:rFonts w:ascii="Times New Roman" w:hAnsi="Times New Roman" w:cs="Times New Roman"/>
          <w:color w:val="000000" w:themeColor="text1"/>
          <w:spacing w:val="-4"/>
          <w:w w:val="98"/>
          <w:sz w:val="21"/>
          <w:szCs w:val="26"/>
        </w:rPr>
        <w:t>Tóm lại, chuyển đổi số và hệ sinh thái học tập qua mạng tạo nên một mối quan hệ tương hỗ và tương đồng. Kết hợp công nghệ và ứng dụng số vào hệ sinh thái học tập tạo ra trải nghiệm học tập tiên tiến, tương tác và toàn cầu. Điều này đóng vai trò quan trọng trong việc cung cấp giáo dục ưu việt và phát triển học tập trong thời đại số hóa.</w:t>
      </w:r>
      <w:bookmarkEnd w:id="1"/>
      <w:bookmarkEnd w:id="2"/>
      <w:bookmarkEnd w:id="3"/>
    </w:p>
    <w:p w14:paraId="0FC52A84" w14:textId="77777777" w:rsidR="00071F3A" w:rsidRDefault="00071F3A" w:rsidP="00ED43BB">
      <w:pPr>
        <w:spacing w:after="120" w:line="240" w:lineRule="auto"/>
        <w:jc w:val="both"/>
        <w:rPr>
          <w:rFonts w:ascii="Times New Roman" w:hAnsi="Times New Roman" w:cs="Times New Roman"/>
          <w:b/>
          <w:color w:val="000000" w:themeColor="text1"/>
          <w:spacing w:val="-4"/>
          <w:w w:val="98"/>
          <w:sz w:val="21"/>
          <w:szCs w:val="26"/>
        </w:rPr>
      </w:pPr>
    </w:p>
    <w:p w14:paraId="7CD07432" w14:textId="67F727F7" w:rsidR="00ED43BB" w:rsidRDefault="00ED43BB" w:rsidP="00071F3A">
      <w:pPr>
        <w:spacing w:after="0" w:line="240" w:lineRule="auto"/>
        <w:ind w:left="284" w:hanging="284"/>
        <w:jc w:val="both"/>
        <w:rPr>
          <w:rFonts w:ascii="Times New Roman" w:hAnsi="Times New Roman" w:cs="Times New Roman"/>
          <w:b/>
          <w:color w:val="000000" w:themeColor="text1"/>
          <w:spacing w:val="-4"/>
          <w:w w:val="98"/>
          <w:sz w:val="21"/>
          <w:szCs w:val="26"/>
        </w:rPr>
      </w:pPr>
      <w:r w:rsidRPr="00ED43BB">
        <w:rPr>
          <w:rFonts w:ascii="Times New Roman" w:hAnsi="Times New Roman" w:cs="Times New Roman"/>
          <w:b/>
          <w:color w:val="000000" w:themeColor="text1"/>
          <w:spacing w:val="-4"/>
          <w:w w:val="98"/>
          <w:sz w:val="21"/>
          <w:szCs w:val="26"/>
        </w:rPr>
        <w:t>Tài liệu tham khảo</w:t>
      </w:r>
    </w:p>
    <w:p w14:paraId="431634A1" w14:textId="77777777" w:rsidR="00A40F58" w:rsidRDefault="00A40F58" w:rsidP="00071F3A">
      <w:pPr>
        <w:pStyle w:val="Tomtat"/>
        <w:ind w:left="284" w:right="-19" w:hanging="284"/>
        <w:rPr>
          <w:noProof/>
          <w:lang w:val="vi-VN"/>
        </w:rPr>
      </w:pPr>
      <w:r w:rsidRPr="00044946">
        <w:rPr>
          <w:noProof/>
          <w:lang w:val="vi-VN"/>
        </w:rPr>
        <w:t>Chang, E., &amp; West, M. (2006). Digital Ecosystems: A next Genneration of Collaboration. Environment for the Digital Networked Economy, intergration and Web-based Application and Services. Yogykarta Indonesia.</w:t>
      </w:r>
    </w:p>
    <w:p w14:paraId="45EDD077" w14:textId="77777777" w:rsidR="00A40F58" w:rsidRPr="00044946" w:rsidRDefault="00A40F58" w:rsidP="00071F3A">
      <w:pPr>
        <w:pStyle w:val="Tomtat"/>
        <w:ind w:left="284" w:right="-19" w:hanging="284"/>
        <w:rPr>
          <w:shd w:val="clear" w:color="auto" w:fill="FFFFFF"/>
        </w:rPr>
      </w:pPr>
      <w:r w:rsidRPr="00044946">
        <w:rPr>
          <w:shd w:val="clear" w:color="auto" w:fill="FFFFFF"/>
        </w:rPr>
        <w:t>Cui, G., Lockee, B. and Meng, C., 2013. Building modern online social presence: A review of social presence theory and its instructional design implications for future trends. Education and information technologies, 18(4), pp.661-685.</w:t>
      </w:r>
    </w:p>
    <w:p w14:paraId="4F63461D" w14:textId="6AC25782" w:rsidR="00A40F58" w:rsidRPr="00044946" w:rsidRDefault="00A40F58" w:rsidP="00071F3A">
      <w:pPr>
        <w:pStyle w:val="Tomtat"/>
        <w:ind w:left="284" w:right="-19" w:hanging="284"/>
      </w:pPr>
      <w:r w:rsidRPr="00044946">
        <w:rPr>
          <w:shd w:val="clear" w:color="auto" w:fill="FFFFFF"/>
        </w:rPr>
        <w:t>Dumford, A.D. and Miller, A.L., 2018. Online learning in higher education: exploring advantages and disadvantages for engagement. Journal of Computing in Higher Education, 30(3), pp.452-465.</w:t>
      </w:r>
    </w:p>
    <w:p w14:paraId="2E859B0E" w14:textId="77777777" w:rsidR="00A40F58" w:rsidRPr="00044946" w:rsidRDefault="00A40F58" w:rsidP="00071F3A">
      <w:pPr>
        <w:pStyle w:val="Tomtat"/>
        <w:ind w:left="284" w:right="-19" w:hanging="284"/>
        <w:rPr>
          <w:shd w:val="clear" w:color="auto" w:fill="FFFFFF"/>
        </w:rPr>
      </w:pPr>
      <w:r w:rsidRPr="00044946">
        <w:rPr>
          <w:shd w:val="clear" w:color="auto" w:fill="FFFFFF"/>
        </w:rPr>
        <w:t xml:space="preserve">Gejendhiran, S., Anicia, S.A., Vignesh, S. and Kalaimani, M., 2020. Disruptive technologies-a promising key for sustainable future education. Procedia Computer Science, 172, pp.843-847. </w:t>
      </w:r>
    </w:p>
    <w:p w14:paraId="569A3DBA" w14:textId="3CA40652" w:rsidR="00A40F58" w:rsidRPr="00044946" w:rsidRDefault="00A40F58" w:rsidP="00071F3A">
      <w:pPr>
        <w:pStyle w:val="Tomtat"/>
        <w:ind w:left="284" w:right="-19" w:hanging="284"/>
        <w:rPr>
          <w:shd w:val="clear" w:color="auto" w:fill="FFFFFF"/>
        </w:rPr>
      </w:pPr>
      <w:r w:rsidRPr="00044946">
        <w:rPr>
          <w:shd w:val="clear" w:color="auto" w:fill="FFFFFF"/>
        </w:rPr>
        <w:t xml:space="preserve">Gejendhiran, S., Anicia, S.A., Vignesh, S. and Kalaimani, M., 2020. Disruptive technologies-a promising key for sustainable future education. Procedia Computer Science, 172, pp.843-847. </w:t>
      </w:r>
    </w:p>
    <w:p w14:paraId="763EFA02" w14:textId="6FDEF0AD" w:rsidR="00A40F58" w:rsidRPr="00044946" w:rsidRDefault="00A40F58" w:rsidP="00071F3A">
      <w:pPr>
        <w:pStyle w:val="Tomtat"/>
        <w:ind w:left="284" w:right="-19" w:hanging="284"/>
      </w:pPr>
      <w:r w:rsidRPr="00044946">
        <w:t>Hong C., Ma W.W.K. 2020. Introduction: Education 4.0: Applied Degree Ed</w:t>
      </w:r>
      <w:r>
        <w:t xml:space="preserve">ucation and the Future of Work. Lecture Notes in Educational </w:t>
      </w:r>
      <w:r w:rsidRPr="00044946">
        <w:t xml:space="preserve">Technology. Springer, Singapore. https://doi.org/10.1007/978-981-15-3142-2_1 </w:t>
      </w:r>
    </w:p>
    <w:p w14:paraId="690A1F14" w14:textId="77777777" w:rsidR="00A40F58" w:rsidRPr="00044946" w:rsidRDefault="00A40F58" w:rsidP="00071F3A">
      <w:pPr>
        <w:pStyle w:val="Tomtat"/>
        <w:ind w:left="284" w:right="-19" w:hanging="284"/>
      </w:pPr>
      <w:r w:rsidRPr="00044946">
        <w:t>http://www.oecd.org/education/2030-project/about/documents/E2030%20Position%20</w:t>
      </w:r>
    </w:p>
    <w:p w14:paraId="445721F3" w14:textId="77777777" w:rsidR="00A40F58" w:rsidRPr="00044946" w:rsidRDefault="00A40F58" w:rsidP="00071F3A">
      <w:pPr>
        <w:pStyle w:val="Tomtat"/>
        <w:ind w:left="284" w:right="-19" w:hanging="284"/>
        <w:rPr>
          <w:noProof/>
          <w:lang w:val="vi-VN"/>
        </w:rPr>
      </w:pPr>
      <w:r w:rsidRPr="00044946">
        <w:t>Lorna Uden et al (2007), The future of E-learning: E-learning ecosystem, Inaugura IEEE International Conference on Digital Ecosystems and Technologies, IEEE DEST 2007.</w:t>
      </w:r>
    </w:p>
    <w:p w14:paraId="5DBE3F64" w14:textId="3D2C23BD" w:rsidR="00A40F58" w:rsidRPr="00044946" w:rsidRDefault="00A40F58" w:rsidP="00071F3A">
      <w:pPr>
        <w:pStyle w:val="Tomtat"/>
        <w:ind w:left="284" w:right="-19" w:hanging="284"/>
      </w:pPr>
      <w:r w:rsidRPr="00044946">
        <w:rPr>
          <w:shd w:val="clear" w:color="auto" w:fill="FFFFFF"/>
        </w:rPr>
        <w:t>Moore, J.L., Dickson-Deane, C. and Galyen, K., 2011. e-Learning, online learning, and distance learning environments: Are they the same?. The Internet and higher education, 14(2), pp.129-135.</w:t>
      </w:r>
    </w:p>
    <w:p w14:paraId="6692D08B" w14:textId="6163D842" w:rsidR="00A40F58" w:rsidRPr="00044946" w:rsidRDefault="00A40F58" w:rsidP="00071F3A">
      <w:pPr>
        <w:pStyle w:val="Tomtat"/>
        <w:ind w:left="284" w:right="-19" w:hanging="284"/>
      </w:pPr>
      <w:r w:rsidRPr="00044946">
        <w:t>Nacu, D., Martin, C.K. and Pinkard, N., 2018. Designing for 21st century learning online: A heuristic method to enable educator learning support roles. Educational Technology Research and Development, 66(4), pp.1029-1049.</w:t>
      </w:r>
    </w:p>
    <w:p w14:paraId="29574FF2" w14:textId="77777777" w:rsidR="00A40F58" w:rsidRDefault="00A40F58" w:rsidP="00071F3A">
      <w:pPr>
        <w:pStyle w:val="Tomtat"/>
        <w:ind w:left="284" w:right="-19" w:hanging="284"/>
      </w:pPr>
      <w:r w:rsidRPr="00044946">
        <w:t>OECD. Organisation for Economic Co-operation and Development. 2018. The future of education and</w:t>
      </w:r>
      <w:r w:rsidRPr="00044946">
        <w:br/>
        <w:t>skills: Education 2030. OECD Educatio</w:t>
      </w:r>
      <w:r>
        <w:t>n 2030. OECD Publishing, Paris.</w:t>
      </w:r>
    </w:p>
    <w:p w14:paraId="15A2BC86" w14:textId="77777777" w:rsidR="00A40F58" w:rsidRPr="00044946" w:rsidRDefault="00A40F58" w:rsidP="00071F3A">
      <w:pPr>
        <w:pStyle w:val="Tomtat"/>
        <w:ind w:left="284" w:right="-19" w:hanging="284"/>
      </w:pPr>
      <w:r w:rsidRPr="00044946">
        <w:t xml:space="preserve">Oliveira, K.K., &amp; de Souza, R. 2020. Mudanças climáticas na educação: um levantamento das práticas, ferramentas e tecnologias digitais. In Anais do XI Workshop de Computação Aplicada à Gestão do Meio Ambiente e Recursos Naturais (pp. 151–160). SBC. DOI: https://doi.org/10.5753/wcama.2020.11029 </w:t>
      </w:r>
    </w:p>
    <w:p w14:paraId="1F2730B5" w14:textId="77777777" w:rsidR="00A40F58" w:rsidRPr="00044946" w:rsidRDefault="00A40F58" w:rsidP="00071F3A">
      <w:pPr>
        <w:pStyle w:val="Tomtat"/>
        <w:ind w:left="284" w:right="-19" w:hanging="284"/>
      </w:pPr>
      <w:r w:rsidRPr="00044946">
        <w:t>Peterson, A., Dumont, H., Lafuente, M., Law, N. 2018. Understanding innovative pedagogies: Key themes</w:t>
      </w:r>
      <w:r w:rsidRPr="00044946">
        <w:br/>
        <w:t>to analyse new approaches to teaching and learning, OECD Education Working Papers, No. 172, OECD</w:t>
      </w:r>
      <w:r w:rsidRPr="00044946">
        <w:br/>
        <w:t xml:space="preserve">Publishing, Paris. </w:t>
      </w:r>
      <w:hyperlink r:id="rId13" w:history="1">
        <w:r w:rsidRPr="00044946">
          <w:rPr>
            <w:rStyle w:val="Hyperlink"/>
            <w:rFonts w:cs="Times New Roman"/>
            <w:color w:val="auto"/>
          </w:rPr>
          <w:t>https://doi.org/10.1787/9f843a6e-en</w:t>
        </w:r>
      </w:hyperlink>
    </w:p>
    <w:p w14:paraId="3D8442EE" w14:textId="77777777" w:rsidR="00A40F58" w:rsidRPr="00044946" w:rsidRDefault="00A40F58" w:rsidP="00071F3A">
      <w:pPr>
        <w:pStyle w:val="Tomtat"/>
        <w:ind w:left="284" w:right="-19" w:hanging="284"/>
      </w:pPr>
      <w:r w:rsidRPr="00044946">
        <w:lastRenderedPageBreak/>
        <w:t>WEF. World Economic Forum. 2020. Schools of the Future. Defining New Models of Education for the</w:t>
      </w:r>
      <w:r w:rsidRPr="00044946">
        <w:br/>
        <w:t xml:space="preserve">Fourth Industrial Revolution. In Platform for Shaping the Future of the New Economy and Society. Cologny/Geneva, Switzerland. </w:t>
      </w:r>
    </w:p>
    <w:p w14:paraId="160880A0" w14:textId="4E6C4A92" w:rsidR="00A40F58" w:rsidRPr="00044946" w:rsidRDefault="00A40F58" w:rsidP="00071F3A">
      <w:pPr>
        <w:pStyle w:val="Tomtat"/>
        <w:ind w:left="284" w:right="706" w:hanging="284"/>
        <w:rPr>
          <w:shd w:val="clear" w:color="auto" w:fill="FFFFFF"/>
        </w:rPr>
      </w:pPr>
      <w:r w:rsidRPr="00044946">
        <w:rPr>
          <w:shd w:val="clear" w:color="auto" w:fill="FFFFFF"/>
        </w:rPr>
        <w:t>Wong, K., Lai, A.T.S., Meng, X., Lee, F.C.H. and Chan, A.H.S., 2021, June. Work–Life Balance of Secondary Schools Teachers in Hong Kong. In Congress of the International Ergonomics Association (pp. 819-826). Springer, Cham.</w:t>
      </w:r>
    </w:p>
    <w:p w14:paraId="2305CA16" w14:textId="6AC3A893" w:rsidR="00A30B52" w:rsidRDefault="00A30B52" w:rsidP="000D42E0">
      <w:pPr>
        <w:spacing w:after="120" w:line="240" w:lineRule="auto"/>
        <w:jc w:val="both"/>
      </w:pPr>
    </w:p>
    <w:sectPr w:rsidR="00A30B52" w:rsidSect="00071F3A">
      <w:headerReference w:type="default" r:id="rId14"/>
      <w:footerReference w:type="default" r:id="rId15"/>
      <w:pgSz w:w="11907" w:h="16840" w:code="9"/>
      <w:pgMar w:top="1985" w:right="1418" w:bottom="2155" w:left="1418" w:header="1412" w:footer="141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D327F0" w14:textId="77777777" w:rsidR="004D74E0" w:rsidRDefault="004D74E0" w:rsidP="00B93300">
      <w:pPr>
        <w:spacing w:after="0" w:line="240" w:lineRule="auto"/>
      </w:pPr>
      <w:r>
        <w:separator/>
      </w:r>
    </w:p>
  </w:endnote>
  <w:endnote w:type="continuationSeparator" w:id="0">
    <w:p w14:paraId="529DE7A1" w14:textId="77777777" w:rsidR="004D74E0" w:rsidRDefault="004D74E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oania">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Cmtt10">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75B6B09" w14:textId="28214948"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B74F88">
          <w:rPr>
            <w:rFonts w:ascii="Times New Roman" w:hAnsi="Times New Roman" w:cs="Times New Roman"/>
            <w:noProof/>
          </w:rPr>
          <w:t>3</w:t>
        </w:r>
        <w:r w:rsidRPr="00DB79C2">
          <w:rPr>
            <w:rFonts w:ascii="Times New Roman" w:hAnsi="Times New Roman" w:cs="Times New Roman"/>
            <w:noProof/>
          </w:rPr>
          <w:fldChar w:fldCharType="end"/>
        </w:r>
      </w:p>
    </w:sdtContent>
  </w:sdt>
  <w:p w14:paraId="19261EB3"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A2B5B0" w14:textId="77777777" w:rsidR="004D74E0" w:rsidRDefault="004D74E0" w:rsidP="00B93300">
      <w:pPr>
        <w:spacing w:after="0" w:line="240" w:lineRule="auto"/>
      </w:pPr>
      <w:r>
        <w:separator/>
      </w:r>
    </w:p>
  </w:footnote>
  <w:footnote w:type="continuationSeparator" w:id="0">
    <w:p w14:paraId="49F7BE63" w14:textId="77777777" w:rsidR="004D74E0" w:rsidRDefault="004D74E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EB391D8"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92F2653" w14:textId="669A4D6C" w:rsidR="00B93300" w:rsidRPr="00DA1408" w:rsidRDefault="00DA1408" w:rsidP="00B93300">
          <w:pPr>
            <w:tabs>
              <w:tab w:val="center" w:pos="4680"/>
              <w:tab w:val="right" w:pos="9360"/>
            </w:tabs>
            <w:spacing w:after="0" w:line="240" w:lineRule="auto"/>
            <w:jc w:val="center"/>
            <w:rPr>
              <w:rFonts w:ascii="Arial" w:eastAsia="Times New Roman" w:hAnsi="Arial" w:cs="Arial"/>
              <w:b/>
              <w:w w:val="80"/>
              <w:sz w:val="24"/>
              <w:szCs w:val="24"/>
              <w:lang w:val="vi-VN"/>
            </w:rPr>
          </w:pPr>
          <w:r>
            <w:rPr>
              <w:rFonts w:ascii="Arial" w:eastAsia="Times New Roman" w:hAnsi="Arial" w:cs="Arial"/>
              <w:b/>
              <w:color w:val="FFFFFF"/>
              <w:w w:val="80"/>
              <w:lang w:val="vi-VN"/>
            </w:rPr>
            <w:t>LTTC</w:t>
          </w:r>
        </w:p>
      </w:tc>
      <w:tc>
        <w:tcPr>
          <w:tcW w:w="4635" w:type="pct"/>
          <w:tcBorders>
            <w:left w:val="single" w:sz="18" w:space="0" w:color="943634"/>
            <w:bottom w:val="single" w:sz="18" w:space="0" w:color="943634"/>
          </w:tcBorders>
          <w:vAlign w:val="bottom"/>
        </w:tcPr>
        <w:p w14:paraId="70DDF958" w14:textId="43B0FC1F" w:rsidR="00B93300" w:rsidRPr="00DA1408" w:rsidRDefault="00DA1408" w:rsidP="008137CB">
          <w:pPr>
            <w:tabs>
              <w:tab w:val="center" w:pos="4680"/>
              <w:tab w:val="right" w:pos="9360"/>
            </w:tabs>
            <w:spacing w:after="0" w:line="240" w:lineRule="auto"/>
            <w:rPr>
              <w:rFonts w:ascii="Arial" w:eastAsia="Times New Roman" w:hAnsi="Arial" w:cs="Arial"/>
              <w:w w:val="85"/>
              <w:sz w:val="24"/>
              <w:szCs w:val="24"/>
              <w:lang w:val="vi-VN"/>
            </w:rPr>
          </w:pPr>
          <w:r>
            <w:rPr>
              <w:rFonts w:ascii="Arial" w:eastAsia="Times New Roman" w:hAnsi="Arial" w:cs="Arial"/>
              <w:bCs/>
              <w:w w:val="85"/>
              <w:sz w:val="18"/>
              <w:szCs w:val="24"/>
              <w:lang w:val="vi-VN"/>
            </w:rPr>
            <w:t>Conference on Smart School 2023</w:t>
          </w:r>
        </w:p>
      </w:tc>
    </w:tr>
  </w:tbl>
  <w:p w14:paraId="19EEBC1A" w14:textId="77C4FC43"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E57AC"/>
    <w:multiLevelType w:val="hybridMultilevel"/>
    <w:tmpl w:val="4B36C83A"/>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A276C8"/>
    <w:multiLevelType w:val="hybridMultilevel"/>
    <w:tmpl w:val="62C49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3169C2"/>
    <w:multiLevelType w:val="hybridMultilevel"/>
    <w:tmpl w:val="1A2EB94C"/>
    <w:lvl w:ilvl="0" w:tplc="2446F724">
      <w:start w:val="1"/>
      <w:numFmt w:val="bullet"/>
      <w:lvlText w:val="•"/>
      <w:lvlJc w:val="left"/>
      <w:pPr>
        <w:tabs>
          <w:tab w:val="num" w:pos="720"/>
        </w:tabs>
        <w:ind w:left="720" w:hanging="360"/>
      </w:pPr>
      <w:rPr>
        <w:rFonts w:ascii="Times New Roman" w:hAnsi="Times New Roman" w:hint="default"/>
      </w:rPr>
    </w:lvl>
    <w:lvl w:ilvl="1" w:tplc="E17E5C28" w:tentative="1">
      <w:start w:val="1"/>
      <w:numFmt w:val="bullet"/>
      <w:lvlText w:val="•"/>
      <w:lvlJc w:val="left"/>
      <w:pPr>
        <w:tabs>
          <w:tab w:val="num" w:pos="1440"/>
        </w:tabs>
        <w:ind w:left="1440" w:hanging="360"/>
      </w:pPr>
      <w:rPr>
        <w:rFonts w:ascii="Times New Roman" w:hAnsi="Times New Roman" w:hint="default"/>
      </w:rPr>
    </w:lvl>
    <w:lvl w:ilvl="2" w:tplc="D9EA6808" w:tentative="1">
      <w:start w:val="1"/>
      <w:numFmt w:val="bullet"/>
      <w:lvlText w:val="•"/>
      <w:lvlJc w:val="left"/>
      <w:pPr>
        <w:tabs>
          <w:tab w:val="num" w:pos="2160"/>
        </w:tabs>
        <w:ind w:left="2160" w:hanging="360"/>
      </w:pPr>
      <w:rPr>
        <w:rFonts w:ascii="Times New Roman" w:hAnsi="Times New Roman" w:hint="default"/>
      </w:rPr>
    </w:lvl>
    <w:lvl w:ilvl="3" w:tplc="50401BBA" w:tentative="1">
      <w:start w:val="1"/>
      <w:numFmt w:val="bullet"/>
      <w:lvlText w:val="•"/>
      <w:lvlJc w:val="left"/>
      <w:pPr>
        <w:tabs>
          <w:tab w:val="num" w:pos="2880"/>
        </w:tabs>
        <w:ind w:left="2880" w:hanging="360"/>
      </w:pPr>
      <w:rPr>
        <w:rFonts w:ascii="Times New Roman" w:hAnsi="Times New Roman" w:hint="default"/>
      </w:rPr>
    </w:lvl>
    <w:lvl w:ilvl="4" w:tplc="2DE4CCA8" w:tentative="1">
      <w:start w:val="1"/>
      <w:numFmt w:val="bullet"/>
      <w:lvlText w:val="•"/>
      <w:lvlJc w:val="left"/>
      <w:pPr>
        <w:tabs>
          <w:tab w:val="num" w:pos="3600"/>
        </w:tabs>
        <w:ind w:left="3600" w:hanging="360"/>
      </w:pPr>
      <w:rPr>
        <w:rFonts w:ascii="Times New Roman" w:hAnsi="Times New Roman" w:hint="default"/>
      </w:rPr>
    </w:lvl>
    <w:lvl w:ilvl="5" w:tplc="C534EE1A" w:tentative="1">
      <w:start w:val="1"/>
      <w:numFmt w:val="bullet"/>
      <w:lvlText w:val="•"/>
      <w:lvlJc w:val="left"/>
      <w:pPr>
        <w:tabs>
          <w:tab w:val="num" w:pos="4320"/>
        </w:tabs>
        <w:ind w:left="4320" w:hanging="360"/>
      </w:pPr>
      <w:rPr>
        <w:rFonts w:ascii="Times New Roman" w:hAnsi="Times New Roman" w:hint="default"/>
      </w:rPr>
    </w:lvl>
    <w:lvl w:ilvl="6" w:tplc="0B6ED846" w:tentative="1">
      <w:start w:val="1"/>
      <w:numFmt w:val="bullet"/>
      <w:lvlText w:val="•"/>
      <w:lvlJc w:val="left"/>
      <w:pPr>
        <w:tabs>
          <w:tab w:val="num" w:pos="5040"/>
        </w:tabs>
        <w:ind w:left="5040" w:hanging="360"/>
      </w:pPr>
      <w:rPr>
        <w:rFonts w:ascii="Times New Roman" w:hAnsi="Times New Roman" w:hint="default"/>
      </w:rPr>
    </w:lvl>
    <w:lvl w:ilvl="7" w:tplc="B0183A5A" w:tentative="1">
      <w:start w:val="1"/>
      <w:numFmt w:val="bullet"/>
      <w:lvlText w:val="•"/>
      <w:lvlJc w:val="left"/>
      <w:pPr>
        <w:tabs>
          <w:tab w:val="num" w:pos="5760"/>
        </w:tabs>
        <w:ind w:left="5760" w:hanging="360"/>
      </w:pPr>
      <w:rPr>
        <w:rFonts w:ascii="Times New Roman" w:hAnsi="Times New Roman" w:hint="default"/>
      </w:rPr>
    </w:lvl>
    <w:lvl w:ilvl="8" w:tplc="ECB6C08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8781054"/>
    <w:multiLevelType w:val="multilevel"/>
    <w:tmpl w:val="259E981A"/>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B710F30"/>
    <w:multiLevelType w:val="hybridMultilevel"/>
    <w:tmpl w:val="9940B298"/>
    <w:lvl w:ilvl="0" w:tplc="1D1E48BE">
      <w:start w:val="1"/>
      <w:numFmt w:val="bullet"/>
      <w:lvlText w:val="-"/>
      <w:lvlJc w:val="left"/>
      <w:pPr>
        <w:tabs>
          <w:tab w:val="num" w:pos="720"/>
        </w:tabs>
        <w:ind w:left="720" w:hanging="360"/>
      </w:pPr>
      <w:rPr>
        <w:rFonts w:ascii="Times New Roman" w:hAnsi="Times New Roman" w:hint="default"/>
      </w:rPr>
    </w:lvl>
    <w:lvl w:ilvl="1" w:tplc="158E4BF0" w:tentative="1">
      <w:start w:val="1"/>
      <w:numFmt w:val="bullet"/>
      <w:lvlText w:val="-"/>
      <w:lvlJc w:val="left"/>
      <w:pPr>
        <w:tabs>
          <w:tab w:val="num" w:pos="1440"/>
        </w:tabs>
        <w:ind w:left="1440" w:hanging="360"/>
      </w:pPr>
      <w:rPr>
        <w:rFonts w:ascii="Times New Roman" w:hAnsi="Times New Roman" w:hint="default"/>
      </w:rPr>
    </w:lvl>
    <w:lvl w:ilvl="2" w:tplc="B2947C78" w:tentative="1">
      <w:start w:val="1"/>
      <w:numFmt w:val="bullet"/>
      <w:lvlText w:val="-"/>
      <w:lvlJc w:val="left"/>
      <w:pPr>
        <w:tabs>
          <w:tab w:val="num" w:pos="2160"/>
        </w:tabs>
        <w:ind w:left="2160" w:hanging="360"/>
      </w:pPr>
      <w:rPr>
        <w:rFonts w:ascii="Times New Roman" w:hAnsi="Times New Roman" w:hint="default"/>
      </w:rPr>
    </w:lvl>
    <w:lvl w:ilvl="3" w:tplc="7E82DFF8" w:tentative="1">
      <w:start w:val="1"/>
      <w:numFmt w:val="bullet"/>
      <w:lvlText w:val="-"/>
      <w:lvlJc w:val="left"/>
      <w:pPr>
        <w:tabs>
          <w:tab w:val="num" w:pos="2880"/>
        </w:tabs>
        <w:ind w:left="2880" w:hanging="360"/>
      </w:pPr>
      <w:rPr>
        <w:rFonts w:ascii="Times New Roman" w:hAnsi="Times New Roman" w:hint="default"/>
      </w:rPr>
    </w:lvl>
    <w:lvl w:ilvl="4" w:tplc="E1E6E9B6" w:tentative="1">
      <w:start w:val="1"/>
      <w:numFmt w:val="bullet"/>
      <w:lvlText w:val="-"/>
      <w:lvlJc w:val="left"/>
      <w:pPr>
        <w:tabs>
          <w:tab w:val="num" w:pos="3600"/>
        </w:tabs>
        <w:ind w:left="3600" w:hanging="360"/>
      </w:pPr>
      <w:rPr>
        <w:rFonts w:ascii="Times New Roman" w:hAnsi="Times New Roman" w:hint="default"/>
      </w:rPr>
    </w:lvl>
    <w:lvl w:ilvl="5" w:tplc="991C7482" w:tentative="1">
      <w:start w:val="1"/>
      <w:numFmt w:val="bullet"/>
      <w:lvlText w:val="-"/>
      <w:lvlJc w:val="left"/>
      <w:pPr>
        <w:tabs>
          <w:tab w:val="num" w:pos="4320"/>
        </w:tabs>
        <w:ind w:left="4320" w:hanging="360"/>
      </w:pPr>
      <w:rPr>
        <w:rFonts w:ascii="Times New Roman" w:hAnsi="Times New Roman" w:hint="default"/>
      </w:rPr>
    </w:lvl>
    <w:lvl w:ilvl="6" w:tplc="1338ADF0" w:tentative="1">
      <w:start w:val="1"/>
      <w:numFmt w:val="bullet"/>
      <w:lvlText w:val="-"/>
      <w:lvlJc w:val="left"/>
      <w:pPr>
        <w:tabs>
          <w:tab w:val="num" w:pos="5040"/>
        </w:tabs>
        <w:ind w:left="5040" w:hanging="360"/>
      </w:pPr>
      <w:rPr>
        <w:rFonts w:ascii="Times New Roman" w:hAnsi="Times New Roman" w:hint="default"/>
      </w:rPr>
    </w:lvl>
    <w:lvl w:ilvl="7" w:tplc="71D8E69C" w:tentative="1">
      <w:start w:val="1"/>
      <w:numFmt w:val="bullet"/>
      <w:lvlText w:val="-"/>
      <w:lvlJc w:val="left"/>
      <w:pPr>
        <w:tabs>
          <w:tab w:val="num" w:pos="5760"/>
        </w:tabs>
        <w:ind w:left="5760" w:hanging="360"/>
      </w:pPr>
      <w:rPr>
        <w:rFonts w:ascii="Times New Roman" w:hAnsi="Times New Roman" w:hint="default"/>
      </w:rPr>
    </w:lvl>
    <w:lvl w:ilvl="8" w:tplc="7D8CE64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0DF77070"/>
    <w:multiLevelType w:val="hybridMultilevel"/>
    <w:tmpl w:val="96A26E66"/>
    <w:lvl w:ilvl="0" w:tplc="9FB69558">
      <w:start w:val="1"/>
      <w:numFmt w:val="bullet"/>
      <w:lvlText w:val="•"/>
      <w:lvlJc w:val="left"/>
      <w:pPr>
        <w:tabs>
          <w:tab w:val="num" w:pos="720"/>
        </w:tabs>
        <w:ind w:left="720" w:hanging="360"/>
      </w:pPr>
      <w:rPr>
        <w:rFonts w:ascii="Times New Roman" w:hAnsi="Times New Roman" w:hint="default"/>
      </w:rPr>
    </w:lvl>
    <w:lvl w:ilvl="1" w:tplc="EB188CF8" w:tentative="1">
      <w:start w:val="1"/>
      <w:numFmt w:val="bullet"/>
      <w:lvlText w:val="•"/>
      <w:lvlJc w:val="left"/>
      <w:pPr>
        <w:tabs>
          <w:tab w:val="num" w:pos="1440"/>
        </w:tabs>
        <w:ind w:left="1440" w:hanging="360"/>
      </w:pPr>
      <w:rPr>
        <w:rFonts w:ascii="Times New Roman" w:hAnsi="Times New Roman" w:hint="default"/>
      </w:rPr>
    </w:lvl>
    <w:lvl w:ilvl="2" w:tplc="A9D8596E" w:tentative="1">
      <w:start w:val="1"/>
      <w:numFmt w:val="bullet"/>
      <w:lvlText w:val="•"/>
      <w:lvlJc w:val="left"/>
      <w:pPr>
        <w:tabs>
          <w:tab w:val="num" w:pos="2160"/>
        </w:tabs>
        <w:ind w:left="2160" w:hanging="360"/>
      </w:pPr>
      <w:rPr>
        <w:rFonts w:ascii="Times New Roman" w:hAnsi="Times New Roman" w:hint="default"/>
      </w:rPr>
    </w:lvl>
    <w:lvl w:ilvl="3" w:tplc="3606F16C" w:tentative="1">
      <w:start w:val="1"/>
      <w:numFmt w:val="bullet"/>
      <w:lvlText w:val="•"/>
      <w:lvlJc w:val="left"/>
      <w:pPr>
        <w:tabs>
          <w:tab w:val="num" w:pos="2880"/>
        </w:tabs>
        <w:ind w:left="2880" w:hanging="360"/>
      </w:pPr>
      <w:rPr>
        <w:rFonts w:ascii="Times New Roman" w:hAnsi="Times New Roman" w:hint="default"/>
      </w:rPr>
    </w:lvl>
    <w:lvl w:ilvl="4" w:tplc="7208FC74" w:tentative="1">
      <w:start w:val="1"/>
      <w:numFmt w:val="bullet"/>
      <w:lvlText w:val="•"/>
      <w:lvlJc w:val="left"/>
      <w:pPr>
        <w:tabs>
          <w:tab w:val="num" w:pos="3600"/>
        </w:tabs>
        <w:ind w:left="3600" w:hanging="360"/>
      </w:pPr>
      <w:rPr>
        <w:rFonts w:ascii="Times New Roman" w:hAnsi="Times New Roman" w:hint="default"/>
      </w:rPr>
    </w:lvl>
    <w:lvl w:ilvl="5" w:tplc="86FE6664" w:tentative="1">
      <w:start w:val="1"/>
      <w:numFmt w:val="bullet"/>
      <w:lvlText w:val="•"/>
      <w:lvlJc w:val="left"/>
      <w:pPr>
        <w:tabs>
          <w:tab w:val="num" w:pos="4320"/>
        </w:tabs>
        <w:ind w:left="4320" w:hanging="360"/>
      </w:pPr>
      <w:rPr>
        <w:rFonts w:ascii="Times New Roman" w:hAnsi="Times New Roman" w:hint="default"/>
      </w:rPr>
    </w:lvl>
    <w:lvl w:ilvl="6" w:tplc="6DE6B326" w:tentative="1">
      <w:start w:val="1"/>
      <w:numFmt w:val="bullet"/>
      <w:lvlText w:val="•"/>
      <w:lvlJc w:val="left"/>
      <w:pPr>
        <w:tabs>
          <w:tab w:val="num" w:pos="5040"/>
        </w:tabs>
        <w:ind w:left="5040" w:hanging="360"/>
      </w:pPr>
      <w:rPr>
        <w:rFonts w:ascii="Times New Roman" w:hAnsi="Times New Roman" w:hint="default"/>
      </w:rPr>
    </w:lvl>
    <w:lvl w:ilvl="7" w:tplc="62525C98" w:tentative="1">
      <w:start w:val="1"/>
      <w:numFmt w:val="bullet"/>
      <w:lvlText w:val="•"/>
      <w:lvlJc w:val="left"/>
      <w:pPr>
        <w:tabs>
          <w:tab w:val="num" w:pos="5760"/>
        </w:tabs>
        <w:ind w:left="5760" w:hanging="360"/>
      </w:pPr>
      <w:rPr>
        <w:rFonts w:ascii="Times New Roman" w:hAnsi="Times New Roman" w:hint="default"/>
      </w:rPr>
    </w:lvl>
    <w:lvl w:ilvl="8" w:tplc="D188E22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43F73AA"/>
    <w:multiLevelType w:val="multilevel"/>
    <w:tmpl w:val="2FE0F07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52C65A1"/>
    <w:multiLevelType w:val="multilevel"/>
    <w:tmpl w:val="45E4B784"/>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9EA5F93"/>
    <w:multiLevelType w:val="hybridMultilevel"/>
    <w:tmpl w:val="0E22AAEC"/>
    <w:lvl w:ilvl="0" w:tplc="606EE6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0" w15:restartNumberingAfterBreak="0">
    <w:nsid w:val="20BD3AA1"/>
    <w:multiLevelType w:val="multilevel"/>
    <w:tmpl w:val="20BD3AA1"/>
    <w:lvl w:ilvl="0">
      <w:start w:val="2"/>
      <w:numFmt w:val="bullet"/>
      <w:lvlText w:val="-"/>
      <w:lvlJc w:val="left"/>
      <w:pPr>
        <w:ind w:left="990" w:hanging="360"/>
      </w:pPr>
      <w:rPr>
        <w:rFonts w:ascii="Times New Roman" w:eastAsiaTheme="minorHAnsi" w:hAnsi="Times New Roman" w:cs="Times New Roman" w:hint="default"/>
      </w:rPr>
    </w:lvl>
    <w:lvl w:ilvl="1">
      <w:start w:val="1"/>
      <w:numFmt w:val="bullet"/>
      <w:lvlText w:val="o"/>
      <w:lvlJc w:val="left"/>
      <w:pPr>
        <w:ind w:left="1710" w:hanging="360"/>
      </w:pPr>
      <w:rPr>
        <w:rFonts w:ascii="Courier New" w:hAnsi="Courier New" w:cs="Courier New" w:hint="default"/>
      </w:rPr>
    </w:lvl>
    <w:lvl w:ilvl="2">
      <w:start w:val="1"/>
      <w:numFmt w:val="bullet"/>
      <w:lvlText w:val=""/>
      <w:lvlJc w:val="left"/>
      <w:pPr>
        <w:ind w:left="2430" w:hanging="360"/>
      </w:pPr>
      <w:rPr>
        <w:rFonts w:ascii="Wingdings" w:hAnsi="Wingdings" w:hint="default"/>
      </w:rPr>
    </w:lvl>
    <w:lvl w:ilvl="3">
      <w:start w:val="1"/>
      <w:numFmt w:val="bullet"/>
      <w:lvlText w:val=""/>
      <w:lvlJc w:val="left"/>
      <w:pPr>
        <w:ind w:left="3150" w:hanging="360"/>
      </w:pPr>
      <w:rPr>
        <w:rFonts w:ascii="Symbol" w:hAnsi="Symbol" w:hint="default"/>
      </w:rPr>
    </w:lvl>
    <w:lvl w:ilvl="4">
      <w:start w:val="1"/>
      <w:numFmt w:val="bullet"/>
      <w:lvlText w:val="o"/>
      <w:lvlJc w:val="left"/>
      <w:pPr>
        <w:ind w:left="3870" w:hanging="360"/>
      </w:pPr>
      <w:rPr>
        <w:rFonts w:ascii="Courier New" w:hAnsi="Courier New" w:cs="Courier New" w:hint="default"/>
      </w:rPr>
    </w:lvl>
    <w:lvl w:ilvl="5">
      <w:start w:val="1"/>
      <w:numFmt w:val="bullet"/>
      <w:lvlText w:val=""/>
      <w:lvlJc w:val="left"/>
      <w:pPr>
        <w:ind w:left="4590" w:hanging="360"/>
      </w:pPr>
      <w:rPr>
        <w:rFonts w:ascii="Wingdings" w:hAnsi="Wingdings" w:hint="default"/>
      </w:rPr>
    </w:lvl>
    <w:lvl w:ilvl="6">
      <w:start w:val="1"/>
      <w:numFmt w:val="bullet"/>
      <w:lvlText w:val=""/>
      <w:lvlJc w:val="left"/>
      <w:pPr>
        <w:ind w:left="5310" w:hanging="360"/>
      </w:pPr>
      <w:rPr>
        <w:rFonts w:ascii="Symbol" w:hAnsi="Symbol" w:hint="default"/>
      </w:rPr>
    </w:lvl>
    <w:lvl w:ilvl="7">
      <w:start w:val="1"/>
      <w:numFmt w:val="bullet"/>
      <w:lvlText w:val="o"/>
      <w:lvlJc w:val="left"/>
      <w:pPr>
        <w:ind w:left="6030" w:hanging="360"/>
      </w:pPr>
      <w:rPr>
        <w:rFonts w:ascii="Courier New" w:hAnsi="Courier New" w:cs="Courier New" w:hint="default"/>
      </w:rPr>
    </w:lvl>
    <w:lvl w:ilvl="8">
      <w:start w:val="1"/>
      <w:numFmt w:val="bullet"/>
      <w:lvlText w:val=""/>
      <w:lvlJc w:val="left"/>
      <w:pPr>
        <w:ind w:left="6750" w:hanging="360"/>
      </w:pPr>
      <w:rPr>
        <w:rFonts w:ascii="Wingdings" w:hAnsi="Wingdings" w:hint="default"/>
      </w:rPr>
    </w:lvl>
  </w:abstractNum>
  <w:abstractNum w:abstractNumId="11" w15:restartNumberingAfterBreak="0">
    <w:nsid w:val="21097DE8"/>
    <w:multiLevelType w:val="multilevel"/>
    <w:tmpl w:val="E18E7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A44D4E"/>
    <w:multiLevelType w:val="hybridMultilevel"/>
    <w:tmpl w:val="C72C84C0"/>
    <w:lvl w:ilvl="0" w:tplc="52E81FE8">
      <w:start w:val="1"/>
      <w:numFmt w:val="bullet"/>
      <w:lvlText w:val="•"/>
      <w:lvlJc w:val="left"/>
      <w:pPr>
        <w:tabs>
          <w:tab w:val="num" w:pos="720"/>
        </w:tabs>
        <w:ind w:left="720" w:hanging="360"/>
      </w:pPr>
      <w:rPr>
        <w:rFonts w:ascii="Times New Roman" w:hAnsi="Times New Roman" w:hint="default"/>
      </w:rPr>
    </w:lvl>
    <w:lvl w:ilvl="1" w:tplc="8CBA54D8" w:tentative="1">
      <w:start w:val="1"/>
      <w:numFmt w:val="bullet"/>
      <w:lvlText w:val="•"/>
      <w:lvlJc w:val="left"/>
      <w:pPr>
        <w:tabs>
          <w:tab w:val="num" w:pos="1440"/>
        </w:tabs>
        <w:ind w:left="1440" w:hanging="360"/>
      </w:pPr>
      <w:rPr>
        <w:rFonts w:ascii="Times New Roman" w:hAnsi="Times New Roman" w:hint="default"/>
      </w:rPr>
    </w:lvl>
    <w:lvl w:ilvl="2" w:tplc="7C2E6710" w:tentative="1">
      <w:start w:val="1"/>
      <w:numFmt w:val="bullet"/>
      <w:lvlText w:val="•"/>
      <w:lvlJc w:val="left"/>
      <w:pPr>
        <w:tabs>
          <w:tab w:val="num" w:pos="2160"/>
        </w:tabs>
        <w:ind w:left="2160" w:hanging="360"/>
      </w:pPr>
      <w:rPr>
        <w:rFonts w:ascii="Times New Roman" w:hAnsi="Times New Roman" w:hint="default"/>
      </w:rPr>
    </w:lvl>
    <w:lvl w:ilvl="3" w:tplc="351CF512" w:tentative="1">
      <w:start w:val="1"/>
      <w:numFmt w:val="bullet"/>
      <w:lvlText w:val="•"/>
      <w:lvlJc w:val="left"/>
      <w:pPr>
        <w:tabs>
          <w:tab w:val="num" w:pos="2880"/>
        </w:tabs>
        <w:ind w:left="2880" w:hanging="360"/>
      </w:pPr>
      <w:rPr>
        <w:rFonts w:ascii="Times New Roman" w:hAnsi="Times New Roman" w:hint="default"/>
      </w:rPr>
    </w:lvl>
    <w:lvl w:ilvl="4" w:tplc="6DC6B72A" w:tentative="1">
      <w:start w:val="1"/>
      <w:numFmt w:val="bullet"/>
      <w:lvlText w:val="•"/>
      <w:lvlJc w:val="left"/>
      <w:pPr>
        <w:tabs>
          <w:tab w:val="num" w:pos="3600"/>
        </w:tabs>
        <w:ind w:left="3600" w:hanging="360"/>
      </w:pPr>
      <w:rPr>
        <w:rFonts w:ascii="Times New Roman" w:hAnsi="Times New Roman" w:hint="default"/>
      </w:rPr>
    </w:lvl>
    <w:lvl w:ilvl="5" w:tplc="3F96C2BC" w:tentative="1">
      <w:start w:val="1"/>
      <w:numFmt w:val="bullet"/>
      <w:lvlText w:val="•"/>
      <w:lvlJc w:val="left"/>
      <w:pPr>
        <w:tabs>
          <w:tab w:val="num" w:pos="4320"/>
        </w:tabs>
        <w:ind w:left="4320" w:hanging="360"/>
      </w:pPr>
      <w:rPr>
        <w:rFonts w:ascii="Times New Roman" w:hAnsi="Times New Roman" w:hint="default"/>
      </w:rPr>
    </w:lvl>
    <w:lvl w:ilvl="6" w:tplc="4E86D1DC" w:tentative="1">
      <w:start w:val="1"/>
      <w:numFmt w:val="bullet"/>
      <w:lvlText w:val="•"/>
      <w:lvlJc w:val="left"/>
      <w:pPr>
        <w:tabs>
          <w:tab w:val="num" w:pos="5040"/>
        </w:tabs>
        <w:ind w:left="5040" w:hanging="360"/>
      </w:pPr>
      <w:rPr>
        <w:rFonts w:ascii="Times New Roman" w:hAnsi="Times New Roman" w:hint="default"/>
      </w:rPr>
    </w:lvl>
    <w:lvl w:ilvl="7" w:tplc="6B2035C0" w:tentative="1">
      <w:start w:val="1"/>
      <w:numFmt w:val="bullet"/>
      <w:lvlText w:val="•"/>
      <w:lvlJc w:val="left"/>
      <w:pPr>
        <w:tabs>
          <w:tab w:val="num" w:pos="5760"/>
        </w:tabs>
        <w:ind w:left="5760" w:hanging="360"/>
      </w:pPr>
      <w:rPr>
        <w:rFonts w:ascii="Times New Roman" w:hAnsi="Times New Roman" w:hint="default"/>
      </w:rPr>
    </w:lvl>
    <w:lvl w:ilvl="8" w:tplc="722EDD80"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281D2B97"/>
    <w:multiLevelType w:val="hybridMultilevel"/>
    <w:tmpl w:val="F106F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B95DEF"/>
    <w:multiLevelType w:val="multilevel"/>
    <w:tmpl w:val="B48AB910"/>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32A0FF5"/>
    <w:multiLevelType w:val="multilevel"/>
    <w:tmpl w:val="10004DE6"/>
    <w:lvl w:ilvl="0">
      <w:start w:val="2"/>
      <w:numFmt w:val="decimal"/>
      <w:lvlText w:val="%1."/>
      <w:lvlJc w:val="left"/>
      <w:pPr>
        <w:ind w:left="600" w:hanging="60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4BA7DC8"/>
    <w:multiLevelType w:val="multilevel"/>
    <w:tmpl w:val="8046985E"/>
    <w:lvl w:ilvl="0">
      <w:start w:val="2"/>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7D3507A"/>
    <w:multiLevelType w:val="hybridMultilevel"/>
    <w:tmpl w:val="24E618F2"/>
    <w:lvl w:ilvl="0" w:tplc="7F264ABC">
      <w:start w:val="1"/>
      <w:numFmt w:val="bullet"/>
      <w:lvlText w:val="•"/>
      <w:lvlJc w:val="left"/>
      <w:pPr>
        <w:tabs>
          <w:tab w:val="num" w:pos="720"/>
        </w:tabs>
        <w:ind w:left="720" w:hanging="360"/>
      </w:pPr>
      <w:rPr>
        <w:rFonts w:ascii="Times New Roman" w:hAnsi="Times New Roman" w:hint="default"/>
      </w:rPr>
    </w:lvl>
    <w:lvl w:ilvl="1" w:tplc="6E9CB58C" w:tentative="1">
      <w:start w:val="1"/>
      <w:numFmt w:val="bullet"/>
      <w:lvlText w:val="•"/>
      <w:lvlJc w:val="left"/>
      <w:pPr>
        <w:tabs>
          <w:tab w:val="num" w:pos="1440"/>
        </w:tabs>
        <w:ind w:left="1440" w:hanging="360"/>
      </w:pPr>
      <w:rPr>
        <w:rFonts w:ascii="Times New Roman" w:hAnsi="Times New Roman" w:hint="default"/>
      </w:rPr>
    </w:lvl>
    <w:lvl w:ilvl="2" w:tplc="400C867A" w:tentative="1">
      <w:start w:val="1"/>
      <w:numFmt w:val="bullet"/>
      <w:lvlText w:val="•"/>
      <w:lvlJc w:val="left"/>
      <w:pPr>
        <w:tabs>
          <w:tab w:val="num" w:pos="2160"/>
        </w:tabs>
        <w:ind w:left="2160" w:hanging="360"/>
      </w:pPr>
      <w:rPr>
        <w:rFonts w:ascii="Times New Roman" w:hAnsi="Times New Roman" w:hint="default"/>
      </w:rPr>
    </w:lvl>
    <w:lvl w:ilvl="3" w:tplc="96A26AD4" w:tentative="1">
      <w:start w:val="1"/>
      <w:numFmt w:val="bullet"/>
      <w:lvlText w:val="•"/>
      <w:lvlJc w:val="left"/>
      <w:pPr>
        <w:tabs>
          <w:tab w:val="num" w:pos="2880"/>
        </w:tabs>
        <w:ind w:left="2880" w:hanging="360"/>
      </w:pPr>
      <w:rPr>
        <w:rFonts w:ascii="Times New Roman" w:hAnsi="Times New Roman" w:hint="default"/>
      </w:rPr>
    </w:lvl>
    <w:lvl w:ilvl="4" w:tplc="A872976C" w:tentative="1">
      <w:start w:val="1"/>
      <w:numFmt w:val="bullet"/>
      <w:lvlText w:val="•"/>
      <w:lvlJc w:val="left"/>
      <w:pPr>
        <w:tabs>
          <w:tab w:val="num" w:pos="3600"/>
        </w:tabs>
        <w:ind w:left="3600" w:hanging="360"/>
      </w:pPr>
      <w:rPr>
        <w:rFonts w:ascii="Times New Roman" w:hAnsi="Times New Roman" w:hint="default"/>
      </w:rPr>
    </w:lvl>
    <w:lvl w:ilvl="5" w:tplc="80CA4CEC" w:tentative="1">
      <w:start w:val="1"/>
      <w:numFmt w:val="bullet"/>
      <w:lvlText w:val="•"/>
      <w:lvlJc w:val="left"/>
      <w:pPr>
        <w:tabs>
          <w:tab w:val="num" w:pos="4320"/>
        </w:tabs>
        <w:ind w:left="4320" w:hanging="360"/>
      </w:pPr>
      <w:rPr>
        <w:rFonts w:ascii="Times New Roman" w:hAnsi="Times New Roman" w:hint="default"/>
      </w:rPr>
    </w:lvl>
    <w:lvl w:ilvl="6" w:tplc="8B78EC3E" w:tentative="1">
      <w:start w:val="1"/>
      <w:numFmt w:val="bullet"/>
      <w:lvlText w:val="•"/>
      <w:lvlJc w:val="left"/>
      <w:pPr>
        <w:tabs>
          <w:tab w:val="num" w:pos="5040"/>
        </w:tabs>
        <w:ind w:left="5040" w:hanging="360"/>
      </w:pPr>
      <w:rPr>
        <w:rFonts w:ascii="Times New Roman" w:hAnsi="Times New Roman" w:hint="default"/>
      </w:rPr>
    </w:lvl>
    <w:lvl w:ilvl="7" w:tplc="BEFAF784" w:tentative="1">
      <w:start w:val="1"/>
      <w:numFmt w:val="bullet"/>
      <w:lvlText w:val="•"/>
      <w:lvlJc w:val="left"/>
      <w:pPr>
        <w:tabs>
          <w:tab w:val="num" w:pos="5760"/>
        </w:tabs>
        <w:ind w:left="5760" w:hanging="360"/>
      </w:pPr>
      <w:rPr>
        <w:rFonts w:ascii="Times New Roman" w:hAnsi="Times New Roman" w:hint="default"/>
      </w:rPr>
    </w:lvl>
    <w:lvl w:ilvl="8" w:tplc="161A5572"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A563007"/>
    <w:multiLevelType w:val="hybridMultilevel"/>
    <w:tmpl w:val="74ECE2A6"/>
    <w:lvl w:ilvl="0" w:tplc="A6963820">
      <w:start w:val="1"/>
      <w:numFmt w:val="bullet"/>
      <w:lvlText w:val="•"/>
      <w:lvlJc w:val="left"/>
      <w:pPr>
        <w:tabs>
          <w:tab w:val="num" w:pos="720"/>
        </w:tabs>
        <w:ind w:left="720" w:hanging="360"/>
      </w:pPr>
      <w:rPr>
        <w:rFonts w:ascii="Times New Roman" w:hAnsi="Times New Roman" w:hint="default"/>
      </w:rPr>
    </w:lvl>
    <w:lvl w:ilvl="1" w:tplc="AB3A7D12" w:tentative="1">
      <w:start w:val="1"/>
      <w:numFmt w:val="bullet"/>
      <w:lvlText w:val="•"/>
      <w:lvlJc w:val="left"/>
      <w:pPr>
        <w:tabs>
          <w:tab w:val="num" w:pos="1440"/>
        </w:tabs>
        <w:ind w:left="1440" w:hanging="360"/>
      </w:pPr>
      <w:rPr>
        <w:rFonts w:ascii="Times New Roman" w:hAnsi="Times New Roman" w:hint="default"/>
      </w:rPr>
    </w:lvl>
    <w:lvl w:ilvl="2" w:tplc="9CD293D6" w:tentative="1">
      <w:start w:val="1"/>
      <w:numFmt w:val="bullet"/>
      <w:lvlText w:val="•"/>
      <w:lvlJc w:val="left"/>
      <w:pPr>
        <w:tabs>
          <w:tab w:val="num" w:pos="2160"/>
        </w:tabs>
        <w:ind w:left="2160" w:hanging="360"/>
      </w:pPr>
      <w:rPr>
        <w:rFonts w:ascii="Times New Roman" w:hAnsi="Times New Roman" w:hint="default"/>
      </w:rPr>
    </w:lvl>
    <w:lvl w:ilvl="3" w:tplc="1D84A42C" w:tentative="1">
      <w:start w:val="1"/>
      <w:numFmt w:val="bullet"/>
      <w:lvlText w:val="•"/>
      <w:lvlJc w:val="left"/>
      <w:pPr>
        <w:tabs>
          <w:tab w:val="num" w:pos="2880"/>
        </w:tabs>
        <w:ind w:left="2880" w:hanging="360"/>
      </w:pPr>
      <w:rPr>
        <w:rFonts w:ascii="Times New Roman" w:hAnsi="Times New Roman" w:hint="default"/>
      </w:rPr>
    </w:lvl>
    <w:lvl w:ilvl="4" w:tplc="DF5EAFE8" w:tentative="1">
      <w:start w:val="1"/>
      <w:numFmt w:val="bullet"/>
      <w:lvlText w:val="•"/>
      <w:lvlJc w:val="left"/>
      <w:pPr>
        <w:tabs>
          <w:tab w:val="num" w:pos="3600"/>
        </w:tabs>
        <w:ind w:left="3600" w:hanging="360"/>
      </w:pPr>
      <w:rPr>
        <w:rFonts w:ascii="Times New Roman" w:hAnsi="Times New Roman" w:hint="default"/>
      </w:rPr>
    </w:lvl>
    <w:lvl w:ilvl="5" w:tplc="ED78B8F8" w:tentative="1">
      <w:start w:val="1"/>
      <w:numFmt w:val="bullet"/>
      <w:lvlText w:val="•"/>
      <w:lvlJc w:val="left"/>
      <w:pPr>
        <w:tabs>
          <w:tab w:val="num" w:pos="4320"/>
        </w:tabs>
        <w:ind w:left="4320" w:hanging="360"/>
      </w:pPr>
      <w:rPr>
        <w:rFonts w:ascii="Times New Roman" w:hAnsi="Times New Roman" w:hint="default"/>
      </w:rPr>
    </w:lvl>
    <w:lvl w:ilvl="6" w:tplc="B4247444" w:tentative="1">
      <w:start w:val="1"/>
      <w:numFmt w:val="bullet"/>
      <w:lvlText w:val="•"/>
      <w:lvlJc w:val="left"/>
      <w:pPr>
        <w:tabs>
          <w:tab w:val="num" w:pos="5040"/>
        </w:tabs>
        <w:ind w:left="5040" w:hanging="360"/>
      </w:pPr>
      <w:rPr>
        <w:rFonts w:ascii="Times New Roman" w:hAnsi="Times New Roman" w:hint="default"/>
      </w:rPr>
    </w:lvl>
    <w:lvl w:ilvl="7" w:tplc="DC5E7E26" w:tentative="1">
      <w:start w:val="1"/>
      <w:numFmt w:val="bullet"/>
      <w:lvlText w:val="•"/>
      <w:lvlJc w:val="left"/>
      <w:pPr>
        <w:tabs>
          <w:tab w:val="num" w:pos="5760"/>
        </w:tabs>
        <w:ind w:left="5760" w:hanging="360"/>
      </w:pPr>
      <w:rPr>
        <w:rFonts w:ascii="Times New Roman" w:hAnsi="Times New Roman" w:hint="default"/>
      </w:rPr>
    </w:lvl>
    <w:lvl w:ilvl="8" w:tplc="19403632"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3FA61318"/>
    <w:multiLevelType w:val="hybridMultilevel"/>
    <w:tmpl w:val="5D7841CC"/>
    <w:lvl w:ilvl="0" w:tplc="87D46050">
      <w:start w:val="1"/>
      <w:numFmt w:val="bullet"/>
      <w:lvlText w:val="•"/>
      <w:lvlJc w:val="left"/>
      <w:pPr>
        <w:tabs>
          <w:tab w:val="num" w:pos="720"/>
        </w:tabs>
        <w:ind w:left="720" w:hanging="360"/>
      </w:pPr>
      <w:rPr>
        <w:rFonts w:ascii="Times New Roman" w:hAnsi="Times New Roman" w:hint="default"/>
      </w:rPr>
    </w:lvl>
    <w:lvl w:ilvl="1" w:tplc="3594D2B8" w:tentative="1">
      <w:start w:val="1"/>
      <w:numFmt w:val="bullet"/>
      <w:lvlText w:val="•"/>
      <w:lvlJc w:val="left"/>
      <w:pPr>
        <w:tabs>
          <w:tab w:val="num" w:pos="1440"/>
        </w:tabs>
        <w:ind w:left="1440" w:hanging="360"/>
      </w:pPr>
      <w:rPr>
        <w:rFonts w:ascii="Times New Roman" w:hAnsi="Times New Roman" w:hint="default"/>
      </w:rPr>
    </w:lvl>
    <w:lvl w:ilvl="2" w:tplc="652E1A2C" w:tentative="1">
      <w:start w:val="1"/>
      <w:numFmt w:val="bullet"/>
      <w:lvlText w:val="•"/>
      <w:lvlJc w:val="left"/>
      <w:pPr>
        <w:tabs>
          <w:tab w:val="num" w:pos="2160"/>
        </w:tabs>
        <w:ind w:left="2160" w:hanging="360"/>
      </w:pPr>
      <w:rPr>
        <w:rFonts w:ascii="Times New Roman" w:hAnsi="Times New Roman" w:hint="default"/>
      </w:rPr>
    </w:lvl>
    <w:lvl w:ilvl="3" w:tplc="550E929E" w:tentative="1">
      <w:start w:val="1"/>
      <w:numFmt w:val="bullet"/>
      <w:lvlText w:val="•"/>
      <w:lvlJc w:val="left"/>
      <w:pPr>
        <w:tabs>
          <w:tab w:val="num" w:pos="2880"/>
        </w:tabs>
        <w:ind w:left="2880" w:hanging="360"/>
      </w:pPr>
      <w:rPr>
        <w:rFonts w:ascii="Times New Roman" w:hAnsi="Times New Roman" w:hint="default"/>
      </w:rPr>
    </w:lvl>
    <w:lvl w:ilvl="4" w:tplc="2CF40F1C" w:tentative="1">
      <w:start w:val="1"/>
      <w:numFmt w:val="bullet"/>
      <w:lvlText w:val="•"/>
      <w:lvlJc w:val="left"/>
      <w:pPr>
        <w:tabs>
          <w:tab w:val="num" w:pos="3600"/>
        </w:tabs>
        <w:ind w:left="3600" w:hanging="360"/>
      </w:pPr>
      <w:rPr>
        <w:rFonts w:ascii="Times New Roman" w:hAnsi="Times New Roman" w:hint="default"/>
      </w:rPr>
    </w:lvl>
    <w:lvl w:ilvl="5" w:tplc="E3C80138" w:tentative="1">
      <w:start w:val="1"/>
      <w:numFmt w:val="bullet"/>
      <w:lvlText w:val="•"/>
      <w:lvlJc w:val="left"/>
      <w:pPr>
        <w:tabs>
          <w:tab w:val="num" w:pos="4320"/>
        </w:tabs>
        <w:ind w:left="4320" w:hanging="360"/>
      </w:pPr>
      <w:rPr>
        <w:rFonts w:ascii="Times New Roman" w:hAnsi="Times New Roman" w:hint="default"/>
      </w:rPr>
    </w:lvl>
    <w:lvl w:ilvl="6" w:tplc="19B23098" w:tentative="1">
      <w:start w:val="1"/>
      <w:numFmt w:val="bullet"/>
      <w:lvlText w:val="•"/>
      <w:lvlJc w:val="left"/>
      <w:pPr>
        <w:tabs>
          <w:tab w:val="num" w:pos="5040"/>
        </w:tabs>
        <w:ind w:left="5040" w:hanging="360"/>
      </w:pPr>
      <w:rPr>
        <w:rFonts w:ascii="Times New Roman" w:hAnsi="Times New Roman" w:hint="default"/>
      </w:rPr>
    </w:lvl>
    <w:lvl w:ilvl="7" w:tplc="991EB5FA" w:tentative="1">
      <w:start w:val="1"/>
      <w:numFmt w:val="bullet"/>
      <w:lvlText w:val="•"/>
      <w:lvlJc w:val="left"/>
      <w:pPr>
        <w:tabs>
          <w:tab w:val="num" w:pos="5760"/>
        </w:tabs>
        <w:ind w:left="5760" w:hanging="360"/>
      </w:pPr>
      <w:rPr>
        <w:rFonts w:ascii="Times New Roman" w:hAnsi="Times New Roman" w:hint="default"/>
      </w:rPr>
    </w:lvl>
    <w:lvl w:ilvl="8" w:tplc="D2EA1AF8"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436D702A"/>
    <w:multiLevelType w:val="hybridMultilevel"/>
    <w:tmpl w:val="93FA5824"/>
    <w:lvl w:ilvl="0" w:tplc="D906365E">
      <w:start w:val="1"/>
      <w:numFmt w:val="bullet"/>
      <w:lvlText w:val="-"/>
      <w:lvlJc w:val="left"/>
      <w:pPr>
        <w:tabs>
          <w:tab w:val="num" w:pos="720"/>
        </w:tabs>
        <w:ind w:left="720" w:hanging="360"/>
      </w:pPr>
      <w:rPr>
        <w:rFonts w:ascii="Times New Roman" w:hAnsi="Times New Roman" w:hint="default"/>
      </w:rPr>
    </w:lvl>
    <w:lvl w:ilvl="1" w:tplc="135636FC" w:tentative="1">
      <w:start w:val="1"/>
      <w:numFmt w:val="bullet"/>
      <w:lvlText w:val="-"/>
      <w:lvlJc w:val="left"/>
      <w:pPr>
        <w:tabs>
          <w:tab w:val="num" w:pos="1440"/>
        </w:tabs>
        <w:ind w:left="1440" w:hanging="360"/>
      </w:pPr>
      <w:rPr>
        <w:rFonts w:ascii="Times New Roman" w:hAnsi="Times New Roman" w:hint="default"/>
      </w:rPr>
    </w:lvl>
    <w:lvl w:ilvl="2" w:tplc="DAB62A56" w:tentative="1">
      <w:start w:val="1"/>
      <w:numFmt w:val="bullet"/>
      <w:lvlText w:val="-"/>
      <w:lvlJc w:val="left"/>
      <w:pPr>
        <w:tabs>
          <w:tab w:val="num" w:pos="2160"/>
        </w:tabs>
        <w:ind w:left="2160" w:hanging="360"/>
      </w:pPr>
      <w:rPr>
        <w:rFonts w:ascii="Times New Roman" w:hAnsi="Times New Roman" w:hint="default"/>
      </w:rPr>
    </w:lvl>
    <w:lvl w:ilvl="3" w:tplc="B1CA477E" w:tentative="1">
      <w:start w:val="1"/>
      <w:numFmt w:val="bullet"/>
      <w:lvlText w:val="-"/>
      <w:lvlJc w:val="left"/>
      <w:pPr>
        <w:tabs>
          <w:tab w:val="num" w:pos="2880"/>
        </w:tabs>
        <w:ind w:left="2880" w:hanging="360"/>
      </w:pPr>
      <w:rPr>
        <w:rFonts w:ascii="Times New Roman" w:hAnsi="Times New Roman" w:hint="default"/>
      </w:rPr>
    </w:lvl>
    <w:lvl w:ilvl="4" w:tplc="12408A76" w:tentative="1">
      <w:start w:val="1"/>
      <w:numFmt w:val="bullet"/>
      <w:lvlText w:val="-"/>
      <w:lvlJc w:val="left"/>
      <w:pPr>
        <w:tabs>
          <w:tab w:val="num" w:pos="3600"/>
        </w:tabs>
        <w:ind w:left="3600" w:hanging="360"/>
      </w:pPr>
      <w:rPr>
        <w:rFonts w:ascii="Times New Roman" w:hAnsi="Times New Roman" w:hint="default"/>
      </w:rPr>
    </w:lvl>
    <w:lvl w:ilvl="5" w:tplc="429CEBA8" w:tentative="1">
      <w:start w:val="1"/>
      <w:numFmt w:val="bullet"/>
      <w:lvlText w:val="-"/>
      <w:lvlJc w:val="left"/>
      <w:pPr>
        <w:tabs>
          <w:tab w:val="num" w:pos="4320"/>
        </w:tabs>
        <w:ind w:left="4320" w:hanging="360"/>
      </w:pPr>
      <w:rPr>
        <w:rFonts w:ascii="Times New Roman" w:hAnsi="Times New Roman" w:hint="default"/>
      </w:rPr>
    </w:lvl>
    <w:lvl w:ilvl="6" w:tplc="4DC29574" w:tentative="1">
      <w:start w:val="1"/>
      <w:numFmt w:val="bullet"/>
      <w:lvlText w:val="-"/>
      <w:lvlJc w:val="left"/>
      <w:pPr>
        <w:tabs>
          <w:tab w:val="num" w:pos="5040"/>
        </w:tabs>
        <w:ind w:left="5040" w:hanging="360"/>
      </w:pPr>
      <w:rPr>
        <w:rFonts w:ascii="Times New Roman" w:hAnsi="Times New Roman" w:hint="default"/>
      </w:rPr>
    </w:lvl>
    <w:lvl w:ilvl="7" w:tplc="050AA346" w:tentative="1">
      <w:start w:val="1"/>
      <w:numFmt w:val="bullet"/>
      <w:lvlText w:val="-"/>
      <w:lvlJc w:val="left"/>
      <w:pPr>
        <w:tabs>
          <w:tab w:val="num" w:pos="5760"/>
        </w:tabs>
        <w:ind w:left="5760" w:hanging="360"/>
      </w:pPr>
      <w:rPr>
        <w:rFonts w:ascii="Times New Roman" w:hAnsi="Times New Roman" w:hint="default"/>
      </w:rPr>
    </w:lvl>
    <w:lvl w:ilvl="8" w:tplc="233E732C"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4B9E3C8F"/>
    <w:multiLevelType w:val="multilevel"/>
    <w:tmpl w:val="10004DE6"/>
    <w:lvl w:ilvl="0">
      <w:start w:val="2"/>
      <w:numFmt w:val="decimal"/>
      <w:lvlText w:val="%1."/>
      <w:lvlJc w:val="left"/>
      <w:pPr>
        <w:ind w:left="600" w:hanging="60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F024E48"/>
    <w:multiLevelType w:val="hybridMultilevel"/>
    <w:tmpl w:val="EDAC969A"/>
    <w:lvl w:ilvl="0" w:tplc="16120EA2">
      <w:start w:val="1"/>
      <w:numFmt w:val="bullet"/>
      <w:lvlText w:val="•"/>
      <w:lvlJc w:val="left"/>
      <w:pPr>
        <w:tabs>
          <w:tab w:val="num" w:pos="720"/>
        </w:tabs>
        <w:ind w:left="720" w:hanging="360"/>
      </w:pPr>
      <w:rPr>
        <w:rFonts w:ascii="Times New Roman" w:hAnsi="Times New Roman" w:hint="default"/>
      </w:rPr>
    </w:lvl>
    <w:lvl w:ilvl="1" w:tplc="B5505B56" w:tentative="1">
      <w:start w:val="1"/>
      <w:numFmt w:val="bullet"/>
      <w:lvlText w:val="•"/>
      <w:lvlJc w:val="left"/>
      <w:pPr>
        <w:tabs>
          <w:tab w:val="num" w:pos="1440"/>
        </w:tabs>
        <w:ind w:left="1440" w:hanging="360"/>
      </w:pPr>
      <w:rPr>
        <w:rFonts w:ascii="Times New Roman" w:hAnsi="Times New Roman" w:hint="default"/>
      </w:rPr>
    </w:lvl>
    <w:lvl w:ilvl="2" w:tplc="444EEFF2" w:tentative="1">
      <w:start w:val="1"/>
      <w:numFmt w:val="bullet"/>
      <w:lvlText w:val="•"/>
      <w:lvlJc w:val="left"/>
      <w:pPr>
        <w:tabs>
          <w:tab w:val="num" w:pos="2160"/>
        </w:tabs>
        <w:ind w:left="2160" w:hanging="360"/>
      </w:pPr>
      <w:rPr>
        <w:rFonts w:ascii="Times New Roman" w:hAnsi="Times New Roman" w:hint="default"/>
      </w:rPr>
    </w:lvl>
    <w:lvl w:ilvl="3" w:tplc="A18E4C90" w:tentative="1">
      <w:start w:val="1"/>
      <w:numFmt w:val="bullet"/>
      <w:lvlText w:val="•"/>
      <w:lvlJc w:val="left"/>
      <w:pPr>
        <w:tabs>
          <w:tab w:val="num" w:pos="2880"/>
        </w:tabs>
        <w:ind w:left="2880" w:hanging="360"/>
      </w:pPr>
      <w:rPr>
        <w:rFonts w:ascii="Times New Roman" w:hAnsi="Times New Roman" w:hint="default"/>
      </w:rPr>
    </w:lvl>
    <w:lvl w:ilvl="4" w:tplc="C84C8CE4" w:tentative="1">
      <w:start w:val="1"/>
      <w:numFmt w:val="bullet"/>
      <w:lvlText w:val="•"/>
      <w:lvlJc w:val="left"/>
      <w:pPr>
        <w:tabs>
          <w:tab w:val="num" w:pos="3600"/>
        </w:tabs>
        <w:ind w:left="3600" w:hanging="360"/>
      </w:pPr>
      <w:rPr>
        <w:rFonts w:ascii="Times New Roman" w:hAnsi="Times New Roman" w:hint="default"/>
      </w:rPr>
    </w:lvl>
    <w:lvl w:ilvl="5" w:tplc="67385E52" w:tentative="1">
      <w:start w:val="1"/>
      <w:numFmt w:val="bullet"/>
      <w:lvlText w:val="•"/>
      <w:lvlJc w:val="left"/>
      <w:pPr>
        <w:tabs>
          <w:tab w:val="num" w:pos="4320"/>
        </w:tabs>
        <w:ind w:left="4320" w:hanging="360"/>
      </w:pPr>
      <w:rPr>
        <w:rFonts w:ascii="Times New Roman" w:hAnsi="Times New Roman" w:hint="default"/>
      </w:rPr>
    </w:lvl>
    <w:lvl w:ilvl="6" w:tplc="001A27E2" w:tentative="1">
      <w:start w:val="1"/>
      <w:numFmt w:val="bullet"/>
      <w:lvlText w:val="•"/>
      <w:lvlJc w:val="left"/>
      <w:pPr>
        <w:tabs>
          <w:tab w:val="num" w:pos="5040"/>
        </w:tabs>
        <w:ind w:left="5040" w:hanging="360"/>
      </w:pPr>
      <w:rPr>
        <w:rFonts w:ascii="Times New Roman" w:hAnsi="Times New Roman" w:hint="default"/>
      </w:rPr>
    </w:lvl>
    <w:lvl w:ilvl="7" w:tplc="5D4EEFCC" w:tentative="1">
      <w:start w:val="1"/>
      <w:numFmt w:val="bullet"/>
      <w:lvlText w:val="•"/>
      <w:lvlJc w:val="left"/>
      <w:pPr>
        <w:tabs>
          <w:tab w:val="num" w:pos="5760"/>
        </w:tabs>
        <w:ind w:left="5760" w:hanging="360"/>
      </w:pPr>
      <w:rPr>
        <w:rFonts w:ascii="Times New Roman" w:hAnsi="Times New Roman" w:hint="default"/>
      </w:rPr>
    </w:lvl>
    <w:lvl w:ilvl="8" w:tplc="27DC8C46"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50092F19"/>
    <w:multiLevelType w:val="multilevel"/>
    <w:tmpl w:val="AEEAC49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533B3473"/>
    <w:multiLevelType w:val="hybridMultilevel"/>
    <w:tmpl w:val="AA74BA78"/>
    <w:lvl w:ilvl="0" w:tplc="43F20BF8">
      <w:start w:val="1"/>
      <w:numFmt w:val="bullet"/>
      <w:lvlText w:val="•"/>
      <w:lvlJc w:val="left"/>
      <w:pPr>
        <w:tabs>
          <w:tab w:val="num" w:pos="720"/>
        </w:tabs>
        <w:ind w:left="720" w:hanging="360"/>
      </w:pPr>
      <w:rPr>
        <w:rFonts w:ascii="Times New Roman" w:hAnsi="Times New Roman" w:hint="default"/>
      </w:rPr>
    </w:lvl>
    <w:lvl w:ilvl="1" w:tplc="8D08F616" w:tentative="1">
      <w:start w:val="1"/>
      <w:numFmt w:val="bullet"/>
      <w:lvlText w:val="•"/>
      <w:lvlJc w:val="left"/>
      <w:pPr>
        <w:tabs>
          <w:tab w:val="num" w:pos="1440"/>
        </w:tabs>
        <w:ind w:left="1440" w:hanging="360"/>
      </w:pPr>
      <w:rPr>
        <w:rFonts w:ascii="Times New Roman" w:hAnsi="Times New Roman" w:hint="default"/>
      </w:rPr>
    </w:lvl>
    <w:lvl w:ilvl="2" w:tplc="445AA5C4" w:tentative="1">
      <w:start w:val="1"/>
      <w:numFmt w:val="bullet"/>
      <w:lvlText w:val="•"/>
      <w:lvlJc w:val="left"/>
      <w:pPr>
        <w:tabs>
          <w:tab w:val="num" w:pos="2160"/>
        </w:tabs>
        <w:ind w:left="2160" w:hanging="360"/>
      </w:pPr>
      <w:rPr>
        <w:rFonts w:ascii="Times New Roman" w:hAnsi="Times New Roman" w:hint="default"/>
      </w:rPr>
    </w:lvl>
    <w:lvl w:ilvl="3" w:tplc="E618B7C8" w:tentative="1">
      <w:start w:val="1"/>
      <w:numFmt w:val="bullet"/>
      <w:lvlText w:val="•"/>
      <w:lvlJc w:val="left"/>
      <w:pPr>
        <w:tabs>
          <w:tab w:val="num" w:pos="2880"/>
        </w:tabs>
        <w:ind w:left="2880" w:hanging="360"/>
      </w:pPr>
      <w:rPr>
        <w:rFonts w:ascii="Times New Roman" w:hAnsi="Times New Roman" w:hint="default"/>
      </w:rPr>
    </w:lvl>
    <w:lvl w:ilvl="4" w:tplc="F7784132" w:tentative="1">
      <w:start w:val="1"/>
      <w:numFmt w:val="bullet"/>
      <w:lvlText w:val="•"/>
      <w:lvlJc w:val="left"/>
      <w:pPr>
        <w:tabs>
          <w:tab w:val="num" w:pos="3600"/>
        </w:tabs>
        <w:ind w:left="3600" w:hanging="360"/>
      </w:pPr>
      <w:rPr>
        <w:rFonts w:ascii="Times New Roman" w:hAnsi="Times New Roman" w:hint="default"/>
      </w:rPr>
    </w:lvl>
    <w:lvl w:ilvl="5" w:tplc="89C4AED8" w:tentative="1">
      <w:start w:val="1"/>
      <w:numFmt w:val="bullet"/>
      <w:lvlText w:val="•"/>
      <w:lvlJc w:val="left"/>
      <w:pPr>
        <w:tabs>
          <w:tab w:val="num" w:pos="4320"/>
        </w:tabs>
        <w:ind w:left="4320" w:hanging="360"/>
      </w:pPr>
      <w:rPr>
        <w:rFonts w:ascii="Times New Roman" w:hAnsi="Times New Roman" w:hint="default"/>
      </w:rPr>
    </w:lvl>
    <w:lvl w:ilvl="6" w:tplc="2F4AAAEA" w:tentative="1">
      <w:start w:val="1"/>
      <w:numFmt w:val="bullet"/>
      <w:lvlText w:val="•"/>
      <w:lvlJc w:val="left"/>
      <w:pPr>
        <w:tabs>
          <w:tab w:val="num" w:pos="5040"/>
        </w:tabs>
        <w:ind w:left="5040" w:hanging="360"/>
      </w:pPr>
      <w:rPr>
        <w:rFonts w:ascii="Times New Roman" w:hAnsi="Times New Roman" w:hint="default"/>
      </w:rPr>
    </w:lvl>
    <w:lvl w:ilvl="7" w:tplc="60FE724E" w:tentative="1">
      <w:start w:val="1"/>
      <w:numFmt w:val="bullet"/>
      <w:lvlText w:val="•"/>
      <w:lvlJc w:val="left"/>
      <w:pPr>
        <w:tabs>
          <w:tab w:val="num" w:pos="5760"/>
        </w:tabs>
        <w:ind w:left="5760" w:hanging="360"/>
      </w:pPr>
      <w:rPr>
        <w:rFonts w:ascii="Times New Roman" w:hAnsi="Times New Roman" w:hint="default"/>
      </w:rPr>
    </w:lvl>
    <w:lvl w:ilvl="8" w:tplc="84DE9D8A"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54725857"/>
    <w:multiLevelType w:val="multilevel"/>
    <w:tmpl w:val="A8B21FCC"/>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FA0E39"/>
    <w:multiLevelType w:val="hybridMultilevel"/>
    <w:tmpl w:val="C7047202"/>
    <w:lvl w:ilvl="0" w:tplc="299A51E2">
      <w:start w:val="6"/>
      <w:numFmt w:val="decimal"/>
      <w:lvlText w:val="%1."/>
      <w:lvlJc w:val="left"/>
      <w:pPr>
        <w:ind w:left="342" w:hanging="225"/>
      </w:pPr>
      <w:rPr>
        <w:rFonts w:ascii="Times New Roman" w:eastAsia="Times New Roman" w:hAnsi="Times New Roman" w:cs="Times New Roman" w:hint="default"/>
        <w:b/>
        <w:bCs/>
        <w:w w:val="120"/>
        <w:sz w:val="16"/>
        <w:szCs w:val="16"/>
        <w:lang w:val="en-US" w:eastAsia="en-US" w:bidi="ar-SA"/>
      </w:rPr>
    </w:lvl>
    <w:lvl w:ilvl="1" w:tplc="C90C7D1A">
      <w:start w:val="1"/>
      <w:numFmt w:val="decimal"/>
      <w:lvlText w:val="[%2]"/>
      <w:lvlJc w:val="left"/>
      <w:pPr>
        <w:ind w:left="511" w:hanging="250"/>
        <w:jc w:val="right"/>
      </w:pPr>
      <w:rPr>
        <w:rFonts w:ascii="Aroania" w:eastAsia="Aroania" w:hAnsi="Aroania" w:cs="Aroania" w:hint="default"/>
        <w:w w:val="114"/>
        <w:sz w:val="12"/>
        <w:szCs w:val="12"/>
        <w:lang w:val="en-US" w:eastAsia="en-US" w:bidi="ar-SA"/>
      </w:rPr>
    </w:lvl>
    <w:lvl w:ilvl="2" w:tplc="D80CD648">
      <w:numFmt w:val="bullet"/>
      <w:lvlText w:val="•"/>
      <w:lvlJc w:val="left"/>
      <w:pPr>
        <w:ind w:left="440" w:hanging="250"/>
      </w:pPr>
      <w:rPr>
        <w:rFonts w:hint="default"/>
        <w:lang w:val="en-US" w:eastAsia="en-US" w:bidi="ar-SA"/>
      </w:rPr>
    </w:lvl>
    <w:lvl w:ilvl="3" w:tplc="1CF2FB2C">
      <w:numFmt w:val="bullet"/>
      <w:lvlText w:val="•"/>
      <w:lvlJc w:val="left"/>
      <w:pPr>
        <w:ind w:left="361" w:hanging="250"/>
      </w:pPr>
      <w:rPr>
        <w:rFonts w:hint="default"/>
        <w:lang w:val="en-US" w:eastAsia="en-US" w:bidi="ar-SA"/>
      </w:rPr>
    </w:lvl>
    <w:lvl w:ilvl="4" w:tplc="674674D8">
      <w:numFmt w:val="bullet"/>
      <w:lvlText w:val="•"/>
      <w:lvlJc w:val="left"/>
      <w:pPr>
        <w:ind w:left="282" w:hanging="250"/>
      </w:pPr>
      <w:rPr>
        <w:rFonts w:hint="default"/>
        <w:lang w:val="en-US" w:eastAsia="en-US" w:bidi="ar-SA"/>
      </w:rPr>
    </w:lvl>
    <w:lvl w:ilvl="5" w:tplc="F74E0D40">
      <w:numFmt w:val="bullet"/>
      <w:lvlText w:val="•"/>
      <w:lvlJc w:val="left"/>
      <w:pPr>
        <w:ind w:left="203" w:hanging="250"/>
      </w:pPr>
      <w:rPr>
        <w:rFonts w:hint="default"/>
        <w:lang w:val="en-US" w:eastAsia="en-US" w:bidi="ar-SA"/>
      </w:rPr>
    </w:lvl>
    <w:lvl w:ilvl="6" w:tplc="8BBA0844">
      <w:numFmt w:val="bullet"/>
      <w:lvlText w:val="•"/>
      <w:lvlJc w:val="left"/>
      <w:pPr>
        <w:ind w:left="124" w:hanging="250"/>
      </w:pPr>
      <w:rPr>
        <w:rFonts w:hint="default"/>
        <w:lang w:val="en-US" w:eastAsia="en-US" w:bidi="ar-SA"/>
      </w:rPr>
    </w:lvl>
    <w:lvl w:ilvl="7" w:tplc="8A766C2A">
      <w:numFmt w:val="bullet"/>
      <w:lvlText w:val="•"/>
      <w:lvlJc w:val="left"/>
      <w:pPr>
        <w:ind w:left="44" w:hanging="250"/>
      </w:pPr>
      <w:rPr>
        <w:rFonts w:hint="default"/>
        <w:lang w:val="en-US" w:eastAsia="en-US" w:bidi="ar-SA"/>
      </w:rPr>
    </w:lvl>
    <w:lvl w:ilvl="8" w:tplc="EE28101C">
      <w:numFmt w:val="bullet"/>
      <w:lvlText w:val="•"/>
      <w:lvlJc w:val="left"/>
      <w:pPr>
        <w:ind w:left="-35" w:hanging="250"/>
      </w:pPr>
      <w:rPr>
        <w:rFonts w:hint="default"/>
        <w:lang w:val="en-US" w:eastAsia="en-US" w:bidi="ar-SA"/>
      </w:rPr>
    </w:lvl>
  </w:abstractNum>
  <w:abstractNum w:abstractNumId="27" w15:restartNumberingAfterBreak="0">
    <w:nsid w:val="632B2329"/>
    <w:multiLevelType w:val="hybridMultilevel"/>
    <w:tmpl w:val="29DAF772"/>
    <w:lvl w:ilvl="0" w:tplc="65E2F3AE">
      <w:start w:val="1"/>
      <w:numFmt w:val="bullet"/>
      <w:lvlText w:val="•"/>
      <w:lvlJc w:val="left"/>
      <w:pPr>
        <w:tabs>
          <w:tab w:val="num" w:pos="720"/>
        </w:tabs>
        <w:ind w:left="720" w:hanging="360"/>
      </w:pPr>
      <w:rPr>
        <w:rFonts w:ascii="Times New Roman" w:hAnsi="Times New Roman" w:hint="default"/>
      </w:rPr>
    </w:lvl>
    <w:lvl w:ilvl="1" w:tplc="1DAEF7A2" w:tentative="1">
      <w:start w:val="1"/>
      <w:numFmt w:val="bullet"/>
      <w:lvlText w:val="•"/>
      <w:lvlJc w:val="left"/>
      <w:pPr>
        <w:tabs>
          <w:tab w:val="num" w:pos="1440"/>
        </w:tabs>
        <w:ind w:left="1440" w:hanging="360"/>
      </w:pPr>
      <w:rPr>
        <w:rFonts w:ascii="Times New Roman" w:hAnsi="Times New Roman" w:hint="default"/>
      </w:rPr>
    </w:lvl>
    <w:lvl w:ilvl="2" w:tplc="AC1084F2" w:tentative="1">
      <w:start w:val="1"/>
      <w:numFmt w:val="bullet"/>
      <w:lvlText w:val="•"/>
      <w:lvlJc w:val="left"/>
      <w:pPr>
        <w:tabs>
          <w:tab w:val="num" w:pos="2160"/>
        </w:tabs>
        <w:ind w:left="2160" w:hanging="360"/>
      </w:pPr>
      <w:rPr>
        <w:rFonts w:ascii="Times New Roman" w:hAnsi="Times New Roman" w:hint="default"/>
      </w:rPr>
    </w:lvl>
    <w:lvl w:ilvl="3" w:tplc="97B2F246" w:tentative="1">
      <w:start w:val="1"/>
      <w:numFmt w:val="bullet"/>
      <w:lvlText w:val="•"/>
      <w:lvlJc w:val="left"/>
      <w:pPr>
        <w:tabs>
          <w:tab w:val="num" w:pos="2880"/>
        </w:tabs>
        <w:ind w:left="2880" w:hanging="360"/>
      </w:pPr>
      <w:rPr>
        <w:rFonts w:ascii="Times New Roman" w:hAnsi="Times New Roman" w:hint="default"/>
      </w:rPr>
    </w:lvl>
    <w:lvl w:ilvl="4" w:tplc="2D1CF862" w:tentative="1">
      <w:start w:val="1"/>
      <w:numFmt w:val="bullet"/>
      <w:lvlText w:val="•"/>
      <w:lvlJc w:val="left"/>
      <w:pPr>
        <w:tabs>
          <w:tab w:val="num" w:pos="3600"/>
        </w:tabs>
        <w:ind w:left="3600" w:hanging="360"/>
      </w:pPr>
      <w:rPr>
        <w:rFonts w:ascii="Times New Roman" w:hAnsi="Times New Roman" w:hint="default"/>
      </w:rPr>
    </w:lvl>
    <w:lvl w:ilvl="5" w:tplc="6994B062" w:tentative="1">
      <w:start w:val="1"/>
      <w:numFmt w:val="bullet"/>
      <w:lvlText w:val="•"/>
      <w:lvlJc w:val="left"/>
      <w:pPr>
        <w:tabs>
          <w:tab w:val="num" w:pos="4320"/>
        </w:tabs>
        <w:ind w:left="4320" w:hanging="360"/>
      </w:pPr>
      <w:rPr>
        <w:rFonts w:ascii="Times New Roman" w:hAnsi="Times New Roman" w:hint="default"/>
      </w:rPr>
    </w:lvl>
    <w:lvl w:ilvl="6" w:tplc="39E8C46E" w:tentative="1">
      <w:start w:val="1"/>
      <w:numFmt w:val="bullet"/>
      <w:lvlText w:val="•"/>
      <w:lvlJc w:val="left"/>
      <w:pPr>
        <w:tabs>
          <w:tab w:val="num" w:pos="5040"/>
        </w:tabs>
        <w:ind w:left="5040" w:hanging="360"/>
      </w:pPr>
      <w:rPr>
        <w:rFonts w:ascii="Times New Roman" w:hAnsi="Times New Roman" w:hint="default"/>
      </w:rPr>
    </w:lvl>
    <w:lvl w:ilvl="7" w:tplc="3E2A3184" w:tentative="1">
      <w:start w:val="1"/>
      <w:numFmt w:val="bullet"/>
      <w:lvlText w:val="•"/>
      <w:lvlJc w:val="left"/>
      <w:pPr>
        <w:tabs>
          <w:tab w:val="num" w:pos="5760"/>
        </w:tabs>
        <w:ind w:left="5760" w:hanging="360"/>
      </w:pPr>
      <w:rPr>
        <w:rFonts w:ascii="Times New Roman" w:hAnsi="Times New Roman" w:hint="default"/>
      </w:rPr>
    </w:lvl>
    <w:lvl w:ilvl="8" w:tplc="1706BEDC"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72502F94"/>
    <w:multiLevelType w:val="hybridMultilevel"/>
    <w:tmpl w:val="0ED09E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5480F8C"/>
    <w:multiLevelType w:val="hybridMultilevel"/>
    <w:tmpl w:val="E2ECFCC6"/>
    <w:lvl w:ilvl="0" w:tplc="EFE23E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DC58DD"/>
    <w:multiLevelType w:val="hybridMultilevel"/>
    <w:tmpl w:val="A90E0CB6"/>
    <w:lvl w:ilvl="0" w:tplc="08865156">
      <w:start w:val="1"/>
      <w:numFmt w:val="bullet"/>
      <w:lvlText w:val="•"/>
      <w:lvlJc w:val="left"/>
      <w:pPr>
        <w:tabs>
          <w:tab w:val="num" w:pos="720"/>
        </w:tabs>
        <w:ind w:left="720" w:hanging="360"/>
      </w:pPr>
      <w:rPr>
        <w:rFonts w:ascii="Times New Roman" w:hAnsi="Times New Roman" w:hint="default"/>
      </w:rPr>
    </w:lvl>
    <w:lvl w:ilvl="1" w:tplc="A0EADBE6" w:tentative="1">
      <w:start w:val="1"/>
      <w:numFmt w:val="bullet"/>
      <w:lvlText w:val="•"/>
      <w:lvlJc w:val="left"/>
      <w:pPr>
        <w:tabs>
          <w:tab w:val="num" w:pos="1440"/>
        </w:tabs>
        <w:ind w:left="1440" w:hanging="360"/>
      </w:pPr>
      <w:rPr>
        <w:rFonts w:ascii="Times New Roman" w:hAnsi="Times New Roman" w:hint="default"/>
      </w:rPr>
    </w:lvl>
    <w:lvl w:ilvl="2" w:tplc="7FD21086" w:tentative="1">
      <w:start w:val="1"/>
      <w:numFmt w:val="bullet"/>
      <w:lvlText w:val="•"/>
      <w:lvlJc w:val="left"/>
      <w:pPr>
        <w:tabs>
          <w:tab w:val="num" w:pos="2160"/>
        </w:tabs>
        <w:ind w:left="2160" w:hanging="360"/>
      </w:pPr>
      <w:rPr>
        <w:rFonts w:ascii="Times New Roman" w:hAnsi="Times New Roman" w:hint="default"/>
      </w:rPr>
    </w:lvl>
    <w:lvl w:ilvl="3" w:tplc="45D46284" w:tentative="1">
      <w:start w:val="1"/>
      <w:numFmt w:val="bullet"/>
      <w:lvlText w:val="•"/>
      <w:lvlJc w:val="left"/>
      <w:pPr>
        <w:tabs>
          <w:tab w:val="num" w:pos="2880"/>
        </w:tabs>
        <w:ind w:left="2880" w:hanging="360"/>
      </w:pPr>
      <w:rPr>
        <w:rFonts w:ascii="Times New Roman" w:hAnsi="Times New Roman" w:hint="default"/>
      </w:rPr>
    </w:lvl>
    <w:lvl w:ilvl="4" w:tplc="FC8C3566" w:tentative="1">
      <w:start w:val="1"/>
      <w:numFmt w:val="bullet"/>
      <w:lvlText w:val="•"/>
      <w:lvlJc w:val="left"/>
      <w:pPr>
        <w:tabs>
          <w:tab w:val="num" w:pos="3600"/>
        </w:tabs>
        <w:ind w:left="3600" w:hanging="360"/>
      </w:pPr>
      <w:rPr>
        <w:rFonts w:ascii="Times New Roman" w:hAnsi="Times New Roman" w:hint="default"/>
      </w:rPr>
    </w:lvl>
    <w:lvl w:ilvl="5" w:tplc="10C493CA" w:tentative="1">
      <w:start w:val="1"/>
      <w:numFmt w:val="bullet"/>
      <w:lvlText w:val="•"/>
      <w:lvlJc w:val="left"/>
      <w:pPr>
        <w:tabs>
          <w:tab w:val="num" w:pos="4320"/>
        </w:tabs>
        <w:ind w:left="4320" w:hanging="360"/>
      </w:pPr>
      <w:rPr>
        <w:rFonts w:ascii="Times New Roman" w:hAnsi="Times New Roman" w:hint="default"/>
      </w:rPr>
    </w:lvl>
    <w:lvl w:ilvl="6" w:tplc="2F009D0E" w:tentative="1">
      <w:start w:val="1"/>
      <w:numFmt w:val="bullet"/>
      <w:lvlText w:val="•"/>
      <w:lvlJc w:val="left"/>
      <w:pPr>
        <w:tabs>
          <w:tab w:val="num" w:pos="5040"/>
        </w:tabs>
        <w:ind w:left="5040" w:hanging="360"/>
      </w:pPr>
      <w:rPr>
        <w:rFonts w:ascii="Times New Roman" w:hAnsi="Times New Roman" w:hint="default"/>
      </w:rPr>
    </w:lvl>
    <w:lvl w:ilvl="7" w:tplc="BDEA5BCC" w:tentative="1">
      <w:start w:val="1"/>
      <w:numFmt w:val="bullet"/>
      <w:lvlText w:val="•"/>
      <w:lvlJc w:val="left"/>
      <w:pPr>
        <w:tabs>
          <w:tab w:val="num" w:pos="5760"/>
        </w:tabs>
        <w:ind w:left="5760" w:hanging="360"/>
      </w:pPr>
      <w:rPr>
        <w:rFonts w:ascii="Times New Roman" w:hAnsi="Times New Roman" w:hint="default"/>
      </w:rPr>
    </w:lvl>
    <w:lvl w:ilvl="8" w:tplc="11288CF6" w:tentative="1">
      <w:start w:val="1"/>
      <w:numFmt w:val="bullet"/>
      <w:lvlText w:val="•"/>
      <w:lvlJc w:val="left"/>
      <w:pPr>
        <w:tabs>
          <w:tab w:val="num" w:pos="6480"/>
        </w:tabs>
        <w:ind w:left="6480" w:hanging="360"/>
      </w:pPr>
      <w:rPr>
        <w:rFonts w:ascii="Times New Roman" w:hAnsi="Times New Roman" w:hint="default"/>
      </w:rPr>
    </w:lvl>
  </w:abstractNum>
  <w:num w:numId="1">
    <w:abstractNumId w:val="9"/>
  </w:num>
  <w:num w:numId="2">
    <w:abstractNumId w:val="9"/>
    <w:lvlOverride w:ilvl="0">
      <w:startOverride w:val="1"/>
    </w:lvlOverride>
  </w:num>
  <w:num w:numId="3">
    <w:abstractNumId w:val="6"/>
  </w:num>
  <w:num w:numId="4">
    <w:abstractNumId w:val="10"/>
  </w:num>
  <w:num w:numId="5">
    <w:abstractNumId w:val="7"/>
  </w:num>
  <w:num w:numId="6">
    <w:abstractNumId w:val="16"/>
  </w:num>
  <w:num w:numId="7">
    <w:abstractNumId w:val="29"/>
  </w:num>
  <w:num w:numId="8">
    <w:abstractNumId w:val="8"/>
  </w:num>
  <w:num w:numId="9">
    <w:abstractNumId w:val="0"/>
  </w:num>
  <w:num w:numId="10">
    <w:abstractNumId w:val="24"/>
  </w:num>
  <w:num w:numId="11">
    <w:abstractNumId w:val="12"/>
  </w:num>
  <w:num w:numId="12">
    <w:abstractNumId w:val="17"/>
  </w:num>
  <w:num w:numId="13">
    <w:abstractNumId w:val="2"/>
  </w:num>
  <w:num w:numId="14">
    <w:abstractNumId w:val="19"/>
  </w:num>
  <w:num w:numId="15">
    <w:abstractNumId w:val="5"/>
  </w:num>
  <w:num w:numId="16">
    <w:abstractNumId w:val="27"/>
  </w:num>
  <w:num w:numId="17">
    <w:abstractNumId w:val="22"/>
  </w:num>
  <w:num w:numId="18">
    <w:abstractNumId w:val="30"/>
  </w:num>
  <w:num w:numId="19">
    <w:abstractNumId w:val="18"/>
  </w:num>
  <w:num w:numId="20">
    <w:abstractNumId w:val="20"/>
  </w:num>
  <w:num w:numId="21">
    <w:abstractNumId w:val="4"/>
  </w:num>
  <w:num w:numId="22">
    <w:abstractNumId w:val="14"/>
  </w:num>
  <w:num w:numId="23">
    <w:abstractNumId w:val="28"/>
  </w:num>
  <w:num w:numId="24">
    <w:abstractNumId w:val="13"/>
  </w:num>
  <w:num w:numId="25">
    <w:abstractNumId w:val="1"/>
  </w:num>
  <w:num w:numId="26">
    <w:abstractNumId w:val="25"/>
  </w:num>
  <w:num w:numId="27">
    <w:abstractNumId w:val="21"/>
  </w:num>
  <w:num w:numId="28">
    <w:abstractNumId w:val="15"/>
  </w:num>
  <w:num w:numId="29">
    <w:abstractNumId w:val="3"/>
  </w:num>
  <w:num w:numId="30">
    <w:abstractNumId w:val="23"/>
  </w:num>
  <w:num w:numId="31">
    <w:abstractNumId w:val="11"/>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6094A"/>
    <w:rsid w:val="00062A66"/>
    <w:rsid w:val="000659D3"/>
    <w:rsid w:val="0006781E"/>
    <w:rsid w:val="00070AF1"/>
    <w:rsid w:val="00071F3A"/>
    <w:rsid w:val="00077319"/>
    <w:rsid w:val="000A6F01"/>
    <w:rsid w:val="000B252A"/>
    <w:rsid w:val="000C1844"/>
    <w:rsid w:val="000D42E0"/>
    <w:rsid w:val="000E1AC5"/>
    <w:rsid w:val="000E2166"/>
    <w:rsid w:val="000E3A62"/>
    <w:rsid w:val="000F51AD"/>
    <w:rsid w:val="000F7B3F"/>
    <w:rsid w:val="001115B9"/>
    <w:rsid w:val="00120037"/>
    <w:rsid w:val="00120CE9"/>
    <w:rsid w:val="001246D4"/>
    <w:rsid w:val="00140CD7"/>
    <w:rsid w:val="00143112"/>
    <w:rsid w:val="001608E9"/>
    <w:rsid w:val="00185419"/>
    <w:rsid w:val="00190111"/>
    <w:rsid w:val="00194B6C"/>
    <w:rsid w:val="001A09D6"/>
    <w:rsid w:val="001B188B"/>
    <w:rsid w:val="001B2F15"/>
    <w:rsid w:val="00201B0E"/>
    <w:rsid w:val="0021765F"/>
    <w:rsid w:val="002210B9"/>
    <w:rsid w:val="00242FCD"/>
    <w:rsid w:val="0025769C"/>
    <w:rsid w:val="0027218D"/>
    <w:rsid w:val="00274FA0"/>
    <w:rsid w:val="00286A80"/>
    <w:rsid w:val="00290409"/>
    <w:rsid w:val="00291F77"/>
    <w:rsid w:val="00295441"/>
    <w:rsid w:val="002954C7"/>
    <w:rsid w:val="002A7D1C"/>
    <w:rsid w:val="002C222E"/>
    <w:rsid w:val="002C46D2"/>
    <w:rsid w:val="002D0008"/>
    <w:rsid w:val="002D08CD"/>
    <w:rsid w:val="002D54FA"/>
    <w:rsid w:val="002D7932"/>
    <w:rsid w:val="002D7A83"/>
    <w:rsid w:val="002E725D"/>
    <w:rsid w:val="00310ECB"/>
    <w:rsid w:val="00312C85"/>
    <w:rsid w:val="0032180B"/>
    <w:rsid w:val="00326003"/>
    <w:rsid w:val="0034009C"/>
    <w:rsid w:val="00383C32"/>
    <w:rsid w:val="003942C1"/>
    <w:rsid w:val="003B559B"/>
    <w:rsid w:val="003C46BF"/>
    <w:rsid w:val="003D1954"/>
    <w:rsid w:val="003D714C"/>
    <w:rsid w:val="003E0449"/>
    <w:rsid w:val="003E2EB6"/>
    <w:rsid w:val="003E6B21"/>
    <w:rsid w:val="003F7599"/>
    <w:rsid w:val="00414D8D"/>
    <w:rsid w:val="0043681D"/>
    <w:rsid w:val="00436FEF"/>
    <w:rsid w:val="00470FFB"/>
    <w:rsid w:val="004A648A"/>
    <w:rsid w:val="004B005D"/>
    <w:rsid w:val="004C247B"/>
    <w:rsid w:val="004D3352"/>
    <w:rsid w:val="004D4E4B"/>
    <w:rsid w:val="004D74E0"/>
    <w:rsid w:val="004E6570"/>
    <w:rsid w:val="004E7804"/>
    <w:rsid w:val="0052247A"/>
    <w:rsid w:val="0052499E"/>
    <w:rsid w:val="00536217"/>
    <w:rsid w:val="005367B2"/>
    <w:rsid w:val="00546C8D"/>
    <w:rsid w:val="00546DB8"/>
    <w:rsid w:val="0054783D"/>
    <w:rsid w:val="005500CB"/>
    <w:rsid w:val="00563C55"/>
    <w:rsid w:val="005702EE"/>
    <w:rsid w:val="00587E9A"/>
    <w:rsid w:val="005C1CEA"/>
    <w:rsid w:val="005D1DFF"/>
    <w:rsid w:val="005D3C9F"/>
    <w:rsid w:val="005D7646"/>
    <w:rsid w:val="005E0FB3"/>
    <w:rsid w:val="005E29CE"/>
    <w:rsid w:val="006010DC"/>
    <w:rsid w:val="00644FAE"/>
    <w:rsid w:val="00655093"/>
    <w:rsid w:val="006642A5"/>
    <w:rsid w:val="00665C3C"/>
    <w:rsid w:val="006B299E"/>
    <w:rsid w:val="006B417D"/>
    <w:rsid w:val="006B7949"/>
    <w:rsid w:val="006C3395"/>
    <w:rsid w:val="006F7D64"/>
    <w:rsid w:val="007017A2"/>
    <w:rsid w:val="007028C2"/>
    <w:rsid w:val="00703E78"/>
    <w:rsid w:val="00705E1B"/>
    <w:rsid w:val="00705EA7"/>
    <w:rsid w:val="00707189"/>
    <w:rsid w:val="00714D2F"/>
    <w:rsid w:val="00717E07"/>
    <w:rsid w:val="00723E49"/>
    <w:rsid w:val="0072694B"/>
    <w:rsid w:val="007278A2"/>
    <w:rsid w:val="00764025"/>
    <w:rsid w:val="00777453"/>
    <w:rsid w:val="00781E4F"/>
    <w:rsid w:val="00784D29"/>
    <w:rsid w:val="00790EC6"/>
    <w:rsid w:val="007A35C0"/>
    <w:rsid w:val="007B0677"/>
    <w:rsid w:val="007B250B"/>
    <w:rsid w:val="007B3644"/>
    <w:rsid w:val="007D2709"/>
    <w:rsid w:val="007E3259"/>
    <w:rsid w:val="007F6625"/>
    <w:rsid w:val="00805012"/>
    <w:rsid w:val="008137CB"/>
    <w:rsid w:val="0081733D"/>
    <w:rsid w:val="0082644F"/>
    <w:rsid w:val="00832E1A"/>
    <w:rsid w:val="00846195"/>
    <w:rsid w:val="00862C30"/>
    <w:rsid w:val="00894DF6"/>
    <w:rsid w:val="008A366F"/>
    <w:rsid w:val="008B0FE8"/>
    <w:rsid w:val="008B3568"/>
    <w:rsid w:val="008C441E"/>
    <w:rsid w:val="008E08FA"/>
    <w:rsid w:val="008E3E63"/>
    <w:rsid w:val="008F19D9"/>
    <w:rsid w:val="0090451E"/>
    <w:rsid w:val="00915D00"/>
    <w:rsid w:val="0092625A"/>
    <w:rsid w:val="009271F9"/>
    <w:rsid w:val="00931B6C"/>
    <w:rsid w:val="00935A56"/>
    <w:rsid w:val="00941B68"/>
    <w:rsid w:val="0095001B"/>
    <w:rsid w:val="009564B0"/>
    <w:rsid w:val="009721E0"/>
    <w:rsid w:val="00972381"/>
    <w:rsid w:val="009819C8"/>
    <w:rsid w:val="00984FD5"/>
    <w:rsid w:val="009A2641"/>
    <w:rsid w:val="009A6B84"/>
    <w:rsid w:val="009E2D8B"/>
    <w:rsid w:val="009E3CA5"/>
    <w:rsid w:val="009F17A2"/>
    <w:rsid w:val="009F7E01"/>
    <w:rsid w:val="00A04D58"/>
    <w:rsid w:val="00A052BD"/>
    <w:rsid w:val="00A242CB"/>
    <w:rsid w:val="00A30B52"/>
    <w:rsid w:val="00A33EFE"/>
    <w:rsid w:val="00A361B8"/>
    <w:rsid w:val="00A40F58"/>
    <w:rsid w:val="00A52A38"/>
    <w:rsid w:val="00A53474"/>
    <w:rsid w:val="00A63B75"/>
    <w:rsid w:val="00A70B3D"/>
    <w:rsid w:val="00A850DC"/>
    <w:rsid w:val="00AA784B"/>
    <w:rsid w:val="00AC0136"/>
    <w:rsid w:val="00AC4E71"/>
    <w:rsid w:val="00AD6DC1"/>
    <w:rsid w:val="00AF6A07"/>
    <w:rsid w:val="00B171BC"/>
    <w:rsid w:val="00B24FC2"/>
    <w:rsid w:val="00B3303F"/>
    <w:rsid w:val="00B407B2"/>
    <w:rsid w:val="00B45A2F"/>
    <w:rsid w:val="00B47328"/>
    <w:rsid w:val="00B5290F"/>
    <w:rsid w:val="00B61DA6"/>
    <w:rsid w:val="00B74F88"/>
    <w:rsid w:val="00B853BE"/>
    <w:rsid w:val="00B9263B"/>
    <w:rsid w:val="00B93300"/>
    <w:rsid w:val="00B94D05"/>
    <w:rsid w:val="00B95DB8"/>
    <w:rsid w:val="00BB168F"/>
    <w:rsid w:val="00BC2D5F"/>
    <w:rsid w:val="00BD566D"/>
    <w:rsid w:val="00BF5889"/>
    <w:rsid w:val="00C00CFE"/>
    <w:rsid w:val="00C12412"/>
    <w:rsid w:val="00C42CE8"/>
    <w:rsid w:val="00C7234B"/>
    <w:rsid w:val="00C74CAF"/>
    <w:rsid w:val="00C826AD"/>
    <w:rsid w:val="00C87981"/>
    <w:rsid w:val="00CB2A05"/>
    <w:rsid w:val="00CC474D"/>
    <w:rsid w:val="00CD463D"/>
    <w:rsid w:val="00CE59C0"/>
    <w:rsid w:val="00CF1980"/>
    <w:rsid w:val="00CF2596"/>
    <w:rsid w:val="00CF2A84"/>
    <w:rsid w:val="00CF776B"/>
    <w:rsid w:val="00D02056"/>
    <w:rsid w:val="00D05C93"/>
    <w:rsid w:val="00D1491A"/>
    <w:rsid w:val="00D236E7"/>
    <w:rsid w:val="00D30AEA"/>
    <w:rsid w:val="00D50146"/>
    <w:rsid w:val="00D5571D"/>
    <w:rsid w:val="00D5665F"/>
    <w:rsid w:val="00D776BA"/>
    <w:rsid w:val="00D87C9E"/>
    <w:rsid w:val="00D87E7D"/>
    <w:rsid w:val="00D95677"/>
    <w:rsid w:val="00DA1408"/>
    <w:rsid w:val="00DA7C2D"/>
    <w:rsid w:val="00DB695A"/>
    <w:rsid w:val="00DB7EB8"/>
    <w:rsid w:val="00DC5DA6"/>
    <w:rsid w:val="00DC62D1"/>
    <w:rsid w:val="00DE7726"/>
    <w:rsid w:val="00DF384F"/>
    <w:rsid w:val="00E11841"/>
    <w:rsid w:val="00E1532A"/>
    <w:rsid w:val="00E157FE"/>
    <w:rsid w:val="00E17993"/>
    <w:rsid w:val="00E23D9F"/>
    <w:rsid w:val="00E35BDE"/>
    <w:rsid w:val="00E4188F"/>
    <w:rsid w:val="00E43FFE"/>
    <w:rsid w:val="00E44211"/>
    <w:rsid w:val="00E55989"/>
    <w:rsid w:val="00E72575"/>
    <w:rsid w:val="00E871A3"/>
    <w:rsid w:val="00EA55B5"/>
    <w:rsid w:val="00EB0D30"/>
    <w:rsid w:val="00EB5755"/>
    <w:rsid w:val="00EB771F"/>
    <w:rsid w:val="00ED43BB"/>
    <w:rsid w:val="00ED6C96"/>
    <w:rsid w:val="00EE2692"/>
    <w:rsid w:val="00EE7F2E"/>
    <w:rsid w:val="00F1180A"/>
    <w:rsid w:val="00F209EC"/>
    <w:rsid w:val="00F21BA9"/>
    <w:rsid w:val="00F2636C"/>
    <w:rsid w:val="00F54410"/>
    <w:rsid w:val="00F6576D"/>
    <w:rsid w:val="00F97ECF"/>
    <w:rsid w:val="00FA4A25"/>
    <w:rsid w:val="00FA613B"/>
    <w:rsid w:val="00FB5864"/>
    <w:rsid w:val="00FB5ACC"/>
    <w:rsid w:val="00FC4D12"/>
    <w:rsid w:val="00FD12A8"/>
    <w:rsid w:val="00FF368B"/>
    <w:rsid w:val="00FF6A57"/>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E7FC8"/>
  <w15:chartTrackingRefBased/>
  <w15:docId w15:val="{4C1B36BC-6DD4-464D-85B2-F6496C693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uiPriority w:val="1"/>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qFormat/>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Bibliography">
    <w:name w:val="Bibliography"/>
    <w:basedOn w:val="Normal"/>
    <w:next w:val="Normal"/>
    <w:uiPriority w:val="37"/>
    <w:unhideWhenUsed/>
    <w:rsid w:val="007F6625"/>
  </w:style>
  <w:style w:type="character" w:customStyle="1" w:styleId="ListParagraphChar">
    <w:name w:val="List Paragraph Char"/>
    <w:link w:val="ListParagraph"/>
    <w:uiPriority w:val="34"/>
    <w:rsid w:val="00185419"/>
  </w:style>
  <w:style w:type="paragraph" w:styleId="Caption">
    <w:name w:val="caption"/>
    <w:basedOn w:val="Normal"/>
    <w:next w:val="Normal"/>
    <w:uiPriority w:val="35"/>
    <w:unhideWhenUsed/>
    <w:qFormat/>
    <w:rsid w:val="0025769C"/>
    <w:pPr>
      <w:spacing w:after="200" w:line="276" w:lineRule="auto"/>
    </w:pPr>
    <w:rPr>
      <w:rFonts w:ascii="Arial" w:eastAsia="SimHei" w:hAnsi="Arial" w:cs="Arial"/>
      <w:sz w:val="20"/>
    </w:rPr>
  </w:style>
  <w:style w:type="table" w:customStyle="1" w:styleId="TableGrid1">
    <w:name w:val="Table Grid1"/>
    <w:basedOn w:val="TableNormal"/>
    <w:next w:val="TableGrid"/>
    <w:uiPriority w:val="59"/>
    <w:qFormat/>
    <w:rsid w:val="002954C7"/>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4E6570"/>
    <w:pPr>
      <w:spacing w:after="0" w:line="240" w:lineRule="auto"/>
      <w:ind w:left="720"/>
      <w:contextualSpacing/>
    </w:pPr>
    <w:rPr>
      <w:rFonts w:ascii="Calibri" w:eastAsia="Calibri" w:hAnsi="Calibri" w:cs="Times New Roman"/>
    </w:rPr>
  </w:style>
  <w:style w:type="paragraph" w:styleId="NormalWeb">
    <w:name w:val="Normal (Web)"/>
    <w:basedOn w:val="Normal"/>
    <w:uiPriority w:val="99"/>
    <w:semiHidden/>
    <w:unhideWhenUsed/>
    <w:rsid w:val="00CD46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D95677"/>
    <w:rPr>
      <w:rFonts w:ascii="TimesNewRomanPSMT" w:hAnsi="TimesNewRomanPSMT" w:hint="default"/>
      <w:b w:val="0"/>
      <w:bCs w:val="0"/>
      <w:i w:val="0"/>
      <w:iCs w:val="0"/>
      <w:color w:val="000000"/>
      <w:sz w:val="20"/>
      <w:szCs w:val="20"/>
    </w:rPr>
  </w:style>
  <w:style w:type="character" w:customStyle="1" w:styleId="fontstyle21">
    <w:name w:val="fontstyle21"/>
    <w:basedOn w:val="DefaultParagraphFont"/>
    <w:rsid w:val="00D95677"/>
    <w:rPr>
      <w:rFonts w:ascii="TimesNewRomanPS-ItalicMT" w:hAnsi="TimesNewRomanPS-ItalicMT" w:hint="default"/>
      <w:b w:val="0"/>
      <w:bCs w:val="0"/>
      <w:i/>
      <w:iCs/>
      <w:color w:val="000000"/>
      <w:sz w:val="16"/>
      <w:szCs w:val="16"/>
    </w:rPr>
  </w:style>
  <w:style w:type="character" w:customStyle="1" w:styleId="fontstyle31">
    <w:name w:val="fontstyle31"/>
    <w:basedOn w:val="DefaultParagraphFont"/>
    <w:rsid w:val="00D95677"/>
    <w:rPr>
      <w:rFonts w:ascii="Cmtt10" w:hAnsi="Cmtt10"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8322">
      <w:bodyDiv w:val="1"/>
      <w:marLeft w:val="0"/>
      <w:marRight w:val="0"/>
      <w:marTop w:val="0"/>
      <w:marBottom w:val="0"/>
      <w:divBdr>
        <w:top w:val="none" w:sz="0" w:space="0" w:color="auto"/>
        <w:left w:val="none" w:sz="0" w:space="0" w:color="auto"/>
        <w:bottom w:val="none" w:sz="0" w:space="0" w:color="auto"/>
        <w:right w:val="none" w:sz="0" w:space="0" w:color="auto"/>
      </w:divBdr>
    </w:div>
    <w:div w:id="31462638">
      <w:bodyDiv w:val="1"/>
      <w:marLeft w:val="0"/>
      <w:marRight w:val="0"/>
      <w:marTop w:val="0"/>
      <w:marBottom w:val="0"/>
      <w:divBdr>
        <w:top w:val="none" w:sz="0" w:space="0" w:color="auto"/>
        <w:left w:val="none" w:sz="0" w:space="0" w:color="auto"/>
        <w:bottom w:val="none" w:sz="0" w:space="0" w:color="auto"/>
        <w:right w:val="none" w:sz="0" w:space="0" w:color="auto"/>
      </w:divBdr>
    </w:div>
    <w:div w:id="76750451">
      <w:bodyDiv w:val="1"/>
      <w:marLeft w:val="0"/>
      <w:marRight w:val="0"/>
      <w:marTop w:val="0"/>
      <w:marBottom w:val="0"/>
      <w:divBdr>
        <w:top w:val="none" w:sz="0" w:space="0" w:color="auto"/>
        <w:left w:val="none" w:sz="0" w:space="0" w:color="auto"/>
        <w:bottom w:val="none" w:sz="0" w:space="0" w:color="auto"/>
        <w:right w:val="none" w:sz="0" w:space="0" w:color="auto"/>
      </w:divBdr>
      <w:divsChild>
        <w:div w:id="2089382119">
          <w:marLeft w:val="547"/>
          <w:marRight w:val="0"/>
          <w:marTop w:val="0"/>
          <w:marBottom w:val="0"/>
          <w:divBdr>
            <w:top w:val="none" w:sz="0" w:space="0" w:color="auto"/>
            <w:left w:val="none" w:sz="0" w:space="0" w:color="auto"/>
            <w:bottom w:val="none" w:sz="0" w:space="0" w:color="auto"/>
            <w:right w:val="none" w:sz="0" w:space="0" w:color="auto"/>
          </w:divBdr>
        </w:div>
      </w:divsChild>
    </w:div>
    <w:div w:id="130289575">
      <w:bodyDiv w:val="1"/>
      <w:marLeft w:val="0"/>
      <w:marRight w:val="0"/>
      <w:marTop w:val="0"/>
      <w:marBottom w:val="0"/>
      <w:divBdr>
        <w:top w:val="none" w:sz="0" w:space="0" w:color="auto"/>
        <w:left w:val="none" w:sz="0" w:space="0" w:color="auto"/>
        <w:bottom w:val="none" w:sz="0" w:space="0" w:color="auto"/>
        <w:right w:val="none" w:sz="0" w:space="0" w:color="auto"/>
      </w:divBdr>
    </w:div>
    <w:div w:id="136650275">
      <w:bodyDiv w:val="1"/>
      <w:marLeft w:val="0"/>
      <w:marRight w:val="0"/>
      <w:marTop w:val="0"/>
      <w:marBottom w:val="0"/>
      <w:divBdr>
        <w:top w:val="none" w:sz="0" w:space="0" w:color="auto"/>
        <w:left w:val="none" w:sz="0" w:space="0" w:color="auto"/>
        <w:bottom w:val="none" w:sz="0" w:space="0" w:color="auto"/>
        <w:right w:val="none" w:sz="0" w:space="0" w:color="auto"/>
      </w:divBdr>
    </w:div>
    <w:div w:id="222837826">
      <w:bodyDiv w:val="1"/>
      <w:marLeft w:val="0"/>
      <w:marRight w:val="0"/>
      <w:marTop w:val="0"/>
      <w:marBottom w:val="0"/>
      <w:divBdr>
        <w:top w:val="none" w:sz="0" w:space="0" w:color="auto"/>
        <w:left w:val="none" w:sz="0" w:space="0" w:color="auto"/>
        <w:bottom w:val="none" w:sz="0" w:space="0" w:color="auto"/>
        <w:right w:val="none" w:sz="0" w:space="0" w:color="auto"/>
      </w:divBdr>
    </w:div>
    <w:div w:id="416678846">
      <w:bodyDiv w:val="1"/>
      <w:marLeft w:val="0"/>
      <w:marRight w:val="0"/>
      <w:marTop w:val="0"/>
      <w:marBottom w:val="0"/>
      <w:divBdr>
        <w:top w:val="none" w:sz="0" w:space="0" w:color="auto"/>
        <w:left w:val="none" w:sz="0" w:space="0" w:color="auto"/>
        <w:bottom w:val="none" w:sz="0" w:space="0" w:color="auto"/>
        <w:right w:val="none" w:sz="0" w:space="0" w:color="auto"/>
      </w:divBdr>
    </w:div>
    <w:div w:id="499781226">
      <w:bodyDiv w:val="1"/>
      <w:marLeft w:val="0"/>
      <w:marRight w:val="0"/>
      <w:marTop w:val="0"/>
      <w:marBottom w:val="0"/>
      <w:divBdr>
        <w:top w:val="none" w:sz="0" w:space="0" w:color="auto"/>
        <w:left w:val="none" w:sz="0" w:space="0" w:color="auto"/>
        <w:bottom w:val="none" w:sz="0" w:space="0" w:color="auto"/>
        <w:right w:val="none" w:sz="0" w:space="0" w:color="auto"/>
      </w:divBdr>
    </w:div>
    <w:div w:id="505290372">
      <w:bodyDiv w:val="1"/>
      <w:marLeft w:val="0"/>
      <w:marRight w:val="0"/>
      <w:marTop w:val="0"/>
      <w:marBottom w:val="0"/>
      <w:divBdr>
        <w:top w:val="none" w:sz="0" w:space="0" w:color="auto"/>
        <w:left w:val="none" w:sz="0" w:space="0" w:color="auto"/>
        <w:bottom w:val="none" w:sz="0" w:space="0" w:color="auto"/>
        <w:right w:val="none" w:sz="0" w:space="0" w:color="auto"/>
      </w:divBdr>
    </w:div>
    <w:div w:id="507714151">
      <w:bodyDiv w:val="1"/>
      <w:marLeft w:val="0"/>
      <w:marRight w:val="0"/>
      <w:marTop w:val="0"/>
      <w:marBottom w:val="0"/>
      <w:divBdr>
        <w:top w:val="none" w:sz="0" w:space="0" w:color="auto"/>
        <w:left w:val="none" w:sz="0" w:space="0" w:color="auto"/>
        <w:bottom w:val="none" w:sz="0" w:space="0" w:color="auto"/>
        <w:right w:val="none" w:sz="0" w:space="0" w:color="auto"/>
      </w:divBdr>
    </w:div>
    <w:div w:id="556933340">
      <w:bodyDiv w:val="1"/>
      <w:marLeft w:val="0"/>
      <w:marRight w:val="0"/>
      <w:marTop w:val="0"/>
      <w:marBottom w:val="0"/>
      <w:divBdr>
        <w:top w:val="none" w:sz="0" w:space="0" w:color="auto"/>
        <w:left w:val="none" w:sz="0" w:space="0" w:color="auto"/>
        <w:bottom w:val="none" w:sz="0" w:space="0" w:color="auto"/>
        <w:right w:val="none" w:sz="0" w:space="0" w:color="auto"/>
      </w:divBdr>
    </w:div>
    <w:div w:id="571890073">
      <w:bodyDiv w:val="1"/>
      <w:marLeft w:val="0"/>
      <w:marRight w:val="0"/>
      <w:marTop w:val="0"/>
      <w:marBottom w:val="0"/>
      <w:divBdr>
        <w:top w:val="none" w:sz="0" w:space="0" w:color="auto"/>
        <w:left w:val="none" w:sz="0" w:space="0" w:color="auto"/>
        <w:bottom w:val="none" w:sz="0" w:space="0" w:color="auto"/>
        <w:right w:val="none" w:sz="0" w:space="0" w:color="auto"/>
      </w:divBdr>
    </w:div>
    <w:div w:id="701710644">
      <w:bodyDiv w:val="1"/>
      <w:marLeft w:val="0"/>
      <w:marRight w:val="0"/>
      <w:marTop w:val="0"/>
      <w:marBottom w:val="0"/>
      <w:divBdr>
        <w:top w:val="none" w:sz="0" w:space="0" w:color="auto"/>
        <w:left w:val="none" w:sz="0" w:space="0" w:color="auto"/>
        <w:bottom w:val="none" w:sz="0" w:space="0" w:color="auto"/>
        <w:right w:val="none" w:sz="0" w:space="0" w:color="auto"/>
      </w:divBdr>
    </w:div>
    <w:div w:id="749234570">
      <w:bodyDiv w:val="1"/>
      <w:marLeft w:val="0"/>
      <w:marRight w:val="0"/>
      <w:marTop w:val="0"/>
      <w:marBottom w:val="0"/>
      <w:divBdr>
        <w:top w:val="none" w:sz="0" w:space="0" w:color="auto"/>
        <w:left w:val="none" w:sz="0" w:space="0" w:color="auto"/>
        <w:bottom w:val="none" w:sz="0" w:space="0" w:color="auto"/>
        <w:right w:val="none" w:sz="0" w:space="0" w:color="auto"/>
      </w:divBdr>
    </w:div>
    <w:div w:id="781193310">
      <w:bodyDiv w:val="1"/>
      <w:marLeft w:val="0"/>
      <w:marRight w:val="0"/>
      <w:marTop w:val="0"/>
      <w:marBottom w:val="0"/>
      <w:divBdr>
        <w:top w:val="none" w:sz="0" w:space="0" w:color="auto"/>
        <w:left w:val="none" w:sz="0" w:space="0" w:color="auto"/>
        <w:bottom w:val="none" w:sz="0" w:space="0" w:color="auto"/>
        <w:right w:val="none" w:sz="0" w:space="0" w:color="auto"/>
      </w:divBdr>
      <w:divsChild>
        <w:div w:id="1073503313">
          <w:marLeft w:val="547"/>
          <w:marRight w:val="0"/>
          <w:marTop w:val="0"/>
          <w:marBottom w:val="0"/>
          <w:divBdr>
            <w:top w:val="none" w:sz="0" w:space="0" w:color="auto"/>
            <w:left w:val="none" w:sz="0" w:space="0" w:color="auto"/>
            <w:bottom w:val="none" w:sz="0" w:space="0" w:color="auto"/>
            <w:right w:val="none" w:sz="0" w:space="0" w:color="auto"/>
          </w:divBdr>
        </w:div>
      </w:divsChild>
    </w:div>
    <w:div w:id="787548899">
      <w:bodyDiv w:val="1"/>
      <w:marLeft w:val="0"/>
      <w:marRight w:val="0"/>
      <w:marTop w:val="0"/>
      <w:marBottom w:val="0"/>
      <w:divBdr>
        <w:top w:val="none" w:sz="0" w:space="0" w:color="auto"/>
        <w:left w:val="none" w:sz="0" w:space="0" w:color="auto"/>
        <w:bottom w:val="none" w:sz="0" w:space="0" w:color="auto"/>
        <w:right w:val="none" w:sz="0" w:space="0" w:color="auto"/>
      </w:divBdr>
    </w:div>
    <w:div w:id="788402783">
      <w:bodyDiv w:val="1"/>
      <w:marLeft w:val="0"/>
      <w:marRight w:val="0"/>
      <w:marTop w:val="0"/>
      <w:marBottom w:val="0"/>
      <w:divBdr>
        <w:top w:val="none" w:sz="0" w:space="0" w:color="auto"/>
        <w:left w:val="none" w:sz="0" w:space="0" w:color="auto"/>
        <w:bottom w:val="none" w:sz="0" w:space="0" w:color="auto"/>
        <w:right w:val="none" w:sz="0" w:space="0" w:color="auto"/>
      </w:divBdr>
    </w:div>
    <w:div w:id="827985063">
      <w:bodyDiv w:val="1"/>
      <w:marLeft w:val="0"/>
      <w:marRight w:val="0"/>
      <w:marTop w:val="0"/>
      <w:marBottom w:val="0"/>
      <w:divBdr>
        <w:top w:val="none" w:sz="0" w:space="0" w:color="auto"/>
        <w:left w:val="none" w:sz="0" w:space="0" w:color="auto"/>
        <w:bottom w:val="none" w:sz="0" w:space="0" w:color="auto"/>
        <w:right w:val="none" w:sz="0" w:space="0" w:color="auto"/>
      </w:divBdr>
      <w:divsChild>
        <w:div w:id="44568838">
          <w:marLeft w:val="547"/>
          <w:marRight w:val="0"/>
          <w:marTop w:val="0"/>
          <w:marBottom w:val="0"/>
          <w:divBdr>
            <w:top w:val="none" w:sz="0" w:space="0" w:color="auto"/>
            <w:left w:val="none" w:sz="0" w:space="0" w:color="auto"/>
            <w:bottom w:val="none" w:sz="0" w:space="0" w:color="auto"/>
            <w:right w:val="none" w:sz="0" w:space="0" w:color="auto"/>
          </w:divBdr>
        </w:div>
      </w:divsChild>
    </w:div>
    <w:div w:id="890847002">
      <w:bodyDiv w:val="1"/>
      <w:marLeft w:val="0"/>
      <w:marRight w:val="0"/>
      <w:marTop w:val="0"/>
      <w:marBottom w:val="0"/>
      <w:divBdr>
        <w:top w:val="none" w:sz="0" w:space="0" w:color="auto"/>
        <w:left w:val="none" w:sz="0" w:space="0" w:color="auto"/>
        <w:bottom w:val="none" w:sz="0" w:space="0" w:color="auto"/>
        <w:right w:val="none" w:sz="0" w:space="0" w:color="auto"/>
      </w:divBdr>
      <w:divsChild>
        <w:div w:id="121851467">
          <w:marLeft w:val="547"/>
          <w:marRight w:val="0"/>
          <w:marTop w:val="0"/>
          <w:marBottom w:val="0"/>
          <w:divBdr>
            <w:top w:val="none" w:sz="0" w:space="0" w:color="auto"/>
            <w:left w:val="none" w:sz="0" w:space="0" w:color="auto"/>
            <w:bottom w:val="none" w:sz="0" w:space="0" w:color="auto"/>
            <w:right w:val="none" w:sz="0" w:space="0" w:color="auto"/>
          </w:divBdr>
        </w:div>
      </w:divsChild>
    </w:div>
    <w:div w:id="902645355">
      <w:bodyDiv w:val="1"/>
      <w:marLeft w:val="0"/>
      <w:marRight w:val="0"/>
      <w:marTop w:val="0"/>
      <w:marBottom w:val="0"/>
      <w:divBdr>
        <w:top w:val="none" w:sz="0" w:space="0" w:color="auto"/>
        <w:left w:val="none" w:sz="0" w:space="0" w:color="auto"/>
        <w:bottom w:val="none" w:sz="0" w:space="0" w:color="auto"/>
        <w:right w:val="none" w:sz="0" w:space="0" w:color="auto"/>
      </w:divBdr>
    </w:div>
    <w:div w:id="984361457">
      <w:bodyDiv w:val="1"/>
      <w:marLeft w:val="0"/>
      <w:marRight w:val="0"/>
      <w:marTop w:val="0"/>
      <w:marBottom w:val="0"/>
      <w:divBdr>
        <w:top w:val="none" w:sz="0" w:space="0" w:color="auto"/>
        <w:left w:val="none" w:sz="0" w:space="0" w:color="auto"/>
        <w:bottom w:val="none" w:sz="0" w:space="0" w:color="auto"/>
        <w:right w:val="none" w:sz="0" w:space="0" w:color="auto"/>
      </w:divBdr>
    </w:div>
    <w:div w:id="1055591894">
      <w:bodyDiv w:val="1"/>
      <w:marLeft w:val="0"/>
      <w:marRight w:val="0"/>
      <w:marTop w:val="0"/>
      <w:marBottom w:val="0"/>
      <w:divBdr>
        <w:top w:val="none" w:sz="0" w:space="0" w:color="auto"/>
        <w:left w:val="none" w:sz="0" w:space="0" w:color="auto"/>
        <w:bottom w:val="none" w:sz="0" w:space="0" w:color="auto"/>
        <w:right w:val="none" w:sz="0" w:space="0" w:color="auto"/>
      </w:divBdr>
    </w:div>
    <w:div w:id="1060784157">
      <w:bodyDiv w:val="1"/>
      <w:marLeft w:val="0"/>
      <w:marRight w:val="0"/>
      <w:marTop w:val="0"/>
      <w:marBottom w:val="0"/>
      <w:divBdr>
        <w:top w:val="none" w:sz="0" w:space="0" w:color="auto"/>
        <w:left w:val="none" w:sz="0" w:space="0" w:color="auto"/>
        <w:bottom w:val="none" w:sz="0" w:space="0" w:color="auto"/>
        <w:right w:val="none" w:sz="0" w:space="0" w:color="auto"/>
      </w:divBdr>
      <w:divsChild>
        <w:div w:id="1783915612">
          <w:marLeft w:val="547"/>
          <w:marRight w:val="0"/>
          <w:marTop w:val="0"/>
          <w:marBottom w:val="0"/>
          <w:divBdr>
            <w:top w:val="none" w:sz="0" w:space="0" w:color="auto"/>
            <w:left w:val="none" w:sz="0" w:space="0" w:color="auto"/>
            <w:bottom w:val="none" w:sz="0" w:space="0" w:color="auto"/>
            <w:right w:val="none" w:sz="0" w:space="0" w:color="auto"/>
          </w:divBdr>
        </w:div>
      </w:divsChild>
    </w:div>
    <w:div w:id="1099374134">
      <w:bodyDiv w:val="1"/>
      <w:marLeft w:val="0"/>
      <w:marRight w:val="0"/>
      <w:marTop w:val="0"/>
      <w:marBottom w:val="0"/>
      <w:divBdr>
        <w:top w:val="none" w:sz="0" w:space="0" w:color="auto"/>
        <w:left w:val="none" w:sz="0" w:space="0" w:color="auto"/>
        <w:bottom w:val="none" w:sz="0" w:space="0" w:color="auto"/>
        <w:right w:val="none" w:sz="0" w:space="0" w:color="auto"/>
      </w:divBdr>
    </w:div>
    <w:div w:id="1169372739">
      <w:bodyDiv w:val="1"/>
      <w:marLeft w:val="0"/>
      <w:marRight w:val="0"/>
      <w:marTop w:val="0"/>
      <w:marBottom w:val="0"/>
      <w:divBdr>
        <w:top w:val="none" w:sz="0" w:space="0" w:color="auto"/>
        <w:left w:val="none" w:sz="0" w:space="0" w:color="auto"/>
        <w:bottom w:val="none" w:sz="0" w:space="0" w:color="auto"/>
        <w:right w:val="none" w:sz="0" w:space="0" w:color="auto"/>
      </w:divBdr>
    </w:div>
    <w:div w:id="1287155579">
      <w:bodyDiv w:val="1"/>
      <w:marLeft w:val="0"/>
      <w:marRight w:val="0"/>
      <w:marTop w:val="0"/>
      <w:marBottom w:val="0"/>
      <w:divBdr>
        <w:top w:val="none" w:sz="0" w:space="0" w:color="auto"/>
        <w:left w:val="none" w:sz="0" w:space="0" w:color="auto"/>
        <w:bottom w:val="none" w:sz="0" w:space="0" w:color="auto"/>
        <w:right w:val="none" w:sz="0" w:space="0" w:color="auto"/>
      </w:divBdr>
    </w:div>
    <w:div w:id="1311322407">
      <w:bodyDiv w:val="1"/>
      <w:marLeft w:val="0"/>
      <w:marRight w:val="0"/>
      <w:marTop w:val="0"/>
      <w:marBottom w:val="0"/>
      <w:divBdr>
        <w:top w:val="none" w:sz="0" w:space="0" w:color="auto"/>
        <w:left w:val="none" w:sz="0" w:space="0" w:color="auto"/>
        <w:bottom w:val="none" w:sz="0" w:space="0" w:color="auto"/>
        <w:right w:val="none" w:sz="0" w:space="0" w:color="auto"/>
      </w:divBdr>
    </w:div>
    <w:div w:id="1317487665">
      <w:bodyDiv w:val="1"/>
      <w:marLeft w:val="0"/>
      <w:marRight w:val="0"/>
      <w:marTop w:val="0"/>
      <w:marBottom w:val="0"/>
      <w:divBdr>
        <w:top w:val="none" w:sz="0" w:space="0" w:color="auto"/>
        <w:left w:val="none" w:sz="0" w:space="0" w:color="auto"/>
        <w:bottom w:val="none" w:sz="0" w:space="0" w:color="auto"/>
        <w:right w:val="none" w:sz="0" w:space="0" w:color="auto"/>
      </w:divBdr>
    </w:div>
    <w:div w:id="1330979988">
      <w:bodyDiv w:val="1"/>
      <w:marLeft w:val="0"/>
      <w:marRight w:val="0"/>
      <w:marTop w:val="0"/>
      <w:marBottom w:val="0"/>
      <w:divBdr>
        <w:top w:val="none" w:sz="0" w:space="0" w:color="auto"/>
        <w:left w:val="none" w:sz="0" w:space="0" w:color="auto"/>
        <w:bottom w:val="none" w:sz="0" w:space="0" w:color="auto"/>
        <w:right w:val="none" w:sz="0" w:space="0" w:color="auto"/>
      </w:divBdr>
      <w:divsChild>
        <w:div w:id="1702364095">
          <w:marLeft w:val="547"/>
          <w:marRight w:val="0"/>
          <w:marTop w:val="0"/>
          <w:marBottom w:val="0"/>
          <w:divBdr>
            <w:top w:val="none" w:sz="0" w:space="0" w:color="auto"/>
            <w:left w:val="none" w:sz="0" w:space="0" w:color="auto"/>
            <w:bottom w:val="none" w:sz="0" w:space="0" w:color="auto"/>
            <w:right w:val="none" w:sz="0" w:space="0" w:color="auto"/>
          </w:divBdr>
        </w:div>
      </w:divsChild>
    </w:div>
    <w:div w:id="1460412381">
      <w:bodyDiv w:val="1"/>
      <w:marLeft w:val="0"/>
      <w:marRight w:val="0"/>
      <w:marTop w:val="0"/>
      <w:marBottom w:val="0"/>
      <w:divBdr>
        <w:top w:val="none" w:sz="0" w:space="0" w:color="auto"/>
        <w:left w:val="none" w:sz="0" w:space="0" w:color="auto"/>
        <w:bottom w:val="none" w:sz="0" w:space="0" w:color="auto"/>
        <w:right w:val="none" w:sz="0" w:space="0" w:color="auto"/>
      </w:divBdr>
      <w:divsChild>
        <w:div w:id="1589534162">
          <w:marLeft w:val="547"/>
          <w:marRight w:val="0"/>
          <w:marTop w:val="0"/>
          <w:marBottom w:val="0"/>
          <w:divBdr>
            <w:top w:val="none" w:sz="0" w:space="0" w:color="auto"/>
            <w:left w:val="none" w:sz="0" w:space="0" w:color="auto"/>
            <w:bottom w:val="none" w:sz="0" w:space="0" w:color="auto"/>
            <w:right w:val="none" w:sz="0" w:space="0" w:color="auto"/>
          </w:divBdr>
        </w:div>
      </w:divsChild>
    </w:div>
    <w:div w:id="1556888328">
      <w:bodyDiv w:val="1"/>
      <w:marLeft w:val="0"/>
      <w:marRight w:val="0"/>
      <w:marTop w:val="0"/>
      <w:marBottom w:val="0"/>
      <w:divBdr>
        <w:top w:val="none" w:sz="0" w:space="0" w:color="auto"/>
        <w:left w:val="none" w:sz="0" w:space="0" w:color="auto"/>
        <w:bottom w:val="none" w:sz="0" w:space="0" w:color="auto"/>
        <w:right w:val="none" w:sz="0" w:space="0" w:color="auto"/>
      </w:divBdr>
    </w:div>
    <w:div w:id="1629167643">
      <w:bodyDiv w:val="1"/>
      <w:marLeft w:val="0"/>
      <w:marRight w:val="0"/>
      <w:marTop w:val="0"/>
      <w:marBottom w:val="0"/>
      <w:divBdr>
        <w:top w:val="none" w:sz="0" w:space="0" w:color="auto"/>
        <w:left w:val="none" w:sz="0" w:space="0" w:color="auto"/>
        <w:bottom w:val="none" w:sz="0" w:space="0" w:color="auto"/>
        <w:right w:val="none" w:sz="0" w:space="0" w:color="auto"/>
      </w:divBdr>
      <w:divsChild>
        <w:div w:id="1329333881">
          <w:marLeft w:val="547"/>
          <w:marRight w:val="0"/>
          <w:marTop w:val="0"/>
          <w:marBottom w:val="0"/>
          <w:divBdr>
            <w:top w:val="none" w:sz="0" w:space="0" w:color="auto"/>
            <w:left w:val="none" w:sz="0" w:space="0" w:color="auto"/>
            <w:bottom w:val="none" w:sz="0" w:space="0" w:color="auto"/>
            <w:right w:val="none" w:sz="0" w:space="0" w:color="auto"/>
          </w:divBdr>
        </w:div>
      </w:divsChild>
    </w:div>
    <w:div w:id="1713068649">
      <w:bodyDiv w:val="1"/>
      <w:marLeft w:val="0"/>
      <w:marRight w:val="0"/>
      <w:marTop w:val="0"/>
      <w:marBottom w:val="0"/>
      <w:divBdr>
        <w:top w:val="none" w:sz="0" w:space="0" w:color="auto"/>
        <w:left w:val="none" w:sz="0" w:space="0" w:color="auto"/>
        <w:bottom w:val="none" w:sz="0" w:space="0" w:color="auto"/>
        <w:right w:val="none" w:sz="0" w:space="0" w:color="auto"/>
      </w:divBdr>
      <w:divsChild>
        <w:div w:id="651984113">
          <w:marLeft w:val="547"/>
          <w:marRight w:val="0"/>
          <w:marTop w:val="0"/>
          <w:marBottom w:val="0"/>
          <w:divBdr>
            <w:top w:val="none" w:sz="0" w:space="0" w:color="auto"/>
            <w:left w:val="none" w:sz="0" w:space="0" w:color="auto"/>
            <w:bottom w:val="none" w:sz="0" w:space="0" w:color="auto"/>
            <w:right w:val="none" w:sz="0" w:space="0" w:color="auto"/>
          </w:divBdr>
        </w:div>
      </w:divsChild>
    </w:div>
    <w:div w:id="1887914790">
      <w:bodyDiv w:val="1"/>
      <w:marLeft w:val="0"/>
      <w:marRight w:val="0"/>
      <w:marTop w:val="0"/>
      <w:marBottom w:val="0"/>
      <w:divBdr>
        <w:top w:val="none" w:sz="0" w:space="0" w:color="auto"/>
        <w:left w:val="none" w:sz="0" w:space="0" w:color="auto"/>
        <w:bottom w:val="none" w:sz="0" w:space="0" w:color="auto"/>
        <w:right w:val="none" w:sz="0" w:space="0" w:color="auto"/>
      </w:divBdr>
    </w:div>
    <w:div w:id="1890995180">
      <w:bodyDiv w:val="1"/>
      <w:marLeft w:val="0"/>
      <w:marRight w:val="0"/>
      <w:marTop w:val="0"/>
      <w:marBottom w:val="0"/>
      <w:divBdr>
        <w:top w:val="none" w:sz="0" w:space="0" w:color="auto"/>
        <w:left w:val="none" w:sz="0" w:space="0" w:color="auto"/>
        <w:bottom w:val="none" w:sz="0" w:space="0" w:color="auto"/>
        <w:right w:val="none" w:sz="0" w:space="0" w:color="auto"/>
      </w:divBdr>
      <w:divsChild>
        <w:div w:id="917592146">
          <w:marLeft w:val="547"/>
          <w:marRight w:val="0"/>
          <w:marTop w:val="0"/>
          <w:marBottom w:val="0"/>
          <w:divBdr>
            <w:top w:val="none" w:sz="0" w:space="0" w:color="auto"/>
            <w:left w:val="none" w:sz="0" w:space="0" w:color="auto"/>
            <w:bottom w:val="none" w:sz="0" w:space="0" w:color="auto"/>
            <w:right w:val="none" w:sz="0" w:space="0" w:color="auto"/>
          </w:divBdr>
        </w:div>
      </w:divsChild>
    </w:div>
    <w:div w:id="1932161283">
      <w:bodyDiv w:val="1"/>
      <w:marLeft w:val="0"/>
      <w:marRight w:val="0"/>
      <w:marTop w:val="0"/>
      <w:marBottom w:val="0"/>
      <w:divBdr>
        <w:top w:val="none" w:sz="0" w:space="0" w:color="auto"/>
        <w:left w:val="none" w:sz="0" w:space="0" w:color="auto"/>
        <w:bottom w:val="none" w:sz="0" w:space="0" w:color="auto"/>
        <w:right w:val="none" w:sz="0" w:space="0" w:color="auto"/>
      </w:divBdr>
      <w:divsChild>
        <w:div w:id="1875577443">
          <w:marLeft w:val="547"/>
          <w:marRight w:val="0"/>
          <w:marTop w:val="0"/>
          <w:marBottom w:val="0"/>
          <w:divBdr>
            <w:top w:val="none" w:sz="0" w:space="0" w:color="auto"/>
            <w:left w:val="none" w:sz="0" w:space="0" w:color="auto"/>
            <w:bottom w:val="none" w:sz="0" w:space="0" w:color="auto"/>
            <w:right w:val="none" w:sz="0" w:space="0" w:color="auto"/>
          </w:divBdr>
        </w:div>
      </w:divsChild>
    </w:div>
    <w:div w:id="1935162711">
      <w:bodyDiv w:val="1"/>
      <w:marLeft w:val="0"/>
      <w:marRight w:val="0"/>
      <w:marTop w:val="0"/>
      <w:marBottom w:val="0"/>
      <w:divBdr>
        <w:top w:val="none" w:sz="0" w:space="0" w:color="auto"/>
        <w:left w:val="none" w:sz="0" w:space="0" w:color="auto"/>
        <w:bottom w:val="none" w:sz="0" w:space="0" w:color="auto"/>
        <w:right w:val="none" w:sz="0" w:space="0" w:color="auto"/>
      </w:divBdr>
    </w:div>
    <w:div w:id="1942761570">
      <w:bodyDiv w:val="1"/>
      <w:marLeft w:val="0"/>
      <w:marRight w:val="0"/>
      <w:marTop w:val="0"/>
      <w:marBottom w:val="0"/>
      <w:divBdr>
        <w:top w:val="none" w:sz="0" w:space="0" w:color="auto"/>
        <w:left w:val="none" w:sz="0" w:space="0" w:color="auto"/>
        <w:bottom w:val="none" w:sz="0" w:space="0" w:color="auto"/>
        <w:right w:val="none" w:sz="0" w:space="0" w:color="auto"/>
      </w:divBdr>
    </w:div>
    <w:div w:id="1959137074">
      <w:bodyDiv w:val="1"/>
      <w:marLeft w:val="0"/>
      <w:marRight w:val="0"/>
      <w:marTop w:val="0"/>
      <w:marBottom w:val="0"/>
      <w:divBdr>
        <w:top w:val="none" w:sz="0" w:space="0" w:color="auto"/>
        <w:left w:val="none" w:sz="0" w:space="0" w:color="auto"/>
        <w:bottom w:val="none" w:sz="0" w:space="0" w:color="auto"/>
        <w:right w:val="none" w:sz="0" w:space="0" w:color="auto"/>
      </w:divBdr>
    </w:div>
    <w:div w:id="1964723899">
      <w:bodyDiv w:val="1"/>
      <w:marLeft w:val="0"/>
      <w:marRight w:val="0"/>
      <w:marTop w:val="0"/>
      <w:marBottom w:val="0"/>
      <w:divBdr>
        <w:top w:val="none" w:sz="0" w:space="0" w:color="auto"/>
        <w:left w:val="none" w:sz="0" w:space="0" w:color="auto"/>
        <w:bottom w:val="none" w:sz="0" w:space="0" w:color="auto"/>
        <w:right w:val="none" w:sz="0" w:space="0" w:color="auto"/>
      </w:divBdr>
    </w:div>
    <w:div w:id="1971127625">
      <w:bodyDiv w:val="1"/>
      <w:marLeft w:val="0"/>
      <w:marRight w:val="0"/>
      <w:marTop w:val="0"/>
      <w:marBottom w:val="0"/>
      <w:divBdr>
        <w:top w:val="none" w:sz="0" w:space="0" w:color="auto"/>
        <w:left w:val="none" w:sz="0" w:space="0" w:color="auto"/>
        <w:bottom w:val="none" w:sz="0" w:space="0" w:color="auto"/>
        <w:right w:val="none" w:sz="0" w:space="0" w:color="auto"/>
      </w:divBdr>
    </w:div>
    <w:div w:id="1972468624">
      <w:bodyDiv w:val="1"/>
      <w:marLeft w:val="0"/>
      <w:marRight w:val="0"/>
      <w:marTop w:val="0"/>
      <w:marBottom w:val="0"/>
      <w:divBdr>
        <w:top w:val="none" w:sz="0" w:space="0" w:color="auto"/>
        <w:left w:val="none" w:sz="0" w:space="0" w:color="auto"/>
        <w:bottom w:val="none" w:sz="0" w:space="0" w:color="auto"/>
        <w:right w:val="none" w:sz="0" w:space="0" w:color="auto"/>
      </w:divBdr>
    </w:div>
    <w:div w:id="2012678380">
      <w:bodyDiv w:val="1"/>
      <w:marLeft w:val="0"/>
      <w:marRight w:val="0"/>
      <w:marTop w:val="0"/>
      <w:marBottom w:val="0"/>
      <w:divBdr>
        <w:top w:val="none" w:sz="0" w:space="0" w:color="auto"/>
        <w:left w:val="none" w:sz="0" w:space="0" w:color="auto"/>
        <w:bottom w:val="none" w:sz="0" w:space="0" w:color="auto"/>
        <w:right w:val="none" w:sz="0" w:space="0" w:color="auto"/>
      </w:divBdr>
    </w:div>
    <w:div w:id="2037385981">
      <w:bodyDiv w:val="1"/>
      <w:marLeft w:val="0"/>
      <w:marRight w:val="0"/>
      <w:marTop w:val="0"/>
      <w:marBottom w:val="0"/>
      <w:divBdr>
        <w:top w:val="none" w:sz="0" w:space="0" w:color="auto"/>
        <w:left w:val="none" w:sz="0" w:space="0" w:color="auto"/>
        <w:bottom w:val="none" w:sz="0" w:space="0" w:color="auto"/>
        <w:right w:val="none" w:sz="0" w:space="0" w:color="auto"/>
      </w:divBdr>
    </w:div>
    <w:div w:id="2072579798">
      <w:bodyDiv w:val="1"/>
      <w:marLeft w:val="0"/>
      <w:marRight w:val="0"/>
      <w:marTop w:val="0"/>
      <w:marBottom w:val="0"/>
      <w:divBdr>
        <w:top w:val="none" w:sz="0" w:space="0" w:color="auto"/>
        <w:left w:val="none" w:sz="0" w:space="0" w:color="auto"/>
        <w:bottom w:val="none" w:sz="0" w:space="0" w:color="auto"/>
        <w:right w:val="none" w:sz="0" w:space="0" w:color="auto"/>
      </w:divBdr>
      <w:divsChild>
        <w:div w:id="206063844">
          <w:marLeft w:val="547"/>
          <w:marRight w:val="0"/>
          <w:marTop w:val="0"/>
          <w:marBottom w:val="0"/>
          <w:divBdr>
            <w:top w:val="none" w:sz="0" w:space="0" w:color="auto"/>
            <w:left w:val="none" w:sz="0" w:space="0" w:color="auto"/>
            <w:bottom w:val="none" w:sz="0" w:space="0" w:color="auto"/>
            <w:right w:val="none" w:sz="0" w:space="0" w:color="auto"/>
          </w:divBdr>
        </w:div>
      </w:divsChild>
    </w:div>
    <w:div w:id="2087874457">
      <w:bodyDiv w:val="1"/>
      <w:marLeft w:val="0"/>
      <w:marRight w:val="0"/>
      <w:marTop w:val="0"/>
      <w:marBottom w:val="0"/>
      <w:divBdr>
        <w:top w:val="none" w:sz="0" w:space="0" w:color="auto"/>
        <w:left w:val="none" w:sz="0" w:space="0" w:color="auto"/>
        <w:bottom w:val="none" w:sz="0" w:space="0" w:color="auto"/>
        <w:right w:val="none" w:sz="0" w:space="0" w:color="auto"/>
      </w:divBdr>
    </w:div>
    <w:div w:id="2115901911">
      <w:bodyDiv w:val="1"/>
      <w:marLeft w:val="0"/>
      <w:marRight w:val="0"/>
      <w:marTop w:val="0"/>
      <w:marBottom w:val="0"/>
      <w:divBdr>
        <w:top w:val="none" w:sz="0" w:space="0" w:color="auto"/>
        <w:left w:val="none" w:sz="0" w:space="0" w:color="auto"/>
        <w:bottom w:val="none" w:sz="0" w:space="0" w:color="auto"/>
        <w:right w:val="none" w:sz="0" w:space="0" w:color="auto"/>
      </w:divBdr>
    </w:div>
    <w:div w:id="2137945051">
      <w:bodyDiv w:val="1"/>
      <w:marLeft w:val="0"/>
      <w:marRight w:val="0"/>
      <w:marTop w:val="0"/>
      <w:marBottom w:val="0"/>
      <w:divBdr>
        <w:top w:val="none" w:sz="0" w:space="0" w:color="auto"/>
        <w:left w:val="none" w:sz="0" w:space="0" w:color="auto"/>
        <w:bottom w:val="none" w:sz="0" w:space="0" w:color="auto"/>
        <w:right w:val="none" w:sz="0" w:space="0" w:color="auto"/>
      </w:divBdr>
    </w:div>
    <w:div w:id="214245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doi.org/10.1787/9f843a6e-en"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164231C-9659-4A86-AA40-E6E7D147721E}" type="doc">
      <dgm:prSet loTypeId="urn:microsoft.com/office/officeart/2005/8/layout/hProcess4" loCatId="process" qsTypeId="urn:microsoft.com/office/officeart/2005/8/quickstyle/simple1" qsCatId="simple" csTypeId="urn:microsoft.com/office/officeart/2005/8/colors/accent0_3" csCatId="mainScheme" phldr="1"/>
      <dgm:spPr/>
      <dgm:t>
        <a:bodyPr/>
        <a:lstStyle/>
        <a:p>
          <a:endParaRPr lang="en-US"/>
        </a:p>
      </dgm:t>
    </dgm:pt>
    <dgm:pt modelId="{B33F2A82-5F9D-4E2E-89D1-C22B931A47F5}">
      <dgm:prSet phldrT="[Text]"/>
      <dgm:spPr/>
      <dgm:t>
        <a:bodyPr/>
        <a:lstStyle/>
        <a:p>
          <a:r>
            <a:rPr lang="en-US">
              <a:latin typeface="Times New Roman" panose="02020603050405020304" pitchFamily="18" charset="0"/>
              <a:cs typeface="Times New Roman" panose="02020603050405020304" pitchFamily="18" charset="0"/>
            </a:rPr>
            <a:t>Cơ sở hạ tầng</a:t>
          </a:r>
        </a:p>
      </dgm:t>
    </dgm:pt>
    <dgm:pt modelId="{8519BD33-303D-4353-B216-1746A116C7B6}" type="parTrans" cxnId="{7EC290A7-0EC3-4599-A40F-7D342AAEF657}">
      <dgm:prSet/>
      <dgm:spPr/>
      <dgm:t>
        <a:bodyPr/>
        <a:lstStyle/>
        <a:p>
          <a:endParaRPr lang="en-US">
            <a:latin typeface="Times New Roman" panose="02020603050405020304" pitchFamily="18" charset="0"/>
            <a:cs typeface="Times New Roman" panose="02020603050405020304" pitchFamily="18" charset="0"/>
          </a:endParaRPr>
        </a:p>
      </dgm:t>
    </dgm:pt>
    <dgm:pt modelId="{68082474-F6FD-4D0C-B738-93C42F5373E4}" type="sibTrans" cxnId="{7EC290A7-0EC3-4599-A40F-7D342AAEF657}">
      <dgm:prSet/>
      <dgm:spPr/>
      <dgm:t>
        <a:bodyPr/>
        <a:lstStyle/>
        <a:p>
          <a:endParaRPr lang="en-US">
            <a:latin typeface="Times New Roman" panose="02020603050405020304" pitchFamily="18" charset="0"/>
            <a:cs typeface="Times New Roman" panose="02020603050405020304" pitchFamily="18" charset="0"/>
          </a:endParaRPr>
        </a:p>
      </dgm:t>
    </dgm:pt>
    <dgm:pt modelId="{1C2F0DB7-9AE4-40E5-A8BE-B5E62A604FBC}">
      <dgm:prSet phldrT="[Text]"/>
      <dgm:spPr/>
      <dgm:t>
        <a:bodyPr/>
        <a:lstStyle/>
        <a:p>
          <a:r>
            <a:rPr lang="en-US">
              <a:latin typeface="Times New Roman" panose="02020603050405020304" pitchFamily="18" charset="0"/>
              <a:cs typeface="Times New Roman" panose="02020603050405020304" pitchFamily="18" charset="0"/>
            </a:rPr>
            <a:t>Mở rộng băng thông và kết nối Internet</a:t>
          </a:r>
        </a:p>
      </dgm:t>
    </dgm:pt>
    <dgm:pt modelId="{D0F17B11-9572-43EB-A2F4-85470395FAED}" type="parTrans" cxnId="{540BD467-A329-4B76-86D7-A82FF8CB2126}">
      <dgm:prSet/>
      <dgm:spPr/>
      <dgm:t>
        <a:bodyPr/>
        <a:lstStyle/>
        <a:p>
          <a:endParaRPr lang="en-US">
            <a:latin typeface="Times New Roman" panose="02020603050405020304" pitchFamily="18" charset="0"/>
            <a:cs typeface="Times New Roman" panose="02020603050405020304" pitchFamily="18" charset="0"/>
          </a:endParaRPr>
        </a:p>
      </dgm:t>
    </dgm:pt>
    <dgm:pt modelId="{FE7DED1E-FCE6-4DA2-BCC7-32A0215C80A5}" type="sibTrans" cxnId="{540BD467-A329-4B76-86D7-A82FF8CB2126}">
      <dgm:prSet/>
      <dgm:spPr/>
      <dgm:t>
        <a:bodyPr/>
        <a:lstStyle/>
        <a:p>
          <a:endParaRPr lang="en-US">
            <a:latin typeface="Times New Roman" panose="02020603050405020304" pitchFamily="18" charset="0"/>
            <a:cs typeface="Times New Roman" panose="02020603050405020304" pitchFamily="18" charset="0"/>
          </a:endParaRPr>
        </a:p>
      </dgm:t>
    </dgm:pt>
    <dgm:pt modelId="{F5B210EF-0B5B-442E-B665-0957F5BD2FEA}">
      <dgm:prSet phldrT="[Text]"/>
      <dgm:spPr/>
      <dgm:t>
        <a:bodyPr/>
        <a:lstStyle/>
        <a:p>
          <a:r>
            <a:rPr lang="en-US">
              <a:latin typeface="Times New Roman" panose="02020603050405020304" pitchFamily="18" charset="0"/>
              <a:cs typeface="Times New Roman" panose="02020603050405020304" pitchFamily="18" charset="0"/>
            </a:rPr>
            <a:t>Truy cập</a:t>
          </a:r>
        </a:p>
      </dgm:t>
    </dgm:pt>
    <dgm:pt modelId="{18B83389-7B6F-4AC9-ABBF-C7F3AA19AF8A}" type="parTrans" cxnId="{489BB525-5ADC-4DE1-A7ED-6856CA60B633}">
      <dgm:prSet/>
      <dgm:spPr/>
      <dgm:t>
        <a:bodyPr/>
        <a:lstStyle/>
        <a:p>
          <a:endParaRPr lang="en-US">
            <a:latin typeface="Times New Roman" panose="02020603050405020304" pitchFamily="18" charset="0"/>
            <a:cs typeface="Times New Roman" panose="02020603050405020304" pitchFamily="18" charset="0"/>
          </a:endParaRPr>
        </a:p>
      </dgm:t>
    </dgm:pt>
    <dgm:pt modelId="{AE8892EB-29C0-4807-BC4D-277CDAEE2C3D}" type="sibTrans" cxnId="{489BB525-5ADC-4DE1-A7ED-6856CA60B633}">
      <dgm:prSet/>
      <dgm:spPr/>
      <dgm:t>
        <a:bodyPr/>
        <a:lstStyle/>
        <a:p>
          <a:endParaRPr lang="en-US">
            <a:latin typeface="Times New Roman" panose="02020603050405020304" pitchFamily="18" charset="0"/>
            <a:cs typeface="Times New Roman" panose="02020603050405020304" pitchFamily="18" charset="0"/>
          </a:endParaRPr>
        </a:p>
      </dgm:t>
    </dgm:pt>
    <dgm:pt modelId="{68EBBE12-6215-47C6-93D5-662DC652B867}">
      <dgm:prSet phldrT="[Text]"/>
      <dgm:spPr/>
      <dgm:t>
        <a:bodyPr/>
        <a:lstStyle/>
        <a:p>
          <a:r>
            <a:rPr lang="en-US">
              <a:latin typeface="Times New Roman" panose="02020603050405020304" pitchFamily="18" charset="0"/>
              <a:cs typeface="Times New Roman" panose="02020603050405020304" pitchFamily="18" charset="0"/>
            </a:rPr>
            <a:t>Tài nguyên và xóa bỏ rào cản về địa lý</a:t>
          </a:r>
        </a:p>
      </dgm:t>
    </dgm:pt>
    <dgm:pt modelId="{1C13DE0D-6F17-4BE7-906D-635AB1830AC2}" type="parTrans" cxnId="{BFA7C573-A7E4-4072-B876-D20C0CC2A1FB}">
      <dgm:prSet/>
      <dgm:spPr/>
      <dgm:t>
        <a:bodyPr/>
        <a:lstStyle/>
        <a:p>
          <a:endParaRPr lang="en-US">
            <a:latin typeface="Times New Roman" panose="02020603050405020304" pitchFamily="18" charset="0"/>
            <a:cs typeface="Times New Roman" panose="02020603050405020304" pitchFamily="18" charset="0"/>
          </a:endParaRPr>
        </a:p>
      </dgm:t>
    </dgm:pt>
    <dgm:pt modelId="{FA08314C-6355-48ED-9A8C-0686E9D03AD0}" type="sibTrans" cxnId="{BFA7C573-A7E4-4072-B876-D20C0CC2A1FB}">
      <dgm:prSet/>
      <dgm:spPr/>
      <dgm:t>
        <a:bodyPr/>
        <a:lstStyle/>
        <a:p>
          <a:endParaRPr lang="en-US">
            <a:latin typeface="Times New Roman" panose="02020603050405020304" pitchFamily="18" charset="0"/>
            <a:cs typeface="Times New Roman" panose="02020603050405020304" pitchFamily="18" charset="0"/>
          </a:endParaRPr>
        </a:p>
      </dgm:t>
    </dgm:pt>
    <dgm:pt modelId="{238D788B-7D28-4E75-A1E0-B5456BCC03C9}">
      <dgm:prSet phldrT="[Text]"/>
      <dgm:spPr/>
      <dgm:t>
        <a:bodyPr/>
        <a:lstStyle/>
        <a:p>
          <a:r>
            <a:rPr lang="en-US">
              <a:latin typeface="Times New Roman" panose="02020603050405020304" pitchFamily="18" charset="0"/>
              <a:cs typeface="Times New Roman" panose="02020603050405020304" pitchFamily="18" charset="0"/>
            </a:rPr>
            <a:t>LMS</a:t>
          </a:r>
        </a:p>
      </dgm:t>
    </dgm:pt>
    <dgm:pt modelId="{C84DFE95-11EC-41CF-8434-BFEB4E648241}" type="parTrans" cxnId="{E4B6A01D-85D6-4990-8C0A-841E4763F563}">
      <dgm:prSet/>
      <dgm:spPr/>
      <dgm:t>
        <a:bodyPr/>
        <a:lstStyle/>
        <a:p>
          <a:endParaRPr lang="en-US">
            <a:latin typeface="Times New Roman" panose="02020603050405020304" pitchFamily="18" charset="0"/>
            <a:cs typeface="Times New Roman" panose="02020603050405020304" pitchFamily="18" charset="0"/>
          </a:endParaRPr>
        </a:p>
      </dgm:t>
    </dgm:pt>
    <dgm:pt modelId="{139C88FD-E3AE-4587-A3C3-711C57ABD92A}" type="sibTrans" cxnId="{E4B6A01D-85D6-4990-8C0A-841E4763F563}">
      <dgm:prSet/>
      <dgm:spPr/>
      <dgm:t>
        <a:bodyPr/>
        <a:lstStyle/>
        <a:p>
          <a:endParaRPr lang="en-US">
            <a:latin typeface="Times New Roman" panose="02020603050405020304" pitchFamily="18" charset="0"/>
            <a:cs typeface="Times New Roman" panose="02020603050405020304" pitchFamily="18" charset="0"/>
          </a:endParaRPr>
        </a:p>
      </dgm:t>
    </dgm:pt>
    <dgm:pt modelId="{89ADCBF1-C364-4BEA-A7CD-009DE43A69CB}">
      <dgm:prSet phldrT="[Text]"/>
      <dgm:spPr/>
      <dgm:t>
        <a:bodyPr/>
        <a:lstStyle/>
        <a:p>
          <a:r>
            <a:rPr lang="en-US">
              <a:latin typeface="Times New Roman" panose="02020603050405020304" pitchFamily="18" charset="0"/>
              <a:cs typeface="Times New Roman" panose="02020603050405020304" pitchFamily="18" charset="0"/>
            </a:rPr>
            <a:t>Lựa chọn khóa học phát triển chuyên môn liên tục</a:t>
          </a:r>
        </a:p>
      </dgm:t>
    </dgm:pt>
    <dgm:pt modelId="{93C021E7-A4B2-483C-9F93-88BE9C56B553}" type="parTrans" cxnId="{5D11AA24-E983-4E6D-A3C2-5C1244AFF83B}">
      <dgm:prSet/>
      <dgm:spPr/>
      <dgm:t>
        <a:bodyPr/>
        <a:lstStyle/>
        <a:p>
          <a:endParaRPr lang="en-US">
            <a:latin typeface="Times New Roman" panose="02020603050405020304" pitchFamily="18" charset="0"/>
            <a:cs typeface="Times New Roman" panose="02020603050405020304" pitchFamily="18" charset="0"/>
          </a:endParaRPr>
        </a:p>
      </dgm:t>
    </dgm:pt>
    <dgm:pt modelId="{78E4C77B-E187-40CD-B600-209DD3635701}" type="sibTrans" cxnId="{5D11AA24-E983-4E6D-A3C2-5C1244AFF83B}">
      <dgm:prSet/>
      <dgm:spPr/>
      <dgm:t>
        <a:bodyPr/>
        <a:lstStyle/>
        <a:p>
          <a:endParaRPr lang="en-US">
            <a:latin typeface="Times New Roman" panose="02020603050405020304" pitchFamily="18" charset="0"/>
            <a:cs typeface="Times New Roman" panose="02020603050405020304" pitchFamily="18" charset="0"/>
          </a:endParaRPr>
        </a:p>
      </dgm:t>
    </dgm:pt>
    <dgm:pt modelId="{0B09ECDF-8152-463E-8149-DBBC6ED93C78}">
      <dgm:prSet phldrT="[Text]"/>
      <dgm:spPr/>
      <dgm:t>
        <a:bodyPr/>
        <a:lstStyle/>
        <a:p>
          <a:r>
            <a:rPr lang="en-US">
              <a:latin typeface="Times New Roman" panose="02020603050405020304" pitchFamily="18" charset="0"/>
              <a:cs typeface="Times New Roman" panose="02020603050405020304" pitchFamily="18" charset="0"/>
            </a:rPr>
            <a:t>Giao tiếp</a:t>
          </a:r>
        </a:p>
      </dgm:t>
    </dgm:pt>
    <dgm:pt modelId="{8F4945FB-30DE-402F-8690-4B5793E09929}" type="parTrans" cxnId="{A7F51867-0F6C-4378-AA97-2A9AAA7B298F}">
      <dgm:prSet/>
      <dgm:spPr/>
      <dgm:t>
        <a:bodyPr/>
        <a:lstStyle/>
        <a:p>
          <a:endParaRPr lang="en-US">
            <a:latin typeface="Times New Roman" panose="02020603050405020304" pitchFamily="18" charset="0"/>
            <a:cs typeface="Times New Roman" panose="02020603050405020304" pitchFamily="18" charset="0"/>
          </a:endParaRPr>
        </a:p>
      </dgm:t>
    </dgm:pt>
    <dgm:pt modelId="{20C20F4C-D5D3-4787-8CC9-C678504BECFE}" type="sibTrans" cxnId="{A7F51867-0F6C-4378-AA97-2A9AAA7B298F}">
      <dgm:prSet/>
      <dgm:spPr/>
      <dgm:t>
        <a:bodyPr/>
        <a:lstStyle/>
        <a:p>
          <a:endParaRPr lang="en-US">
            <a:latin typeface="Times New Roman" panose="02020603050405020304" pitchFamily="18" charset="0"/>
            <a:cs typeface="Times New Roman" panose="02020603050405020304" pitchFamily="18" charset="0"/>
          </a:endParaRPr>
        </a:p>
      </dgm:t>
    </dgm:pt>
    <dgm:pt modelId="{AE861868-8A7A-489B-9C4B-A2448D9BB686}">
      <dgm:prSet phldrT="[Text]"/>
      <dgm:spPr/>
      <dgm:t>
        <a:bodyPr/>
        <a:lstStyle/>
        <a:p>
          <a:r>
            <a:rPr lang="en-US">
              <a:latin typeface="Times New Roman" panose="02020603050405020304" pitchFamily="18" charset="0"/>
              <a:cs typeface="Times New Roman" panose="02020603050405020304" pitchFamily="18" charset="0"/>
            </a:rPr>
            <a:t>Phân tích dữ liệu</a:t>
          </a:r>
        </a:p>
      </dgm:t>
    </dgm:pt>
    <dgm:pt modelId="{92A35950-9807-4D6C-8BE7-5D0F92376515}" type="parTrans" cxnId="{CAC65089-D9C7-4A54-9DD2-73EADF514545}">
      <dgm:prSet/>
      <dgm:spPr/>
      <dgm:t>
        <a:bodyPr/>
        <a:lstStyle/>
        <a:p>
          <a:endParaRPr lang="en-US">
            <a:latin typeface="Times New Roman" panose="02020603050405020304" pitchFamily="18" charset="0"/>
            <a:cs typeface="Times New Roman" panose="02020603050405020304" pitchFamily="18" charset="0"/>
          </a:endParaRPr>
        </a:p>
      </dgm:t>
    </dgm:pt>
    <dgm:pt modelId="{4F312C11-431F-49C5-B8FC-3F62252D9CC9}" type="sibTrans" cxnId="{CAC65089-D9C7-4A54-9DD2-73EADF514545}">
      <dgm:prSet/>
      <dgm:spPr/>
      <dgm:t>
        <a:bodyPr/>
        <a:lstStyle/>
        <a:p>
          <a:endParaRPr lang="en-US">
            <a:latin typeface="Times New Roman" panose="02020603050405020304" pitchFamily="18" charset="0"/>
            <a:cs typeface="Times New Roman" panose="02020603050405020304" pitchFamily="18" charset="0"/>
          </a:endParaRPr>
        </a:p>
      </dgm:t>
    </dgm:pt>
    <dgm:pt modelId="{EC3F9F9B-EA0A-49C3-876E-6CB5F23A67AA}">
      <dgm:prSet phldrT="[Text]"/>
      <dgm:spPr/>
      <dgm:t>
        <a:bodyPr/>
        <a:lstStyle/>
        <a:p>
          <a:r>
            <a:rPr lang="en-US">
              <a:latin typeface="Times New Roman" panose="02020603050405020304" pitchFamily="18" charset="0"/>
              <a:cs typeface="Times New Roman" panose="02020603050405020304" pitchFamily="18" charset="0"/>
            </a:rPr>
            <a:t>Trải nghiệm cá nhân</a:t>
          </a:r>
        </a:p>
      </dgm:t>
    </dgm:pt>
    <dgm:pt modelId="{F7F04B43-0894-46DA-A59A-AB1AE4C14F15}" type="parTrans" cxnId="{023004E6-A879-4663-A66C-8061B07D3A4D}">
      <dgm:prSet/>
      <dgm:spPr/>
      <dgm:t>
        <a:bodyPr/>
        <a:lstStyle/>
        <a:p>
          <a:endParaRPr lang="en-US">
            <a:latin typeface="Times New Roman" panose="02020603050405020304" pitchFamily="18" charset="0"/>
            <a:cs typeface="Times New Roman" panose="02020603050405020304" pitchFamily="18" charset="0"/>
          </a:endParaRPr>
        </a:p>
      </dgm:t>
    </dgm:pt>
    <dgm:pt modelId="{8677B1C7-3F0C-486F-8A30-03422DE4F5A0}" type="sibTrans" cxnId="{023004E6-A879-4663-A66C-8061B07D3A4D}">
      <dgm:prSet/>
      <dgm:spPr/>
      <dgm:t>
        <a:bodyPr/>
        <a:lstStyle/>
        <a:p>
          <a:endParaRPr lang="en-US">
            <a:latin typeface="Times New Roman" panose="02020603050405020304" pitchFamily="18" charset="0"/>
            <a:cs typeface="Times New Roman" panose="02020603050405020304" pitchFamily="18" charset="0"/>
          </a:endParaRPr>
        </a:p>
      </dgm:t>
    </dgm:pt>
    <dgm:pt modelId="{191A06D0-04D5-42BF-A04F-404FD4B55B44}">
      <dgm:prSet phldrT="[Text]"/>
      <dgm:spPr/>
      <dgm:t>
        <a:bodyPr/>
        <a:lstStyle/>
        <a:p>
          <a:r>
            <a:rPr lang="en-US">
              <a:latin typeface="Times New Roman" panose="02020603050405020304" pitchFamily="18" charset="0"/>
              <a:cs typeface="Times New Roman" panose="02020603050405020304" pitchFamily="18" charset="0"/>
            </a:rPr>
            <a:t>Học tập suốt đời</a:t>
          </a:r>
        </a:p>
        <a:p>
          <a:endParaRPr lang="en-US">
            <a:latin typeface="Times New Roman" panose="02020603050405020304" pitchFamily="18" charset="0"/>
            <a:cs typeface="Times New Roman" panose="02020603050405020304" pitchFamily="18" charset="0"/>
          </a:endParaRPr>
        </a:p>
      </dgm:t>
    </dgm:pt>
    <dgm:pt modelId="{D11E7312-CA77-48BC-B0F1-D91C6C2E4DAB}" type="parTrans" cxnId="{FE864828-8161-4679-9D7D-8628B3EDDDE9}">
      <dgm:prSet/>
      <dgm:spPr/>
      <dgm:t>
        <a:bodyPr/>
        <a:lstStyle/>
        <a:p>
          <a:endParaRPr lang="en-US">
            <a:latin typeface="Times New Roman" panose="02020603050405020304" pitchFamily="18" charset="0"/>
            <a:cs typeface="Times New Roman" panose="02020603050405020304" pitchFamily="18" charset="0"/>
          </a:endParaRPr>
        </a:p>
      </dgm:t>
    </dgm:pt>
    <dgm:pt modelId="{1E31E2D4-AD78-4988-B2BE-9DB3451312BA}" type="sibTrans" cxnId="{FE864828-8161-4679-9D7D-8628B3EDDDE9}">
      <dgm:prSet/>
      <dgm:spPr/>
      <dgm:t>
        <a:bodyPr/>
        <a:lstStyle/>
        <a:p>
          <a:endParaRPr lang="en-US">
            <a:latin typeface="Times New Roman" panose="02020603050405020304" pitchFamily="18" charset="0"/>
            <a:cs typeface="Times New Roman" panose="02020603050405020304" pitchFamily="18" charset="0"/>
          </a:endParaRPr>
        </a:p>
      </dgm:t>
    </dgm:pt>
    <dgm:pt modelId="{EC7ECD03-629D-4E1F-9AD9-E700BF763D4D}">
      <dgm:prSet/>
      <dgm:spPr/>
      <dgm:t>
        <a:bodyPr/>
        <a:lstStyle/>
        <a:p>
          <a:r>
            <a:rPr lang="en-US">
              <a:latin typeface="Times New Roman" panose="02020603050405020304" pitchFamily="18" charset="0"/>
              <a:cs typeface="Times New Roman" panose="02020603050405020304" pitchFamily="18" charset="0"/>
            </a:rPr>
            <a:t>Nâng cao chất lượng LMS để hỗ trợ các đối tượng khác nhau</a:t>
          </a:r>
        </a:p>
      </dgm:t>
    </dgm:pt>
    <dgm:pt modelId="{2D4D3784-0557-4F7E-9E50-2954C3847FBB}" type="parTrans" cxnId="{03081703-51E8-40C0-82B5-961216A1DD29}">
      <dgm:prSet/>
      <dgm:spPr/>
      <dgm:t>
        <a:bodyPr/>
        <a:lstStyle/>
        <a:p>
          <a:endParaRPr lang="en-US">
            <a:latin typeface="Times New Roman" panose="02020603050405020304" pitchFamily="18" charset="0"/>
            <a:cs typeface="Times New Roman" panose="02020603050405020304" pitchFamily="18" charset="0"/>
          </a:endParaRPr>
        </a:p>
      </dgm:t>
    </dgm:pt>
    <dgm:pt modelId="{99E3585F-89BC-4CB5-A58A-8939848DD297}" type="sibTrans" cxnId="{03081703-51E8-40C0-82B5-961216A1DD29}">
      <dgm:prSet/>
      <dgm:spPr/>
      <dgm:t>
        <a:bodyPr/>
        <a:lstStyle/>
        <a:p>
          <a:endParaRPr lang="en-US">
            <a:latin typeface="Times New Roman" panose="02020603050405020304" pitchFamily="18" charset="0"/>
            <a:cs typeface="Times New Roman" panose="02020603050405020304" pitchFamily="18" charset="0"/>
          </a:endParaRPr>
        </a:p>
      </dgm:t>
    </dgm:pt>
    <dgm:pt modelId="{3A7D097E-277B-4023-B877-8BC2EBDACCA2}">
      <dgm:prSet/>
      <dgm:spPr/>
      <dgm:t>
        <a:bodyPr/>
        <a:lstStyle/>
        <a:p>
          <a:r>
            <a:rPr lang="en-US">
              <a:latin typeface="Times New Roman" panose="02020603050405020304" pitchFamily="18" charset="0"/>
              <a:cs typeface="Times New Roman" panose="02020603050405020304" pitchFamily="18" charset="0"/>
            </a:rPr>
            <a:t>Công cụ tương tác đa dạng </a:t>
          </a:r>
        </a:p>
      </dgm:t>
    </dgm:pt>
    <dgm:pt modelId="{5D919587-97D5-43D2-8042-C71F21AA1DC2}" type="parTrans" cxnId="{25F21A4E-C63A-43F2-8A7C-F07F3FBA1271}">
      <dgm:prSet/>
      <dgm:spPr/>
      <dgm:t>
        <a:bodyPr/>
        <a:lstStyle/>
        <a:p>
          <a:endParaRPr lang="en-US">
            <a:latin typeface="Times New Roman" panose="02020603050405020304" pitchFamily="18" charset="0"/>
            <a:cs typeface="Times New Roman" panose="02020603050405020304" pitchFamily="18" charset="0"/>
          </a:endParaRPr>
        </a:p>
      </dgm:t>
    </dgm:pt>
    <dgm:pt modelId="{B5D1A8E2-E2DE-48C2-B5A7-74FE77EDCE83}" type="sibTrans" cxnId="{25F21A4E-C63A-43F2-8A7C-F07F3FBA1271}">
      <dgm:prSet/>
      <dgm:spPr/>
      <dgm:t>
        <a:bodyPr/>
        <a:lstStyle/>
        <a:p>
          <a:endParaRPr lang="en-US">
            <a:latin typeface="Times New Roman" panose="02020603050405020304" pitchFamily="18" charset="0"/>
            <a:cs typeface="Times New Roman" panose="02020603050405020304" pitchFamily="18" charset="0"/>
          </a:endParaRPr>
        </a:p>
      </dgm:t>
    </dgm:pt>
    <dgm:pt modelId="{5A775E38-A29A-457E-BFA4-5345B4BB1D87}">
      <dgm:prSet/>
      <dgm:spPr/>
      <dgm:t>
        <a:bodyPr/>
        <a:lstStyle/>
        <a:p>
          <a:r>
            <a:rPr lang="en-US">
              <a:latin typeface="Times New Roman" panose="02020603050405020304" pitchFamily="18" charset="0"/>
              <a:cs typeface="Times New Roman" panose="02020603050405020304" pitchFamily="18" charset="0"/>
            </a:rPr>
            <a:t>Hiểu rõ hơn về hành vi, hiệu suất và mức độ tương tác của người học</a:t>
          </a:r>
        </a:p>
      </dgm:t>
    </dgm:pt>
    <dgm:pt modelId="{1F947C5B-B5E0-410D-8B0D-3E77BE1DF9FF}" type="parTrans" cxnId="{65A063C9-C530-44EF-9636-DC2A41C735FE}">
      <dgm:prSet/>
      <dgm:spPr/>
      <dgm:t>
        <a:bodyPr/>
        <a:lstStyle/>
        <a:p>
          <a:endParaRPr lang="en-US">
            <a:latin typeface="Times New Roman" panose="02020603050405020304" pitchFamily="18" charset="0"/>
            <a:cs typeface="Times New Roman" panose="02020603050405020304" pitchFamily="18" charset="0"/>
          </a:endParaRPr>
        </a:p>
      </dgm:t>
    </dgm:pt>
    <dgm:pt modelId="{1E3412A4-25AA-4235-9169-362253A63B23}" type="sibTrans" cxnId="{65A063C9-C530-44EF-9636-DC2A41C735FE}">
      <dgm:prSet/>
      <dgm:spPr/>
      <dgm:t>
        <a:bodyPr/>
        <a:lstStyle/>
        <a:p>
          <a:endParaRPr lang="en-US">
            <a:latin typeface="Times New Roman" panose="02020603050405020304" pitchFamily="18" charset="0"/>
            <a:cs typeface="Times New Roman" panose="02020603050405020304" pitchFamily="18" charset="0"/>
          </a:endParaRPr>
        </a:p>
      </dgm:t>
    </dgm:pt>
    <dgm:pt modelId="{C0092CB0-D052-412E-A7C8-6064D9B8FE1F}">
      <dgm:prSet/>
      <dgm:spPr/>
      <dgm:t>
        <a:bodyPr/>
        <a:lstStyle/>
        <a:p>
          <a:r>
            <a:rPr lang="en-US">
              <a:latin typeface="Times New Roman" panose="02020603050405020304" pitchFamily="18" charset="0"/>
              <a:cs typeface="Times New Roman" panose="02020603050405020304" pitchFamily="18" charset="0"/>
            </a:rPr>
            <a:t>T8ang cường sự tham gia và trải nghiệm học tập của cá nhân</a:t>
          </a:r>
        </a:p>
      </dgm:t>
    </dgm:pt>
    <dgm:pt modelId="{8EC6F0F6-CF6B-4F8C-9AE9-0C603084F050}" type="parTrans" cxnId="{C50AD79E-2EEE-478C-A0D8-EC92F5ABCF7A}">
      <dgm:prSet/>
      <dgm:spPr/>
      <dgm:t>
        <a:bodyPr/>
        <a:lstStyle/>
        <a:p>
          <a:endParaRPr lang="en-US">
            <a:latin typeface="Times New Roman" panose="02020603050405020304" pitchFamily="18" charset="0"/>
            <a:cs typeface="Times New Roman" panose="02020603050405020304" pitchFamily="18" charset="0"/>
          </a:endParaRPr>
        </a:p>
      </dgm:t>
    </dgm:pt>
    <dgm:pt modelId="{7D6B6562-61D2-480C-9AD9-93BAB2DBB760}" type="sibTrans" cxnId="{C50AD79E-2EEE-478C-A0D8-EC92F5ABCF7A}">
      <dgm:prSet/>
      <dgm:spPr/>
      <dgm:t>
        <a:bodyPr/>
        <a:lstStyle/>
        <a:p>
          <a:endParaRPr lang="en-US">
            <a:latin typeface="Times New Roman" panose="02020603050405020304" pitchFamily="18" charset="0"/>
            <a:cs typeface="Times New Roman" panose="02020603050405020304" pitchFamily="18" charset="0"/>
          </a:endParaRPr>
        </a:p>
      </dgm:t>
    </dgm:pt>
    <dgm:pt modelId="{BCAC06BE-8734-4EC0-8E64-A7B33EE0A187}" type="pres">
      <dgm:prSet presAssocID="{1164231C-9659-4A86-AA40-E6E7D147721E}" presName="Name0" presStyleCnt="0">
        <dgm:presLayoutVars>
          <dgm:dir/>
          <dgm:animLvl val="lvl"/>
          <dgm:resizeHandles val="exact"/>
        </dgm:presLayoutVars>
      </dgm:prSet>
      <dgm:spPr/>
      <dgm:t>
        <a:bodyPr/>
        <a:lstStyle/>
        <a:p>
          <a:endParaRPr lang="en-US"/>
        </a:p>
      </dgm:t>
    </dgm:pt>
    <dgm:pt modelId="{A4773547-3708-446E-8C42-9BC9985FE265}" type="pres">
      <dgm:prSet presAssocID="{1164231C-9659-4A86-AA40-E6E7D147721E}" presName="tSp" presStyleCnt="0"/>
      <dgm:spPr/>
    </dgm:pt>
    <dgm:pt modelId="{9EDC4B6D-E9CE-4C04-8390-1992709A5DEB}" type="pres">
      <dgm:prSet presAssocID="{1164231C-9659-4A86-AA40-E6E7D147721E}" presName="bSp" presStyleCnt="0"/>
      <dgm:spPr/>
    </dgm:pt>
    <dgm:pt modelId="{F6941F38-A218-441E-B76E-0D0EF084360F}" type="pres">
      <dgm:prSet presAssocID="{1164231C-9659-4A86-AA40-E6E7D147721E}" presName="process" presStyleCnt="0"/>
      <dgm:spPr/>
    </dgm:pt>
    <dgm:pt modelId="{A2C22CEF-151B-46CD-BBBF-214C6D52D76B}" type="pres">
      <dgm:prSet presAssocID="{B33F2A82-5F9D-4E2E-89D1-C22B931A47F5}" presName="composite1" presStyleCnt="0"/>
      <dgm:spPr/>
    </dgm:pt>
    <dgm:pt modelId="{56AC4439-4935-4C93-B78C-5546B02E6758}" type="pres">
      <dgm:prSet presAssocID="{B33F2A82-5F9D-4E2E-89D1-C22B931A47F5}" presName="dummyNode1" presStyleLbl="node1" presStyleIdx="0" presStyleCnt="7"/>
      <dgm:spPr/>
    </dgm:pt>
    <dgm:pt modelId="{564AC450-5D3B-4512-999C-D55DA07846A6}" type="pres">
      <dgm:prSet presAssocID="{B33F2A82-5F9D-4E2E-89D1-C22B931A47F5}" presName="childNode1" presStyleLbl="bgAcc1" presStyleIdx="0" presStyleCnt="7">
        <dgm:presLayoutVars>
          <dgm:bulletEnabled val="1"/>
        </dgm:presLayoutVars>
      </dgm:prSet>
      <dgm:spPr/>
      <dgm:t>
        <a:bodyPr/>
        <a:lstStyle/>
        <a:p>
          <a:endParaRPr lang="en-US"/>
        </a:p>
      </dgm:t>
    </dgm:pt>
    <dgm:pt modelId="{0431B94A-58ED-4B6D-86F4-DE028B3181A9}" type="pres">
      <dgm:prSet presAssocID="{B33F2A82-5F9D-4E2E-89D1-C22B931A47F5}" presName="childNode1tx" presStyleLbl="bgAcc1" presStyleIdx="0" presStyleCnt="7">
        <dgm:presLayoutVars>
          <dgm:bulletEnabled val="1"/>
        </dgm:presLayoutVars>
      </dgm:prSet>
      <dgm:spPr/>
      <dgm:t>
        <a:bodyPr/>
        <a:lstStyle/>
        <a:p>
          <a:endParaRPr lang="en-US"/>
        </a:p>
      </dgm:t>
    </dgm:pt>
    <dgm:pt modelId="{50C6BBD6-AF92-4126-91DF-1E6DEC9ED48E}" type="pres">
      <dgm:prSet presAssocID="{B33F2A82-5F9D-4E2E-89D1-C22B931A47F5}" presName="parentNode1" presStyleLbl="node1" presStyleIdx="0" presStyleCnt="7">
        <dgm:presLayoutVars>
          <dgm:chMax val="1"/>
          <dgm:bulletEnabled val="1"/>
        </dgm:presLayoutVars>
      </dgm:prSet>
      <dgm:spPr/>
      <dgm:t>
        <a:bodyPr/>
        <a:lstStyle/>
        <a:p>
          <a:endParaRPr lang="en-US"/>
        </a:p>
      </dgm:t>
    </dgm:pt>
    <dgm:pt modelId="{10CD8447-8B34-4F30-A464-F40A2A2A4A63}" type="pres">
      <dgm:prSet presAssocID="{B33F2A82-5F9D-4E2E-89D1-C22B931A47F5}" presName="connSite1" presStyleCnt="0"/>
      <dgm:spPr/>
    </dgm:pt>
    <dgm:pt modelId="{4D69DC99-66DC-4DE4-A94C-64F0DF38ED17}" type="pres">
      <dgm:prSet presAssocID="{68082474-F6FD-4D0C-B738-93C42F5373E4}" presName="Name9" presStyleLbl="sibTrans2D1" presStyleIdx="0" presStyleCnt="6"/>
      <dgm:spPr/>
      <dgm:t>
        <a:bodyPr/>
        <a:lstStyle/>
        <a:p>
          <a:endParaRPr lang="en-US"/>
        </a:p>
      </dgm:t>
    </dgm:pt>
    <dgm:pt modelId="{47E9A162-6674-4A69-A697-A2375B6A6687}" type="pres">
      <dgm:prSet presAssocID="{F5B210EF-0B5B-442E-B665-0957F5BD2FEA}" presName="composite2" presStyleCnt="0"/>
      <dgm:spPr/>
    </dgm:pt>
    <dgm:pt modelId="{3AC9B049-ABAD-49E4-9894-9CEC8745597E}" type="pres">
      <dgm:prSet presAssocID="{F5B210EF-0B5B-442E-B665-0957F5BD2FEA}" presName="dummyNode2" presStyleLbl="node1" presStyleIdx="0" presStyleCnt="7"/>
      <dgm:spPr/>
    </dgm:pt>
    <dgm:pt modelId="{A6E14F2E-7DBB-49B3-8838-1A7EB213A3A7}" type="pres">
      <dgm:prSet presAssocID="{F5B210EF-0B5B-442E-B665-0957F5BD2FEA}" presName="childNode2" presStyleLbl="bgAcc1" presStyleIdx="1" presStyleCnt="7">
        <dgm:presLayoutVars>
          <dgm:bulletEnabled val="1"/>
        </dgm:presLayoutVars>
      </dgm:prSet>
      <dgm:spPr/>
      <dgm:t>
        <a:bodyPr/>
        <a:lstStyle/>
        <a:p>
          <a:endParaRPr lang="en-US"/>
        </a:p>
      </dgm:t>
    </dgm:pt>
    <dgm:pt modelId="{AF10102D-0A28-49E7-85B9-0BFF27807C0B}" type="pres">
      <dgm:prSet presAssocID="{F5B210EF-0B5B-442E-B665-0957F5BD2FEA}" presName="childNode2tx" presStyleLbl="bgAcc1" presStyleIdx="1" presStyleCnt="7">
        <dgm:presLayoutVars>
          <dgm:bulletEnabled val="1"/>
        </dgm:presLayoutVars>
      </dgm:prSet>
      <dgm:spPr/>
      <dgm:t>
        <a:bodyPr/>
        <a:lstStyle/>
        <a:p>
          <a:endParaRPr lang="en-US"/>
        </a:p>
      </dgm:t>
    </dgm:pt>
    <dgm:pt modelId="{370ABB51-13BE-4CDF-B2F0-EC9C97E74285}" type="pres">
      <dgm:prSet presAssocID="{F5B210EF-0B5B-442E-B665-0957F5BD2FEA}" presName="parentNode2" presStyleLbl="node1" presStyleIdx="1" presStyleCnt="7">
        <dgm:presLayoutVars>
          <dgm:chMax val="0"/>
          <dgm:bulletEnabled val="1"/>
        </dgm:presLayoutVars>
      </dgm:prSet>
      <dgm:spPr/>
      <dgm:t>
        <a:bodyPr/>
        <a:lstStyle/>
        <a:p>
          <a:endParaRPr lang="en-US"/>
        </a:p>
      </dgm:t>
    </dgm:pt>
    <dgm:pt modelId="{3D4E4163-EE03-492A-8476-2774CBACC11F}" type="pres">
      <dgm:prSet presAssocID="{F5B210EF-0B5B-442E-B665-0957F5BD2FEA}" presName="connSite2" presStyleCnt="0"/>
      <dgm:spPr/>
    </dgm:pt>
    <dgm:pt modelId="{E378DFCF-F7E3-4C03-92C3-B2FBCC91C8E0}" type="pres">
      <dgm:prSet presAssocID="{AE8892EB-29C0-4807-BC4D-277CDAEE2C3D}" presName="Name18" presStyleLbl="sibTrans2D1" presStyleIdx="1" presStyleCnt="6"/>
      <dgm:spPr/>
      <dgm:t>
        <a:bodyPr/>
        <a:lstStyle/>
        <a:p>
          <a:endParaRPr lang="en-US"/>
        </a:p>
      </dgm:t>
    </dgm:pt>
    <dgm:pt modelId="{66C026CC-0660-41EE-8E20-F9147BC32BED}" type="pres">
      <dgm:prSet presAssocID="{238D788B-7D28-4E75-A1E0-B5456BCC03C9}" presName="composite1" presStyleCnt="0"/>
      <dgm:spPr/>
    </dgm:pt>
    <dgm:pt modelId="{C35AA90F-D7C8-43FF-834F-A7F8568CEA00}" type="pres">
      <dgm:prSet presAssocID="{238D788B-7D28-4E75-A1E0-B5456BCC03C9}" presName="dummyNode1" presStyleLbl="node1" presStyleIdx="1" presStyleCnt="7"/>
      <dgm:spPr/>
    </dgm:pt>
    <dgm:pt modelId="{D97EB28B-DB92-4A1C-8313-43DEC333E83D}" type="pres">
      <dgm:prSet presAssocID="{238D788B-7D28-4E75-A1E0-B5456BCC03C9}" presName="childNode1" presStyleLbl="bgAcc1" presStyleIdx="2" presStyleCnt="7">
        <dgm:presLayoutVars>
          <dgm:bulletEnabled val="1"/>
        </dgm:presLayoutVars>
      </dgm:prSet>
      <dgm:spPr/>
      <dgm:t>
        <a:bodyPr/>
        <a:lstStyle/>
        <a:p>
          <a:endParaRPr lang="en-US"/>
        </a:p>
      </dgm:t>
    </dgm:pt>
    <dgm:pt modelId="{7E9D3E6E-981B-4DCE-AF0B-A58A765214CA}" type="pres">
      <dgm:prSet presAssocID="{238D788B-7D28-4E75-A1E0-B5456BCC03C9}" presName="childNode1tx" presStyleLbl="bgAcc1" presStyleIdx="2" presStyleCnt="7">
        <dgm:presLayoutVars>
          <dgm:bulletEnabled val="1"/>
        </dgm:presLayoutVars>
      </dgm:prSet>
      <dgm:spPr/>
      <dgm:t>
        <a:bodyPr/>
        <a:lstStyle/>
        <a:p>
          <a:endParaRPr lang="en-US"/>
        </a:p>
      </dgm:t>
    </dgm:pt>
    <dgm:pt modelId="{12B7D75E-B0EE-4241-B19A-24239E0CB91C}" type="pres">
      <dgm:prSet presAssocID="{238D788B-7D28-4E75-A1E0-B5456BCC03C9}" presName="parentNode1" presStyleLbl="node1" presStyleIdx="2" presStyleCnt="7">
        <dgm:presLayoutVars>
          <dgm:chMax val="1"/>
          <dgm:bulletEnabled val="1"/>
        </dgm:presLayoutVars>
      </dgm:prSet>
      <dgm:spPr/>
      <dgm:t>
        <a:bodyPr/>
        <a:lstStyle/>
        <a:p>
          <a:endParaRPr lang="en-US"/>
        </a:p>
      </dgm:t>
    </dgm:pt>
    <dgm:pt modelId="{956DE33A-EB5B-4575-A8F5-3E86E841A5FD}" type="pres">
      <dgm:prSet presAssocID="{238D788B-7D28-4E75-A1E0-B5456BCC03C9}" presName="connSite1" presStyleCnt="0"/>
      <dgm:spPr/>
    </dgm:pt>
    <dgm:pt modelId="{21085E93-A3FF-4DE6-8B4B-05C2E7AF6C87}" type="pres">
      <dgm:prSet presAssocID="{139C88FD-E3AE-4587-A3C3-711C57ABD92A}" presName="Name9" presStyleLbl="sibTrans2D1" presStyleIdx="2" presStyleCnt="6"/>
      <dgm:spPr/>
      <dgm:t>
        <a:bodyPr/>
        <a:lstStyle/>
        <a:p>
          <a:endParaRPr lang="en-US"/>
        </a:p>
      </dgm:t>
    </dgm:pt>
    <dgm:pt modelId="{A3B5CB4B-D527-44B7-9255-FB90595EB42A}" type="pres">
      <dgm:prSet presAssocID="{0B09ECDF-8152-463E-8149-DBBC6ED93C78}" presName="composite2" presStyleCnt="0"/>
      <dgm:spPr/>
    </dgm:pt>
    <dgm:pt modelId="{58546CF2-51A1-4AD0-8F58-38A267F5E995}" type="pres">
      <dgm:prSet presAssocID="{0B09ECDF-8152-463E-8149-DBBC6ED93C78}" presName="dummyNode2" presStyleLbl="node1" presStyleIdx="2" presStyleCnt="7"/>
      <dgm:spPr/>
    </dgm:pt>
    <dgm:pt modelId="{71D2F088-30C1-4633-BB88-0F444A4CFEBB}" type="pres">
      <dgm:prSet presAssocID="{0B09ECDF-8152-463E-8149-DBBC6ED93C78}" presName="childNode2" presStyleLbl="bgAcc1" presStyleIdx="3" presStyleCnt="7">
        <dgm:presLayoutVars>
          <dgm:bulletEnabled val="1"/>
        </dgm:presLayoutVars>
      </dgm:prSet>
      <dgm:spPr/>
      <dgm:t>
        <a:bodyPr/>
        <a:lstStyle/>
        <a:p>
          <a:endParaRPr lang="en-US"/>
        </a:p>
      </dgm:t>
    </dgm:pt>
    <dgm:pt modelId="{29B4B8EA-36BC-4EBB-A321-93BC6814FBE8}" type="pres">
      <dgm:prSet presAssocID="{0B09ECDF-8152-463E-8149-DBBC6ED93C78}" presName="childNode2tx" presStyleLbl="bgAcc1" presStyleIdx="3" presStyleCnt="7">
        <dgm:presLayoutVars>
          <dgm:bulletEnabled val="1"/>
        </dgm:presLayoutVars>
      </dgm:prSet>
      <dgm:spPr/>
      <dgm:t>
        <a:bodyPr/>
        <a:lstStyle/>
        <a:p>
          <a:endParaRPr lang="en-US"/>
        </a:p>
      </dgm:t>
    </dgm:pt>
    <dgm:pt modelId="{A6707F41-5E7D-41B7-A478-F942323A35D0}" type="pres">
      <dgm:prSet presAssocID="{0B09ECDF-8152-463E-8149-DBBC6ED93C78}" presName="parentNode2" presStyleLbl="node1" presStyleIdx="3" presStyleCnt="7">
        <dgm:presLayoutVars>
          <dgm:chMax val="0"/>
          <dgm:bulletEnabled val="1"/>
        </dgm:presLayoutVars>
      </dgm:prSet>
      <dgm:spPr/>
      <dgm:t>
        <a:bodyPr/>
        <a:lstStyle/>
        <a:p>
          <a:endParaRPr lang="en-US"/>
        </a:p>
      </dgm:t>
    </dgm:pt>
    <dgm:pt modelId="{001541B9-4DBA-42D8-B250-BDDB5CBFFED5}" type="pres">
      <dgm:prSet presAssocID="{0B09ECDF-8152-463E-8149-DBBC6ED93C78}" presName="connSite2" presStyleCnt="0"/>
      <dgm:spPr/>
    </dgm:pt>
    <dgm:pt modelId="{359BAC86-683A-42B9-86FE-7046614EC2F6}" type="pres">
      <dgm:prSet presAssocID="{20C20F4C-D5D3-4787-8CC9-C678504BECFE}" presName="Name18" presStyleLbl="sibTrans2D1" presStyleIdx="3" presStyleCnt="6"/>
      <dgm:spPr/>
      <dgm:t>
        <a:bodyPr/>
        <a:lstStyle/>
        <a:p>
          <a:endParaRPr lang="en-US"/>
        </a:p>
      </dgm:t>
    </dgm:pt>
    <dgm:pt modelId="{B77732B1-5EF0-49A3-9444-F1D971A9FB6F}" type="pres">
      <dgm:prSet presAssocID="{AE861868-8A7A-489B-9C4B-A2448D9BB686}" presName="composite1" presStyleCnt="0"/>
      <dgm:spPr/>
    </dgm:pt>
    <dgm:pt modelId="{F03125DF-21A6-4FD4-AE5D-0572F0DA2BBB}" type="pres">
      <dgm:prSet presAssocID="{AE861868-8A7A-489B-9C4B-A2448D9BB686}" presName="dummyNode1" presStyleLbl="node1" presStyleIdx="3" presStyleCnt="7"/>
      <dgm:spPr/>
    </dgm:pt>
    <dgm:pt modelId="{6F39A8D3-BCCF-44D5-8E3B-EEC970D8AB59}" type="pres">
      <dgm:prSet presAssocID="{AE861868-8A7A-489B-9C4B-A2448D9BB686}" presName="childNode1" presStyleLbl="bgAcc1" presStyleIdx="4" presStyleCnt="7">
        <dgm:presLayoutVars>
          <dgm:bulletEnabled val="1"/>
        </dgm:presLayoutVars>
      </dgm:prSet>
      <dgm:spPr/>
      <dgm:t>
        <a:bodyPr/>
        <a:lstStyle/>
        <a:p>
          <a:endParaRPr lang="en-US"/>
        </a:p>
      </dgm:t>
    </dgm:pt>
    <dgm:pt modelId="{BCF0E924-B89A-4594-8258-8F202D9D8068}" type="pres">
      <dgm:prSet presAssocID="{AE861868-8A7A-489B-9C4B-A2448D9BB686}" presName="childNode1tx" presStyleLbl="bgAcc1" presStyleIdx="4" presStyleCnt="7">
        <dgm:presLayoutVars>
          <dgm:bulletEnabled val="1"/>
        </dgm:presLayoutVars>
      </dgm:prSet>
      <dgm:spPr/>
      <dgm:t>
        <a:bodyPr/>
        <a:lstStyle/>
        <a:p>
          <a:endParaRPr lang="en-US"/>
        </a:p>
      </dgm:t>
    </dgm:pt>
    <dgm:pt modelId="{2CF30EDA-57D5-4E98-A364-60474D4DE0A3}" type="pres">
      <dgm:prSet presAssocID="{AE861868-8A7A-489B-9C4B-A2448D9BB686}" presName="parentNode1" presStyleLbl="node1" presStyleIdx="4" presStyleCnt="7">
        <dgm:presLayoutVars>
          <dgm:chMax val="1"/>
          <dgm:bulletEnabled val="1"/>
        </dgm:presLayoutVars>
      </dgm:prSet>
      <dgm:spPr/>
      <dgm:t>
        <a:bodyPr/>
        <a:lstStyle/>
        <a:p>
          <a:endParaRPr lang="en-US"/>
        </a:p>
      </dgm:t>
    </dgm:pt>
    <dgm:pt modelId="{393B9D8B-B81A-40A6-BA48-370B3327E250}" type="pres">
      <dgm:prSet presAssocID="{AE861868-8A7A-489B-9C4B-A2448D9BB686}" presName="connSite1" presStyleCnt="0"/>
      <dgm:spPr/>
    </dgm:pt>
    <dgm:pt modelId="{CEE0AC83-EE1C-428B-8133-34F06E13712A}" type="pres">
      <dgm:prSet presAssocID="{4F312C11-431F-49C5-B8FC-3F62252D9CC9}" presName="Name9" presStyleLbl="sibTrans2D1" presStyleIdx="4" presStyleCnt="6"/>
      <dgm:spPr/>
      <dgm:t>
        <a:bodyPr/>
        <a:lstStyle/>
        <a:p>
          <a:endParaRPr lang="en-US"/>
        </a:p>
      </dgm:t>
    </dgm:pt>
    <dgm:pt modelId="{9DC95155-99AF-4C2F-94FF-C7B8F74F41E8}" type="pres">
      <dgm:prSet presAssocID="{EC3F9F9B-EA0A-49C3-876E-6CB5F23A67AA}" presName="composite2" presStyleCnt="0"/>
      <dgm:spPr/>
    </dgm:pt>
    <dgm:pt modelId="{A19FCDCD-5CF4-4EC4-96C7-B3A70030A640}" type="pres">
      <dgm:prSet presAssocID="{EC3F9F9B-EA0A-49C3-876E-6CB5F23A67AA}" presName="dummyNode2" presStyleLbl="node1" presStyleIdx="4" presStyleCnt="7"/>
      <dgm:spPr/>
    </dgm:pt>
    <dgm:pt modelId="{C6CA6F5E-94E9-4B18-80C9-0439A2B4AC09}" type="pres">
      <dgm:prSet presAssocID="{EC3F9F9B-EA0A-49C3-876E-6CB5F23A67AA}" presName="childNode2" presStyleLbl="bgAcc1" presStyleIdx="5" presStyleCnt="7">
        <dgm:presLayoutVars>
          <dgm:bulletEnabled val="1"/>
        </dgm:presLayoutVars>
      </dgm:prSet>
      <dgm:spPr/>
      <dgm:t>
        <a:bodyPr/>
        <a:lstStyle/>
        <a:p>
          <a:endParaRPr lang="en-US"/>
        </a:p>
      </dgm:t>
    </dgm:pt>
    <dgm:pt modelId="{746B4AB8-16A9-4C69-9555-12D2F5E7FCA0}" type="pres">
      <dgm:prSet presAssocID="{EC3F9F9B-EA0A-49C3-876E-6CB5F23A67AA}" presName="childNode2tx" presStyleLbl="bgAcc1" presStyleIdx="5" presStyleCnt="7">
        <dgm:presLayoutVars>
          <dgm:bulletEnabled val="1"/>
        </dgm:presLayoutVars>
      </dgm:prSet>
      <dgm:spPr/>
      <dgm:t>
        <a:bodyPr/>
        <a:lstStyle/>
        <a:p>
          <a:endParaRPr lang="en-US"/>
        </a:p>
      </dgm:t>
    </dgm:pt>
    <dgm:pt modelId="{59F6CD94-7D35-474F-B988-C2D3CA4677D0}" type="pres">
      <dgm:prSet presAssocID="{EC3F9F9B-EA0A-49C3-876E-6CB5F23A67AA}" presName="parentNode2" presStyleLbl="node1" presStyleIdx="5" presStyleCnt="7">
        <dgm:presLayoutVars>
          <dgm:chMax val="0"/>
          <dgm:bulletEnabled val="1"/>
        </dgm:presLayoutVars>
      </dgm:prSet>
      <dgm:spPr/>
      <dgm:t>
        <a:bodyPr/>
        <a:lstStyle/>
        <a:p>
          <a:endParaRPr lang="en-US"/>
        </a:p>
      </dgm:t>
    </dgm:pt>
    <dgm:pt modelId="{7202448D-DE59-488C-8FBB-AC775DFC267D}" type="pres">
      <dgm:prSet presAssocID="{EC3F9F9B-EA0A-49C3-876E-6CB5F23A67AA}" presName="connSite2" presStyleCnt="0"/>
      <dgm:spPr/>
    </dgm:pt>
    <dgm:pt modelId="{8D9F5EEB-F804-478E-9FFF-2381E8B4367C}" type="pres">
      <dgm:prSet presAssocID="{8677B1C7-3F0C-486F-8A30-03422DE4F5A0}" presName="Name18" presStyleLbl="sibTrans2D1" presStyleIdx="5" presStyleCnt="6"/>
      <dgm:spPr/>
      <dgm:t>
        <a:bodyPr/>
        <a:lstStyle/>
        <a:p>
          <a:endParaRPr lang="en-US"/>
        </a:p>
      </dgm:t>
    </dgm:pt>
    <dgm:pt modelId="{43401355-9525-4A14-854A-C392E52AF53E}" type="pres">
      <dgm:prSet presAssocID="{191A06D0-04D5-42BF-A04F-404FD4B55B44}" presName="composite1" presStyleCnt="0"/>
      <dgm:spPr/>
    </dgm:pt>
    <dgm:pt modelId="{85C852DE-BB09-41AA-83A1-1CBA44B0ABA4}" type="pres">
      <dgm:prSet presAssocID="{191A06D0-04D5-42BF-A04F-404FD4B55B44}" presName="dummyNode1" presStyleLbl="node1" presStyleIdx="5" presStyleCnt="7"/>
      <dgm:spPr/>
    </dgm:pt>
    <dgm:pt modelId="{4BA2FE52-59E2-4F6F-8DD3-B968111AFFC6}" type="pres">
      <dgm:prSet presAssocID="{191A06D0-04D5-42BF-A04F-404FD4B55B44}" presName="childNode1" presStyleLbl="bgAcc1" presStyleIdx="6" presStyleCnt="7">
        <dgm:presLayoutVars>
          <dgm:bulletEnabled val="1"/>
        </dgm:presLayoutVars>
      </dgm:prSet>
      <dgm:spPr/>
      <dgm:t>
        <a:bodyPr/>
        <a:lstStyle/>
        <a:p>
          <a:endParaRPr lang="en-US"/>
        </a:p>
      </dgm:t>
    </dgm:pt>
    <dgm:pt modelId="{7516F6E7-12BD-49F6-837D-22F62CE39254}" type="pres">
      <dgm:prSet presAssocID="{191A06D0-04D5-42BF-A04F-404FD4B55B44}" presName="childNode1tx" presStyleLbl="bgAcc1" presStyleIdx="6" presStyleCnt="7">
        <dgm:presLayoutVars>
          <dgm:bulletEnabled val="1"/>
        </dgm:presLayoutVars>
      </dgm:prSet>
      <dgm:spPr/>
      <dgm:t>
        <a:bodyPr/>
        <a:lstStyle/>
        <a:p>
          <a:endParaRPr lang="en-US"/>
        </a:p>
      </dgm:t>
    </dgm:pt>
    <dgm:pt modelId="{6CECB4C3-D841-4182-812F-72961F358986}" type="pres">
      <dgm:prSet presAssocID="{191A06D0-04D5-42BF-A04F-404FD4B55B44}" presName="parentNode1" presStyleLbl="node1" presStyleIdx="6" presStyleCnt="7">
        <dgm:presLayoutVars>
          <dgm:chMax val="1"/>
          <dgm:bulletEnabled val="1"/>
        </dgm:presLayoutVars>
      </dgm:prSet>
      <dgm:spPr/>
      <dgm:t>
        <a:bodyPr/>
        <a:lstStyle/>
        <a:p>
          <a:endParaRPr lang="en-US"/>
        </a:p>
      </dgm:t>
    </dgm:pt>
    <dgm:pt modelId="{C1B1D4E3-3B0A-4BB8-A633-8AC1634E39A2}" type="pres">
      <dgm:prSet presAssocID="{191A06D0-04D5-42BF-A04F-404FD4B55B44}" presName="connSite1" presStyleCnt="0"/>
      <dgm:spPr/>
    </dgm:pt>
  </dgm:ptLst>
  <dgm:cxnLst>
    <dgm:cxn modelId="{8E1BC512-7215-4C6E-ADE4-782A6A9A3704}" type="presOf" srcId="{EC7ECD03-629D-4E1F-9AD9-E700BF763D4D}" destId="{D97EB28B-DB92-4A1C-8313-43DEC333E83D}" srcOrd="0" destOrd="0" presId="urn:microsoft.com/office/officeart/2005/8/layout/hProcess4"/>
    <dgm:cxn modelId="{CD1D0A4A-CDCB-46B4-B1B1-49F55E087D13}" type="presOf" srcId="{191A06D0-04D5-42BF-A04F-404FD4B55B44}" destId="{6CECB4C3-D841-4182-812F-72961F358986}" srcOrd="0" destOrd="0" presId="urn:microsoft.com/office/officeart/2005/8/layout/hProcess4"/>
    <dgm:cxn modelId="{65A063C9-C530-44EF-9636-DC2A41C735FE}" srcId="{AE861868-8A7A-489B-9C4B-A2448D9BB686}" destId="{5A775E38-A29A-457E-BFA4-5345B4BB1D87}" srcOrd="0" destOrd="0" parTransId="{1F947C5B-B5E0-410D-8B0D-3E77BE1DF9FF}" sibTransId="{1E3412A4-25AA-4235-9169-362253A63B23}"/>
    <dgm:cxn modelId="{540BD467-A329-4B76-86D7-A82FF8CB2126}" srcId="{B33F2A82-5F9D-4E2E-89D1-C22B931A47F5}" destId="{1C2F0DB7-9AE4-40E5-A8BE-B5E62A604FBC}" srcOrd="0" destOrd="0" parTransId="{D0F17B11-9572-43EB-A2F4-85470395FAED}" sibTransId="{FE7DED1E-FCE6-4DA2-BCC7-32A0215C80A5}"/>
    <dgm:cxn modelId="{BFA7C573-A7E4-4072-B876-D20C0CC2A1FB}" srcId="{F5B210EF-0B5B-442E-B665-0957F5BD2FEA}" destId="{68EBBE12-6215-47C6-93D5-662DC652B867}" srcOrd="0" destOrd="0" parTransId="{1C13DE0D-6F17-4BE7-906D-635AB1830AC2}" sibTransId="{FA08314C-6355-48ED-9A8C-0686E9D03AD0}"/>
    <dgm:cxn modelId="{40AADE04-C605-45F8-93AF-DA0A070561FA}" type="presOf" srcId="{20C20F4C-D5D3-4787-8CC9-C678504BECFE}" destId="{359BAC86-683A-42B9-86FE-7046614EC2F6}" srcOrd="0" destOrd="0" presId="urn:microsoft.com/office/officeart/2005/8/layout/hProcess4"/>
    <dgm:cxn modelId="{A7F51867-0F6C-4378-AA97-2A9AAA7B298F}" srcId="{1164231C-9659-4A86-AA40-E6E7D147721E}" destId="{0B09ECDF-8152-463E-8149-DBBC6ED93C78}" srcOrd="3" destOrd="0" parTransId="{8F4945FB-30DE-402F-8690-4B5793E09929}" sibTransId="{20C20F4C-D5D3-4787-8CC9-C678504BECFE}"/>
    <dgm:cxn modelId="{7EC290A7-0EC3-4599-A40F-7D342AAEF657}" srcId="{1164231C-9659-4A86-AA40-E6E7D147721E}" destId="{B33F2A82-5F9D-4E2E-89D1-C22B931A47F5}" srcOrd="0" destOrd="0" parTransId="{8519BD33-303D-4353-B216-1746A116C7B6}" sibTransId="{68082474-F6FD-4D0C-B738-93C42F5373E4}"/>
    <dgm:cxn modelId="{03081703-51E8-40C0-82B5-961216A1DD29}" srcId="{238D788B-7D28-4E75-A1E0-B5456BCC03C9}" destId="{EC7ECD03-629D-4E1F-9AD9-E700BF763D4D}" srcOrd="0" destOrd="0" parTransId="{2D4D3784-0557-4F7E-9E50-2954C3847FBB}" sibTransId="{99E3585F-89BC-4CB5-A58A-8939848DD297}"/>
    <dgm:cxn modelId="{66D8B015-77F6-4658-8617-A5FB6E933970}" type="presOf" srcId="{68EBBE12-6215-47C6-93D5-662DC652B867}" destId="{A6E14F2E-7DBB-49B3-8838-1A7EB213A3A7}" srcOrd="0" destOrd="0" presId="urn:microsoft.com/office/officeart/2005/8/layout/hProcess4"/>
    <dgm:cxn modelId="{FE864828-8161-4679-9D7D-8628B3EDDDE9}" srcId="{1164231C-9659-4A86-AA40-E6E7D147721E}" destId="{191A06D0-04D5-42BF-A04F-404FD4B55B44}" srcOrd="6" destOrd="0" parTransId="{D11E7312-CA77-48BC-B0F1-D91C6C2E4DAB}" sibTransId="{1E31E2D4-AD78-4988-B2BE-9DB3451312BA}"/>
    <dgm:cxn modelId="{4A48FEE4-749A-4E40-BA4A-B2E5968471BA}" type="presOf" srcId="{1164231C-9659-4A86-AA40-E6E7D147721E}" destId="{BCAC06BE-8734-4EC0-8E64-A7B33EE0A187}" srcOrd="0" destOrd="0" presId="urn:microsoft.com/office/officeart/2005/8/layout/hProcess4"/>
    <dgm:cxn modelId="{E4B6A01D-85D6-4990-8C0A-841E4763F563}" srcId="{1164231C-9659-4A86-AA40-E6E7D147721E}" destId="{238D788B-7D28-4E75-A1E0-B5456BCC03C9}" srcOrd="2" destOrd="0" parTransId="{C84DFE95-11EC-41CF-8434-BFEB4E648241}" sibTransId="{139C88FD-E3AE-4587-A3C3-711C57ABD92A}"/>
    <dgm:cxn modelId="{B13B7C10-F355-4874-B801-1050C027CE2E}" type="presOf" srcId="{0B09ECDF-8152-463E-8149-DBBC6ED93C78}" destId="{A6707F41-5E7D-41B7-A478-F942323A35D0}" srcOrd="0" destOrd="0" presId="urn:microsoft.com/office/officeart/2005/8/layout/hProcess4"/>
    <dgm:cxn modelId="{4BDC481D-982D-453D-9992-59D4E5D4F0EC}" type="presOf" srcId="{3A7D097E-277B-4023-B877-8BC2EBDACCA2}" destId="{29B4B8EA-36BC-4EBB-A321-93BC6814FBE8}" srcOrd="1" destOrd="0" presId="urn:microsoft.com/office/officeart/2005/8/layout/hProcess4"/>
    <dgm:cxn modelId="{09B8A095-E1B0-44D2-8D50-D6D23E91A17A}" type="presOf" srcId="{8677B1C7-3F0C-486F-8A30-03422DE4F5A0}" destId="{8D9F5EEB-F804-478E-9FFF-2381E8B4367C}" srcOrd="0" destOrd="0" presId="urn:microsoft.com/office/officeart/2005/8/layout/hProcess4"/>
    <dgm:cxn modelId="{489BB525-5ADC-4DE1-A7ED-6856CA60B633}" srcId="{1164231C-9659-4A86-AA40-E6E7D147721E}" destId="{F5B210EF-0B5B-442E-B665-0957F5BD2FEA}" srcOrd="1" destOrd="0" parTransId="{18B83389-7B6F-4AC9-ABBF-C7F3AA19AF8A}" sibTransId="{AE8892EB-29C0-4807-BC4D-277CDAEE2C3D}"/>
    <dgm:cxn modelId="{7F8E645D-9612-4F3A-A71A-031D24BC7A5C}" type="presOf" srcId="{1C2F0DB7-9AE4-40E5-A8BE-B5E62A604FBC}" destId="{564AC450-5D3B-4512-999C-D55DA07846A6}" srcOrd="0" destOrd="0" presId="urn:microsoft.com/office/officeart/2005/8/layout/hProcess4"/>
    <dgm:cxn modelId="{B45500E3-A839-49C8-8B44-16FADA0D60C5}" type="presOf" srcId="{5A775E38-A29A-457E-BFA4-5345B4BB1D87}" destId="{6F39A8D3-BCCF-44D5-8E3B-EEC970D8AB59}" srcOrd="0" destOrd="0" presId="urn:microsoft.com/office/officeart/2005/8/layout/hProcess4"/>
    <dgm:cxn modelId="{62171338-8D3E-40F8-8FC9-0D04A4C38C94}" type="presOf" srcId="{89ADCBF1-C364-4BEA-A7CD-009DE43A69CB}" destId="{4BA2FE52-59E2-4F6F-8DD3-B968111AFFC6}" srcOrd="0" destOrd="0" presId="urn:microsoft.com/office/officeart/2005/8/layout/hProcess4"/>
    <dgm:cxn modelId="{CFB309C4-D907-4D67-8C79-24E6CF58A851}" type="presOf" srcId="{C0092CB0-D052-412E-A7C8-6064D9B8FE1F}" destId="{746B4AB8-16A9-4C69-9555-12D2F5E7FCA0}" srcOrd="1" destOrd="0" presId="urn:microsoft.com/office/officeart/2005/8/layout/hProcess4"/>
    <dgm:cxn modelId="{19AF289C-DCDD-40C8-AE4F-4939B02D4B16}" type="presOf" srcId="{4F312C11-431F-49C5-B8FC-3F62252D9CC9}" destId="{CEE0AC83-EE1C-428B-8133-34F06E13712A}" srcOrd="0" destOrd="0" presId="urn:microsoft.com/office/officeart/2005/8/layout/hProcess4"/>
    <dgm:cxn modelId="{11858FBC-DFB2-4692-97B9-01CFB0C02F82}" type="presOf" srcId="{89ADCBF1-C364-4BEA-A7CD-009DE43A69CB}" destId="{7516F6E7-12BD-49F6-837D-22F62CE39254}" srcOrd="1" destOrd="0" presId="urn:microsoft.com/office/officeart/2005/8/layout/hProcess4"/>
    <dgm:cxn modelId="{27D2578B-4573-41DE-A049-D25E8C879740}" type="presOf" srcId="{139C88FD-E3AE-4587-A3C3-711C57ABD92A}" destId="{21085E93-A3FF-4DE6-8B4B-05C2E7AF6C87}" srcOrd="0" destOrd="0" presId="urn:microsoft.com/office/officeart/2005/8/layout/hProcess4"/>
    <dgm:cxn modelId="{5D11AA24-E983-4E6D-A3C2-5C1244AFF83B}" srcId="{191A06D0-04D5-42BF-A04F-404FD4B55B44}" destId="{89ADCBF1-C364-4BEA-A7CD-009DE43A69CB}" srcOrd="0" destOrd="0" parTransId="{93C021E7-A4B2-483C-9F93-88BE9C56B553}" sibTransId="{78E4C77B-E187-40CD-B600-209DD3635701}"/>
    <dgm:cxn modelId="{6AFEE5B6-DB7D-43FB-97DE-B322FA0D9ABC}" type="presOf" srcId="{C0092CB0-D052-412E-A7C8-6064D9B8FE1F}" destId="{C6CA6F5E-94E9-4B18-80C9-0439A2B4AC09}" srcOrd="0" destOrd="0" presId="urn:microsoft.com/office/officeart/2005/8/layout/hProcess4"/>
    <dgm:cxn modelId="{88430583-AF52-4730-8D4D-9209724F5AF6}" type="presOf" srcId="{68082474-F6FD-4D0C-B738-93C42F5373E4}" destId="{4D69DC99-66DC-4DE4-A94C-64F0DF38ED17}" srcOrd="0" destOrd="0" presId="urn:microsoft.com/office/officeart/2005/8/layout/hProcess4"/>
    <dgm:cxn modelId="{7E156FE0-21E9-4AB0-AE51-3325B9E9E74E}" type="presOf" srcId="{EC3F9F9B-EA0A-49C3-876E-6CB5F23A67AA}" destId="{59F6CD94-7D35-474F-B988-C2D3CA4677D0}" srcOrd="0" destOrd="0" presId="urn:microsoft.com/office/officeart/2005/8/layout/hProcess4"/>
    <dgm:cxn modelId="{C8DC90D9-17AD-446C-9B6A-E4BFA3160809}" type="presOf" srcId="{EC7ECD03-629D-4E1F-9AD9-E700BF763D4D}" destId="{7E9D3E6E-981B-4DCE-AF0B-A58A765214CA}" srcOrd="1" destOrd="0" presId="urn:microsoft.com/office/officeart/2005/8/layout/hProcess4"/>
    <dgm:cxn modelId="{EFD63470-1380-4667-A4E3-F63F08848FE7}" type="presOf" srcId="{1C2F0DB7-9AE4-40E5-A8BE-B5E62A604FBC}" destId="{0431B94A-58ED-4B6D-86F4-DE028B3181A9}" srcOrd="1" destOrd="0" presId="urn:microsoft.com/office/officeart/2005/8/layout/hProcess4"/>
    <dgm:cxn modelId="{C50AD79E-2EEE-478C-A0D8-EC92F5ABCF7A}" srcId="{EC3F9F9B-EA0A-49C3-876E-6CB5F23A67AA}" destId="{C0092CB0-D052-412E-A7C8-6064D9B8FE1F}" srcOrd="0" destOrd="0" parTransId="{8EC6F0F6-CF6B-4F8C-9AE9-0C603084F050}" sibTransId="{7D6B6562-61D2-480C-9AD9-93BAB2DBB760}"/>
    <dgm:cxn modelId="{0C26C5D7-B816-4952-BB48-6ACF39EBFB13}" type="presOf" srcId="{B33F2A82-5F9D-4E2E-89D1-C22B931A47F5}" destId="{50C6BBD6-AF92-4126-91DF-1E6DEC9ED48E}" srcOrd="0" destOrd="0" presId="urn:microsoft.com/office/officeart/2005/8/layout/hProcess4"/>
    <dgm:cxn modelId="{C8525EBC-9669-4345-8A15-A0AB05011677}" type="presOf" srcId="{3A7D097E-277B-4023-B877-8BC2EBDACCA2}" destId="{71D2F088-30C1-4633-BB88-0F444A4CFEBB}" srcOrd="0" destOrd="0" presId="urn:microsoft.com/office/officeart/2005/8/layout/hProcess4"/>
    <dgm:cxn modelId="{A547E823-AFB1-4855-9B43-3FC11B3443F0}" type="presOf" srcId="{F5B210EF-0B5B-442E-B665-0957F5BD2FEA}" destId="{370ABB51-13BE-4CDF-B2F0-EC9C97E74285}" srcOrd="0" destOrd="0" presId="urn:microsoft.com/office/officeart/2005/8/layout/hProcess4"/>
    <dgm:cxn modelId="{25F21A4E-C63A-43F2-8A7C-F07F3FBA1271}" srcId="{0B09ECDF-8152-463E-8149-DBBC6ED93C78}" destId="{3A7D097E-277B-4023-B877-8BC2EBDACCA2}" srcOrd="0" destOrd="0" parTransId="{5D919587-97D5-43D2-8042-C71F21AA1DC2}" sibTransId="{B5D1A8E2-E2DE-48C2-B5A7-74FE77EDCE83}"/>
    <dgm:cxn modelId="{7B8CED12-F170-4B03-AD8D-DA2AECCAC0B1}" type="presOf" srcId="{AE861868-8A7A-489B-9C4B-A2448D9BB686}" destId="{2CF30EDA-57D5-4E98-A364-60474D4DE0A3}" srcOrd="0" destOrd="0" presId="urn:microsoft.com/office/officeart/2005/8/layout/hProcess4"/>
    <dgm:cxn modelId="{900925BB-A81D-4EC6-B99C-0D5E3DE75AAC}" type="presOf" srcId="{5A775E38-A29A-457E-BFA4-5345B4BB1D87}" destId="{BCF0E924-B89A-4594-8258-8F202D9D8068}" srcOrd="1" destOrd="0" presId="urn:microsoft.com/office/officeart/2005/8/layout/hProcess4"/>
    <dgm:cxn modelId="{023004E6-A879-4663-A66C-8061B07D3A4D}" srcId="{1164231C-9659-4A86-AA40-E6E7D147721E}" destId="{EC3F9F9B-EA0A-49C3-876E-6CB5F23A67AA}" srcOrd="5" destOrd="0" parTransId="{F7F04B43-0894-46DA-A59A-AB1AE4C14F15}" sibTransId="{8677B1C7-3F0C-486F-8A30-03422DE4F5A0}"/>
    <dgm:cxn modelId="{A5D78C3E-2DA7-403B-A575-F828C0701B89}" type="presOf" srcId="{68EBBE12-6215-47C6-93D5-662DC652B867}" destId="{AF10102D-0A28-49E7-85B9-0BFF27807C0B}" srcOrd="1" destOrd="0" presId="urn:microsoft.com/office/officeart/2005/8/layout/hProcess4"/>
    <dgm:cxn modelId="{AA6C4F38-E36C-411A-BCA2-27C4E32F0D3F}" type="presOf" srcId="{AE8892EB-29C0-4807-BC4D-277CDAEE2C3D}" destId="{E378DFCF-F7E3-4C03-92C3-B2FBCC91C8E0}" srcOrd="0" destOrd="0" presId="urn:microsoft.com/office/officeart/2005/8/layout/hProcess4"/>
    <dgm:cxn modelId="{5AE6A6D8-7E5A-41B4-9C6B-3E2335CFC301}" type="presOf" srcId="{238D788B-7D28-4E75-A1E0-B5456BCC03C9}" destId="{12B7D75E-B0EE-4241-B19A-24239E0CB91C}" srcOrd="0" destOrd="0" presId="urn:microsoft.com/office/officeart/2005/8/layout/hProcess4"/>
    <dgm:cxn modelId="{CAC65089-D9C7-4A54-9DD2-73EADF514545}" srcId="{1164231C-9659-4A86-AA40-E6E7D147721E}" destId="{AE861868-8A7A-489B-9C4B-A2448D9BB686}" srcOrd="4" destOrd="0" parTransId="{92A35950-9807-4D6C-8BE7-5D0F92376515}" sibTransId="{4F312C11-431F-49C5-B8FC-3F62252D9CC9}"/>
    <dgm:cxn modelId="{7CFE27D9-24A3-4F4F-8226-48C9709A21FE}" type="presParOf" srcId="{BCAC06BE-8734-4EC0-8E64-A7B33EE0A187}" destId="{A4773547-3708-446E-8C42-9BC9985FE265}" srcOrd="0" destOrd="0" presId="urn:microsoft.com/office/officeart/2005/8/layout/hProcess4"/>
    <dgm:cxn modelId="{EDD7FFD9-9972-4ACD-AF5B-5AF457B9A163}" type="presParOf" srcId="{BCAC06BE-8734-4EC0-8E64-A7B33EE0A187}" destId="{9EDC4B6D-E9CE-4C04-8390-1992709A5DEB}" srcOrd="1" destOrd="0" presId="urn:microsoft.com/office/officeart/2005/8/layout/hProcess4"/>
    <dgm:cxn modelId="{821E7340-5383-4AEF-A596-4B7B61403834}" type="presParOf" srcId="{BCAC06BE-8734-4EC0-8E64-A7B33EE0A187}" destId="{F6941F38-A218-441E-B76E-0D0EF084360F}" srcOrd="2" destOrd="0" presId="urn:microsoft.com/office/officeart/2005/8/layout/hProcess4"/>
    <dgm:cxn modelId="{75DF3AED-68DE-4CD5-8372-BFEAB9EE384D}" type="presParOf" srcId="{F6941F38-A218-441E-B76E-0D0EF084360F}" destId="{A2C22CEF-151B-46CD-BBBF-214C6D52D76B}" srcOrd="0" destOrd="0" presId="urn:microsoft.com/office/officeart/2005/8/layout/hProcess4"/>
    <dgm:cxn modelId="{B0ACEAB1-D522-45B3-9B94-10A8FC181A3D}" type="presParOf" srcId="{A2C22CEF-151B-46CD-BBBF-214C6D52D76B}" destId="{56AC4439-4935-4C93-B78C-5546B02E6758}" srcOrd="0" destOrd="0" presId="urn:microsoft.com/office/officeart/2005/8/layout/hProcess4"/>
    <dgm:cxn modelId="{EBB67AC0-A6A7-4B80-8169-2D17CA860A46}" type="presParOf" srcId="{A2C22CEF-151B-46CD-BBBF-214C6D52D76B}" destId="{564AC450-5D3B-4512-999C-D55DA07846A6}" srcOrd="1" destOrd="0" presId="urn:microsoft.com/office/officeart/2005/8/layout/hProcess4"/>
    <dgm:cxn modelId="{3F796F84-9DCF-4752-A307-0133E9942BB3}" type="presParOf" srcId="{A2C22CEF-151B-46CD-BBBF-214C6D52D76B}" destId="{0431B94A-58ED-4B6D-86F4-DE028B3181A9}" srcOrd="2" destOrd="0" presId="urn:microsoft.com/office/officeart/2005/8/layout/hProcess4"/>
    <dgm:cxn modelId="{91718849-012F-42BF-B3F9-094942852FD5}" type="presParOf" srcId="{A2C22CEF-151B-46CD-BBBF-214C6D52D76B}" destId="{50C6BBD6-AF92-4126-91DF-1E6DEC9ED48E}" srcOrd="3" destOrd="0" presId="urn:microsoft.com/office/officeart/2005/8/layout/hProcess4"/>
    <dgm:cxn modelId="{2A7AAB34-B650-435C-8A5B-1A685E25B3F3}" type="presParOf" srcId="{A2C22CEF-151B-46CD-BBBF-214C6D52D76B}" destId="{10CD8447-8B34-4F30-A464-F40A2A2A4A63}" srcOrd="4" destOrd="0" presId="urn:microsoft.com/office/officeart/2005/8/layout/hProcess4"/>
    <dgm:cxn modelId="{B12A0E77-1E3D-402F-8557-8240AE7B9116}" type="presParOf" srcId="{F6941F38-A218-441E-B76E-0D0EF084360F}" destId="{4D69DC99-66DC-4DE4-A94C-64F0DF38ED17}" srcOrd="1" destOrd="0" presId="urn:microsoft.com/office/officeart/2005/8/layout/hProcess4"/>
    <dgm:cxn modelId="{199B205C-B653-47C6-91FF-7539C5972C99}" type="presParOf" srcId="{F6941F38-A218-441E-B76E-0D0EF084360F}" destId="{47E9A162-6674-4A69-A697-A2375B6A6687}" srcOrd="2" destOrd="0" presId="urn:microsoft.com/office/officeart/2005/8/layout/hProcess4"/>
    <dgm:cxn modelId="{BC457CD1-C15F-4D4E-8638-2A12750C9F50}" type="presParOf" srcId="{47E9A162-6674-4A69-A697-A2375B6A6687}" destId="{3AC9B049-ABAD-49E4-9894-9CEC8745597E}" srcOrd="0" destOrd="0" presId="urn:microsoft.com/office/officeart/2005/8/layout/hProcess4"/>
    <dgm:cxn modelId="{48BB2C3F-2F68-42B6-AA5A-1E7871B12A09}" type="presParOf" srcId="{47E9A162-6674-4A69-A697-A2375B6A6687}" destId="{A6E14F2E-7DBB-49B3-8838-1A7EB213A3A7}" srcOrd="1" destOrd="0" presId="urn:microsoft.com/office/officeart/2005/8/layout/hProcess4"/>
    <dgm:cxn modelId="{27120AD2-5537-4A4F-8427-680EB58B3573}" type="presParOf" srcId="{47E9A162-6674-4A69-A697-A2375B6A6687}" destId="{AF10102D-0A28-49E7-85B9-0BFF27807C0B}" srcOrd="2" destOrd="0" presId="urn:microsoft.com/office/officeart/2005/8/layout/hProcess4"/>
    <dgm:cxn modelId="{139D6A2D-3EA9-45EE-A9E8-BEC3BCA0C2C3}" type="presParOf" srcId="{47E9A162-6674-4A69-A697-A2375B6A6687}" destId="{370ABB51-13BE-4CDF-B2F0-EC9C97E74285}" srcOrd="3" destOrd="0" presId="urn:microsoft.com/office/officeart/2005/8/layout/hProcess4"/>
    <dgm:cxn modelId="{865F0912-481D-4616-8F16-2C02056DB8A6}" type="presParOf" srcId="{47E9A162-6674-4A69-A697-A2375B6A6687}" destId="{3D4E4163-EE03-492A-8476-2774CBACC11F}" srcOrd="4" destOrd="0" presId="urn:microsoft.com/office/officeart/2005/8/layout/hProcess4"/>
    <dgm:cxn modelId="{B80AE9E9-6794-495E-A875-9E077141824C}" type="presParOf" srcId="{F6941F38-A218-441E-B76E-0D0EF084360F}" destId="{E378DFCF-F7E3-4C03-92C3-B2FBCC91C8E0}" srcOrd="3" destOrd="0" presId="urn:microsoft.com/office/officeart/2005/8/layout/hProcess4"/>
    <dgm:cxn modelId="{EDD25274-2EAA-4118-87DD-9E0AEAB1B9CA}" type="presParOf" srcId="{F6941F38-A218-441E-B76E-0D0EF084360F}" destId="{66C026CC-0660-41EE-8E20-F9147BC32BED}" srcOrd="4" destOrd="0" presId="urn:microsoft.com/office/officeart/2005/8/layout/hProcess4"/>
    <dgm:cxn modelId="{78F63AE0-142E-4962-9466-F1AD5CAE36CF}" type="presParOf" srcId="{66C026CC-0660-41EE-8E20-F9147BC32BED}" destId="{C35AA90F-D7C8-43FF-834F-A7F8568CEA00}" srcOrd="0" destOrd="0" presId="urn:microsoft.com/office/officeart/2005/8/layout/hProcess4"/>
    <dgm:cxn modelId="{1E9AC8F9-2E68-4713-8AF6-E9768C791B7A}" type="presParOf" srcId="{66C026CC-0660-41EE-8E20-F9147BC32BED}" destId="{D97EB28B-DB92-4A1C-8313-43DEC333E83D}" srcOrd="1" destOrd="0" presId="urn:microsoft.com/office/officeart/2005/8/layout/hProcess4"/>
    <dgm:cxn modelId="{7B111907-FD34-482D-972E-D8AD76790D42}" type="presParOf" srcId="{66C026CC-0660-41EE-8E20-F9147BC32BED}" destId="{7E9D3E6E-981B-4DCE-AF0B-A58A765214CA}" srcOrd="2" destOrd="0" presId="urn:microsoft.com/office/officeart/2005/8/layout/hProcess4"/>
    <dgm:cxn modelId="{B71E3479-FC63-4866-9AEF-74D22DE09D12}" type="presParOf" srcId="{66C026CC-0660-41EE-8E20-F9147BC32BED}" destId="{12B7D75E-B0EE-4241-B19A-24239E0CB91C}" srcOrd="3" destOrd="0" presId="urn:microsoft.com/office/officeart/2005/8/layout/hProcess4"/>
    <dgm:cxn modelId="{F56ED3A6-25CF-42F0-B104-4ED08E1D49E3}" type="presParOf" srcId="{66C026CC-0660-41EE-8E20-F9147BC32BED}" destId="{956DE33A-EB5B-4575-A8F5-3E86E841A5FD}" srcOrd="4" destOrd="0" presId="urn:microsoft.com/office/officeart/2005/8/layout/hProcess4"/>
    <dgm:cxn modelId="{AEB1246A-A4CF-481C-9656-A3AEE0E057CF}" type="presParOf" srcId="{F6941F38-A218-441E-B76E-0D0EF084360F}" destId="{21085E93-A3FF-4DE6-8B4B-05C2E7AF6C87}" srcOrd="5" destOrd="0" presId="urn:microsoft.com/office/officeart/2005/8/layout/hProcess4"/>
    <dgm:cxn modelId="{65721087-AA06-49C3-AA65-358126E666F1}" type="presParOf" srcId="{F6941F38-A218-441E-B76E-0D0EF084360F}" destId="{A3B5CB4B-D527-44B7-9255-FB90595EB42A}" srcOrd="6" destOrd="0" presId="urn:microsoft.com/office/officeart/2005/8/layout/hProcess4"/>
    <dgm:cxn modelId="{3DD8FA3E-D76E-4358-A55D-89B55911A4E8}" type="presParOf" srcId="{A3B5CB4B-D527-44B7-9255-FB90595EB42A}" destId="{58546CF2-51A1-4AD0-8F58-38A267F5E995}" srcOrd="0" destOrd="0" presId="urn:microsoft.com/office/officeart/2005/8/layout/hProcess4"/>
    <dgm:cxn modelId="{C946677A-4795-4C9F-B85B-52091686DC53}" type="presParOf" srcId="{A3B5CB4B-D527-44B7-9255-FB90595EB42A}" destId="{71D2F088-30C1-4633-BB88-0F444A4CFEBB}" srcOrd="1" destOrd="0" presId="urn:microsoft.com/office/officeart/2005/8/layout/hProcess4"/>
    <dgm:cxn modelId="{B4E530AD-8BF1-4A26-BC4D-BEFAC11391B2}" type="presParOf" srcId="{A3B5CB4B-D527-44B7-9255-FB90595EB42A}" destId="{29B4B8EA-36BC-4EBB-A321-93BC6814FBE8}" srcOrd="2" destOrd="0" presId="urn:microsoft.com/office/officeart/2005/8/layout/hProcess4"/>
    <dgm:cxn modelId="{D355CCBD-9AFE-4B3A-866F-8C0460D274AB}" type="presParOf" srcId="{A3B5CB4B-D527-44B7-9255-FB90595EB42A}" destId="{A6707F41-5E7D-41B7-A478-F942323A35D0}" srcOrd="3" destOrd="0" presId="urn:microsoft.com/office/officeart/2005/8/layout/hProcess4"/>
    <dgm:cxn modelId="{7FA74701-F857-44C9-B3EF-01C0635BD998}" type="presParOf" srcId="{A3B5CB4B-D527-44B7-9255-FB90595EB42A}" destId="{001541B9-4DBA-42D8-B250-BDDB5CBFFED5}" srcOrd="4" destOrd="0" presId="urn:microsoft.com/office/officeart/2005/8/layout/hProcess4"/>
    <dgm:cxn modelId="{7BA717E7-2A43-4210-A1D5-2D4E69345220}" type="presParOf" srcId="{F6941F38-A218-441E-B76E-0D0EF084360F}" destId="{359BAC86-683A-42B9-86FE-7046614EC2F6}" srcOrd="7" destOrd="0" presId="urn:microsoft.com/office/officeart/2005/8/layout/hProcess4"/>
    <dgm:cxn modelId="{C4D69384-8F2E-497D-90CC-0ACE1729D6AE}" type="presParOf" srcId="{F6941F38-A218-441E-B76E-0D0EF084360F}" destId="{B77732B1-5EF0-49A3-9444-F1D971A9FB6F}" srcOrd="8" destOrd="0" presId="urn:microsoft.com/office/officeart/2005/8/layout/hProcess4"/>
    <dgm:cxn modelId="{B3848393-0521-47A0-BF81-DF2AE691C28C}" type="presParOf" srcId="{B77732B1-5EF0-49A3-9444-F1D971A9FB6F}" destId="{F03125DF-21A6-4FD4-AE5D-0572F0DA2BBB}" srcOrd="0" destOrd="0" presId="urn:microsoft.com/office/officeart/2005/8/layout/hProcess4"/>
    <dgm:cxn modelId="{36CA4AAD-8E82-4D0D-806D-67BE46B22B6E}" type="presParOf" srcId="{B77732B1-5EF0-49A3-9444-F1D971A9FB6F}" destId="{6F39A8D3-BCCF-44D5-8E3B-EEC970D8AB59}" srcOrd="1" destOrd="0" presId="urn:microsoft.com/office/officeart/2005/8/layout/hProcess4"/>
    <dgm:cxn modelId="{CDF00D94-CB63-4BC7-AB5D-1BFCD71CFB26}" type="presParOf" srcId="{B77732B1-5EF0-49A3-9444-F1D971A9FB6F}" destId="{BCF0E924-B89A-4594-8258-8F202D9D8068}" srcOrd="2" destOrd="0" presId="urn:microsoft.com/office/officeart/2005/8/layout/hProcess4"/>
    <dgm:cxn modelId="{5E9F2523-990C-48F6-938E-C31E2E73657A}" type="presParOf" srcId="{B77732B1-5EF0-49A3-9444-F1D971A9FB6F}" destId="{2CF30EDA-57D5-4E98-A364-60474D4DE0A3}" srcOrd="3" destOrd="0" presId="urn:microsoft.com/office/officeart/2005/8/layout/hProcess4"/>
    <dgm:cxn modelId="{13D5F96A-56A2-4913-9763-04429B0A55B3}" type="presParOf" srcId="{B77732B1-5EF0-49A3-9444-F1D971A9FB6F}" destId="{393B9D8B-B81A-40A6-BA48-370B3327E250}" srcOrd="4" destOrd="0" presId="urn:microsoft.com/office/officeart/2005/8/layout/hProcess4"/>
    <dgm:cxn modelId="{54565E7E-A7E7-4026-8B92-4DAA5CB67E23}" type="presParOf" srcId="{F6941F38-A218-441E-B76E-0D0EF084360F}" destId="{CEE0AC83-EE1C-428B-8133-34F06E13712A}" srcOrd="9" destOrd="0" presId="urn:microsoft.com/office/officeart/2005/8/layout/hProcess4"/>
    <dgm:cxn modelId="{1CBB368C-3E83-482B-8302-7611369EA1A6}" type="presParOf" srcId="{F6941F38-A218-441E-B76E-0D0EF084360F}" destId="{9DC95155-99AF-4C2F-94FF-C7B8F74F41E8}" srcOrd="10" destOrd="0" presId="urn:microsoft.com/office/officeart/2005/8/layout/hProcess4"/>
    <dgm:cxn modelId="{C951017C-3C80-44F7-9C1E-BBB60B448B88}" type="presParOf" srcId="{9DC95155-99AF-4C2F-94FF-C7B8F74F41E8}" destId="{A19FCDCD-5CF4-4EC4-96C7-B3A70030A640}" srcOrd="0" destOrd="0" presId="urn:microsoft.com/office/officeart/2005/8/layout/hProcess4"/>
    <dgm:cxn modelId="{0912A52F-1995-47D1-9C3B-472BDE904E02}" type="presParOf" srcId="{9DC95155-99AF-4C2F-94FF-C7B8F74F41E8}" destId="{C6CA6F5E-94E9-4B18-80C9-0439A2B4AC09}" srcOrd="1" destOrd="0" presId="urn:microsoft.com/office/officeart/2005/8/layout/hProcess4"/>
    <dgm:cxn modelId="{430C0CA0-041C-48B5-8444-38FA2C3CC1A3}" type="presParOf" srcId="{9DC95155-99AF-4C2F-94FF-C7B8F74F41E8}" destId="{746B4AB8-16A9-4C69-9555-12D2F5E7FCA0}" srcOrd="2" destOrd="0" presId="urn:microsoft.com/office/officeart/2005/8/layout/hProcess4"/>
    <dgm:cxn modelId="{7DD33ECE-145F-4E19-B4F0-10B240D1A248}" type="presParOf" srcId="{9DC95155-99AF-4C2F-94FF-C7B8F74F41E8}" destId="{59F6CD94-7D35-474F-B988-C2D3CA4677D0}" srcOrd="3" destOrd="0" presId="urn:microsoft.com/office/officeart/2005/8/layout/hProcess4"/>
    <dgm:cxn modelId="{C22726C5-2562-4CE6-8AE4-76909CB0CE89}" type="presParOf" srcId="{9DC95155-99AF-4C2F-94FF-C7B8F74F41E8}" destId="{7202448D-DE59-488C-8FBB-AC775DFC267D}" srcOrd="4" destOrd="0" presId="urn:microsoft.com/office/officeart/2005/8/layout/hProcess4"/>
    <dgm:cxn modelId="{9266307F-C624-488C-BC2B-8BA6A1CE447A}" type="presParOf" srcId="{F6941F38-A218-441E-B76E-0D0EF084360F}" destId="{8D9F5EEB-F804-478E-9FFF-2381E8B4367C}" srcOrd="11" destOrd="0" presId="urn:microsoft.com/office/officeart/2005/8/layout/hProcess4"/>
    <dgm:cxn modelId="{B96BB271-01F4-4523-88CB-B6539D7A718A}" type="presParOf" srcId="{F6941F38-A218-441E-B76E-0D0EF084360F}" destId="{43401355-9525-4A14-854A-C392E52AF53E}" srcOrd="12" destOrd="0" presId="urn:microsoft.com/office/officeart/2005/8/layout/hProcess4"/>
    <dgm:cxn modelId="{3664C9D8-7EF4-4DFD-B514-43F82DA698FC}" type="presParOf" srcId="{43401355-9525-4A14-854A-C392E52AF53E}" destId="{85C852DE-BB09-41AA-83A1-1CBA44B0ABA4}" srcOrd="0" destOrd="0" presId="urn:microsoft.com/office/officeart/2005/8/layout/hProcess4"/>
    <dgm:cxn modelId="{44D232C0-7445-4777-80A5-152BCD13217A}" type="presParOf" srcId="{43401355-9525-4A14-854A-C392E52AF53E}" destId="{4BA2FE52-59E2-4F6F-8DD3-B968111AFFC6}" srcOrd="1" destOrd="0" presId="urn:microsoft.com/office/officeart/2005/8/layout/hProcess4"/>
    <dgm:cxn modelId="{F7D91352-F082-4E81-A9CD-C357524824B7}" type="presParOf" srcId="{43401355-9525-4A14-854A-C392E52AF53E}" destId="{7516F6E7-12BD-49F6-837D-22F62CE39254}" srcOrd="2" destOrd="0" presId="urn:microsoft.com/office/officeart/2005/8/layout/hProcess4"/>
    <dgm:cxn modelId="{97668060-ACF5-4939-8701-D87EBE1DAF71}" type="presParOf" srcId="{43401355-9525-4A14-854A-C392E52AF53E}" destId="{6CECB4C3-D841-4182-812F-72961F358986}" srcOrd="3" destOrd="0" presId="urn:microsoft.com/office/officeart/2005/8/layout/hProcess4"/>
    <dgm:cxn modelId="{B0BC6261-1AB5-4D7C-935A-FC447FD398C8}" type="presParOf" srcId="{43401355-9525-4A14-854A-C392E52AF53E}" destId="{C1B1D4E3-3B0A-4BB8-A633-8AC1634E39A2}" srcOrd="4" destOrd="0" presId="urn:microsoft.com/office/officeart/2005/8/layout/hProcess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4AC450-5D3B-4512-999C-D55DA07846A6}">
      <dsp:nvSpPr>
        <dsp:cNvPr id="0" name=""/>
        <dsp:cNvSpPr/>
      </dsp:nvSpPr>
      <dsp:spPr>
        <a:xfrm>
          <a:off x="3368" y="388330"/>
          <a:ext cx="540395" cy="445713"/>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57150" lvl="1" indent="-57150" algn="l" defTabSz="222250">
            <a:lnSpc>
              <a:spcPct val="90000"/>
            </a:lnSpc>
            <a:spcBef>
              <a:spcPct val="0"/>
            </a:spcBef>
            <a:spcAft>
              <a:spcPct val="15000"/>
            </a:spcAft>
            <a:buChar char="••"/>
          </a:pPr>
          <a:r>
            <a:rPr lang="en-US" sz="500" kern="1200">
              <a:latin typeface="Times New Roman" panose="02020603050405020304" pitchFamily="18" charset="0"/>
              <a:cs typeface="Times New Roman" panose="02020603050405020304" pitchFamily="18" charset="0"/>
            </a:rPr>
            <a:t>Mở rộng băng thông và kết nối Internet</a:t>
          </a:r>
        </a:p>
      </dsp:txBody>
      <dsp:txXfrm>
        <a:off x="13625" y="398587"/>
        <a:ext cx="519881" cy="329689"/>
      </dsp:txXfrm>
    </dsp:sp>
    <dsp:sp modelId="{4D69DC99-66DC-4DE4-A94C-64F0DF38ED17}">
      <dsp:nvSpPr>
        <dsp:cNvPr id="0" name=""/>
        <dsp:cNvSpPr/>
      </dsp:nvSpPr>
      <dsp:spPr>
        <a:xfrm>
          <a:off x="273136" y="372657"/>
          <a:ext cx="775932" cy="775932"/>
        </a:xfrm>
        <a:prstGeom prst="leftCircularArrow">
          <a:avLst>
            <a:gd name="adj1" fmla="val 5458"/>
            <a:gd name="adj2" fmla="val 710521"/>
            <a:gd name="adj3" fmla="val 2486031"/>
            <a:gd name="adj4" fmla="val 9024489"/>
            <a:gd name="adj5" fmla="val 6367"/>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0C6BBD6-AF92-4126-91DF-1E6DEC9ED48E}">
      <dsp:nvSpPr>
        <dsp:cNvPr id="0" name=""/>
        <dsp:cNvSpPr/>
      </dsp:nvSpPr>
      <dsp:spPr>
        <a:xfrm>
          <a:off x="123456" y="738534"/>
          <a:ext cx="480351" cy="191019"/>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pPr>
          <a:r>
            <a:rPr lang="en-US" sz="500" kern="1200">
              <a:latin typeface="Times New Roman" panose="02020603050405020304" pitchFamily="18" charset="0"/>
              <a:cs typeface="Times New Roman" panose="02020603050405020304" pitchFamily="18" charset="0"/>
            </a:rPr>
            <a:t>Cơ sở hạ tầng</a:t>
          </a:r>
        </a:p>
      </dsp:txBody>
      <dsp:txXfrm>
        <a:off x="129051" y="744129"/>
        <a:ext cx="469161" cy="179829"/>
      </dsp:txXfrm>
    </dsp:sp>
    <dsp:sp modelId="{A6E14F2E-7DBB-49B3-8838-1A7EB213A3A7}">
      <dsp:nvSpPr>
        <dsp:cNvPr id="0" name=""/>
        <dsp:cNvSpPr/>
      </dsp:nvSpPr>
      <dsp:spPr>
        <a:xfrm>
          <a:off x="805460" y="388330"/>
          <a:ext cx="540395" cy="445713"/>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57150" lvl="1" indent="-57150" algn="l" defTabSz="222250">
            <a:lnSpc>
              <a:spcPct val="90000"/>
            </a:lnSpc>
            <a:spcBef>
              <a:spcPct val="0"/>
            </a:spcBef>
            <a:spcAft>
              <a:spcPct val="15000"/>
            </a:spcAft>
            <a:buChar char="••"/>
          </a:pPr>
          <a:r>
            <a:rPr lang="en-US" sz="500" kern="1200">
              <a:latin typeface="Times New Roman" panose="02020603050405020304" pitchFamily="18" charset="0"/>
              <a:cs typeface="Times New Roman" panose="02020603050405020304" pitchFamily="18" charset="0"/>
            </a:rPr>
            <a:t>Tài nguyên và xóa bỏ rào cản về địa lý</a:t>
          </a:r>
        </a:p>
      </dsp:txBody>
      <dsp:txXfrm>
        <a:off x="815717" y="494097"/>
        <a:ext cx="519881" cy="329689"/>
      </dsp:txXfrm>
    </dsp:sp>
    <dsp:sp modelId="{E378DFCF-F7E3-4C03-92C3-B2FBCC91C8E0}">
      <dsp:nvSpPr>
        <dsp:cNvPr id="0" name=""/>
        <dsp:cNvSpPr/>
      </dsp:nvSpPr>
      <dsp:spPr>
        <a:xfrm>
          <a:off x="1070724" y="56309"/>
          <a:ext cx="844982" cy="844982"/>
        </a:xfrm>
        <a:prstGeom prst="circularArrow">
          <a:avLst>
            <a:gd name="adj1" fmla="val 5012"/>
            <a:gd name="adj2" fmla="val 645184"/>
            <a:gd name="adj3" fmla="val 19179305"/>
            <a:gd name="adj4" fmla="val 12575511"/>
            <a:gd name="adj5" fmla="val 5847"/>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70ABB51-13BE-4CDF-B2F0-EC9C97E74285}">
      <dsp:nvSpPr>
        <dsp:cNvPr id="0" name=""/>
        <dsp:cNvSpPr/>
      </dsp:nvSpPr>
      <dsp:spPr>
        <a:xfrm>
          <a:off x="925548" y="292820"/>
          <a:ext cx="480351" cy="191019"/>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pPr>
          <a:r>
            <a:rPr lang="en-US" sz="500" kern="1200">
              <a:latin typeface="Times New Roman" panose="02020603050405020304" pitchFamily="18" charset="0"/>
              <a:cs typeface="Times New Roman" panose="02020603050405020304" pitchFamily="18" charset="0"/>
            </a:rPr>
            <a:t>Truy cập</a:t>
          </a:r>
        </a:p>
      </dsp:txBody>
      <dsp:txXfrm>
        <a:off x="931143" y="298415"/>
        <a:ext cx="469161" cy="179829"/>
      </dsp:txXfrm>
    </dsp:sp>
    <dsp:sp modelId="{D97EB28B-DB92-4A1C-8313-43DEC333E83D}">
      <dsp:nvSpPr>
        <dsp:cNvPr id="0" name=""/>
        <dsp:cNvSpPr/>
      </dsp:nvSpPr>
      <dsp:spPr>
        <a:xfrm>
          <a:off x="1607551" y="388330"/>
          <a:ext cx="540395" cy="445713"/>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57150" lvl="1" indent="-57150" algn="l" defTabSz="222250">
            <a:lnSpc>
              <a:spcPct val="90000"/>
            </a:lnSpc>
            <a:spcBef>
              <a:spcPct val="0"/>
            </a:spcBef>
            <a:spcAft>
              <a:spcPct val="15000"/>
            </a:spcAft>
            <a:buChar char="••"/>
          </a:pPr>
          <a:r>
            <a:rPr lang="en-US" sz="500" kern="1200">
              <a:latin typeface="Times New Roman" panose="02020603050405020304" pitchFamily="18" charset="0"/>
              <a:cs typeface="Times New Roman" panose="02020603050405020304" pitchFamily="18" charset="0"/>
            </a:rPr>
            <a:t>Nâng cao chất lượng LMS để hỗ trợ các đối tượng khác nhau</a:t>
          </a:r>
        </a:p>
      </dsp:txBody>
      <dsp:txXfrm>
        <a:off x="1617808" y="398587"/>
        <a:ext cx="519881" cy="329689"/>
      </dsp:txXfrm>
    </dsp:sp>
    <dsp:sp modelId="{21085E93-A3FF-4DE6-8B4B-05C2E7AF6C87}">
      <dsp:nvSpPr>
        <dsp:cNvPr id="0" name=""/>
        <dsp:cNvSpPr/>
      </dsp:nvSpPr>
      <dsp:spPr>
        <a:xfrm>
          <a:off x="1877318" y="372657"/>
          <a:ext cx="775932" cy="775932"/>
        </a:xfrm>
        <a:prstGeom prst="leftCircularArrow">
          <a:avLst>
            <a:gd name="adj1" fmla="val 5458"/>
            <a:gd name="adj2" fmla="val 710521"/>
            <a:gd name="adj3" fmla="val 2486031"/>
            <a:gd name="adj4" fmla="val 9024489"/>
            <a:gd name="adj5" fmla="val 6367"/>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2B7D75E-B0EE-4241-B19A-24239E0CB91C}">
      <dsp:nvSpPr>
        <dsp:cNvPr id="0" name=""/>
        <dsp:cNvSpPr/>
      </dsp:nvSpPr>
      <dsp:spPr>
        <a:xfrm>
          <a:off x="1727639" y="738534"/>
          <a:ext cx="480351" cy="191019"/>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pPr>
          <a:r>
            <a:rPr lang="en-US" sz="500" kern="1200">
              <a:latin typeface="Times New Roman" panose="02020603050405020304" pitchFamily="18" charset="0"/>
              <a:cs typeface="Times New Roman" panose="02020603050405020304" pitchFamily="18" charset="0"/>
            </a:rPr>
            <a:t>LMS</a:t>
          </a:r>
        </a:p>
      </dsp:txBody>
      <dsp:txXfrm>
        <a:off x="1733234" y="744129"/>
        <a:ext cx="469161" cy="179829"/>
      </dsp:txXfrm>
    </dsp:sp>
    <dsp:sp modelId="{71D2F088-30C1-4633-BB88-0F444A4CFEBB}">
      <dsp:nvSpPr>
        <dsp:cNvPr id="0" name=""/>
        <dsp:cNvSpPr/>
      </dsp:nvSpPr>
      <dsp:spPr>
        <a:xfrm>
          <a:off x="2409642" y="388330"/>
          <a:ext cx="540395" cy="445713"/>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57150" lvl="1" indent="-57150" algn="l" defTabSz="222250">
            <a:lnSpc>
              <a:spcPct val="90000"/>
            </a:lnSpc>
            <a:spcBef>
              <a:spcPct val="0"/>
            </a:spcBef>
            <a:spcAft>
              <a:spcPct val="15000"/>
            </a:spcAft>
            <a:buChar char="••"/>
          </a:pPr>
          <a:r>
            <a:rPr lang="en-US" sz="500" kern="1200">
              <a:latin typeface="Times New Roman" panose="02020603050405020304" pitchFamily="18" charset="0"/>
              <a:cs typeface="Times New Roman" panose="02020603050405020304" pitchFamily="18" charset="0"/>
            </a:rPr>
            <a:t>Công cụ tương tác đa dạng </a:t>
          </a:r>
        </a:p>
      </dsp:txBody>
      <dsp:txXfrm>
        <a:off x="2419899" y="494097"/>
        <a:ext cx="519881" cy="329689"/>
      </dsp:txXfrm>
    </dsp:sp>
    <dsp:sp modelId="{359BAC86-683A-42B9-86FE-7046614EC2F6}">
      <dsp:nvSpPr>
        <dsp:cNvPr id="0" name=""/>
        <dsp:cNvSpPr/>
      </dsp:nvSpPr>
      <dsp:spPr>
        <a:xfrm>
          <a:off x="2674906" y="56309"/>
          <a:ext cx="844982" cy="844982"/>
        </a:xfrm>
        <a:prstGeom prst="circularArrow">
          <a:avLst>
            <a:gd name="adj1" fmla="val 5012"/>
            <a:gd name="adj2" fmla="val 645184"/>
            <a:gd name="adj3" fmla="val 19179305"/>
            <a:gd name="adj4" fmla="val 12575511"/>
            <a:gd name="adj5" fmla="val 5847"/>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6707F41-5E7D-41B7-A478-F942323A35D0}">
      <dsp:nvSpPr>
        <dsp:cNvPr id="0" name=""/>
        <dsp:cNvSpPr/>
      </dsp:nvSpPr>
      <dsp:spPr>
        <a:xfrm>
          <a:off x="2529730" y="292820"/>
          <a:ext cx="480351" cy="191019"/>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pPr>
          <a:r>
            <a:rPr lang="en-US" sz="500" kern="1200">
              <a:latin typeface="Times New Roman" panose="02020603050405020304" pitchFamily="18" charset="0"/>
              <a:cs typeface="Times New Roman" panose="02020603050405020304" pitchFamily="18" charset="0"/>
            </a:rPr>
            <a:t>Giao tiếp</a:t>
          </a:r>
        </a:p>
      </dsp:txBody>
      <dsp:txXfrm>
        <a:off x="2535325" y="298415"/>
        <a:ext cx="469161" cy="179829"/>
      </dsp:txXfrm>
    </dsp:sp>
    <dsp:sp modelId="{6F39A8D3-BCCF-44D5-8E3B-EEC970D8AB59}">
      <dsp:nvSpPr>
        <dsp:cNvPr id="0" name=""/>
        <dsp:cNvSpPr/>
      </dsp:nvSpPr>
      <dsp:spPr>
        <a:xfrm>
          <a:off x="3211734" y="388330"/>
          <a:ext cx="540395" cy="445713"/>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57150" lvl="1" indent="-57150" algn="l" defTabSz="222250">
            <a:lnSpc>
              <a:spcPct val="90000"/>
            </a:lnSpc>
            <a:spcBef>
              <a:spcPct val="0"/>
            </a:spcBef>
            <a:spcAft>
              <a:spcPct val="15000"/>
            </a:spcAft>
            <a:buChar char="••"/>
          </a:pPr>
          <a:r>
            <a:rPr lang="en-US" sz="500" kern="1200">
              <a:latin typeface="Times New Roman" panose="02020603050405020304" pitchFamily="18" charset="0"/>
              <a:cs typeface="Times New Roman" panose="02020603050405020304" pitchFamily="18" charset="0"/>
            </a:rPr>
            <a:t>Hiểu rõ hơn về hành vi, hiệu suất và mức độ tương tác của người học</a:t>
          </a:r>
        </a:p>
      </dsp:txBody>
      <dsp:txXfrm>
        <a:off x="3221991" y="398587"/>
        <a:ext cx="519881" cy="329689"/>
      </dsp:txXfrm>
    </dsp:sp>
    <dsp:sp modelId="{CEE0AC83-EE1C-428B-8133-34F06E13712A}">
      <dsp:nvSpPr>
        <dsp:cNvPr id="0" name=""/>
        <dsp:cNvSpPr/>
      </dsp:nvSpPr>
      <dsp:spPr>
        <a:xfrm>
          <a:off x="3481501" y="372657"/>
          <a:ext cx="775932" cy="775932"/>
        </a:xfrm>
        <a:prstGeom prst="leftCircularArrow">
          <a:avLst>
            <a:gd name="adj1" fmla="val 5458"/>
            <a:gd name="adj2" fmla="val 710521"/>
            <a:gd name="adj3" fmla="val 2486031"/>
            <a:gd name="adj4" fmla="val 9024489"/>
            <a:gd name="adj5" fmla="val 6367"/>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CF30EDA-57D5-4E98-A364-60474D4DE0A3}">
      <dsp:nvSpPr>
        <dsp:cNvPr id="0" name=""/>
        <dsp:cNvSpPr/>
      </dsp:nvSpPr>
      <dsp:spPr>
        <a:xfrm>
          <a:off x="3331821" y="738534"/>
          <a:ext cx="480351" cy="191019"/>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pPr>
          <a:r>
            <a:rPr lang="en-US" sz="500" kern="1200">
              <a:latin typeface="Times New Roman" panose="02020603050405020304" pitchFamily="18" charset="0"/>
              <a:cs typeface="Times New Roman" panose="02020603050405020304" pitchFamily="18" charset="0"/>
            </a:rPr>
            <a:t>Phân tích dữ liệu</a:t>
          </a:r>
        </a:p>
      </dsp:txBody>
      <dsp:txXfrm>
        <a:off x="3337416" y="744129"/>
        <a:ext cx="469161" cy="179829"/>
      </dsp:txXfrm>
    </dsp:sp>
    <dsp:sp modelId="{C6CA6F5E-94E9-4B18-80C9-0439A2B4AC09}">
      <dsp:nvSpPr>
        <dsp:cNvPr id="0" name=""/>
        <dsp:cNvSpPr/>
      </dsp:nvSpPr>
      <dsp:spPr>
        <a:xfrm>
          <a:off x="4013825" y="388330"/>
          <a:ext cx="540395" cy="445713"/>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57150" lvl="1" indent="-57150" algn="l" defTabSz="222250">
            <a:lnSpc>
              <a:spcPct val="90000"/>
            </a:lnSpc>
            <a:spcBef>
              <a:spcPct val="0"/>
            </a:spcBef>
            <a:spcAft>
              <a:spcPct val="15000"/>
            </a:spcAft>
            <a:buChar char="••"/>
          </a:pPr>
          <a:r>
            <a:rPr lang="en-US" sz="500" kern="1200">
              <a:latin typeface="Times New Roman" panose="02020603050405020304" pitchFamily="18" charset="0"/>
              <a:cs typeface="Times New Roman" panose="02020603050405020304" pitchFamily="18" charset="0"/>
            </a:rPr>
            <a:t>T8ang cường sự tham gia và trải nghiệm học tập của cá nhân</a:t>
          </a:r>
        </a:p>
      </dsp:txBody>
      <dsp:txXfrm>
        <a:off x="4024082" y="494097"/>
        <a:ext cx="519881" cy="329689"/>
      </dsp:txXfrm>
    </dsp:sp>
    <dsp:sp modelId="{8D9F5EEB-F804-478E-9FFF-2381E8B4367C}">
      <dsp:nvSpPr>
        <dsp:cNvPr id="0" name=""/>
        <dsp:cNvSpPr/>
      </dsp:nvSpPr>
      <dsp:spPr>
        <a:xfrm>
          <a:off x="4279089" y="56309"/>
          <a:ext cx="844982" cy="844982"/>
        </a:xfrm>
        <a:prstGeom prst="circularArrow">
          <a:avLst>
            <a:gd name="adj1" fmla="val 5012"/>
            <a:gd name="adj2" fmla="val 645184"/>
            <a:gd name="adj3" fmla="val 19179305"/>
            <a:gd name="adj4" fmla="val 12575511"/>
            <a:gd name="adj5" fmla="val 5847"/>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9F6CD94-7D35-474F-B988-C2D3CA4677D0}">
      <dsp:nvSpPr>
        <dsp:cNvPr id="0" name=""/>
        <dsp:cNvSpPr/>
      </dsp:nvSpPr>
      <dsp:spPr>
        <a:xfrm>
          <a:off x="4133913" y="292820"/>
          <a:ext cx="480351" cy="191019"/>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pPr>
          <a:r>
            <a:rPr lang="en-US" sz="500" kern="1200">
              <a:latin typeface="Times New Roman" panose="02020603050405020304" pitchFamily="18" charset="0"/>
              <a:cs typeface="Times New Roman" panose="02020603050405020304" pitchFamily="18" charset="0"/>
            </a:rPr>
            <a:t>Trải nghiệm cá nhân</a:t>
          </a:r>
        </a:p>
      </dsp:txBody>
      <dsp:txXfrm>
        <a:off x="4139508" y="298415"/>
        <a:ext cx="469161" cy="179829"/>
      </dsp:txXfrm>
    </dsp:sp>
    <dsp:sp modelId="{4BA2FE52-59E2-4F6F-8DD3-B968111AFFC6}">
      <dsp:nvSpPr>
        <dsp:cNvPr id="0" name=""/>
        <dsp:cNvSpPr/>
      </dsp:nvSpPr>
      <dsp:spPr>
        <a:xfrm>
          <a:off x="4815916" y="388330"/>
          <a:ext cx="540395" cy="445713"/>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t" anchorCtr="0">
          <a:noAutofit/>
        </a:bodyPr>
        <a:lstStyle/>
        <a:p>
          <a:pPr marL="57150" lvl="1" indent="-57150" algn="l" defTabSz="222250">
            <a:lnSpc>
              <a:spcPct val="90000"/>
            </a:lnSpc>
            <a:spcBef>
              <a:spcPct val="0"/>
            </a:spcBef>
            <a:spcAft>
              <a:spcPct val="15000"/>
            </a:spcAft>
            <a:buChar char="••"/>
          </a:pPr>
          <a:r>
            <a:rPr lang="en-US" sz="500" kern="1200">
              <a:latin typeface="Times New Roman" panose="02020603050405020304" pitchFamily="18" charset="0"/>
              <a:cs typeface="Times New Roman" panose="02020603050405020304" pitchFamily="18" charset="0"/>
            </a:rPr>
            <a:t>Lựa chọn khóa học phát triển chuyên môn liên tục</a:t>
          </a:r>
        </a:p>
      </dsp:txBody>
      <dsp:txXfrm>
        <a:off x="4826173" y="398587"/>
        <a:ext cx="519881" cy="329689"/>
      </dsp:txXfrm>
    </dsp:sp>
    <dsp:sp modelId="{6CECB4C3-D841-4182-812F-72961F358986}">
      <dsp:nvSpPr>
        <dsp:cNvPr id="0" name=""/>
        <dsp:cNvSpPr/>
      </dsp:nvSpPr>
      <dsp:spPr>
        <a:xfrm>
          <a:off x="4936004" y="738534"/>
          <a:ext cx="480351" cy="191019"/>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pPr>
          <a:r>
            <a:rPr lang="en-US" sz="500" kern="1200">
              <a:latin typeface="Times New Roman" panose="02020603050405020304" pitchFamily="18" charset="0"/>
              <a:cs typeface="Times New Roman" panose="02020603050405020304" pitchFamily="18" charset="0"/>
            </a:rPr>
            <a:t>Học tập suốt đời</a:t>
          </a:r>
        </a:p>
        <a:p>
          <a:pPr lvl="0" algn="ctr" defTabSz="222250">
            <a:lnSpc>
              <a:spcPct val="90000"/>
            </a:lnSpc>
            <a:spcBef>
              <a:spcPct val="0"/>
            </a:spcBef>
            <a:spcAft>
              <a:spcPct val="35000"/>
            </a:spcAft>
          </a:pPr>
          <a:endParaRPr lang="en-US" sz="500" kern="1200">
            <a:latin typeface="Times New Roman" panose="02020603050405020304" pitchFamily="18" charset="0"/>
            <a:cs typeface="Times New Roman" panose="02020603050405020304" pitchFamily="18" charset="0"/>
          </a:endParaRPr>
        </a:p>
      </dsp:txBody>
      <dsp:txXfrm>
        <a:off x="4941599" y="744129"/>
        <a:ext cx="469161" cy="179829"/>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Cru81</b:Tag>
    <b:SourceType>Book</b:SourceType>
    <b:Guid>{3DDFDD37-FD51-46D7-BA75-8CB8A8524106}</b:Guid>
    <b:Author>
      <b:Author>
        <b:NameList>
          <b:Person>
            <b:Last>Cruchexki</b:Last>
            <b:First>V.A</b:First>
          </b:Person>
        </b:NameList>
      </b:Author>
    </b:Author>
    <b:Title>Những cơ sở của tâm lý học sư phạm, Tập 2</b:Title>
    <b:Year>1981</b:Year>
    <b:City>Hà Nội</b:City>
    <b:Publisher>NXB Giáo dục Hà Nội</b:Publisher>
    <b:RefOrder>19</b:RefOrder>
  </b:Source>
  <b:Source>
    <b:Tag>Cov94</b:Tag>
    <b:SourceType>Book</b:SourceType>
    <b:Guid>{E1AD6744-2E0A-4A27-97F1-E310ECDCB1E5}</b:Guid>
    <b:Author>
      <b:Author>
        <b:NameList>
          <b:Person>
            <b:Last>Covaliov</b:Last>
            <b:First>A.</b:First>
            <b:Middle>G</b:Middle>
          </b:Person>
        </b:NameList>
      </b:Author>
    </b:Author>
    <b:Title>Tâm lý học cá nhân</b:Title>
    <b:Year>1994</b:Year>
    <b:City>Hà Nội</b:City>
    <b:Publisher>NXB Giáo dục</b:Publisher>
    <b:RefOrder>20</b:RefOrder>
  </b:Source>
  <b:Source>
    <b:Tag>Thủ92</b:Tag>
    <b:SourceType>JournalArticle</b:SourceType>
    <b:Guid>{4C780183-E031-49B9-8009-1D1096FAFBD3}</b:Guid>
    <b:Title>Một số lý thuyết về hoạt động học tập</b:Title>
    <b:Year>1992</b:Year>
    <b:Author>
      <b:Author>
        <b:NameList>
          <b:Person>
            <b:Last>Thủy</b:Last>
            <b:First>T.T</b:First>
          </b:Person>
        </b:NameList>
      </b:Author>
    </b:Author>
    <b:JournalName>Tạp chí Nghiên cứu Giáo dục</b:JournalName>
    <b:Pages>4-6</b:Pages>
    <b:RefOrder>21</b:RefOrder>
  </b:Source>
  <b:Source>
    <b:Tag>Kix76</b:Tag>
    <b:SourceType>Book</b:SourceType>
    <b:Guid>{F4EAD2F0-FF82-4B69-9DF5-6457B4F66BFE}</b:Guid>
    <b:Author>
      <b:Author>
        <b:NameList>
          <b:Person>
            <b:Last>Kixegof</b:Last>
            <b:First>X.I</b:First>
          </b:Person>
        </b:NameList>
      </b:Author>
    </b:Author>
    <b:Title>Hình thành kỹ năng, kỹ xảo sư phạm cho sinh viên trong điều kiện của nền giáo dục đại học, Lê Khánh Bằng dịch</b:Title>
    <b:Year>1976</b:Year>
    <b:City>Hà Nội</b:City>
    <b:Publisher>Đại học Sư phạm Hà Nội</b:Publisher>
    <b:RefOrder>22</b:RefOrder>
  </b:Source>
  <b:Source>
    <b:Tag>Car92</b:Tag>
    <b:SourceType>JournalArticle</b:SourceType>
    <b:Guid>{480328B4-78D5-4F47-8DB3-3432CA6D67C8}</b:Guid>
    <b:Author>
      <b:Author>
        <b:NameList>
          <b:Person>
            <b:Last>Carole Myer</b:Last>
          </b:Person>
        </b:NameList>
      </b:Author>
    </b:Author>
    <b:Title>Core skills and Transfer in the youth traning scheme: A field study of trainee motor mechanics</b:Title>
    <b:JournalName>Journal of oraganizational behavior, Vol 13</b:JournalName>
    <b:Year>1992</b:Year>
    <b:Pages>625-632</b:Pages>
    <b:RefOrder>23</b:RefOrder>
  </b:Source>
  <b:Source>
    <b:Tag>Roy06</b:Tag>
    <b:SourceType>Book</b:SourceType>
    <b:Guid>{9D0685EB-1F0B-4C84-AB7D-355D8F671BED}</b:Guid>
    <b:Author>
      <b:Author>
        <b:NameList>
          <b:Person>
            <b:Last>Roy</b:Last>
            <b:First>Canning</b:First>
          </b:Person>
        </b:NameList>
      </b:Author>
    </b:Author>
    <b:Title>Review of Workplace Core skills: Delivery and Assessment, Research and Information services bulletin, No. 24</b:Title>
    <b:JournalName>Research and Information services bulletin, No. 24</b:JournalName>
    <b:Year>2006</b:Year>
    <b:Publisher>Scottish Qualifications Authority</b:Publisher>
    <b:RefOrder>24</b:RefOrder>
  </b:Source>
  <b:Source>
    <b:Tag>Zal07</b:Tag>
    <b:SourceType>JournalArticle</b:SourceType>
    <b:Guid>{AC69E980-2070-4BEA-A89F-152EF26F6BB8}</b:Guid>
    <b:Title>Core skills provision in Higher Education</b:Title>
    <b:Year>2007</b:Year>
    <b:Author>
      <b:Author>
        <b:NameList>
          <b:Person>
            <b:Last>Zalizan</b:Last>
            <b:First>Mohd</b:First>
          </b:Person>
        </b:NameList>
      </b:Author>
    </b:Author>
    <b:JournalName>Bulletin National higher education Research institute, Vol. 10</b:JournalName>
    <b:Pages>14</b:Pages>
    <b:RefOrder>4</b:RefOrder>
  </b:Source>
  <b:Source>
    <b:Tag>Ami161</b:Tag>
    <b:SourceType>ConferenceProceedings</b:SourceType>
    <b:Guid>{39F40344-48C2-4AAC-A4D9-96231F1E7261}</b:Guid>
    <b:Author>
      <b:Author>
        <b:NameList>
          <b:Person>
            <b:Last>Amin</b:Last>
            <b:First>Neghavati</b:First>
          </b:Person>
        </b:NameList>
      </b:Author>
    </b:Author>
    <b:Title>Core skills Training in a Teacher Training Programme</b:Title>
    <b:Year>2016</b:Year>
    <b:Pages>14-17</b:Pages>
    <b:ConferenceName>International Conference on Teaching and Learning English as an Additional Language, GlobELT</b:ConferenceName>
    <b:City>Antalya</b:City>
    <b:Publisher>Turkey</b:Publisher>
    <b:RefOrder>5</b:RefOrder>
  </b:Source>
  <b:Source>
    <b:Tag>Nhâ16</b:Tag>
    <b:SourceType>Book</b:SourceType>
    <b:Guid>{B5D71D6A-36B6-43E3-B15A-6EB9C3666482}</b:Guid>
    <b:Title>Cơ sở khoa học của giáo dục nghề nghiệp</b:Title>
    <b:Year>2016</b:Year>
    <b:Author>
      <b:Author>
        <b:NameList>
          <b:Person>
            <b:Last>Nhân</b:Last>
            <b:First>P.V</b:First>
            <b:Middle>và cộng sự</b:Middle>
          </b:Person>
        </b:NameList>
      </b:Author>
    </b:Author>
    <b:City>Hồ Chí Minh</b:City>
    <b:Publisher>NXB Đại học Quốc Gia TP. Hồ Chí Minh</b:Publisher>
    <b:RefOrder>25</b:RefOrder>
  </b:Source>
  <b:Source>
    <b:Tag>Mic14</b:Tag>
    <b:SourceType>Book</b:SourceType>
    <b:Guid>{E3DC608A-DB1B-42D9-85A6-CD3DA6557C45}</b:Guid>
    <b:Author>
      <b:Author>
        <b:NameList>
          <b:Person>
            <b:Last>Michael Fullan</b:Last>
            <b:First>Geoff</b:First>
            <b:Middle>Scott</b:Middle>
          </b:Person>
        </b:NameList>
      </b:Author>
    </b:Author>
    <b:Title>Education PLUS</b:Title>
    <b:Year>2014</b:Year>
    <b:City>Washington</b:City>
    <b:Publisher>Collaborative Impact SPC</b:Publisher>
    <b:RefOrder>26</b:RefOrder>
  </b:Source>
  <b:Source>
    <b:Tag>SQA13</b:Tag>
    <b:SourceType>Book</b:SourceType>
    <b:Guid>{CF43393B-9B56-4D3C-945B-5A85B580C1C1}</b:Guid>
    <b:Author>
      <b:Author>
        <b:NameList>
          <b:Person>
            <b:Last>SQA</b:Last>
          </b:Person>
        </b:NameList>
      </b:Author>
    </b:Author>
    <b:Title>Core skills framework: an Introduction</b:Title>
    <b:Year>2013</b:Year>
    <b:City>Midlothian</b:City>
    <b:Publisher>Scottish Qualifications Authority</b:Publisher>
    <b:RefOrder>27</b:RefOrder>
  </b:Source>
  <b:Source>
    <b:Tag>Vyg78</b:Tag>
    <b:SourceType>Book</b:SourceType>
    <b:Guid>{E92562A2-0A5C-4550-88EF-6F4CF3B4C889}</b:Guid>
    <b:Author>
      <b:Author>
        <b:NameList>
          <b:Person>
            <b:Last>Vygotsky</b:Last>
            <b:First>L.</b:First>
            <b:Middle>S.</b:Middle>
          </b:Person>
        </b:NameList>
      </b:Author>
    </b:Author>
    <b:Title>Mind in society: The development of higher Psychological processes</b:Title>
    <b:Year>1978</b:Year>
    <b:City>Cambridge</b:City>
    <b:Publisher>Havard University Press</b:Publisher>
    <b:RefOrder>28</b:RefOrder>
  </b:Source>
  <b:Source>
    <b:Tag>Ran10</b:Tag>
    <b:SourceType>JournalArticle</b:SourceType>
    <b:Guid>{31A24804-0508-4DF8-84E2-20788D532E2C}</b:Guid>
    <b:Title>Reconceptualizing interactional groups: Grouping schemes for maximizing language learning</b:Title>
    <b:Year>2010</b:Year>
    <b:Author>
      <b:Author>
        <b:NameList>
          <b:Person>
            <b:Last>Rance - Roney</b:Last>
            <b:First>J.A</b:First>
          </b:Person>
        </b:NameList>
      </b:Author>
    </b:Author>
    <b:JournalName>English Teching Forum, Vol. 48</b:JournalName>
    <b:Pages>20-26</b:Pages>
    <b:RefOrder>29</b:RefOrder>
  </b:Source>
  <b:Source>
    <b:Tag>Tho09</b:Tag>
    <b:SourceType>Book</b:SourceType>
    <b:Guid>{6308100D-E4D1-4176-98D4-7047B87CC197}</b:Guid>
    <b:Title>Training for Teamwork</b:Title>
    <b:Year>2009</b:Year>
    <b:Author>
      <b:Author>
        <b:NameList>
          <b:Person>
            <b:Last>Thomas</b:Last>
            <b:First>L.</b:First>
            <b:Middle>Delaura</b:Middle>
          </b:Person>
        </b:NameList>
      </b:Author>
    </b:Author>
    <b:City>Michigan</b:City>
    <b:Publisher>Westin Engineering of Michigan, IPP Semina</b:Publisher>
    <b:RefOrder>30</b:RefOrder>
  </b:Source>
  <b:Source>
    <b:Tag>Edu14</b:Tag>
    <b:SourceType>JournalArticle</b:SourceType>
    <b:Guid>{242EA7DE-92E9-4F77-A356-A742ED8B1A76}</b:Guid>
    <b:Title>Undestanding and Improving teamwork in organizations: a scientifically based practical guide</b:Title>
    <b:Year>2014</b:Year>
    <b:Author>
      <b:Author>
        <b:NameList>
          <b:Person>
            <b:Last>Eduardo Sales</b:Last>
            <b:First>Et</b:First>
            <b:Middle>al.</b:Middle>
          </b:Person>
        </b:NameList>
      </b:Author>
    </b:Author>
    <b:JournalName>Journal Human Resource Management, DOI: 10.1002/hrm.21628</b:JournalName>
    <b:RefOrder>31</b:RefOrder>
  </b:Source>
  <b:Source>
    <b:Tag>Lom00</b:Tag>
    <b:SourceType>Book</b:SourceType>
    <b:Guid>{462957E2-A40A-4322-9DBF-224607A47707}</b:Guid>
    <b:Author>
      <b:Author>
        <b:NameList>
          <b:Person>
            <b:Last>Lomov</b:Last>
            <b:First>B.Ph</b:First>
          </b:Person>
        </b:NameList>
      </b:Author>
    </b:Author>
    <b:Title>Những vấn đề lý luận và phương pháp luận tâm lý học</b:Title>
    <b:Year>2000</b:Year>
    <b:City>Hà Nội</b:City>
    <b:Publisher>NXB Đại học Quốc gia Hà Nội</b:Publisher>
    <b:RefOrder>32</b:RefOrder>
  </b:Source>
  <b:Source>
    <b:Tag>Pet82</b:Tag>
    <b:SourceType>Book</b:SourceType>
    <b:Guid>{17C2D079-8E0C-450F-B97F-C7DA5785D89E}</b:Guid>
    <b:Author>
      <b:Author>
        <b:NameList>
          <b:Person>
            <b:Last>Petrovski</b:Last>
          </b:Person>
        </b:NameList>
      </b:Author>
    </b:Author>
    <b:Title>Tâm lý học lứa tuổi và tâm lý học sư phạm (người dịch: Đỗ Văn)</b:Title>
    <b:Year>1982</b:Year>
    <b:City>Hà Nội</b:City>
    <b:Publisher>NXB Giáo dục</b:Publisher>
    <b:RefOrder>2</b:RefOrder>
  </b:Source>
  <b:Source>
    <b:Tag>Lut17</b:Tag>
    <b:SourceType>ConferenceProceedings</b:SourceType>
    <b:Guid>{A2C393EC-0827-41AA-BC4B-94E4DD56C2F6}</b:Guid>
    <b:Title>Developing Creative Thinking skills in Learning at Higher Educational Institution of teacher</b:Title>
    <b:Year>2017</b:Year>
    <b:Publisher>Published by Atlantic Press</b:Publisher>
    <b:Author>
      <b:Author>
        <b:NameList>
          <b:Person>
            <b:Last>Luthfiayh Nurela</b:Last>
          </b:Person>
        </b:NameList>
      </b:Author>
    </b:Author>
    <b:ConferenceName>The 3rd UPI International Conference on TVET</b:ConferenceName>
    <b:RefOrder>33</b:RefOrder>
  </b:Source>
  <b:Source>
    <b:Tag>Tor63</b:Tag>
    <b:SourceType>JournalArticle</b:SourceType>
    <b:Guid>{C896B1C6-A423-497B-B07D-A980D762E2A2}</b:Guid>
    <b:Title>Explotion in Creative Thinking in the early school years: A Progress report</b:Title>
    <b:Pages>173-183</b:Pages>
    <b:Year>1963</b:Year>
    <b:Author>
      <b:Author>
        <b:NameList>
          <b:Person>
            <b:Last>Torrance E.P</b:Last>
          </b:Person>
        </b:NameList>
      </b:Author>
    </b:Author>
    <b:JournalName>Scientific Creativity: Its recongnition and Development</b:JournalName>
    <b:RefOrder>34</b:RefOrder>
  </b:Source>
  <b:Source>
    <b:Tag>Kag91</b:Tag>
    <b:SourceType>Book</b:SourceType>
    <b:Guid>{5A1B596A-D69D-458B-A8F9-91DDA7B7B591}</b:Guid>
    <b:Author>
      <b:Author>
        <b:NameList>
          <b:Person>
            <b:Last>Kagayaki</b:Last>
            <b:First>Omizumi</b:First>
          </b:Person>
        </b:NameList>
      </b:Author>
    </b:Author>
    <b:Title>Phương pháp rèn luyện trí não</b:Title>
    <b:Year>1991</b:Year>
    <b:City>Hà Nội</b:City>
    <b:Publisher>NXB Thông tin</b:Publisher>
    <b:RefOrder>35</b:RefOrder>
  </b:Source>
  <b:Source>
    <b:Tag>Wor13</b:Tag>
    <b:SourceType>Report</b:SourceType>
    <b:Guid>{3339097E-3CA1-432A-BEC6-4BF45E9D851B}</b:Guid>
    <b:Title>Skilling up Vietnam: Preparing the workforce for a modern market economy. Vietnam development report 2014.</b:Title>
    <b:Year>2013</b:Year>
    <b:Publisher>https://documents.worldbank.org/en/publication/documents-reports/documentdetail/610301468176937722/main-report</b:Publisher>
    <b:Author>
      <b:Author>
        <b:NameList>
          <b:Person>
            <b:Last>W. J. B. Christian &amp; R. B. Magnusson</b:Last>
          </b:Person>
        </b:NameList>
      </b:Author>
    </b:Author>
    <b:RefOrder>36</b:RefOrder>
  </b:Source>
  <b:Source>
    <b:Tag>Việ03</b:Tag>
    <b:SourceType>Book</b:SourceType>
    <b:Guid>{3E19FD14-E308-49AC-8395-5ACC4D5D2A03}</b:Guid>
    <b:Author>
      <b:Author>
        <b:NameList>
          <b:Person>
            <b:Last>Viện ngôn ngữ học</b:Last>
          </b:Person>
        </b:NameList>
      </b:Author>
    </b:Author>
    <b:Title>Từ điển Tiếng Việt</b:Title>
    <b:Year>2003</b:Year>
    <b:City>Đà Nẵng</b:City>
    <b:Publisher>NXB Đà Nẵng</b:Publisher>
    <b:RefOrder>1</b:RefOrder>
  </b:Source>
  <b:Source>
    <b:Tag>Cru59</b:Tag>
    <b:SourceType>Book</b:SourceType>
    <b:Guid>{1C2515F5-5EF9-4D9B-BC9A-9843F14F0E03}</b:Guid>
    <b:Author>
      <b:Author>
        <b:NameList>
          <b:Person>
            <b:Last>Crupxkaia</b:Last>
            <b:First>N.K</b:First>
          </b:Person>
        </b:NameList>
      </b:Author>
    </b:Author>
    <b:Title>Tuyển tập sư phạm, Tập 6</b:Title>
    <b:Year>1959</b:Year>
    <b:Publisher>NXB Giáo dục</b:Publisher>
    <b:RefOrder>37</b:RefOrder>
  </b:Source>
  <b:Source>
    <b:Tag>Placeholder1</b:Tag>
    <b:SourceType>JournalArticle</b:SourceType>
    <b:Guid>{045A5853-FEDC-4127-89CF-EADB016A0519}</b:Guid>
    <b:Title>Một số lý thuyết về hoạt động học tập</b:Title>
    <b:Year>1992</b:Year>
    <b:Author>
      <b:Author>
        <b:NameList>
          <b:Person>
            <b:Last>Trần Trọng Thủy</b:Last>
          </b:Person>
        </b:NameList>
      </b:Author>
    </b:Author>
    <b:JournalName>Tạp chí Nghiên cứu Giáo dục, số 2</b:JournalName>
    <b:Pages>4-6</b:Pages>
    <b:RefOrder>3</b:RefOrder>
  </b:Source>
  <b:Source>
    <b:Tag>Tuấ111</b:Tag>
    <b:SourceType>Book</b:SourceType>
    <b:Guid>{48E5F8A0-22FD-41D0-809A-174E9845372D}</b:Guid>
    <b:Author>
      <b:Author>
        <b:NameList>
          <b:Person>
            <b:Last>Nguyễn Văn Tuấn</b:Last>
          </b:Person>
        </b:NameList>
      </b:Author>
    </b:Author>
    <b:Title>Phương pháp dạy học chuyên ngành kỹ thuật</b:Title>
    <b:Year>2012</b:Year>
    <b:City>Hồ Chí Minh</b:City>
    <b:Publisher>NXB Đại học Quốc Gia TP Hồ Chí Minh</b:Publisher>
    <b:RefOrder>11</b:RefOrder>
  </b:Source>
  <b:Source>
    <b:Tag>Ngọ17</b:Tag>
    <b:SourceType>Book</b:SourceType>
    <b:Guid>{12F26F93-0552-432B-81D7-C8512A42B470}</b:Guid>
    <b:Title>Nhập môn kỹ thuật</b:Title>
    <b:Year>2017</b:Year>
    <b:Author>
      <b:Author>
        <b:NameList>
          <b:Person>
            <b:Last>Phạm Tuấn Ngọc</b:Last>
            <b:First>Hồ</b:First>
            <b:Middle>Thị Thu Nga, Đỗ Thị Ngọc Khánh, Trần Đại Nguyên, Nguyễn Văn Tường, Nguyễn Minh Hà</b:Middle>
          </b:Person>
        </b:NameList>
      </b:Author>
    </b:Author>
    <b:City>Thành phố Hồ Chí Minh</b:City>
    <b:Publisher>NXB Đại học Quốc gia TP. Hồ Chí Minh</b:Publisher>
    <b:RefOrder>6</b:RefOrder>
  </b:Source>
  <b:Source>
    <b:Tag>Ber11</b:Tag>
    <b:SourceType>Book</b:SourceType>
    <b:Guid>{35FE2AC8-716F-40B8-B52A-CEF2BC70413E}</b:Guid>
    <b:Author>
      <b:Author>
        <b:NameList>
          <b:Person>
            <b:Last>Meier</b:Last>
            <b:First>B.,</b:First>
            <b:Middle>Nguyễn Văn Cường,</b:Middle>
          </b:Person>
        </b:NameList>
      </b:Author>
    </b:Author>
    <b:Title>Lý luận dạy học kỹ thuật</b:Title>
    <b:Year>2011</b:Year>
    <b:City>Berlin</b:City>
    <b:Publisher>ISBN 978-3-00-033972-1</b:Publisher>
    <b:RefOrder>38</b:RefOrder>
  </b:Source>
  <b:Source>
    <b:Tag>Sal10</b:Tag>
    <b:SourceType>JournalArticle</b:SourceType>
    <b:Guid>{C73F631D-3C5D-4DF7-A3CD-4CFDCBD80237}</b:Guid>
    <b:Author>
      <b:Author>
        <b:NameList>
          <b:Person>
            <b:Last>Male</b:Last>
            <b:First>S.</b:First>
            <b:Middle>A.</b:Middle>
          </b:Person>
        </b:NameList>
      </b:Author>
    </b:Author>
    <b:Title>Generic Engineering competencies: A review and Modelling Approach</b:Title>
    <b:JournalName>Education Research and Perspectives, Vol 37, No. 1</b:JournalName>
    <b:Year>2010</b:Year>
    <b:Pages>25-51</b:Pages>
    <b:RefOrder>7</b:RefOrder>
  </b:Source>
  <b:Source>
    <b:Tag>Mar06</b:Tag>
    <b:SourceType>JournalArticle</b:SourceType>
    <b:Guid>{8B8D9C52-603D-4109-951A-4BE3ABF84891}</b:Guid>
    <b:Author>
      <b:Author>
        <b:NameList>
          <b:Person>
            <b:Last>Markes</b:Last>
            <b:First>I.</b:First>
          </b:Person>
        </b:NameList>
      </b:Author>
    </b:Author>
    <b:Title>A review of literature on employability skill needs in engineering</b:Title>
    <b:JournalName>European Journal for Engineering Education, Vol 31, No. 6</b:JournalName>
    <b:Year>2006</b:Year>
    <b:Pages>637-650</b:Pages>
    <b:RefOrder>39</b:RefOrder>
  </b:Source>
  <b:Source>
    <b:Tag>Sav051</b:Tag>
    <b:SourceType>JournalArticle</b:SourceType>
    <b:Guid>{6F44AE04-A0DB-4312-BB87-3FFEB93680EB}</b:Guid>
    <b:Title>Details and Description of Industrial Engineering</b:Title>
    <b:Year>2005</b:Year>
    <b:Author>
      <b:Author>
        <b:NameList>
          <b:Person>
            <b:Last>Savory</b:Last>
            <b:First>P.</b:First>
          </b:Person>
        </b:NameList>
      </b:Author>
    </b:Author>
    <b:JournalName>Industrial and Management Systems Engineering Faculty Publications. Vol 33</b:JournalName>
    <b:Pages>1-12</b:Pages>
    <b:RefOrder>40</b:RefOrder>
  </b:Source>
  <b:Source>
    <b:Tag>Sae10</b:Tag>
    <b:SourceType>Book</b:SourceType>
    <b:Guid>{047D21D2-15EA-4043-B1F5-D89A2931812F}</b:Guid>
    <b:Author>
      <b:Author>
        <b:NameList>
          <b:Person>
            <b:Last>Moaveni</b:Last>
            <b:First>S.</b:First>
          </b:Person>
        </b:NameList>
      </b:Author>
    </b:Author>
    <b:Title>Engineering Fudamentals: An Introduction to Engineering</b:Title>
    <b:Year>2010</b:Year>
    <b:City>USA</b:City>
    <b:Publisher>ISBN 978-1-4390-6028-1</b:Publisher>
    <b:RefOrder>8</b:RefOrder>
  </b:Source>
  <b:Source>
    <b:Tag>Ewa07</b:Tag>
    <b:SourceType>Book</b:SourceType>
    <b:Guid>{28D44EE7-081E-4AFF-BD5B-DAC99C837A5A}</b:Guid>
    <b:Author>
      <b:Author>
        <b:NameList>
          <b:Person>
            <b:Last>Eward</b:Last>
            <b:First>F.C.,</b:First>
            <b:Middle>Malmqvist, J., Ostlund, S., Brodeur, D.,</b:Middle>
          </b:Person>
        </b:NameList>
      </b:Author>
    </b:Author>
    <b:Title>Rethinking Engineering education the CDIO approach, Biên dịch: Hồ Tấn Nhựt, Đoàn Thị Minh Trinh</b:Title>
    <b:Year>2007</b:Year>
    <b:City>Hồ Chí Minh</b:City>
    <b:Publisher>NXB Đại học Quốc Gia TP Hồ Chí Minh</b:Publisher>
    <b:RefOrder>9</b:RefOrder>
  </b:Source>
  <b:Source>
    <b:Tag>Sim12</b:Tag>
    <b:SourceType>Book</b:SourceType>
    <b:Guid>{21DE1F31-7AE1-4FC6-8983-9F3886F17E51}</b:Guid>
    <b:Title>Technical communication - the missing discipline in ICT studies</b:Title>
    <b:Year>2012</b:Year>
    <b:Author>
      <b:Author>
        <b:NameList>
          <b:Person>
            <b:Last>Reisner</b:Last>
            <b:First>S.</b:First>
          </b:Person>
        </b:NameList>
      </b:Author>
    </b:Author>
    <b:Publisher>University of Applied Sciences</b:Publisher>
    <b:RefOrder>10</b:RefOrder>
  </b:Source>
  <b:Source>
    <b:Tag>Ass09</b:Tag>
    <b:SourceType>JournalArticle</b:SourceType>
    <b:Guid>{6E74DF18-83CA-465C-925D-139962F02CFE}</b:Guid>
    <b:Author>
      <b:Author>
        <b:NameList>
          <b:Person>
            <b:Last>Assaraf</b:Last>
            <b:First>O.</b:First>
            <b:Middle>B. Z., &amp; Damri, S.</b:Middle>
          </b:Person>
        </b:NameList>
      </b:Author>
    </b:Author>
    <b:Title>University science graduates' environmental perceptions regarding industry</b:Title>
    <b:JournalName>Journal of Science Education and Technology, 18 (5)</b:JournalName>
    <b:Year>2009</b:Year>
    <b:Pages>367-381</b:Pages>
    <b:RefOrder>12</b:RefOrder>
  </b:Source>
  <b:Source>
    <b:Tag>Hun08</b:Tag>
    <b:SourceType>JournalArticle</b:SourceType>
    <b:Guid>{49CC0015-80DF-4CD7-8B55-8DE3799933E6}</b:Guid>
    <b:Author>
      <b:Author>
        <b:NameList>
          <b:Person>
            <b:Last>Hung</b:Last>
            <b:First>W.</b:First>
          </b:Person>
        </b:NameList>
      </b:Author>
    </b:Author>
    <b:Title>Enhancing systems - thinking skills with modeling </b:Title>
    <b:JournalName>British Journal of Educational Technology, 39 (6)</b:JournalName>
    <b:Year>2008</b:Year>
    <b:Pages>1099-1120</b:Pages>
    <b:RefOrder>13</b:RefOrder>
  </b:Source>
  <b:Source>
    <b:Tag>Ass10</b:Tag>
    <b:SourceType>JournalArticle</b:SourceType>
    <b:Guid>{B641E81B-F0C4-4E35-ACBE-1552093C4B12}</b:Guid>
    <b:Author>
      <b:Author>
        <b:NameList>
          <b:Person>
            <b:Last>Assaraf</b:Last>
            <b:First>O.B.,</b:First>
            <b:Middle>Orion, N.</b:Middle>
          </b:Person>
        </b:NameList>
      </b:Author>
    </b:Author>
    <b:Title>System thinking  skills at the elementary school level</b:Title>
    <b:JournalName>Journal of Research in science teaching, Vol. 47, No. 5</b:JournalName>
    <b:Year>2010</b:Year>
    <b:Pages>540-563</b:Pages>
    <b:RefOrder>41</b:RefOrder>
  </b:Source>
  <b:Source>
    <b:Tag>Sha01</b:Tag>
    <b:SourceType>Book</b:SourceType>
    <b:Guid>{46FABEF9-EA6E-48DA-A163-8F9B7ADFCD3A}</b:Guid>
    <b:Title>Engineering Problem solving: A classical Perspective</b:Title>
    <b:Year>2001</b:Year>
    <b:Author>
      <b:Author>
        <b:NameList>
          <b:Person>
            <b:Last>Shaw</b:Last>
            <b:First>M.</b:First>
            <b:Middle>C.</b:Middle>
          </b:Person>
        </b:NameList>
      </b:Author>
    </b:Author>
    <b:City>Norwich, NY</b:City>
    <b:Publisher>Noyes Publications</b:Publisher>
    <b:RefOrder>14</b:RefOrder>
  </b:Source>
  <b:Source>
    <b:Tag>HuR17</b:Tag>
    <b:SourceType>JournalArticle</b:SourceType>
    <b:Guid>{FF4F4D81-E597-4375-8AB5-46F52DCD2B3D}</b:Guid>
    <b:Title>A study on the Application of Creative Problem solving Teaching to statistics</b:Title>
    <b:Year>2017</b:Year>
    <b:Author>
      <b:Author>
        <b:NameList>
          <b:Person>
            <b:Last>Hu</b:Last>
            <b:First>R.,</b:First>
            <b:Middle>Su, X. H., &amp; Shieh, C</b:Middle>
          </b:Person>
        </b:NameList>
      </b:Author>
    </b:Author>
    <b:JournalName>Journal of Mathematics, Science and Technology Education, Vol 13, No. 7</b:JournalName>
    <b:Pages>3139-3149</b:Pages>
    <b:RefOrder>15</b:RefOrder>
  </b:Source>
  <b:Source>
    <b:Tag>Lei15</b:Tag>
    <b:SourceType>JournalArticle</b:SourceType>
    <b:Guid>{FD22EDE8-38B3-4D12-A965-4275A9359AFF}</b:Guid>
    <b:Author>
      <b:Author>
        <b:NameList>
          <b:Person>
            <b:Last>Leisian</b:Last>
            <b:First>S.,</b:First>
            <b:Middle>&amp; Tatinana, P.</b:Middle>
          </b:Person>
        </b:NameList>
      </b:Author>
    </b:Author>
    <b:Title>Training Program on Creative Program at Russian Universities</b:Title>
    <b:JournalName>Procedia - Social and Behaviral Science, Vol 191</b:JournalName>
    <b:Year>2015</b:Year>
    <b:Pages>2710-2715</b:Pages>
    <b:RefOrder>16</b:RefOrder>
  </b:Source>
  <b:Source>
    <b:Tag>Hal08</b:Tag>
    <b:SourceType>JournalArticle</b:SourceType>
    <b:Guid>{C966D1C5-AE30-4ADF-BFA0-7613A3AB747F}</b:Guid>
    <b:Author>
      <b:Author>
        <b:NameList>
          <b:Person>
            <b:Last>Halizah</b:Last>
            <b:First>A.,</b:First>
            <b:Middle>&amp; Ishak, R.</b:Middle>
          </b:Person>
        </b:NameList>
      </b:Author>
    </b:Author>
    <b:Title>Creative Thinking Skill Approach through Problem Based Learning: Pedagogy and Practice in the Engineering Classroom</b:Title>
    <b:JournalName>International Journal of Human Socical Sciences, Vol 2</b:JournalName>
    <b:Year>2008</b:Year>
    <b:Pages>334-339</b:Pages>
    <b:RefOrder>42</b:RefOrder>
  </b:Source>
  <b:Source>
    <b:Tag>Sri13</b:Tag>
    <b:SourceType>JournalArticle</b:SourceType>
    <b:Guid>{872CE792-5748-47ED-8892-E3747B67277C}</b:Guid>
    <b:Author>
      <b:Author>
        <b:NameList>
          <b:Person>
            <b:Last>Amran</b:Last>
            <b:First>M.</b:First>
            <b:Middle>S., Kutty, F. M., Surat, S.</b:Middle>
          </b:Person>
        </b:NameList>
      </b:Author>
    </b:Author>
    <b:Title>Creative problem-Solving (CPS) skills among University Students</b:Title>
    <b:Year>2019</b:Year>
    <b:Pages>3049-3058</b:Pages>
    <b:ConferenceName>International Conference on Management Proceeding</b:ConferenceName>
    <b:JournalName>Creative Education, Vol 10, No.12</b:JournalName>
    <b:RefOrder>17</b:RefOrder>
  </b:Source>
  <b:Source>
    <b:Tag>Ban13</b:Tag>
    <b:SourceType>Report</b:SourceType>
    <b:Guid>{D767E979-A5F4-4E75-9E8C-389FFEA50C7C}</b:Guid>
    <b:Title>Nghị quyết 29 - NQ/TW hội nghị Trung ương 8 kho1 XI</b:Title>
    <b:Year>2013</b:Year>
    <b:City>Hà Nội</b:City>
    <b:Author>
      <b:Author>
        <b:NameList>
          <b:Person>
            <b:Last>Ban chấp hành TW</b:Last>
          </b:Person>
        </b:NameList>
      </b:Author>
    </b:Author>
    <b:RefOrder>18</b:RefOrder>
  </b:Source>
</b:Sources>
</file>

<file path=customXml/itemProps1.xml><?xml version="1.0" encoding="utf-8"?>
<ds:datastoreItem xmlns:ds="http://schemas.openxmlformats.org/officeDocument/2006/customXml" ds:itemID="{C9DB1805-D401-4E59-9DD8-0FFDAB9B7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7375</Words>
  <Characters>42044</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Thao</dc:creator>
  <cp:keywords/>
  <dc:description/>
  <cp:lastModifiedBy>PC001</cp:lastModifiedBy>
  <cp:revision>3</cp:revision>
  <cp:lastPrinted>2020-03-05T09:19:00Z</cp:lastPrinted>
  <dcterms:created xsi:type="dcterms:W3CDTF">2023-08-16T08:50:00Z</dcterms:created>
  <dcterms:modified xsi:type="dcterms:W3CDTF">2023-09-15T03:21:00Z</dcterms:modified>
</cp:coreProperties>
</file>