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ED08E" w14:textId="77777777" w:rsidR="00CC7BE3" w:rsidRDefault="00D92134" w:rsidP="00CC7BE3">
      <w:pPr>
        <w:spacing w:after="0" w:line="240" w:lineRule="auto"/>
        <w:jc w:val="center"/>
        <w:rPr>
          <w:rFonts w:ascii="Times New Roman" w:hAnsi="Times New Roman" w:cs="Times New Roman"/>
          <w:b/>
          <w:sz w:val="26"/>
          <w:szCs w:val="26"/>
        </w:rPr>
      </w:pPr>
      <w:bookmarkStart w:id="0" w:name="_Toc141792759"/>
      <w:bookmarkStart w:id="1" w:name="_Toc141792760"/>
      <w:r w:rsidRPr="00CC7BE3">
        <w:rPr>
          <w:rFonts w:ascii="Times New Roman" w:hAnsi="Times New Roman" w:cs="Times New Roman"/>
          <w:b/>
          <w:sz w:val="26"/>
          <w:szCs w:val="26"/>
        </w:rPr>
        <w:t xml:space="preserve">NGHIÊN </w:t>
      </w:r>
      <w:bookmarkEnd w:id="0"/>
      <w:r w:rsidRPr="00CC7BE3">
        <w:rPr>
          <w:rFonts w:ascii="Times New Roman" w:hAnsi="Times New Roman" w:cs="Times New Roman"/>
          <w:b/>
          <w:sz w:val="26"/>
          <w:szCs w:val="26"/>
        </w:rPr>
        <w:t xml:space="preserve">CỨU ÁP DỤNG PHƯƠNG PHÁP ĐÁNH GIÁ </w:t>
      </w:r>
    </w:p>
    <w:p w14:paraId="5A03C069" w14:textId="77777777" w:rsidR="00441A09" w:rsidRDefault="00D92134" w:rsidP="00CC7BE3">
      <w:pPr>
        <w:spacing w:after="0" w:line="240" w:lineRule="auto"/>
        <w:jc w:val="center"/>
        <w:rPr>
          <w:rFonts w:ascii="Times New Roman" w:hAnsi="Times New Roman" w:cs="Times New Roman"/>
          <w:b/>
          <w:sz w:val="26"/>
          <w:szCs w:val="26"/>
        </w:rPr>
      </w:pPr>
      <w:r w:rsidRPr="00CC7BE3">
        <w:rPr>
          <w:rFonts w:ascii="Times New Roman" w:hAnsi="Times New Roman" w:cs="Times New Roman"/>
          <w:b/>
          <w:sz w:val="26"/>
          <w:szCs w:val="26"/>
        </w:rPr>
        <w:t>THEO CÔNG NGHỆ SỐ TRONG HỆ THỐNG GIÁO DỤC NGHỀ NGHIỆP</w:t>
      </w:r>
    </w:p>
    <w:p w14:paraId="6510EE75" w14:textId="77777777" w:rsidR="00CC7BE3" w:rsidRPr="00550801" w:rsidRDefault="00CC7BE3" w:rsidP="00CC7BE3">
      <w:pPr>
        <w:spacing w:after="0" w:line="240" w:lineRule="auto"/>
        <w:jc w:val="center"/>
        <w:rPr>
          <w:rFonts w:ascii="Times New Roman" w:hAnsi="Times New Roman" w:cs="Times New Roman"/>
          <w:bCs/>
          <w:sz w:val="26"/>
          <w:szCs w:val="26"/>
        </w:rPr>
      </w:pPr>
      <w:r w:rsidRPr="00550801">
        <w:rPr>
          <w:rFonts w:ascii="Times New Roman" w:hAnsi="Times New Roman" w:cs="Times New Roman"/>
          <w:bCs/>
          <w:sz w:val="26"/>
          <w:szCs w:val="26"/>
        </w:rPr>
        <w:t>RESEARCH APPLICATION OF DIGITAL</w:t>
      </w:r>
    </w:p>
    <w:p w14:paraId="5598ED2C" w14:textId="2D213171" w:rsidR="00441A09" w:rsidRDefault="00D92134" w:rsidP="00CC7BE3">
      <w:pPr>
        <w:spacing w:after="0" w:line="240" w:lineRule="auto"/>
        <w:jc w:val="center"/>
        <w:rPr>
          <w:rFonts w:ascii="Times New Roman" w:hAnsi="Times New Roman" w:cs="Times New Roman"/>
          <w:bCs/>
          <w:sz w:val="26"/>
          <w:szCs w:val="26"/>
        </w:rPr>
      </w:pPr>
      <w:r w:rsidRPr="00550801">
        <w:rPr>
          <w:rFonts w:ascii="Times New Roman" w:hAnsi="Times New Roman" w:cs="Times New Roman"/>
          <w:bCs/>
          <w:sz w:val="26"/>
          <w:szCs w:val="26"/>
        </w:rPr>
        <w:t>ASSESSMENT METHODS IN VOCATIONAL EDUCATION SYSTEM</w:t>
      </w:r>
      <w:bookmarkEnd w:id="1"/>
    </w:p>
    <w:p w14:paraId="6D72796A" w14:textId="77777777" w:rsidR="00550801" w:rsidRPr="00CC7BE3" w:rsidRDefault="00550801" w:rsidP="00CC7BE3">
      <w:pPr>
        <w:spacing w:after="0" w:line="240" w:lineRule="auto"/>
        <w:jc w:val="center"/>
        <w:rPr>
          <w:rFonts w:ascii="Times New Roman" w:hAnsi="Times New Roman" w:cs="Times New Roman"/>
          <w:b/>
          <w:sz w:val="26"/>
          <w:szCs w:val="26"/>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40"/>
        <w:gridCol w:w="6705"/>
      </w:tblGrid>
      <w:tr w:rsidR="00441A09" w14:paraId="65CB33A6" w14:textId="77777777" w:rsidTr="00550801">
        <w:tc>
          <w:tcPr>
            <w:tcW w:w="2235" w:type="dxa"/>
          </w:tcPr>
          <w:p w14:paraId="66CF95B0" w14:textId="0C60FF41" w:rsidR="00441A09" w:rsidRDefault="00441A09">
            <w:pPr>
              <w:spacing w:before="40" w:after="0" w:line="240" w:lineRule="auto"/>
              <w:rPr>
                <w:b/>
                <w:color w:val="000000" w:themeColor="text1"/>
                <w:spacing w:val="-4"/>
                <w:w w:val="98"/>
                <w:sz w:val="21"/>
                <w:szCs w:val="26"/>
                <w:vertAlign w:val="superscript"/>
              </w:rPr>
            </w:pPr>
            <w:bookmarkStart w:id="2" w:name="_GoBack"/>
            <w:bookmarkEnd w:id="2"/>
          </w:p>
        </w:tc>
        <w:tc>
          <w:tcPr>
            <w:tcW w:w="240" w:type="dxa"/>
            <w:vMerge w:val="restart"/>
          </w:tcPr>
          <w:p w14:paraId="44AE5F92" w14:textId="77777777" w:rsidR="00441A09" w:rsidRDefault="00441A09">
            <w:pPr>
              <w:spacing w:before="40" w:after="0" w:line="240" w:lineRule="auto"/>
              <w:jc w:val="both"/>
              <w:rPr>
                <w:color w:val="000000" w:themeColor="text1"/>
                <w:spacing w:val="-4"/>
                <w:w w:val="98"/>
                <w:sz w:val="21"/>
                <w:szCs w:val="26"/>
              </w:rPr>
            </w:pPr>
          </w:p>
        </w:tc>
        <w:tc>
          <w:tcPr>
            <w:tcW w:w="6705" w:type="dxa"/>
          </w:tcPr>
          <w:p w14:paraId="5D99868A" w14:textId="77777777" w:rsidR="00441A09" w:rsidRDefault="00441A09" w:rsidP="00945148">
            <w:pPr>
              <w:spacing w:before="40" w:after="0" w:line="240" w:lineRule="auto"/>
              <w:jc w:val="both"/>
              <w:rPr>
                <w:i/>
                <w:color w:val="000000" w:themeColor="text1"/>
                <w:spacing w:val="-4"/>
                <w:w w:val="98"/>
                <w:sz w:val="21"/>
                <w:szCs w:val="26"/>
              </w:rPr>
            </w:pPr>
          </w:p>
        </w:tc>
      </w:tr>
      <w:tr w:rsidR="00441A09" w14:paraId="5370A22E" w14:textId="77777777" w:rsidTr="00550801">
        <w:trPr>
          <w:trHeight w:val="198"/>
        </w:trPr>
        <w:tc>
          <w:tcPr>
            <w:tcW w:w="2235" w:type="dxa"/>
            <w:shd w:val="clear" w:color="auto" w:fill="FFFFFF" w:themeFill="background1"/>
          </w:tcPr>
          <w:p w14:paraId="76F55EEB" w14:textId="77777777" w:rsidR="00550801" w:rsidRDefault="00D92134">
            <w:pPr>
              <w:spacing w:after="0" w:line="240" w:lineRule="auto"/>
              <w:jc w:val="both"/>
              <w:rPr>
                <w:rFonts w:eastAsiaTheme="minorEastAsia"/>
                <w:b/>
                <w:bCs/>
                <w:color w:val="000000" w:themeColor="text1"/>
                <w:spacing w:val="-4"/>
                <w:w w:val="98"/>
                <w:sz w:val="21"/>
                <w:szCs w:val="21"/>
              </w:rPr>
            </w:pPr>
            <w:r w:rsidRPr="00FF7222">
              <w:rPr>
                <w:rFonts w:eastAsiaTheme="minorEastAsia"/>
                <w:b/>
                <w:bCs/>
                <w:color w:val="000000" w:themeColor="text1"/>
                <w:spacing w:val="-4"/>
                <w:w w:val="98"/>
                <w:sz w:val="21"/>
                <w:szCs w:val="21"/>
              </w:rPr>
              <w:t xml:space="preserve">Từ khoá: </w:t>
            </w:r>
          </w:p>
          <w:p w14:paraId="79FBAE6C" w14:textId="78304CA6" w:rsidR="00441A09" w:rsidRPr="00FF7222" w:rsidRDefault="00550801">
            <w:pPr>
              <w:spacing w:after="0" w:line="240" w:lineRule="auto"/>
              <w:jc w:val="both"/>
              <w:rPr>
                <w:color w:val="000000" w:themeColor="text1"/>
                <w:spacing w:val="-4"/>
                <w:w w:val="98"/>
                <w:sz w:val="21"/>
                <w:szCs w:val="21"/>
              </w:rPr>
            </w:pPr>
            <w:r w:rsidRPr="00FF7222">
              <w:rPr>
                <w:color w:val="000000" w:themeColor="text1"/>
                <w:spacing w:val="-4"/>
                <w:w w:val="98"/>
                <w:sz w:val="21"/>
                <w:szCs w:val="21"/>
              </w:rPr>
              <w:t>Giáo</w:t>
            </w:r>
            <w:r w:rsidR="00D92134" w:rsidRPr="00FF7222">
              <w:rPr>
                <w:color w:val="000000" w:themeColor="text1"/>
                <w:spacing w:val="-4"/>
                <w:w w:val="98"/>
                <w:sz w:val="21"/>
                <w:szCs w:val="21"/>
              </w:rPr>
              <w:t xml:space="preserve"> dục nghề nghiệp, đánh giá, công nghệ số</w:t>
            </w:r>
          </w:p>
          <w:p w14:paraId="545BF0DF" w14:textId="77777777" w:rsidR="00550801" w:rsidRDefault="00D92134">
            <w:pPr>
              <w:spacing w:after="0" w:line="240" w:lineRule="auto"/>
              <w:jc w:val="both"/>
              <w:rPr>
                <w:color w:val="000000" w:themeColor="text1"/>
                <w:spacing w:val="-4"/>
                <w:w w:val="98"/>
                <w:sz w:val="21"/>
                <w:szCs w:val="21"/>
              </w:rPr>
            </w:pPr>
            <w:r w:rsidRPr="00FF7222">
              <w:rPr>
                <w:b/>
                <w:bCs/>
                <w:color w:val="000000" w:themeColor="text1"/>
                <w:spacing w:val="-4"/>
                <w:w w:val="98"/>
                <w:sz w:val="21"/>
                <w:szCs w:val="21"/>
              </w:rPr>
              <w:t>Keywords:</w:t>
            </w:r>
            <w:r w:rsidRPr="00FF7222">
              <w:rPr>
                <w:color w:val="000000" w:themeColor="text1"/>
                <w:spacing w:val="-4"/>
                <w:w w:val="98"/>
                <w:sz w:val="21"/>
                <w:szCs w:val="21"/>
              </w:rPr>
              <w:t xml:space="preserve"> </w:t>
            </w:r>
          </w:p>
          <w:p w14:paraId="475F58C6" w14:textId="097B9271" w:rsidR="00441A09" w:rsidRPr="00FF7222" w:rsidRDefault="00550801">
            <w:pPr>
              <w:spacing w:after="0" w:line="240" w:lineRule="auto"/>
              <w:jc w:val="both"/>
              <w:rPr>
                <w:color w:val="000000" w:themeColor="text1"/>
                <w:spacing w:val="-4"/>
                <w:w w:val="98"/>
                <w:sz w:val="21"/>
                <w:szCs w:val="21"/>
              </w:rPr>
            </w:pPr>
            <w:r>
              <w:rPr>
                <w:color w:val="000000" w:themeColor="text1"/>
                <w:spacing w:val="-4"/>
                <w:w w:val="98"/>
                <w:sz w:val="21"/>
                <w:szCs w:val="21"/>
              </w:rPr>
              <w:t>V</w:t>
            </w:r>
            <w:r w:rsidR="00D92134" w:rsidRPr="00FF7222">
              <w:rPr>
                <w:color w:val="000000" w:themeColor="text1"/>
                <w:spacing w:val="-4"/>
                <w:w w:val="98"/>
                <w:sz w:val="21"/>
                <w:szCs w:val="21"/>
              </w:rPr>
              <w:t>ocational education, assessment, digital technology</w:t>
            </w:r>
          </w:p>
        </w:tc>
        <w:tc>
          <w:tcPr>
            <w:tcW w:w="240" w:type="dxa"/>
            <w:vMerge/>
            <w:tcBorders>
              <w:right w:val="single" w:sz="18" w:space="0" w:color="404040" w:themeColor="text1" w:themeTint="BF"/>
            </w:tcBorders>
            <w:shd w:val="clear" w:color="auto" w:fill="FFFFFF" w:themeFill="background1"/>
          </w:tcPr>
          <w:p w14:paraId="2FDD815E" w14:textId="77777777" w:rsidR="00441A09" w:rsidRPr="00FF7222" w:rsidRDefault="00441A09">
            <w:pPr>
              <w:spacing w:before="40" w:after="0" w:line="240" w:lineRule="auto"/>
              <w:rPr>
                <w:b/>
                <w:color w:val="000000" w:themeColor="text1"/>
                <w:spacing w:val="-4"/>
                <w:w w:val="98"/>
                <w:sz w:val="21"/>
                <w:szCs w:val="21"/>
              </w:rPr>
            </w:pPr>
          </w:p>
        </w:tc>
        <w:tc>
          <w:tcPr>
            <w:tcW w:w="6705" w:type="dxa"/>
            <w:tcBorders>
              <w:left w:val="single" w:sz="18" w:space="0" w:color="404040" w:themeColor="text1" w:themeTint="BF"/>
            </w:tcBorders>
            <w:shd w:val="clear" w:color="auto" w:fill="D9D9D9" w:themeFill="background1" w:themeFillShade="D9"/>
          </w:tcPr>
          <w:p w14:paraId="5FB8BA07" w14:textId="77777777" w:rsidR="00441A09" w:rsidRPr="00FF7222" w:rsidRDefault="00D92134">
            <w:pPr>
              <w:spacing w:before="40" w:after="0" w:line="240" w:lineRule="auto"/>
              <w:jc w:val="both"/>
              <w:rPr>
                <w:b/>
                <w:spacing w:val="-4"/>
                <w:w w:val="98"/>
                <w:sz w:val="21"/>
                <w:szCs w:val="21"/>
              </w:rPr>
            </w:pPr>
            <w:r w:rsidRPr="00FF7222">
              <w:rPr>
                <w:b/>
                <w:spacing w:val="-4"/>
                <w:w w:val="98"/>
                <w:sz w:val="21"/>
                <w:szCs w:val="21"/>
              </w:rPr>
              <w:t>TÓM TẮT:</w:t>
            </w:r>
          </w:p>
          <w:p w14:paraId="4CC5984D" w14:textId="77777777" w:rsidR="00441A09" w:rsidRPr="00FF7222" w:rsidRDefault="00D92134" w:rsidP="00550801">
            <w:pPr>
              <w:spacing w:before="40" w:after="0" w:line="240" w:lineRule="auto"/>
              <w:jc w:val="both"/>
              <w:rPr>
                <w:b/>
                <w:spacing w:val="-4"/>
                <w:w w:val="98"/>
                <w:sz w:val="21"/>
                <w:szCs w:val="21"/>
              </w:rPr>
            </w:pPr>
            <w:r w:rsidRPr="00FF7222">
              <w:rPr>
                <w:rFonts w:eastAsia="Times New Roman"/>
                <w:sz w:val="21"/>
                <w:szCs w:val="21"/>
              </w:rPr>
              <w:t>Trong những năm gần đây, việc tích hợp công nghệ kỹ thuật số đã cách mạng hóa nhiều lĩnh vực khác nhau của xã hội và lĩnh vực giáo dục cũng không ngoại lệ. Một lĩnh vực đã chứng kiến sự chuyển đổi đáng kể là giáo dục và đào tạo nghề (đào tạo nghề), đóng vai trò quan trọng trong việc trang bị cho các cá nhân những kỹ năng và kiến thức cần thiết để phát triển trong thị trường việc làm đang phát triển nhanh chóng hiện nay. Khi chúng ta tiến xa hơn vào thời đại kỹ thuật số, việc sử dụng các công cụ đánh giá kỹ thuật số đã nổi lên như một chiến lược mạnh mẽ để nâng cao hiệu lực và hiệu quả của các chương trình đào tạo nghề.</w:t>
            </w:r>
          </w:p>
        </w:tc>
      </w:tr>
      <w:tr w:rsidR="00441A09" w14:paraId="105D2B9E" w14:textId="77777777" w:rsidTr="00550801">
        <w:trPr>
          <w:trHeight w:val="854"/>
        </w:trPr>
        <w:tc>
          <w:tcPr>
            <w:tcW w:w="2235" w:type="dxa"/>
          </w:tcPr>
          <w:p w14:paraId="230AA13E" w14:textId="77777777" w:rsidR="00441A09" w:rsidRPr="00FF7222" w:rsidRDefault="00441A09">
            <w:pPr>
              <w:spacing w:after="0" w:line="240" w:lineRule="auto"/>
              <w:ind w:left="28"/>
              <w:jc w:val="both"/>
              <w:rPr>
                <w:color w:val="000000" w:themeColor="text1"/>
                <w:spacing w:val="-4"/>
                <w:w w:val="98"/>
                <w:sz w:val="21"/>
                <w:szCs w:val="21"/>
              </w:rPr>
            </w:pPr>
          </w:p>
        </w:tc>
        <w:tc>
          <w:tcPr>
            <w:tcW w:w="240" w:type="dxa"/>
            <w:vMerge/>
            <w:tcBorders>
              <w:right w:val="single" w:sz="18" w:space="0" w:color="404040" w:themeColor="text1" w:themeTint="BF"/>
            </w:tcBorders>
            <w:shd w:val="clear" w:color="auto" w:fill="FFFFFF" w:themeFill="background1"/>
          </w:tcPr>
          <w:p w14:paraId="69D89BE4" w14:textId="77777777" w:rsidR="00441A09" w:rsidRPr="00FF7222" w:rsidRDefault="00441A09">
            <w:pPr>
              <w:spacing w:after="0" w:line="240" w:lineRule="auto"/>
              <w:jc w:val="center"/>
              <w:rPr>
                <w:b/>
                <w:color w:val="000000" w:themeColor="text1"/>
                <w:spacing w:val="-4"/>
                <w:w w:val="98"/>
                <w:sz w:val="21"/>
                <w:szCs w:val="21"/>
              </w:rPr>
            </w:pPr>
          </w:p>
        </w:tc>
        <w:tc>
          <w:tcPr>
            <w:tcW w:w="6705" w:type="dxa"/>
            <w:vMerge w:val="restart"/>
            <w:tcBorders>
              <w:left w:val="single" w:sz="18" w:space="0" w:color="404040" w:themeColor="text1" w:themeTint="BF"/>
            </w:tcBorders>
            <w:shd w:val="clear" w:color="auto" w:fill="D9D9D9" w:themeFill="background1" w:themeFillShade="D9"/>
          </w:tcPr>
          <w:p w14:paraId="35E167E6" w14:textId="77777777" w:rsidR="00441A09" w:rsidRPr="00FF7222" w:rsidRDefault="00D92134">
            <w:pPr>
              <w:spacing w:after="0" w:line="240" w:lineRule="auto"/>
              <w:ind w:firstLine="38"/>
              <w:jc w:val="both"/>
              <w:rPr>
                <w:b/>
                <w:spacing w:val="-4"/>
                <w:w w:val="98"/>
                <w:sz w:val="21"/>
                <w:szCs w:val="21"/>
              </w:rPr>
            </w:pPr>
            <w:r w:rsidRPr="00FF7222">
              <w:rPr>
                <w:b/>
                <w:spacing w:val="-4"/>
                <w:w w:val="98"/>
                <w:sz w:val="21"/>
                <w:szCs w:val="21"/>
              </w:rPr>
              <w:t>ABSTRACT:</w:t>
            </w:r>
          </w:p>
          <w:p w14:paraId="235BB5E1" w14:textId="77777777" w:rsidR="00441A09" w:rsidRPr="00FF7222" w:rsidRDefault="00D92134" w:rsidP="00550801">
            <w:pPr>
              <w:spacing w:after="0" w:line="240" w:lineRule="auto"/>
              <w:jc w:val="both"/>
              <w:rPr>
                <w:spacing w:val="-4"/>
                <w:w w:val="98"/>
                <w:sz w:val="21"/>
                <w:szCs w:val="21"/>
              </w:rPr>
            </w:pPr>
            <w:r w:rsidRPr="00FF7222">
              <w:rPr>
                <w:rFonts w:eastAsia="Times New Roman"/>
                <w:sz w:val="21"/>
                <w:szCs w:val="21"/>
              </w:rPr>
              <w:t>In recent years, the integration of digital technology has revolutionized many different sectors of society and the field of education is no exception. One area that has seen significant transformation is vocational education and training (vocational training), which plays an important role in equipping individuals with the skills and knowledge needed to thrive in the marketplace. The job market is growing rapidly today. As we move further into the digital age, the use of digital assessment tools has emerged as a powerful strategy to enhance the effectiveness and efficiency of vocational training programmes.</w:t>
            </w:r>
          </w:p>
        </w:tc>
      </w:tr>
      <w:tr w:rsidR="00441A09" w14:paraId="0E88CDA7" w14:textId="77777777" w:rsidTr="00550801">
        <w:trPr>
          <w:trHeight w:val="263"/>
        </w:trPr>
        <w:tc>
          <w:tcPr>
            <w:tcW w:w="2235" w:type="dxa"/>
            <w:shd w:val="clear" w:color="auto" w:fill="FFFFFF" w:themeFill="background1"/>
          </w:tcPr>
          <w:p w14:paraId="615F0CAF" w14:textId="77777777" w:rsidR="00441A09" w:rsidRDefault="00441A09">
            <w:pPr>
              <w:spacing w:after="0" w:line="240" w:lineRule="auto"/>
              <w:ind w:left="29"/>
              <w:jc w:val="both"/>
              <w:rPr>
                <w:rFonts w:eastAsiaTheme="minorEastAsia"/>
                <w:b/>
                <w:bCs/>
                <w:color w:val="000000" w:themeColor="text1"/>
                <w:spacing w:val="-4"/>
                <w:w w:val="98"/>
                <w:sz w:val="21"/>
                <w:szCs w:val="21"/>
              </w:rPr>
            </w:pPr>
          </w:p>
        </w:tc>
        <w:tc>
          <w:tcPr>
            <w:tcW w:w="240" w:type="dxa"/>
            <w:vMerge/>
            <w:tcBorders>
              <w:right w:val="single" w:sz="18" w:space="0" w:color="404040" w:themeColor="text1" w:themeTint="BF"/>
            </w:tcBorders>
            <w:shd w:val="clear" w:color="auto" w:fill="FFFFFF" w:themeFill="background1"/>
          </w:tcPr>
          <w:p w14:paraId="16768FEF" w14:textId="77777777" w:rsidR="00441A09" w:rsidRDefault="00441A09">
            <w:pPr>
              <w:spacing w:before="40" w:after="0" w:line="240" w:lineRule="auto"/>
              <w:jc w:val="center"/>
              <w:rPr>
                <w:b/>
                <w:color w:val="000000" w:themeColor="text1"/>
                <w:spacing w:val="-4"/>
                <w:w w:val="98"/>
                <w:sz w:val="21"/>
                <w:szCs w:val="26"/>
              </w:rPr>
            </w:pPr>
          </w:p>
        </w:tc>
        <w:tc>
          <w:tcPr>
            <w:tcW w:w="6705" w:type="dxa"/>
            <w:vMerge/>
            <w:tcBorders>
              <w:left w:val="single" w:sz="18" w:space="0" w:color="404040" w:themeColor="text1" w:themeTint="BF"/>
            </w:tcBorders>
            <w:shd w:val="clear" w:color="auto" w:fill="D9D9D9" w:themeFill="background1" w:themeFillShade="D9"/>
          </w:tcPr>
          <w:p w14:paraId="5D7C8F0D" w14:textId="77777777" w:rsidR="00441A09" w:rsidRDefault="00441A09">
            <w:pPr>
              <w:spacing w:before="40" w:after="0" w:line="240" w:lineRule="auto"/>
              <w:jc w:val="both"/>
              <w:rPr>
                <w:color w:val="000000" w:themeColor="text1"/>
                <w:spacing w:val="-4"/>
                <w:w w:val="98"/>
                <w:sz w:val="21"/>
                <w:szCs w:val="26"/>
              </w:rPr>
            </w:pPr>
          </w:p>
        </w:tc>
      </w:tr>
      <w:tr w:rsidR="00441A09" w14:paraId="1B29CCA2" w14:textId="77777777" w:rsidTr="00550801">
        <w:trPr>
          <w:trHeight w:val="706"/>
        </w:trPr>
        <w:tc>
          <w:tcPr>
            <w:tcW w:w="2235" w:type="dxa"/>
          </w:tcPr>
          <w:p w14:paraId="314630AC" w14:textId="77777777" w:rsidR="00441A09" w:rsidRDefault="00441A09">
            <w:pPr>
              <w:spacing w:after="0" w:line="240" w:lineRule="auto"/>
              <w:ind w:left="29"/>
              <w:jc w:val="both"/>
              <w:rPr>
                <w:rFonts w:eastAsiaTheme="minorEastAsia"/>
                <w:b/>
                <w:bCs/>
                <w:color w:val="000000" w:themeColor="text1"/>
                <w:spacing w:val="-4"/>
                <w:w w:val="98"/>
                <w:sz w:val="21"/>
                <w:szCs w:val="21"/>
              </w:rPr>
            </w:pPr>
          </w:p>
        </w:tc>
        <w:tc>
          <w:tcPr>
            <w:tcW w:w="240" w:type="dxa"/>
            <w:vMerge/>
            <w:tcBorders>
              <w:right w:val="single" w:sz="18" w:space="0" w:color="404040" w:themeColor="text1" w:themeTint="BF"/>
            </w:tcBorders>
            <w:shd w:val="clear" w:color="auto" w:fill="FFFFFF" w:themeFill="background1"/>
          </w:tcPr>
          <w:p w14:paraId="6CC60861" w14:textId="77777777" w:rsidR="00441A09" w:rsidRDefault="00441A09">
            <w:pPr>
              <w:spacing w:before="40" w:after="0" w:line="240" w:lineRule="auto"/>
              <w:jc w:val="center"/>
              <w:rPr>
                <w:b/>
                <w:color w:val="000000" w:themeColor="text1"/>
                <w:spacing w:val="-4"/>
                <w:w w:val="98"/>
                <w:sz w:val="21"/>
                <w:szCs w:val="26"/>
              </w:rPr>
            </w:pPr>
          </w:p>
        </w:tc>
        <w:tc>
          <w:tcPr>
            <w:tcW w:w="6705" w:type="dxa"/>
            <w:vMerge/>
            <w:tcBorders>
              <w:left w:val="single" w:sz="18" w:space="0" w:color="404040" w:themeColor="text1" w:themeTint="BF"/>
            </w:tcBorders>
            <w:shd w:val="clear" w:color="auto" w:fill="D9D9D9" w:themeFill="background1" w:themeFillShade="D9"/>
          </w:tcPr>
          <w:p w14:paraId="043C5F89" w14:textId="77777777" w:rsidR="00441A09" w:rsidRDefault="00441A09">
            <w:pPr>
              <w:spacing w:before="40" w:after="0" w:line="240" w:lineRule="auto"/>
              <w:jc w:val="both"/>
              <w:rPr>
                <w:color w:val="000000" w:themeColor="text1"/>
                <w:spacing w:val="-4"/>
                <w:w w:val="98"/>
                <w:sz w:val="21"/>
                <w:szCs w:val="26"/>
              </w:rPr>
            </w:pPr>
          </w:p>
        </w:tc>
      </w:tr>
    </w:tbl>
    <w:p w14:paraId="2D9C2FBB" w14:textId="77777777" w:rsidR="00441A09" w:rsidRDefault="00441A09">
      <w:pPr>
        <w:spacing w:after="0" w:line="240" w:lineRule="auto"/>
        <w:ind w:firstLine="720"/>
        <w:jc w:val="both"/>
        <w:rPr>
          <w:rFonts w:ascii="Times New Roman" w:hAnsi="Times New Roman" w:cs="Times New Roman"/>
          <w:b/>
          <w:sz w:val="26"/>
          <w:szCs w:val="26"/>
        </w:rPr>
      </w:pPr>
    </w:p>
    <w:p w14:paraId="5BDFDA58" w14:textId="77777777" w:rsidR="00441A09" w:rsidRPr="00FF7222" w:rsidRDefault="00D92134" w:rsidP="00550801">
      <w:pPr>
        <w:numPr>
          <w:ilvl w:val="0"/>
          <w:numId w:val="1"/>
        </w:numPr>
        <w:spacing w:after="0" w:line="240" w:lineRule="auto"/>
        <w:ind w:firstLine="284"/>
        <w:jc w:val="both"/>
        <w:rPr>
          <w:rFonts w:ascii="Times New Roman" w:hAnsi="Times New Roman" w:cs="Times New Roman"/>
          <w:b/>
          <w:sz w:val="21"/>
          <w:szCs w:val="21"/>
        </w:rPr>
      </w:pPr>
      <w:r w:rsidRPr="00FF7222">
        <w:rPr>
          <w:rFonts w:ascii="Times New Roman" w:hAnsi="Times New Roman" w:cs="Times New Roman"/>
          <w:b/>
          <w:sz w:val="21"/>
          <w:szCs w:val="21"/>
        </w:rPr>
        <w:t>Đặt vấn đề</w:t>
      </w:r>
    </w:p>
    <w:p w14:paraId="35C851C3"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Đánh giá chất lượng giảng dạy theo công nghệ số bao gồm nhiều công cụ và kỹ thuật để đánh giá kiến thức, kỹ năng và năng lực của người học. Từ các câu hỏi, mô phỏng trực tuyến đến chương trình mô phỏng ảo để đánh giá chất lượng người học  thay thế phương pháp dựa trên giấy tờ truyền thống. Bằng cách áp dụng các phương pháp đổi mới này, nhà trường có thể mở ra các phương thức phi truyền thống để kiểm tra kiến thức người học đồng thời thúc đẩy việc nghiên cứu và sáng tạo trong lĩnh vực đào tạo nghề.</w:t>
      </w:r>
    </w:p>
    <w:p w14:paraId="60F57FFA"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Một trong những lợi thế chính của đánh giá số trong đào tạo nghề là khả năng cung cấp phản hồi kịp thời và mang tính xây dựng. Thông qua các hệ thống chấm điểm tự động, người học có thể cung cấp phản hồi ngay lập tức, cho phép họ đánh giá tiến độ của mình và xác định các lĩnh vực cần cải thiện trong thời gian thực. Hơn nữa, các nền tảng đánh giá kỹ thuật số thường cung cấp các lộ trình học tập được cá nhân hóa, điều chỉnh nội dung giáo dục theo nhu cầu cá nhân và thúc đẩy việc học tập tự định hướng. Cách tiếp cận được cá nhân hóa này có thể tăng cường đáng kể sự tham gia, động lực và khả năng ghi nhớ kiến thức của người học.</w:t>
      </w:r>
    </w:p>
    <w:p w14:paraId="453B875E"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Hơn nữa, việc đánh giá theo công nghệ số có thể góp phần phát triển các kỹ năng thiết yếu của thế kỷ 21, bao gồm hiểu biết về kỹ thuật số, tư duy phản biện và giải quyết vấn đề. Bằng cách sử dụng các phương pháp đánh giá tương tác và nhập vai, chẳng hạn như mô phỏng ảo và các nhiệm vụ dựa trên kịch bản, nhà trường có thể thu hẹp khoảng cách giữa kiến thức lý thuyết và ứng dụng thực tế. Cách tiếp cận này trao quyền cho người học phát triển các kỹ năng thực hành phù hợp với nhu cầu của ngành, chuẩn bị cho họ những yêu cầu của nơi làm việc hiện đại.</w:t>
      </w:r>
    </w:p>
    <w:p w14:paraId="17C4EA0E" w14:textId="77777777" w:rsidR="00441A09" w:rsidRPr="00FF7222" w:rsidRDefault="00D92134" w:rsidP="00550801">
      <w:pPr>
        <w:numPr>
          <w:ilvl w:val="0"/>
          <w:numId w:val="1"/>
        </w:numPr>
        <w:spacing w:after="0" w:line="240" w:lineRule="auto"/>
        <w:ind w:firstLine="284"/>
        <w:jc w:val="both"/>
        <w:rPr>
          <w:rFonts w:ascii="Times New Roman" w:hAnsi="Times New Roman" w:cs="Times New Roman"/>
          <w:b/>
          <w:sz w:val="21"/>
          <w:szCs w:val="21"/>
        </w:rPr>
      </w:pPr>
      <w:r w:rsidRPr="00FF7222">
        <w:rPr>
          <w:rFonts w:ascii="Times New Roman" w:hAnsi="Times New Roman" w:cs="Times New Roman"/>
          <w:b/>
          <w:sz w:val="21"/>
          <w:szCs w:val="21"/>
        </w:rPr>
        <w:t>Các phương pháp đánh giá</w:t>
      </w:r>
    </w:p>
    <w:p w14:paraId="7853EACE" w14:textId="77777777" w:rsidR="00441A09" w:rsidRPr="00FF7222" w:rsidRDefault="00D92134" w:rsidP="00550801">
      <w:pPr>
        <w:numPr>
          <w:ilvl w:val="1"/>
          <w:numId w:val="1"/>
        </w:numPr>
        <w:spacing w:after="0" w:line="240" w:lineRule="auto"/>
        <w:ind w:left="0" w:firstLine="284"/>
        <w:jc w:val="both"/>
        <w:rPr>
          <w:rFonts w:ascii="Times New Roman" w:hAnsi="Times New Roman" w:cs="Times New Roman"/>
          <w:b/>
          <w:sz w:val="21"/>
          <w:szCs w:val="21"/>
        </w:rPr>
      </w:pPr>
      <w:r w:rsidRPr="00FF7222">
        <w:rPr>
          <w:rFonts w:ascii="Times New Roman" w:hAnsi="Times New Roman" w:cs="Times New Roman"/>
          <w:b/>
          <w:sz w:val="21"/>
          <w:szCs w:val="21"/>
        </w:rPr>
        <w:t xml:space="preserve">Đánh giá theo quá trình </w:t>
      </w:r>
    </w:p>
    <w:p w14:paraId="4663EB3A"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 xml:space="preserve">Đánh giá quá trình đóng một vai trò quan trọng trong đào tạo nghề bằng cách cung cấp phản hồi liên tục và theo dõi sự tiến bộ của người học trong suốt hành trình đào tạo của họ. Trong khi các bài đánh giá tổng </w:t>
      </w:r>
      <w:r w:rsidRPr="00FF7222">
        <w:rPr>
          <w:rFonts w:ascii="Times New Roman" w:hAnsi="Times New Roman" w:cs="Times New Roman"/>
          <w:bCs/>
          <w:sz w:val="21"/>
          <w:szCs w:val="21"/>
        </w:rPr>
        <w:lastRenderedPageBreak/>
        <w:t>kết, chẳng hạn như bài kiểm tra cuối kỳ hoặc bài kiểm tra chứng chỉ, theo truyền thống là trọng tâm trong đào tạo nghề thì ngày càng có nhiều nhu cầu về thực hành một cách thiết thực hơn.</w:t>
      </w:r>
    </w:p>
    <w:p w14:paraId="0243FCCC"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Học nghề thường là thực hành và thực tế, tập trung vào phát triển kỹ năng. Đánh giá quá trình cho phép phản hồi kịp thời và liên tục, cho phép người học xác định điểm mạnh và điểm yếu trong hoạt động của họ. Phản hồi thường xuyên giúp người học hiểu được sự tiến bộ của họ, cải thiện và phát triển dần các kỹ năng của họ. Nó cũng cung cấp cho người hướng dẫn những hiểu biết có giá trị về nhu cầu của từng người học. Bằng cách theo dõi hiệu suất của người học trong thời gian thực, người hướng dẫn có thể điều chỉnh hướng dẫn của họ để giải quyết các lĩnh vực cải tiến cụ thể. Cách tiếp cận được cá nhân hóa này tạo điều kiện cho các can thiệp có mục tiêu, đảm bảo rằng người học nhận được sự hỗ trợ và hướng dẫn cần thiết để thành công.</w:t>
      </w:r>
    </w:p>
    <w:p w14:paraId="0545C0BB"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 xml:space="preserve">Giáo dục nghề nghiệp chú trọng vào việc đạt được các kỹ năng thực tế liên quan đến các ngành cụ thể. Bằng cách tích hợp các phương pháp hình thành theo ngữ cảnh thực, trong thế giới thực, chẳng hạn như mô phỏng và bài tập lớn hay đồ án người học có thể chứng minh năng lực và ứng dụng các kỹ năng của mình trong quá trình học tập, thu hẹp khoảng cách giữa lý thuyết và thực hành. </w:t>
      </w:r>
    </w:p>
    <w:p w14:paraId="5FFF7643"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Đào tạo nghề cần phải linh hoạt và thích ứng để đáp ứng nhu cầu năng động của các ngành công nghiệp. Đánh giá quá trình phù hợp với nhu cầu này bằng cách cho phép điều chỉnh liên tục các chiến lược và nội dung giảng dạy. Bằng cách thu thập dữ liệu về hiệu suất của người học, người hướng dẫn có thể xác định các xu hướng mới nổi hoặc lỗ hổng kiến thức và điều chỉnh phương pháp giảng dạy của họ cho phù hợp. Nó cũng giúp sắp xếp các chương trình đào tạo nghề phù hợp với nhu cầu của ngành. Phản hồi thường xuyên từ các chuyên gia trong ngành và người sử dụng lao động có thể cung cấp thông tin cho sự phát triển của các đánh giá phản ánh các thông lệ và tiêu chuẩn hiện tại của ngành. Điều này đảm bảo rằng người học được trang bị các kỹ năng và kiến thức theo yêu cầu của thị trường việc làm, tăng khả năng được tuyển dụng và sẵn sàng cho nơi làm việc.</w:t>
      </w:r>
    </w:p>
    <w:p w14:paraId="6668DF3D"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Việc kết hợp các thực hành đánh giá mang tính thực tế hơn trong đào tạo nghề, là điều cần thiết để hỗ trợ phát triển kỹ năng của người học, cung cấp phản hồi kịp thời, cá nhân hóa hướng dẫn, nâng cao động lực và sự tham gia, đồng thời điều chỉnh hoạt động đào tạo theo nhu cầu của ngành. Bằng cách áp dụng đánh giá quá trình, nhà trường có thể tạo ra một môi trường thích nghi và lấy người học làm trung tâm để chuẩn bị cho các cá nhân thành công trong con đường học nghề mà họ đã chọn.</w:t>
      </w:r>
    </w:p>
    <w:p w14:paraId="60492231" w14:textId="77777777" w:rsidR="00441A09" w:rsidRPr="00FF7222" w:rsidRDefault="00D92134" w:rsidP="00550801">
      <w:pPr>
        <w:numPr>
          <w:ilvl w:val="1"/>
          <w:numId w:val="1"/>
        </w:numPr>
        <w:spacing w:after="0" w:line="240" w:lineRule="auto"/>
        <w:ind w:left="0" w:firstLine="284"/>
        <w:jc w:val="both"/>
        <w:rPr>
          <w:rFonts w:ascii="Times New Roman" w:hAnsi="Times New Roman" w:cs="Times New Roman"/>
          <w:b/>
          <w:sz w:val="21"/>
          <w:szCs w:val="21"/>
        </w:rPr>
      </w:pPr>
      <w:r w:rsidRPr="00FF7222">
        <w:rPr>
          <w:rFonts w:ascii="Times New Roman" w:hAnsi="Times New Roman" w:cs="Times New Roman"/>
          <w:b/>
          <w:sz w:val="21"/>
          <w:szCs w:val="21"/>
        </w:rPr>
        <w:t>Đánh giá dựa trên năng lực</w:t>
      </w:r>
    </w:p>
    <w:p w14:paraId="70B19561"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 xml:space="preserve">Trong đào tạo nghề có một động thái đáng chú ý hướng tới học tập dựa trên năng lực và dựa trên công việc. Điều này thể hiện sự thay đổi trong phương pháp giáo dục tập trung vào phát triển các kỹ năng và kiến thức thực tế liên quan đến nơi làm việc. Cách tiếp cận này thừa nhận tầm quan trọng của việc điều chỉnh giáo dục phù hợp với nhu cầu của người sử dụng lao động và thị trường lao động, nhằm tạo ra những sinh viên tốt nghiệp sẵn sàng cho công việc. Học tập dựa trên năng lực nhấn mạnh việc tiếp thu và thể hiện các kỹ năng và năng lực cụ thể thay vì chỉ tập trung vào kiến thức lý thuyết. Nó công nhận rằng người sử dụng lao động đánh giá cao khả năng thực tế và kỹ năng cụ thể của công việc có thể được áp dụng trực tiếp trong môi trường thực tế. Bằng cách nhấn mạnh năng lực, các chương trình giáo dục nghề nghiệp nhằm mục đích thu hẹp khoảng cách giữa việc học trên lớp và các yêu cầu tại nơi làm việc, đảm bảo rằng sinh viên được chuẩn bị tốt để tham gia lực lượng lao động. Học tập dựa trên công việc là một phần không thể thiếu của giáo dục dựa trên năng lực. Nó cung cấp cho sinh viên cơ hội để có được kinh nghiệm thực tế trong môi trường làm việc thực tế, cho phép họ áp dụng các kỹ năng và kiến thức của mình trong môi trường xác thực. Học tập dựa trên công việc có thể có nhiều hình thức khác nhau, chẳng hạn như thực tập, học nghề, chương trình giáo dục hợp tác hoặc đào tạo tại chỗ. Những kinh nghiệm này cung cấp cho sinh viên những hiểu biết có giá trị về thế giới việc làm, cho phép họ phát triển mạng lưới chuyên nghiệp và nâng cao khả năng được tuyển dụng bằng cách đạt được các kỹ năng và năng lực cụ thể của ngành. Nhìn chung, động thái này thể hiện một cách tiếp cận giáo dục thực tế và đáp ứng nhằm trang bị cho sinh viên những kỹ năng, kiến thức và kinh nghiệm cần thiết để thành công trong lực lượng lao động. Bằng cách kết hợp hướng dẫn trên lớp với ứng dụng trong thực tế, quá trình đào tạo nghề của nhà trường có thể là bước chuẩn bị hiệu quả trên con đường lập nghiệp của sinh viên. </w:t>
      </w:r>
    </w:p>
    <w:p w14:paraId="67BC936F" w14:textId="77777777" w:rsidR="00441A09" w:rsidRPr="00FF7222" w:rsidRDefault="00D92134" w:rsidP="00550801">
      <w:pPr>
        <w:numPr>
          <w:ilvl w:val="1"/>
          <w:numId w:val="1"/>
        </w:numPr>
        <w:spacing w:after="0" w:line="240" w:lineRule="auto"/>
        <w:ind w:left="0" w:firstLine="284"/>
        <w:jc w:val="both"/>
        <w:rPr>
          <w:rFonts w:ascii="Times New Roman" w:hAnsi="Times New Roman" w:cs="Times New Roman"/>
          <w:b/>
          <w:sz w:val="21"/>
          <w:szCs w:val="21"/>
        </w:rPr>
      </w:pPr>
      <w:r w:rsidRPr="00FF7222">
        <w:rPr>
          <w:rFonts w:ascii="Times New Roman" w:hAnsi="Times New Roman" w:cs="Times New Roman"/>
          <w:b/>
          <w:sz w:val="21"/>
          <w:szCs w:val="21"/>
        </w:rPr>
        <w:t xml:space="preserve">Đánh giá theo thực tế </w:t>
      </w:r>
    </w:p>
    <w:p w14:paraId="48710A6D"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lastRenderedPageBreak/>
        <w:t>Đánh giá thực tế là một cách tiếp cận để đánh giá việc học tập của sinh viên tập trung vào các nhiệm vụ và hoạt động có ý nghĩa trong thế giới thực. Nó nhằm mục đích đánh giá khả năng của sinh viên trong việc áp dụng kiến thức và kỹ năng trong bối cảnh xác thực tế thay vì chỉ nhớ lại thông tin hoặc thực hiện các nhiệm vụ đơn lẻ. Đánh giá xác thực được thiết kế để phản ánh mức độ phức tạp và nhu cầu của các môi trường chuyên nghiệp hoặc thực tế trong đó kiến thức hoặc kỹ năng được đánh giá được áp dụng cụ thể.</w:t>
      </w:r>
    </w:p>
    <w:p w14:paraId="33A9D02A"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Đánh giá thực tế nên có:</w:t>
      </w:r>
    </w:p>
    <w:p w14:paraId="14A3A990"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Mức độ liên quan trong thế giới thực</w:t>
      </w:r>
    </w:p>
    <w:p w14:paraId="65ACA5AB"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Nhiệm vụ phức tạp và kết thúc mở</w:t>
      </w:r>
    </w:p>
    <w:p w14:paraId="2B5C7F58"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Thay vì đánh giá kiến thức hoặc kỹ năng biệt lập, đánh giá xác thực tích hợp các nguyên tắc khác nhau và đánh giá việc áp dụng kiến thức trên nhiều lĩnh vực. Nó khuyến khích sinh viên sử dụng nhiều năng lực khác nhau để giải quyết vấn đề hoặc hoàn thành dự án.</w:t>
      </w:r>
    </w:p>
    <w:p w14:paraId="168E0DDE"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Sự tham gia tích cực của sinh viên</w:t>
      </w:r>
    </w:p>
    <w:p w14:paraId="62B6A848"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Đánh giá xác thực cố gắng tạo ra bối cảnh hoặc kịch bản thực tế phản ánh bối cảnh thực tế mà kiến thức hoặc kỹ năng được áp dụng. Họ cũng có thể liên quan đến khán giả xác thực, chẳng hạn như đồng nghiệp, chuyên gia hoặc thành viên cộng đồng, những người cung cấp phản hồi hoặc đánh giá công việc của sinh viên.</w:t>
      </w:r>
    </w:p>
    <w:p w14:paraId="1462B98F"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Liên tục phản hồi và phản ánh</w:t>
      </w:r>
    </w:p>
    <w:p w14:paraId="2A756FE7"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Nhiều phương pháp đánh giá</w:t>
      </w:r>
    </w:p>
    <w:p w14:paraId="7652B94C" w14:textId="77777777" w:rsidR="00441A09" w:rsidRPr="00FF7222" w:rsidRDefault="00D92134" w:rsidP="00550801">
      <w:pPr>
        <w:numPr>
          <w:ilvl w:val="0"/>
          <w:numId w:val="1"/>
        </w:numPr>
        <w:spacing w:after="0" w:line="240" w:lineRule="auto"/>
        <w:ind w:firstLine="284"/>
        <w:jc w:val="both"/>
        <w:rPr>
          <w:rFonts w:ascii="Times New Roman" w:hAnsi="Times New Roman" w:cs="Times New Roman"/>
          <w:b/>
          <w:sz w:val="21"/>
          <w:szCs w:val="21"/>
        </w:rPr>
      </w:pPr>
      <w:r w:rsidRPr="00FF7222">
        <w:rPr>
          <w:rFonts w:ascii="Times New Roman" w:hAnsi="Times New Roman" w:cs="Times New Roman"/>
          <w:b/>
          <w:sz w:val="21"/>
          <w:szCs w:val="21"/>
        </w:rPr>
        <w:t>Các phương pháp cải thiện quá trình đánh giá của sinh viên trong công nghệ số</w:t>
      </w:r>
    </w:p>
    <w:p w14:paraId="5E9B8448" w14:textId="77777777" w:rsidR="00441A09" w:rsidRPr="00FF7222" w:rsidRDefault="00D92134" w:rsidP="00550801">
      <w:pPr>
        <w:spacing w:after="0" w:line="240" w:lineRule="auto"/>
        <w:ind w:firstLine="284"/>
        <w:jc w:val="both"/>
        <w:rPr>
          <w:rFonts w:ascii="Times New Roman" w:hAnsi="Times New Roman" w:cs="Times New Roman"/>
          <w:b/>
          <w:sz w:val="21"/>
          <w:szCs w:val="21"/>
        </w:rPr>
      </w:pPr>
      <w:r w:rsidRPr="00FF7222">
        <w:rPr>
          <w:rFonts w:ascii="Times New Roman" w:hAnsi="Times New Roman" w:cs="Times New Roman"/>
          <w:b/>
          <w:sz w:val="21"/>
          <w:szCs w:val="21"/>
        </w:rPr>
        <w:t>3.1.Sử dụng AI để cải thiện chất lượng phản hồi cho sinh viên</w:t>
      </w:r>
    </w:p>
    <w:p w14:paraId="0F2E98BF"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Trí tuệ nhân tạo (AI) có thể đóng một vai trò quan trọng trong việc nâng cao chất lượng phản hồi cung cấp cho sinh viên. Mặc dù AI có thể nâng cao chất lượng phản hồi nhưng điều quan trọng là phải duy trì sự cân bằng giữa phản hồi tự động và tương tác của con người. Kết hợp sức mạnh của công nghệ AI với chuyên môn và hiểu biết theo ngữ cảnh của giảng viên có thể mang lại trải nghiệm phản hồi được cá nhân hóa, có ý nghĩa và hiệu quả cho sinh viên.</w:t>
      </w:r>
    </w:p>
    <w:p w14:paraId="09A6A205"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Khuyến nghị sử dụng AI để nâng cao chất lượng phản hồi cho sinh viên</w:t>
      </w:r>
    </w:p>
    <w:p w14:paraId="58A249FE"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Sử dụng AI để bổ sung chứ không phải thay thế phản hồi của con người. AI có thể là một công cụ có giá trị để cung cấp phản hồi cho sinh viên, nhưng điều quan trọng cần nhớ là nó không thể thay thế cho phản hồi của con người. Giảng viên có thể đưa ra phản hồi phù hợp với nhu cầu cá nhân của từng sinh viên, đồng thời họ cũng có thể khuyến khích và hỗ trợ.</w:t>
      </w:r>
    </w:p>
    <w:p w14:paraId="64FD8D9B"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Minh bạch với sinh viên về cách AI đang được sử dụng để cung cấp phản hồi. sinh viên nên biết rằng AI đang được sử dụng để cung cấp phản hồi và họ có thể đặt câu hỏi về cách thức hoạt động của AI. Điều này sẽ giúp xây dựng lòng tin giữa sinh viên và giáo viên.</w:t>
      </w:r>
    </w:p>
    <w:p w14:paraId="6E2E6892"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Sử dụng AI để cung cấp phản hồi kịp thời, cụ thể và khả thi. Phản hồi nên được cung cấp càng sớm càng tốt sau khi sinh viên nộp bài. Nó cũng phải cụ thể và có thể thực hiện được, để sinh viên biết họ cần làm gì để cải thiện công việc của mình.</w:t>
      </w:r>
    </w:p>
    <w:p w14:paraId="056E8D26"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Sử dụng AI để cung cấp phản hồi tích cực và khích lệ. Phản hồi phải tích cực và đáng khích lệ, ngay cả khi phản hồi đó là quan trọng. Điều này sẽ giúp sinh viên cảm thấy có động lực để cải thiện công việc của các em.</w:t>
      </w:r>
    </w:p>
    <w:p w14:paraId="7D2991B0"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
          <w:sz w:val="21"/>
          <w:szCs w:val="21"/>
        </w:rPr>
        <w:t>3.2. Tích hợp đào tạo toàn diện về công nghệ thông tin trong cho giảng viên và các chương trình đào tạo cho đội ngũ giảng dạ</w:t>
      </w:r>
      <w:r w:rsidRPr="00FF7222">
        <w:rPr>
          <w:rFonts w:ascii="Times New Roman" w:hAnsi="Times New Roman" w:cs="Times New Roman"/>
          <w:bCs/>
          <w:sz w:val="21"/>
          <w:szCs w:val="21"/>
        </w:rPr>
        <w:t>y:</w:t>
      </w:r>
    </w:p>
    <w:p w14:paraId="3EC7178E"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Để triển khai đánh giá điện tử trong giáo dục nhà trường cần tăng cường phát triển chuyên môn và nền tảng giáo dục cho giảng viên:</w:t>
      </w:r>
    </w:p>
    <w:p w14:paraId="76DF7DEC"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 xml:space="preserve">Nhấn mạnh việc tích hợp đào tạo công nghệ thông tin toàn diện trong chương trình cấp chứng chỉ sư phạm của giảng viên </w:t>
      </w:r>
    </w:p>
    <w:p w14:paraId="76EEB0AE"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Đảm bảo rằng các giảng viên tương lai được đào tạo kỹ lưỡng về công nghệ kỹ thuật số, thực hành sư phạm và phương pháp giảng dạy đổi mới để tích hợp hiệu quả đánh giá điện tử (công nghệ) vào lớp học của họ.</w:t>
      </w:r>
    </w:p>
    <w:p w14:paraId="3DFCFD6B"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Nhận thức được tầm quan trọng của kiến thức sâu rộng và phức tạp về công nghệ thông tin, vượt ra ngoài các kỹ năng thô sơ và cơ bản, để tăng cường thực hành giảng dạy và thúc đẩy tích hợp công nghệ tiên tiến trong giáo dục đào tạo nghề.</w:t>
      </w:r>
    </w:p>
    <w:p w14:paraId="2D92D59A"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
          <w:sz w:val="21"/>
          <w:szCs w:val="21"/>
        </w:rPr>
        <w:lastRenderedPageBreak/>
        <w:t>3.3. Hỗ trợ phát triển chuyên môn cho giảng viên</w:t>
      </w:r>
    </w:p>
    <w:p w14:paraId="751945B7"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Đào tạo sư phạm nâng cao bắt buộc đối với giảng viên giảng dạy: Thực hiện chính sách yêu cầu giảng viên đào tạo nghề phải trải qua khóa đào tạo sư phạm nâng cao bắt buộc để nâng cao trình độ học vấn của họ. Việc đào tạo này nên tập trung vào các nguyên tắc sư phạm cốt lõi, thiết kế giảng dạy, chiến lược đánh giá, và kỹ thuật quản lý lớp học theo phương pháp đánh giá mới</w:t>
      </w:r>
    </w:p>
    <w:p w14:paraId="65947656"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Cung cấp các cơ hội phát triển chuyên môn liên tục cho giảng viên đào tạo nghề, tập trung vào việc nâng cao năng lực công nghệ thông tin chuyên sâu của họ, đặc biệt là khi nó liên quan đến đánh giá điện tử.</w:t>
      </w:r>
    </w:p>
    <w:p w14:paraId="0B8CC100"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Phân bổ các nguồn lực chuyên dụng để phát triển chuyên môn liên tục, bao gồm tài trợ để tham dự các chương trình đào tạo, hội nghị, hội thảo và hội thảo chuyên đề liên quan bao gồm các khái niệm công nghệ thông tin tiên tiến, đánh giá điện tử và các phương pháp giảng dạy.</w:t>
      </w:r>
    </w:p>
    <w:p w14:paraId="31D4C4DD"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Thúc đẩy sự cộng tác và học hỏi lẫn nhau giữa các giảng viên thông qua các cộng đồng thực hành và nền tảng trực tuyến, khuyến khích, trao đổi kiến thức công nghệ thông tin tiên tiến và thực tiễn tốt nhất trong đào tạo nghề.</w:t>
      </w:r>
    </w:p>
    <w:p w14:paraId="4A911E0A" w14:textId="77777777" w:rsidR="00441A09" w:rsidRPr="00FF7222" w:rsidRDefault="00D92134" w:rsidP="00550801">
      <w:pPr>
        <w:spacing w:after="0" w:line="240" w:lineRule="auto"/>
        <w:ind w:firstLine="284"/>
        <w:jc w:val="both"/>
        <w:rPr>
          <w:rFonts w:ascii="Times New Roman" w:hAnsi="Times New Roman" w:cs="Times New Roman"/>
          <w:b/>
          <w:sz w:val="21"/>
          <w:szCs w:val="21"/>
        </w:rPr>
      </w:pPr>
      <w:r w:rsidRPr="00FF7222">
        <w:rPr>
          <w:rFonts w:ascii="Times New Roman" w:hAnsi="Times New Roman" w:cs="Times New Roman"/>
          <w:b/>
          <w:sz w:val="21"/>
          <w:szCs w:val="21"/>
        </w:rPr>
        <w:t>3.4. Hợp tác với các tổ chức Giáo dục, doanh nghiệp và xã hội</w:t>
      </w:r>
    </w:p>
    <w:p w14:paraId="3C3A319C"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Thiết lập quan hệ đối tác và hợp tác giữa giáo dục với các tổ chức, các bên liên quan trong ngành và các tổ chức nghiên cứu để thu hẹp khoảng cách giữa nhu cầu giáo dục và nghề nghiệp.</w:t>
      </w:r>
    </w:p>
    <w:p w14:paraId="1F8E0E8E"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Khuyến khích các sáng kiến chung nhằm thúc đẩy việc tích hợp công nghệ thông tin tiên tiến trong dạy và học, tận dụng chuyên môn và nguồn lực của các tổ chức nghiên cứu và doanh nghiệp.</w:t>
      </w:r>
    </w:p>
    <w:p w14:paraId="27D1321B"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Hỗ trợ nghiên cứu và đánh giá các chiến lược hiệu quả để kết hợp các công cụ, công nghệ thông tin tiên tiến và công nghệ mới trong đánh giá số trong đào tạo nghề.</w:t>
      </w:r>
    </w:p>
    <w:p w14:paraId="1F7C0B74" w14:textId="77777777" w:rsidR="00441A09" w:rsidRPr="00FF7222" w:rsidRDefault="00D92134" w:rsidP="00550801">
      <w:pPr>
        <w:spacing w:after="0" w:line="240" w:lineRule="auto"/>
        <w:ind w:firstLine="284"/>
        <w:jc w:val="both"/>
        <w:rPr>
          <w:rFonts w:ascii="Times New Roman" w:hAnsi="Times New Roman" w:cs="Times New Roman"/>
          <w:b/>
          <w:sz w:val="21"/>
          <w:szCs w:val="21"/>
        </w:rPr>
      </w:pPr>
      <w:r w:rsidRPr="00FF7222">
        <w:rPr>
          <w:rFonts w:ascii="Times New Roman" w:hAnsi="Times New Roman" w:cs="Times New Roman"/>
          <w:b/>
          <w:sz w:val="21"/>
          <w:szCs w:val="21"/>
        </w:rPr>
        <w:t>3.5. Đào tạo công nghệ thông tin toàn diện và nâng cao</w:t>
      </w:r>
    </w:p>
    <w:p w14:paraId="74D02C37"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Cung cấp các chương trình đào tạo công nghệ thông tin toàn diện và bắt buộc (bao gồm cả đánh giá điện tử) cho giảng viên đào tạo nghề, giải quyết các mức độ thành thạo khác nhau và đáp ứng các nhu cầu đa dạng.</w:t>
      </w:r>
    </w:p>
    <w:p w14:paraId="713D3A54"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Đa dạng hóa và tăng cường các cơ hội đào tạo công nghệ thông tin, bao gồm các khóa học trực tuyến, hội thảo và cộng đồng học tập hợp tác đi sâu vào các khái niệm và ứng dụng công nghệ thông tin tiên tiến.</w:t>
      </w:r>
    </w:p>
    <w:p w14:paraId="54F3AE90"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Phối hợp với các công ty công nghệ, tổ chức giáo dục và cơ quan chính phủ để cung cấp các chương trình đào tạo chuyên biệt tập trung vào kiến thức công nghệ thông tin chuyên sâu và các chiến lược tích hợp phức tạp cho các nhà giáo dục đào tạo nghề.</w:t>
      </w:r>
    </w:p>
    <w:p w14:paraId="237CA281"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
          <w:sz w:val="21"/>
          <w:szCs w:val="21"/>
        </w:rPr>
        <w:t>3.6. Tăng cường cơ sở hạ tầng hỗ trợ</w:t>
      </w:r>
      <w:r w:rsidRPr="00FF7222">
        <w:rPr>
          <w:rFonts w:ascii="Times New Roman" w:hAnsi="Times New Roman" w:cs="Times New Roman"/>
          <w:bCs/>
          <w:sz w:val="21"/>
          <w:szCs w:val="21"/>
        </w:rPr>
        <w:t>:</w:t>
      </w:r>
    </w:p>
    <w:p w14:paraId="7F7300AE"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Đầu tư vào việc phát triển và duy trì cơ sở hạ tầng công nghệ thông tin mạnh mẽ trong các trường cao đẳng và trung tâm đào tạo nghề.</w:t>
      </w:r>
    </w:p>
    <w:p w14:paraId="79EE20E6"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Đảm bảo kết nối internet đáng tin cậy, phần cứng và phần mềm cập nhật và các hệ thống hỗ trợ kỹ thuật có thể hỗ trợ các công cụ và ứng dụng công nghệ thông tin tiên tiến.</w:t>
      </w:r>
    </w:p>
    <w:p w14:paraId="3F7103FA"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Giải quyết sự chênh lệch về khả năng tiếp cận công nghệ và tài nguyên kỹ thuật số, đặc biệt là ở những khu vực chưa được phục vụ, để đảm bảo tất cả các nhà giáo dục, đào tạo nghề đều có cơ hội phát triển kiến thức chuyên sâu về công nghệ thông tin.</w:t>
      </w:r>
    </w:p>
    <w:p w14:paraId="6DB2615D" w14:textId="77777777" w:rsidR="00441A09" w:rsidRPr="00FF7222" w:rsidRDefault="00D92134" w:rsidP="00550801">
      <w:pPr>
        <w:spacing w:after="0" w:line="240" w:lineRule="auto"/>
        <w:ind w:firstLine="284"/>
        <w:jc w:val="both"/>
        <w:rPr>
          <w:rFonts w:ascii="Times New Roman" w:hAnsi="Times New Roman" w:cs="Times New Roman"/>
          <w:b/>
          <w:sz w:val="21"/>
          <w:szCs w:val="21"/>
        </w:rPr>
      </w:pPr>
      <w:r w:rsidRPr="00FF7222">
        <w:rPr>
          <w:rFonts w:ascii="Times New Roman" w:hAnsi="Times New Roman" w:cs="Times New Roman"/>
          <w:b/>
          <w:sz w:val="21"/>
          <w:szCs w:val="21"/>
        </w:rPr>
        <w:t>3.7. Công nhận và khuyến khích tích hợp công nghệ thông tin tiên tiến</w:t>
      </w:r>
    </w:p>
    <w:p w14:paraId="6F4E1AED"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Công nhận và khen thưởng những giảng viên đào tạo nghề thể hiện sự tích hợp tiên tiến của công nghệ thông tin trong thực hành giảng dạy của họ, thể hiện kiến thức sâu rộng về công nghệ thông tin và các chiến lược giảng dạy mới nhất.</w:t>
      </w:r>
    </w:p>
    <w:p w14:paraId="226BF6E7"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Thiết lập một hệ thống giải thưởng hoặc chương trình công nhận nghề nghiệp nêu bật việc sử dụng hiệu quả và sáng tạo công nghệ thông tin tiên tiến trong giáo dục nghề nghiệp.</w:t>
      </w:r>
    </w:p>
    <w:p w14:paraId="22EBB8B0" w14:textId="77777777" w:rsidR="00441A09" w:rsidRPr="00FF7222" w:rsidRDefault="00D92134" w:rsidP="00550801">
      <w:pPr>
        <w:spacing w:after="0" w:line="240" w:lineRule="auto"/>
        <w:ind w:firstLine="284"/>
        <w:jc w:val="both"/>
        <w:rPr>
          <w:rFonts w:ascii="Times New Roman" w:hAnsi="Times New Roman" w:cs="Times New Roman"/>
          <w:bCs/>
          <w:sz w:val="21"/>
          <w:szCs w:val="21"/>
        </w:rPr>
      </w:pPr>
      <w:r w:rsidRPr="00FF7222">
        <w:rPr>
          <w:rFonts w:ascii="Times New Roman" w:hAnsi="Times New Roman" w:cs="Times New Roman"/>
          <w:bCs/>
          <w:sz w:val="21"/>
          <w:szCs w:val="21"/>
        </w:rPr>
        <w:t>Cung cấp các biện pháp khuyến khích như phần thưởng tài chính, cơ hội thăng tiến nghề nghiệp hoặc các nguồn lực bổ sung để khuyến khích các nhà giáo dục, đào tạo nghề tăng cường đào tạo công nghệ thông tin nâng cao và phát triển năng lực chuyên sâu.</w:t>
      </w:r>
    </w:p>
    <w:p w14:paraId="4818F754" w14:textId="77777777" w:rsidR="00441A09" w:rsidRPr="00FF7222" w:rsidRDefault="00D92134" w:rsidP="00550801">
      <w:pPr>
        <w:spacing w:after="0" w:line="240" w:lineRule="auto"/>
        <w:ind w:firstLine="284"/>
        <w:jc w:val="both"/>
        <w:rPr>
          <w:rFonts w:ascii="Times New Roman" w:eastAsia="SimSun" w:hAnsi="Times New Roman" w:cs="Times New Roman"/>
          <w:b/>
          <w:bCs/>
          <w:sz w:val="21"/>
          <w:szCs w:val="21"/>
        </w:rPr>
      </w:pPr>
      <w:r w:rsidRPr="00FF7222">
        <w:rPr>
          <w:rFonts w:ascii="Times New Roman" w:eastAsia="SimSun" w:hAnsi="Times New Roman" w:cs="Times New Roman"/>
          <w:b/>
          <w:bCs/>
          <w:sz w:val="21"/>
          <w:szCs w:val="21"/>
        </w:rPr>
        <w:t>4.Kết luận</w:t>
      </w:r>
    </w:p>
    <w:p w14:paraId="00D51E9F" w14:textId="77777777" w:rsidR="00441A09" w:rsidRPr="00FF7222" w:rsidRDefault="00D92134" w:rsidP="00550801">
      <w:pPr>
        <w:spacing w:after="0" w:line="240" w:lineRule="auto"/>
        <w:ind w:firstLine="284"/>
        <w:jc w:val="both"/>
        <w:rPr>
          <w:rFonts w:ascii="Times New Roman" w:eastAsia="SimSun" w:hAnsi="Times New Roman" w:cs="Times New Roman"/>
          <w:sz w:val="21"/>
          <w:szCs w:val="21"/>
        </w:rPr>
      </w:pPr>
      <w:r w:rsidRPr="00FF7222">
        <w:rPr>
          <w:rFonts w:ascii="Times New Roman" w:eastAsia="SimSun" w:hAnsi="Times New Roman" w:cs="Times New Roman"/>
          <w:sz w:val="21"/>
          <w:szCs w:val="21"/>
        </w:rPr>
        <w:t xml:space="preserve">Đánh giá là một phần không thể thiếu của quá trình học tập, nó xác định liệu các mục tiêu học tập có đạt được hay không và ở mức độ nào. Nó cho biết liệu các công cụ, công nghệ và phương pháp sư phạm được sử dụng có tạo ra kết quả tích cực hay không. E-learning đã rất phổ biến trong thập kỷ qua. Các hình thức đánh giá khác nhau dựa trên công nghệ thông tin liên tục được sử dụng để làm phong phú và đa dạng nền giáo dục. Đánh giá điện tử đảm bảo kết quả và phản hồi nhanh chóng, tức thì, tự động. Có thể áp dụng nhiều </w:t>
      </w:r>
      <w:r w:rsidRPr="00FF7222">
        <w:rPr>
          <w:rFonts w:ascii="Times New Roman" w:eastAsia="SimSun" w:hAnsi="Times New Roman" w:cs="Times New Roman"/>
          <w:sz w:val="21"/>
          <w:szCs w:val="21"/>
        </w:rPr>
        <w:lastRenderedPageBreak/>
        <w:t xml:space="preserve">cách tiếp cận và kỹ thuật khác nhau để đánh giá kiến thức, kỹ năng, năng lực và các khía cạnh phát triển khác của người học. </w:t>
      </w:r>
    </w:p>
    <w:p w14:paraId="0B0469B8" w14:textId="77777777" w:rsidR="00441A09" w:rsidRPr="00FF7222" w:rsidRDefault="00D92134" w:rsidP="00550801">
      <w:pPr>
        <w:spacing w:after="0" w:line="240" w:lineRule="auto"/>
        <w:ind w:firstLine="284"/>
        <w:jc w:val="both"/>
        <w:rPr>
          <w:rFonts w:ascii="Times New Roman" w:eastAsia="SimSun" w:hAnsi="Times New Roman" w:cs="Times New Roman"/>
          <w:sz w:val="21"/>
          <w:szCs w:val="21"/>
        </w:rPr>
      </w:pPr>
      <w:r w:rsidRPr="00FF7222">
        <w:rPr>
          <w:rFonts w:ascii="Times New Roman" w:eastAsia="SimSun" w:hAnsi="Times New Roman" w:cs="Times New Roman"/>
          <w:sz w:val="21"/>
          <w:szCs w:val="21"/>
        </w:rPr>
        <w:t xml:space="preserve">Hệ thống quản lý học tập cung cấp các công cụ giúp thực hiện các phương pháp đánh giá sáng tạo. Họ mở rộng các kỹ thuật tiêu chuẩn - câu hỏi và bài tập. Việc kết hợp các yếu tố trò chơi hóa, kết hợp các hoạt động học tập và đánh giá trong một quy trình duy nhất hỗ trợ học tập tích cực. Mặt khác, giảng viên có thể làm phong phú thêm các khả năng của hệ thống quản lý chất lượng bằng cách tích hợp các ứng dụng đánh giá được tạo bằng các công cụ bên ngoài nhờ khả năng tương tác của chúng. Trong bối cảnh hiện nay, điều quan trọng là sử dụng nhiều chiến lược và phương pháp giảng dạy khác nhau để đánh giá kiến thức và kỹ năng của người học. Họ phải đảm bảo sự cam kết mạnh mẽ của người học đối với việc học của chính họ và mức độ động cơ cao. </w:t>
      </w:r>
    </w:p>
    <w:p w14:paraId="435874E9" w14:textId="77777777" w:rsidR="00441A09" w:rsidRPr="00FF7222" w:rsidRDefault="00D92134" w:rsidP="00550801">
      <w:pPr>
        <w:spacing w:after="0" w:line="240" w:lineRule="auto"/>
        <w:ind w:firstLine="284"/>
        <w:jc w:val="both"/>
        <w:rPr>
          <w:rFonts w:ascii="Times New Roman" w:eastAsia="SimSun" w:hAnsi="Times New Roman" w:cs="Times New Roman"/>
          <w:sz w:val="21"/>
          <w:szCs w:val="21"/>
        </w:rPr>
      </w:pPr>
      <w:r w:rsidRPr="00FF7222">
        <w:rPr>
          <w:rFonts w:ascii="Times New Roman" w:eastAsia="SimSun" w:hAnsi="Times New Roman" w:cs="Times New Roman"/>
          <w:sz w:val="21"/>
          <w:szCs w:val="21"/>
        </w:rPr>
        <w:t>Tóm lại, đánh giá theo công nghệ số đã cung cấp các phương pháp và kỹ thuật mới để đánh giá các khía cạnh khác nhau của kiến thức, kỹ năng và năng lực của người học, giúp cho sinh viên biết chính xác năng lực của mình trước khi bước ra thị trường lao động.</w:t>
      </w:r>
    </w:p>
    <w:p w14:paraId="3389F569" w14:textId="77777777" w:rsidR="00441A09" w:rsidRPr="00FF7222" w:rsidRDefault="00441A09">
      <w:pPr>
        <w:spacing w:after="0" w:line="240" w:lineRule="auto"/>
        <w:ind w:firstLine="720"/>
        <w:jc w:val="both"/>
        <w:rPr>
          <w:rFonts w:ascii="Times New Roman" w:eastAsia="SimSun" w:hAnsi="Times New Roman" w:cs="Times New Roman"/>
          <w:sz w:val="21"/>
          <w:szCs w:val="21"/>
        </w:rPr>
      </w:pPr>
    </w:p>
    <w:p w14:paraId="4CB48C70" w14:textId="77777777" w:rsidR="00441A09" w:rsidRPr="00FF7222" w:rsidRDefault="00D92134" w:rsidP="00550801">
      <w:pPr>
        <w:spacing w:after="0" w:line="240" w:lineRule="auto"/>
        <w:ind w:left="284" w:hanging="284"/>
        <w:jc w:val="both"/>
        <w:rPr>
          <w:rFonts w:ascii="Times New Roman" w:eastAsia="SimSun" w:hAnsi="Times New Roman" w:cs="Times New Roman"/>
          <w:b/>
          <w:bCs/>
          <w:sz w:val="21"/>
          <w:szCs w:val="21"/>
        </w:rPr>
      </w:pPr>
      <w:r w:rsidRPr="00FF7222">
        <w:rPr>
          <w:rFonts w:ascii="Times New Roman" w:eastAsia="SimSun" w:hAnsi="Times New Roman" w:cs="Times New Roman"/>
          <w:b/>
          <w:bCs/>
          <w:sz w:val="21"/>
          <w:szCs w:val="21"/>
        </w:rPr>
        <w:t>Tài liệu tham khảo</w:t>
      </w:r>
    </w:p>
    <w:p w14:paraId="457C7C0E" w14:textId="001A0316" w:rsidR="00441A09" w:rsidRPr="00FF7222" w:rsidRDefault="00D92134" w:rsidP="00550801">
      <w:pPr>
        <w:spacing w:after="0" w:line="240" w:lineRule="auto"/>
        <w:ind w:left="284" w:hanging="284"/>
        <w:jc w:val="both"/>
        <w:rPr>
          <w:rFonts w:ascii="Times New Roman" w:hAnsi="Times New Roman" w:cs="Times New Roman"/>
          <w:sz w:val="21"/>
          <w:szCs w:val="21"/>
        </w:rPr>
      </w:pPr>
      <w:r w:rsidRPr="00FF7222">
        <w:rPr>
          <w:rFonts w:ascii="Times New Roman" w:eastAsia="Times" w:hAnsi="Times New Roman" w:cs="Times New Roman"/>
          <w:color w:val="000000"/>
          <w:sz w:val="21"/>
          <w:szCs w:val="21"/>
          <w:lang w:eastAsia="zh-CN" w:bidi="ar"/>
        </w:rPr>
        <w:t xml:space="preserve">Cook </w:t>
      </w:r>
      <w:r w:rsidRPr="00FF7222">
        <w:rPr>
          <w:rFonts w:ascii="Times New Roman" w:eastAsia="SimSun" w:hAnsi="Times New Roman" w:cs="Times New Roman"/>
          <w:color w:val="000000"/>
          <w:sz w:val="21"/>
          <w:szCs w:val="21"/>
          <w:lang w:eastAsia="zh-CN" w:bidi="ar"/>
        </w:rPr>
        <w:t xml:space="preserve">J &amp; Jenkins V </w:t>
      </w:r>
      <w:r w:rsidR="00550801">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2010</w:t>
      </w:r>
      <w:r w:rsidR="00550801">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 xml:space="preserve"> </w:t>
      </w:r>
      <w:r w:rsidRPr="00FF7222">
        <w:rPr>
          <w:rFonts w:ascii="Times New Roman" w:eastAsia="TimesNewRomanPS-ItalicMT" w:hAnsi="Times New Roman" w:cs="Times New Roman"/>
          <w:color w:val="000000"/>
          <w:sz w:val="21"/>
          <w:szCs w:val="21"/>
          <w:lang w:eastAsia="zh-CN" w:bidi="ar"/>
        </w:rPr>
        <w:t xml:space="preserve">Getting Started with e-Assessment </w:t>
      </w:r>
      <w:r w:rsidRPr="00FF7222">
        <w:rPr>
          <w:rFonts w:ascii="Times New Roman" w:eastAsia="SimSun" w:hAnsi="Times New Roman" w:cs="Times New Roman"/>
          <w:color w:val="000000"/>
          <w:sz w:val="21"/>
          <w:szCs w:val="21"/>
          <w:lang w:eastAsia="zh-CN" w:bidi="ar"/>
        </w:rPr>
        <w:t xml:space="preserve">(Bath: University of Bath) </w:t>
      </w:r>
    </w:p>
    <w:p w14:paraId="53AFF6FB" w14:textId="398BF463" w:rsidR="00441A09" w:rsidRPr="00FF7222" w:rsidRDefault="00D92134" w:rsidP="00550801">
      <w:pPr>
        <w:spacing w:after="0" w:line="240" w:lineRule="auto"/>
        <w:ind w:left="284" w:hanging="284"/>
        <w:jc w:val="both"/>
        <w:rPr>
          <w:rFonts w:ascii="Times New Roman" w:hAnsi="Times New Roman" w:cs="Times New Roman"/>
          <w:sz w:val="21"/>
          <w:szCs w:val="21"/>
        </w:rPr>
      </w:pPr>
      <w:r w:rsidRPr="00FF7222">
        <w:rPr>
          <w:rFonts w:ascii="Times New Roman" w:eastAsia="SimSun" w:hAnsi="Times New Roman" w:cs="Times New Roman"/>
          <w:color w:val="000000"/>
          <w:sz w:val="21"/>
          <w:szCs w:val="21"/>
          <w:lang w:eastAsia="zh-CN" w:bidi="ar"/>
        </w:rPr>
        <w:t>e-</w:t>
      </w:r>
      <w:r w:rsidRPr="00FF7222">
        <w:rPr>
          <w:rFonts w:ascii="Times New Roman" w:eastAsia="Times" w:hAnsi="Times New Roman" w:cs="Times New Roman"/>
          <w:color w:val="000000"/>
          <w:sz w:val="21"/>
          <w:szCs w:val="21"/>
          <w:lang w:eastAsia="zh-CN" w:bidi="ar"/>
        </w:rPr>
        <w:t xml:space="preserve">Assessment </w:t>
      </w:r>
      <w:r w:rsidRPr="00FF7222">
        <w:rPr>
          <w:rFonts w:ascii="Times New Roman" w:eastAsia="SimSun" w:hAnsi="Times New Roman" w:cs="Times New Roman"/>
          <w:color w:val="000000"/>
          <w:sz w:val="21"/>
          <w:szCs w:val="21"/>
          <w:lang w:eastAsia="zh-CN" w:bidi="ar"/>
        </w:rPr>
        <w:t xml:space="preserve">https://faculty.londondeanery.ac.uk/e-learning/elearning-in-clinical-teaching/e-assessment last access 13.08.2020 </w:t>
      </w:r>
    </w:p>
    <w:p w14:paraId="20A2E97B" w14:textId="5457D7AE" w:rsidR="00441A09" w:rsidRPr="00FF7222" w:rsidRDefault="00D92134" w:rsidP="00550801">
      <w:pPr>
        <w:spacing w:after="0" w:line="240" w:lineRule="auto"/>
        <w:ind w:left="284" w:hanging="284"/>
        <w:jc w:val="both"/>
        <w:rPr>
          <w:rFonts w:ascii="Times New Roman" w:hAnsi="Times New Roman" w:cs="Times New Roman"/>
          <w:sz w:val="21"/>
          <w:szCs w:val="21"/>
        </w:rPr>
      </w:pPr>
      <w:r w:rsidRPr="00FF7222">
        <w:rPr>
          <w:rFonts w:ascii="Times New Roman" w:eastAsia="Times" w:hAnsi="Times New Roman" w:cs="Times New Roman"/>
          <w:color w:val="000000"/>
          <w:sz w:val="21"/>
          <w:szCs w:val="21"/>
          <w:lang w:eastAsia="zh-CN" w:bidi="ar"/>
        </w:rPr>
        <w:t>Ellis</w:t>
      </w:r>
      <w:r w:rsidRPr="00FF7222">
        <w:rPr>
          <w:rFonts w:ascii="Times New Roman" w:eastAsia="SimSun" w:hAnsi="Times New Roman" w:cs="Times New Roman"/>
          <w:color w:val="000000"/>
          <w:sz w:val="21"/>
          <w:szCs w:val="21"/>
          <w:lang w:eastAsia="zh-CN" w:bidi="ar"/>
        </w:rPr>
        <w:t xml:space="preserve">, R. </w:t>
      </w:r>
      <w:r w:rsidR="00550801">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2009</w:t>
      </w:r>
      <w:r w:rsidR="00550801">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 xml:space="preserve">. Field Guide to Learning Management Systems, </w:t>
      </w:r>
      <w:r w:rsidRPr="00FF7222">
        <w:rPr>
          <w:rFonts w:ascii="Times New Roman" w:eastAsia="TimesNewRomanPS-ItalicMT" w:hAnsi="Times New Roman" w:cs="Times New Roman"/>
          <w:color w:val="000000"/>
          <w:sz w:val="21"/>
          <w:szCs w:val="21"/>
          <w:lang w:eastAsia="zh-CN" w:bidi="ar"/>
        </w:rPr>
        <w:t xml:space="preserve">ASTD Learning Circuits </w:t>
      </w:r>
    </w:p>
    <w:p w14:paraId="24E3D58C" w14:textId="51D8C0AA" w:rsidR="00441A09" w:rsidRPr="00FF7222" w:rsidRDefault="00D92134" w:rsidP="00550801">
      <w:pPr>
        <w:spacing w:after="0" w:line="240" w:lineRule="auto"/>
        <w:ind w:left="284" w:hanging="284"/>
        <w:jc w:val="both"/>
        <w:rPr>
          <w:rFonts w:ascii="Times New Roman" w:hAnsi="Times New Roman" w:cs="Times New Roman"/>
          <w:sz w:val="21"/>
          <w:szCs w:val="21"/>
        </w:rPr>
      </w:pPr>
      <w:r w:rsidRPr="00FF7222">
        <w:rPr>
          <w:rFonts w:ascii="Times New Roman" w:eastAsia="Times" w:hAnsi="Times New Roman" w:cs="Times New Roman"/>
          <w:color w:val="000000"/>
          <w:sz w:val="21"/>
          <w:szCs w:val="21"/>
          <w:lang w:eastAsia="zh-CN" w:bidi="ar"/>
        </w:rPr>
        <w:t xml:space="preserve">Soffer </w:t>
      </w:r>
      <w:r w:rsidRPr="00FF7222">
        <w:rPr>
          <w:rFonts w:ascii="Times New Roman" w:eastAsia="SimSun" w:hAnsi="Times New Roman" w:cs="Times New Roman"/>
          <w:color w:val="000000"/>
          <w:sz w:val="21"/>
          <w:szCs w:val="21"/>
          <w:lang w:eastAsia="zh-CN" w:bidi="ar"/>
        </w:rPr>
        <w:t xml:space="preserve">T., Kahan T &amp; Livne E </w:t>
      </w:r>
      <w:r w:rsidR="00550801">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2017</w:t>
      </w:r>
      <w:r w:rsidR="00550801">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 xml:space="preserve"> E-assessment of online academic courses via students' activities and perceptions </w:t>
      </w:r>
      <w:r w:rsidRPr="00FF7222">
        <w:rPr>
          <w:rFonts w:ascii="Times New Roman" w:eastAsia="TimesNewRomanPS-ItalicMT" w:hAnsi="Times New Roman" w:cs="Times New Roman"/>
          <w:color w:val="000000"/>
          <w:sz w:val="21"/>
          <w:szCs w:val="21"/>
          <w:lang w:eastAsia="zh-CN" w:bidi="ar"/>
        </w:rPr>
        <w:t xml:space="preserve">Studies in Educational Evaluation </w:t>
      </w:r>
      <w:r w:rsidRPr="00FF7222">
        <w:rPr>
          <w:rFonts w:ascii="Times New Roman" w:eastAsia="TimesNewRomanPS-BoldMT" w:hAnsi="Times New Roman" w:cs="Times New Roman"/>
          <w:color w:val="000000"/>
          <w:sz w:val="21"/>
          <w:szCs w:val="21"/>
          <w:lang w:eastAsia="zh-CN" w:bidi="ar"/>
        </w:rPr>
        <w:t xml:space="preserve">54 </w:t>
      </w:r>
      <w:r w:rsidRPr="00FF7222">
        <w:rPr>
          <w:rFonts w:ascii="Times New Roman" w:eastAsia="SimSun" w:hAnsi="Times New Roman" w:cs="Times New Roman"/>
          <w:color w:val="000000"/>
          <w:sz w:val="21"/>
          <w:szCs w:val="21"/>
          <w:lang w:eastAsia="zh-CN" w:bidi="ar"/>
        </w:rPr>
        <w:t xml:space="preserve">83-93 </w:t>
      </w:r>
    </w:p>
    <w:p w14:paraId="538428BC" w14:textId="03642CA0" w:rsidR="00441A09" w:rsidRPr="00FF7222" w:rsidRDefault="00D92134" w:rsidP="00550801">
      <w:pPr>
        <w:spacing w:after="0" w:line="240" w:lineRule="auto"/>
        <w:ind w:left="284" w:hanging="284"/>
        <w:jc w:val="both"/>
        <w:rPr>
          <w:rFonts w:ascii="Times New Roman" w:hAnsi="Times New Roman" w:cs="Times New Roman"/>
          <w:sz w:val="21"/>
          <w:szCs w:val="21"/>
        </w:rPr>
      </w:pPr>
      <w:r w:rsidRPr="00FF7222">
        <w:rPr>
          <w:rFonts w:ascii="Times New Roman" w:eastAsia="Times" w:hAnsi="Times New Roman" w:cs="Times New Roman"/>
          <w:color w:val="000000"/>
          <w:sz w:val="21"/>
          <w:szCs w:val="21"/>
          <w:lang w:eastAsia="zh-CN" w:bidi="ar"/>
        </w:rPr>
        <w:t xml:space="preserve">Moodle </w:t>
      </w:r>
      <w:r w:rsidRPr="00FF7222">
        <w:rPr>
          <w:rFonts w:ascii="Times New Roman" w:eastAsia="SimSun" w:hAnsi="Times New Roman" w:cs="Times New Roman"/>
          <w:color w:val="000000"/>
          <w:sz w:val="21"/>
          <w:szCs w:val="21"/>
          <w:lang w:eastAsia="zh-CN" w:bidi="ar"/>
        </w:rPr>
        <w:t xml:space="preserve">Documentation https://docs.moodle.org/39/en/Advanced_grading_methods last access 13.08.2020 </w:t>
      </w:r>
    </w:p>
    <w:p w14:paraId="101B9C13" w14:textId="778FACF5" w:rsidR="00441A09" w:rsidRPr="00FF7222" w:rsidRDefault="00D92134" w:rsidP="00550801">
      <w:pPr>
        <w:spacing w:after="0" w:line="240" w:lineRule="auto"/>
        <w:ind w:left="284" w:hanging="284"/>
        <w:jc w:val="both"/>
        <w:rPr>
          <w:rFonts w:ascii="Times New Roman" w:hAnsi="Times New Roman" w:cs="Times New Roman"/>
          <w:sz w:val="21"/>
          <w:szCs w:val="21"/>
        </w:rPr>
      </w:pPr>
      <w:r w:rsidRPr="00FF7222">
        <w:rPr>
          <w:rFonts w:ascii="Times New Roman" w:eastAsia="Times" w:hAnsi="Times New Roman" w:cs="Times New Roman"/>
          <w:color w:val="000000"/>
          <w:sz w:val="21"/>
          <w:szCs w:val="21"/>
          <w:lang w:eastAsia="zh-CN" w:bidi="ar"/>
        </w:rPr>
        <w:t xml:space="preserve">Shaffer </w:t>
      </w:r>
      <w:r w:rsidRPr="00FF7222">
        <w:rPr>
          <w:rFonts w:ascii="Times New Roman" w:eastAsia="SimSun" w:hAnsi="Times New Roman" w:cs="Times New Roman"/>
          <w:color w:val="000000"/>
          <w:sz w:val="21"/>
          <w:szCs w:val="21"/>
          <w:lang w:eastAsia="zh-CN" w:bidi="ar"/>
        </w:rPr>
        <w:t xml:space="preserve">D W, Halverson R, Squire K R, &amp; Gee J P </w:t>
      </w:r>
      <w:r w:rsidR="003C7E87">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2005</w:t>
      </w:r>
      <w:r w:rsidR="003C7E87">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 xml:space="preserve"> Video games and the future of learning </w:t>
      </w:r>
      <w:r w:rsidRPr="00FF7222">
        <w:rPr>
          <w:rFonts w:ascii="Times New Roman" w:eastAsia="TimesNewRomanPS-ItalicMT" w:hAnsi="Times New Roman" w:cs="Times New Roman"/>
          <w:color w:val="000000"/>
          <w:sz w:val="21"/>
          <w:szCs w:val="21"/>
          <w:lang w:eastAsia="zh-CN" w:bidi="ar"/>
        </w:rPr>
        <w:t xml:space="preserve">WCER Working Paper </w:t>
      </w:r>
      <w:r w:rsidRPr="00FF7222">
        <w:rPr>
          <w:rFonts w:ascii="Times New Roman" w:eastAsia="SimSun" w:hAnsi="Times New Roman" w:cs="Times New Roman"/>
          <w:color w:val="000000"/>
          <w:sz w:val="21"/>
          <w:szCs w:val="21"/>
          <w:lang w:eastAsia="zh-CN" w:bidi="ar"/>
        </w:rPr>
        <w:t xml:space="preserve">no 4 (Madison: University of Wisconsin–Madison, Wisconsin Center for Education Research NJ1) </w:t>
      </w:r>
    </w:p>
    <w:p w14:paraId="0E3F4E56" w14:textId="69696CA0" w:rsidR="00441A09" w:rsidRPr="00FF7222" w:rsidRDefault="00D92134" w:rsidP="00550801">
      <w:pPr>
        <w:spacing w:after="0" w:line="240" w:lineRule="auto"/>
        <w:ind w:left="284" w:hanging="284"/>
        <w:jc w:val="both"/>
        <w:rPr>
          <w:rFonts w:ascii="Times New Roman" w:hAnsi="Times New Roman" w:cs="Times New Roman"/>
          <w:sz w:val="21"/>
          <w:szCs w:val="21"/>
        </w:rPr>
      </w:pPr>
      <w:r w:rsidRPr="00FF7222">
        <w:rPr>
          <w:rFonts w:ascii="Times New Roman" w:eastAsia="Times" w:hAnsi="Times New Roman" w:cs="Times New Roman"/>
          <w:color w:val="000000"/>
          <w:sz w:val="21"/>
          <w:szCs w:val="21"/>
          <w:lang w:eastAsia="zh-CN" w:bidi="ar"/>
        </w:rPr>
        <w:t xml:space="preserve">Kapp </w:t>
      </w:r>
      <w:r w:rsidRPr="00FF7222">
        <w:rPr>
          <w:rFonts w:ascii="Times New Roman" w:eastAsia="SimSun" w:hAnsi="Times New Roman" w:cs="Times New Roman"/>
          <w:color w:val="000000"/>
          <w:sz w:val="21"/>
          <w:szCs w:val="21"/>
          <w:lang w:eastAsia="zh-CN" w:bidi="ar"/>
        </w:rPr>
        <w:t xml:space="preserve">K M </w:t>
      </w:r>
      <w:r w:rsidR="003C7E87">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2012</w:t>
      </w:r>
      <w:r w:rsidR="003C7E87">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 xml:space="preserve"> </w:t>
      </w:r>
      <w:r w:rsidRPr="00FF7222">
        <w:rPr>
          <w:rFonts w:ascii="Times New Roman" w:eastAsia="TimesNewRomanPS-ItalicMT" w:hAnsi="Times New Roman" w:cs="Times New Roman"/>
          <w:color w:val="000000"/>
          <w:sz w:val="21"/>
          <w:szCs w:val="21"/>
          <w:lang w:eastAsia="zh-CN" w:bidi="ar"/>
        </w:rPr>
        <w:t xml:space="preserve">The gamification of learning and instruction: game-based methods and strategies for training and education </w:t>
      </w:r>
      <w:r w:rsidRPr="00FF7222">
        <w:rPr>
          <w:rFonts w:ascii="Times New Roman" w:eastAsia="SimSun" w:hAnsi="Times New Roman" w:cs="Times New Roman"/>
          <w:color w:val="000000"/>
          <w:sz w:val="21"/>
          <w:szCs w:val="21"/>
          <w:lang w:eastAsia="zh-CN" w:bidi="ar"/>
        </w:rPr>
        <w:t xml:space="preserve">(John Wiley &amp; Sons) </w:t>
      </w:r>
    </w:p>
    <w:p w14:paraId="2DACED05" w14:textId="2D50CA75" w:rsidR="00441A09" w:rsidRPr="00FF7222" w:rsidRDefault="00D92134" w:rsidP="00550801">
      <w:pPr>
        <w:spacing w:after="0" w:line="240" w:lineRule="auto"/>
        <w:ind w:left="284" w:hanging="284"/>
        <w:jc w:val="both"/>
        <w:rPr>
          <w:rFonts w:ascii="Times New Roman" w:hAnsi="Times New Roman" w:cs="Times New Roman"/>
          <w:sz w:val="21"/>
          <w:szCs w:val="21"/>
        </w:rPr>
      </w:pPr>
      <w:r w:rsidRPr="00FF7222">
        <w:rPr>
          <w:rFonts w:ascii="Times New Roman" w:eastAsia="Times" w:hAnsi="Times New Roman" w:cs="Times New Roman"/>
          <w:color w:val="000000"/>
          <w:sz w:val="21"/>
          <w:szCs w:val="21"/>
          <w:lang w:eastAsia="zh-CN" w:bidi="ar"/>
        </w:rPr>
        <w:t xml:space="preserve">Moodle </w:t>
      </w:r>
      <w:r w:rsidRPr="00FF7222">
        <w:rPr>
          <w:rFonts w:ascii="Times New Roman" w:eastAsia="SimSun" w:hAnsi="Times New Roman" w:cs="Times New Roman"/>
          <w:color w:val="000000"/>
          <w:sz w:val="21"/>
          <w:szCs w:val="21"/>
          <w:lang w:eastAsia="zh-CN" w:bidi="ar"/>
        </w:rPr>
        <w:t xml:space="preserve">Plugins https://moodle.org/plugins/mod_game last access 13.08.2020 </w:t>
      </w:r>
    </w:p>
    <w:p w14:paraId="5E0D9FFF" w14:textId="398B6958" w:rsidR="00441A09" w:rsidRPr="00FF7222" w:rsidRDefault="00D92134" w:rsidP="00550801">
      <w:pPr>
        <w:spacing w:after="0" w:line="240" w:lineRule="auto"/>
        <w:ind w:left="284" w:hanging="284"/>
        <w:jc w:val="both"/>
        <w:rPr>
          <w:rFonts w:ascii="Times New Roman" w:eastAsia="TimesNewRomanPS-ItalicMT" w:hAnsi="Times New Roman" w:cs="Times New Roman"/>
          <w:color w:val="000000"/>
          <w:sz w:val="21"/>
          <w:szCs w:val="21"/>
          <w:lang w:eastAsia="zh-CN" w:bidi="ar"/>
        </w:rPr>
      </w:pPr>
      <w:r w:rsidRPr="00FF7222">
        <w:rPr>
          <w:rFonts w:ascii="Times New Roman" w:eastAsia="SimSun" w:hAnsi="Times New Roman" w:cs="Times New Roman"/>
          <w:color w:val="000000"/>
          <w:sz w:val="21"/>
          <w:szCs w:val="21"/>
          <w:lang w:eastAsia="zh-CN" w:bidi="ar"/>
        </w:rPr>
        <w:t xml:space="preserve">Henriques N, D Slavov, A J Mendes </w:t>
      </w:r>
      <w:r w:rsidR="003C7E87">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2004</w:t>
      </w:r>
      <w:r w:rsidR="003C7E87">
        <w:rPr>
          <w:rFonts w:ascii="Times New Roman" w:eastAsia="SimSun" w:hAnsi="Times New Roman" w:cs="Times New Roman"/>
          <w:color w:val="000000"/>
          <w:sz w:val="21"/>
          <w:szCs w:val="21"/>
          <w:lang w:eastAsia="zh-CN" w:bidi="ar"/>
        </w:rPr>
        <w:t>)</w:t>
      </w:r>
      <w:r w:rsidRPr="00FF7222">
        <w:rPr>
          <w:rFonts w:ascii="Times New Roman" w:eastAsia="SimSun" w:hAnsi="Times New Roman" w:cs="Times New Roman"/>
          <w:color w:val="000000"/>
          <w:sz w:val="21"/>
          <w:szCs w:val="21"/>
          <w:lang w:eastAsia="zh-CN" w:bidi="ar"/>
        </w:rPr>
        <w:t xml:space="preserve"> Learning OnWeb development of a SCORM compliant </w:t>
      </w:r>
      <w:r w:rsidRPr="00FF7222">
        <w:rPr>
          <w:rFonts w:ascii="Times New Roman" w:eastAsia="Times" w:hAnsi="Times New Roman" w:cs="Times New Roman"/>
          <w:color w:val="000000"/>
          <w:sz w:val="21"/>
          <w:szCs w:val="21"/>
          <w:lang w:eastAsia="zh-CN" w:bidi="ar"/>
        </w:rPr>
        <w:t xml:space="preserve">Learning </w:t>
      </w:r>
      <w:r w:rsidRPr="00FF7222">
        <w:rPr>
          <w:rFonts w:ascii="Times New Roman" w:eastAsia="SimSun" w:hAnsi="Times New Roman" w:cs="Times New Roman"/>
          <w:color w:val="000000"/>
          <w:sz w:val="21"/>
          <w:szCs w:val="21"/>
          <w:lang w:eastAsia="zh-CN" w:bidi="ar"/>
        </w:rPr>
        <w:t xml:space="preserve">Management system </w:t>
      </w:r>
      <w:r w:rsidRPr="00FF7222">
        <w:rPr>
          <w:rFonts w:ascii="Times New Roman" w:eastAsia="TimesNewRomanPS-ItalicMT" w:hAnsi="Times New Roman" w:cs="Times New Roman"/>
          <w:color w:val="000000"/>
          <w:sz w:val="21"/>
          <w:szCs w:val="21"/>
          <w:lang w:eastAsia="zh-CN" w:bidi="ar"/>
        </w:rPr>
        <w:t xml:space="preserve">International Conference on Computer Systems and Technologies CompSysTech'2004 </w:t>
      </w:r>
    </w:p>
    <w:p w14:paraId="4BBFE8E8" w14:textId="30220858" w:rsidR="00441A09" w:rsidRPr="00FF7222" w:rsidRDefault="00D92134" w:rsidP="00550801">
      <w:pPr>
        <w:spacing w:after="0" w:line="240" w:lineRule="auto"/>
        <w:ind w:left="284" w:hanging="284"/>
        <w:jc w:val="both"/>
        <w:rPr>
          <w:rFonts w:ascii="Times New Roman" w:hAnsi="Times New Roman" w:cs="Times New Roman"/>
          <w:sz w:val="21"/>
          <w:szCs w:val="21"/>
        </w:rPr>
      </w:pPr>
      <w:r w:rsidRPr="00FF7222">
        <w:rPr>
          <w:rFonts w:ascii="Times New Roman" w:eastAsia="Times" w:hAnsi="Times New Roman" w:cs="Times New Roman"/>
          <w:color w:val="000000"/>
          <w:sz w:val="21"/>
          <w:szCs w:val="21"/>
          <w:lang w:eastAsia="zh-CN" w:bidi="ar"/>
        </w:rPr>
        <w:t xml:space="preserve">Advanced </w:t>
      </w:r>
      <w:r w:rsidRPr="00FF7222">
        <w:rPr>
          <w:rFonts w:ascii="Times New Roman" w:eastAsia="SimSun" w:hAnsi="Times New Roman" w:cs="Times New Roman"/>
          <w:color w:val="000000"/>
          <w:sz w:val="21"/>
          <w:szCs w:val="21"/>
          <w:lang w:eastAsia="zh-CN" w:bidi="ar"/>
        </w:rPr>
        <w:t>Distributed Lear</w:t>
      </w:r>
      <w:r w:rsidR="00277316">
        <w:rPr>
          <w:rFonts w:ascii="Times New Roman" w:eastAsia="SimSun" w:hAnsi="Times New Roman" w:cs="Times New Roman"/>
          <w:color w:val="000000"/>
          <w:sz w:val="21"/>
          <w:szCs w:val="21"/>
          <w:lang w:eastAsia="zh-CN" w:bidi="ar"/>
        </w:rPr>
        <w:t>ning Initiative SCORM® Overview</w:t>
      </w:r>
      <w:r w:rsidR="00481B65">
        <w:rPr>
          <w:rFonts w:ascii="Times New Roman" w:eastAsia="SimSun" w:hAnsi="Times New Roman" w:cs="Times New Roman"/>
          <w:color w:val="000000"/>
          <w:sz w:val="21"/>
          <w:szCs w:val="21"/>
          <w:lang w:eastAsia="zh-CN" w:bidi="ar"/>
        </w:rPr>
        <w:t>,</w:t>
      </w:r>
      <w:r w:rsidR="00277316">
        <w:rPr>
          <w:rFonts w:ascii="Times New Roman" w:eastAsia="SimSun" w:hAnsi="Times New Roman" w:cs="Times New Roman"/>
          <w:color w:val="000000"/>
          <w:sz w:val="21"/>
          <w:szCs w:val="21"/>
          <w:lang w:eastAsia="zh-CN" w:bidi="ar"/>
        </w:rPr>
        <w:t xml:space="preserve"> </w:t>
      </w:r>
      <w:r w:rsidRPr="00FF7222">
        <w:rPr>
          <w:rFonts w:ascii="Times New Roman" w:eastAsia="SimSun" w:hAnsi="Times New Roman" w:cs="Times New Roman"/>
          <w:color w:val="000000"/>
          <w:sz w:val="21"/>
          <w:szCs w:val="21"/>
          <w:lang w:eastAsia="zh-CN" w:bidi="ar"/>
        </w:rPr>
        <w:t>https://adlnet.gov/projects/scorm/, last access 13.08.2020</w:t>
      </w:r>
    </w:p>
    <w:sectPr w:rsidR="00441A09" w:rsidRPr="00FF7222">
      <w:headerReference w:type="default" r:id="rId8"/>
      <w:footerReference w:type="default" r:id="rId9"/>
      <w:pgSz w:w="11907" w:h="16840"/>
      <w:pgMar w:top="1985" w:right="1418" w:bottom="2155" w:left="1418" w:header="1418" w:footer="141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D7298" w14:textId="77777777" w:rsidR="006D3178" w:rsidRDefault="006D3178">
      <w:pPr>
        <w:spacing w:after="0" w:line="240" w:lineRule="auto"/>
      </w:pPr>
      <w:r>
        <w:separator/>
      </w:r>
    </w:p>
  </w:endnote>
  <w:endnote w:type="continuationSeparator" w:id="0">
    <w:p w14:paraId="74D41951" w14:textId="77777777" w:rsidR="006D3178" w:rsidRDefault="006D3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default"/>
    <w:sig w:usb0="E00002FF" w:usb1="5000205A" w:usb2="00000000" w:usb3="00000000" w:csb0="2000019F" w:csb1="4F010000"/>
  </w:font>
  <w:font w:name="TimesNewRomanPS-ItalicMT">
    <w:altName w:val="Times New Roman"/>
    <w:charset w:val="00"/>
    <w:family w:val="roman"/>
    <w:pitch w:val="default"/>
  </w:font>
  <w:font w:name="TimesNewRomanPS-BoldMT">
    <w:charset w:val="00"/>
    <w:family w:val="auto"/>
    <w:pitch w:val="default"/>
    <w:sig w:usb0="E0002AEF" w:usb1="C0007841" w:usb2="00000009" w:usb3="00000000" w:csb0="400001FF" w:csb1="FFFF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542825"/>
    </w:sdtPr>
    <w:sdtEndPr/>
    <w:sdtContent>
      <w:p w14:paraId="6D11DD7D" w14:textId="7AE4C2CD" w:rsidR="00441A09" w:rsidRDefault="00D92134">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945148">
          <w:rPr>
            <w:rFonts w:ascii="Times New Roman" w:hAnsi="Times New Roman" w:cs="Times New Roman"/>
            <w:noProof/>
          </w:rPr>
          <w:t>1</w:t>
        </w:r>
        <w:r>
          <w:rPr>
            <w:rFonts w:ascii="Times New Roman" w:hAnsi="Times New Roman" w:cs="Times New Roman"/>
          </w:rPr>
          <w:fldChar w:fldCharType="end"/>
        </w:r>
      </w:p>
    </w:sdtContent>
  </w:sdt>
  <w:p w14:paraId="616B02AA" w14:textId="77777777" w:rsidR="00441A09" w:rsidRDefault="00441A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8DA40" w14:textId="77777777" w:rsidR="006D3178" w:rsidRDefault="006D3178">
      <w:pPr>
        <w:spacing w:after="0" w:line="240" w:lineRule="auto"/>
      </w:pPr>
      <w:r>
        <w:separator/>
      </w:r>
    </w:p>
  </w:footnote>
  <w:footnote w:type="continuationSeparator" w:id="0">
    <w:p w14:paraId="24B289AF" w14:textId="77777777" w:rsidR="006D3178" w:rsidRDefault="006D31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41A09" w14:paraId="1EAEE1F7"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9EBE11A" w14:textId="77777777" w:rsidR="00441A09" w:rsidRDefault="00D9213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92795EA" w14:textId="77777777" w:rsidR="00441A09" w:rsidRDefault="00D9213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361F7DCC" w14:textId="77777777" w:rsidR="00441A09" w:rsidRDefault="00441A0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7D0720C"/>
    <w:multiLevelType w:val="multilevel"/>
    <w:tmpl w:val="C7D0720C"/>
    <w:lvl w:ilvl="0">
      <w:start w:val="1"/>
      <w:numFmt w:val="decimal"/>
      <w:suff w:val="space"/>
      <w:lvlText w:val="%1."/>
      <w:lvlJc w:val="left"/>
    </w:lvl>
    <w:lvl w:ilvl="1">
      <w:start w:val="1"/>
      <w:numFmt w:val="decimal"/>
      <w:suff w:val="space"/>
      <w:lvlText w:val="%1.%2."/>
      <w:lvlJc w:val="left"/>
      <w:pPr>
        <w:ind w:left="6805" w:firstLine="0"/>
      </w:pPr>
      <w:rPr>
        <w:rFonts w:hint="default"/>
      </w:rPr>
    </w:lvl>
    <w:lvl w:ilvl="2">
      <w:start w:val="1"/>
      <w:numFmt w:val="decimal"/>
      <w:suff w:val="space"/>
      <w:lvlText w:val="%1.%2.%3."/>
      <w:lvlJc w:val="left"/>
      <w:pPr>
        <w:ind w:left="6805" w:firstLine="0"/>
      </w:pPr>
      <w:rPr>
        <w:rFonts w:hint="default"/>
      </w:rPr>
    </w:lvl>
    <w:lvl w:ilvl="3">
      <w:start w:val="1"/>
      <w:numFmt w:val="decimal"/>
      <w:suff w:val="space"/>
      <w:lvlText w:val="%1.%2.%3.%4."/>
      <w:lvlJc w:val="left"/>
      <w:pPr>
        <w:ind w:left="6805" w:firstLine="0"/>
      </w:pPr>
      <w:rPr>
        <w:rFonts w:hint="default"/>
      </w:rPr>
    </w:lvl>
    <w:lvl w:ilvl="4">
      <w:start w:val="1"/>
      <w:numFmt w:val="decimal"/>
      <w:suff w:val="space"/>
      <w:lvlText w:val="%1.%2.%3.%4.%5."/>
      <w:lvlJc w:val="left"/>
      <w:pPr>
        <w:ind w:left="6805" w:firstLine="0"/>
      </w:pPr>
      <w:rPr>
        <w:rFonts w:hint="default"/>
      </w:rPr>
    </w:lvl>
    <w:lvl w:ilvl="5">
      <w:start w:val="1"/>
      <w:numFmt w:val="decimal"/>
      <w:suff w:val="space"/>
      <w:lvlText w:val="%1.%2.%3.%4.%5.%6."/>
      <w:lvlJc w:val="left"/>
      <w:pPr>
        <w:ind w:left="6805" w:firstLine="0"/>
      </w:pPr>
      <w:rPr>
        <w:rFonts w:hint="default"/>
      </w:rPr>
    </w:lvl>
    <w:lvl w:ilvl="6">
      <w:start w:val="1"/>
      <w:numFmt w:val="decimal"/>
      <w:suff w:val="space"/>
      <w:lvlText w:val="%1.%2.%3.%4.%5.%6.%7."/>
      <w:lvlJc w:val="left"/>
      <w:pPr>
        <w:ind w:left="6805" w:firstLine="0"/>
      </w:pPr>
      <w:rPr>
        <w:rFonts w:hint="default"/>
      </w:rPr>
    </w:lvl>
    <w:lvl w:ilvl="7">
      <w:start w:val="1"/>
      <w:numFmt w:val="decimal"/>
      <w:suff w:val="space"/>
      <w:lvlText w:val="%1.%2.%3.%4.%5.%6.%7.%8."/>
      <w:lvlJc w:val="left"/>
      <w:pPr>
        <w:ind w:left="6805" w:firstLine="0"/>
      </w:pPr>
      <w:rPr>
        <w:rFonts w:hint="default"/>
      </w:rPr>
    </w:lvl>
    <w:lvl w:ilvl="8">
      <w:start w:val="1"/>
      <w:numFmt w:val="decimal"/>
      <w:suff w:val="space"/>
      <w:lvlText w:val="%1.%2.%3.%4.%5.%6.%7.%8.%9."/>
      <w:lvlJc w:val="left"/>
      <w:pPr>
        <w:ind w:left="6805"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53D"/>
    <w:rsid w:val="BAFBF264"/>
    <w:rsid w:val="0009353D"/>
    <w:rsid w:val="001F3CA5"/>
    <w:rsid w:val="00277316"/>
    <w:rsid w:val="00332A3E"/>
    <w:rsid w:val="003C7E87"/>
    <w:rsid w:val="00441A09"/>
    <w:rsid w:val="00481B65"/>
    <w:rsid w:val="00512243"/>
    <w:rsid w:val="00550801"/>
    <w:rsid w:val="006D3178"/>
    <w:rsid w:val="00755D62"/>
    <w:rsid w:val="00880C12"/>
    <w:rsid w:val="00945148"/>
    <w:rsid w:val="00CB7E2F"/>
    <w:rsid w:val="00CC7BE3"/>
    <w:rsid w:val="00D04104"/>
    <w:rsid w:val="00D92134"/>
    <w:rsid w:val="00EE317D"/>
    <w:rsid w:val="00FF72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4AE7C"/>
  <w15:docId w15:val="{18B10FBA-69F0-4CF2-9E9C-016F9644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table" w:styleId="TableGrid">
    <w:name w:val="Table Grid"/>
    <w:basedOn w:val="TableNormal"/>
    <w:uiPriority w:val="39"/>
    <w:qFormat/>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paragraph" w:styleId="BalloonText">
    <w:name w:val="Balloon Text"/>
    <w:basedOn w:val="Normal"/>
    <w:link w:val="BalloonTextChar"/>
    <w:uiPriority w:val="99"/>
    <w:semiHidden/>
    <w:unhideWhenUsed/>
    <w:rsid w:val="00CC7B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7B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2810</Words>
  <Characters>16022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tuyetnguyenht@gmail.com</dc:creator>
  <cp:lastModifiedBy>PC001</cp:lastModifiedBy>
  <cp:revision>4</cp:revision>
  <dcterms:created xsi:type="dcterms:W3CDTF">2023-09-04T09:02:00Z</dcterms:created>
  <dcterms:modified xsi:type="dcterms:W3CDTF">2023-09-15T07:44:00Z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