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line="240" w:lineRule="auto"/>
        <w:jc w:val="center"/>
        <w:rPr>
          <w:rFonts w:ascii="Times New Roman" w:hAnsi="Times New Roman" w:cs="Times New Roman"/>
          <w:b/>
          <w:color w:val="000000" w:themeColor="text1"/>
          <w:sz w:val="26"/>
          <w:szCs w:val="26"/>
          <w14:textFill>
            <w14:solidFill>
              <w14:schemeClr w14:val="tx1"/>
            </w14:solidFill>
          </w14:textFill>
        </w:rPr>
      </w:pPr>
      <w:bookmarkStart w:id="0" w:name="_Toc141792761"/>
      <w:r>
        <w:rPr>
          <w:rFonts w:ascii="Times New Roman" w:hAnsi="Times New Roman" w:cs="Times New Roman"/>
          <w:b/>
          <w:color w:val="000000" w:themeColor="text1"/>
          <w:sz w:val="26"/>
          <w:szCs w:val="26"/>
          <w14:textFill>
            <w14:solidFill>
              <w14:schemeClr w14:val="tx1"/>
            </w14:solidFill>
          </w14:textFill>
        </w:rPr>
        <w:t>ĐỀ XUẤT GIẢI PHÁP ỨNG DỤNG CHUYỂN ĐỔI SỐ TRONG PHƯƠNG PHÁP DẠY VÀ HỌC THỰC HÀNH TẠI KHOA ĐỘNG LỰC TRƯỜNG CAO ĐẲNG LÝ TỰ TRỌNG</w:t>
      </w:r>
      <w:bookmarkEnd w:id="0"/>
    </w:p>
    <w:p>
      <w:pPr>
        <w:pStyle w:val="2"/>
        <w:spacing w:before="0" w:line="240" w:lineRule="auto"/>
        <w:jc w:val="center"/>
        <w:rPr>
          <w:rFonts w:ascii="Times New Roman" w:hAnsi="Times New Roman" w:cs="Times New Roman"/>
          <w:color w:val="000000" w:themeColor="text1"/>
          <w:sz w:val="26"/>
          <w:szCs w:val="26"/>
          <w14:textFill>
            <w14:solidFill>
              <w14:schemeClr w14:val="tx1"/>
            </w14:solidFill>
          </w14:textFill>
        </w:rPr>
      </w:pPr>
      <w:bookmarkStart w:id="1" w:name="_Toc141792762"/>
      <w:r>
        <w:rPr>
          <w:rFonts w:ascii="Times New Roman" w:hAnsi="Times New Roman" w:cs="Times New Roman"/>
          <w:color w:val="000000" w:themeColor="text1"/>
          <w:sz w:val="26"/>
          <w:szCs w:val="26"/>
          <w14:textFill>
            <w14:solidFill>
              <w14:schemeClr w14:val="tx1"/>
            </w14:solidFill>
          </w14:textFill>
        </w:rPr>
        <w:t>PROPOSING SOLUTION TO APPLY DIGITAL TRANSFORMATION IN TEACHING AND LEARNING METHODS IN PRACTICE AT THE FACULTY OF AUTOMOTIVE TECHNOLOGY AT LY TU TRONG COLLEGE</w:t>
      </w:r>
      <w:bookmarkEnd w:id="1"/>
    </w:p>
    <w:p/>
    <w:tbl>
      <w:tblPr>
        <w:tblStyle w:val="17"/>
        <w:tblW w:w="90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552"/>
        <w:gridCol w:w="281"/>
        <w:gridCol w:w="62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52" w:type="dxa"/>
            <w:vAlign w:val="center"/>
          </w:tcPr>
          <w:p>
            <w:pPr>
              <w:spacing w:after="0" w:line="240" w:lineRule="auto"/>
              <w:rPr>
                <w:rFonts w:ascii="Times New Roman" w:hAnsi="Times New Roman" w:cs="Times New Roman"/>
                <w:b/>
                <w:color w:val="000000" w:themeColor="text1"/>
                <w:spacing w:val="-4"/>
                <w:w w:val="98"/>
                <w:sz w:val="21"/>
                <w:szCs w:val="26"/>
                <w:vertAlign w:val="superscript"/>
                <w14:textFill>
                  <w14:solidFill>
                    <w14:schemeClr w14:val="tx1"/>
                  </w14:solidFill>
                </w14:textFill>
              </w:rPr>
            </w:pPr>
          </w:p>
        </w:tc>
        <w:tc>
          <w:tcPr>
            <w:tcW w:w="281" w:type="dxa"/>
            <w:vMerge w:val="restart"/>
            <w:vAlign w:val="center"/>
          </w:tcPr>
          <w:p>
            <w:pPr>
              <w:spacing w:after="0" w:line="240" w:lineRule="auto"/>
              <w:jc w:val="both"/>
              <w:rPr>
                <w:rFonts w:ascii="Times New Roman" w:hAnsi="Times New Roman" w:cs="Times New Roman"/>
                <w:color w:val="000000" w:themeColor="text1"/>
                <w:spacing w:val="-4"/>
                <w:w w:val="98"/>
                <w:sz w:val="21"/>
                <w:szCs w:val="26"/>
                <w14:textFill>
                  <w14:solidFill>
                    <w14:schemeClr w14:val="tx1"/>
                  </w14:solidFill>
                </w14:textFill>
              </w:rPr>
            </w:pPr>
          </w:p>
        </w:tc>
        <w:tc>
          <w:tcPr>
            <w:tcW w:w="6239" w:type="dxa"/>
            <w:vAlign w:val="center"/>
          </w:tcPr>
          <w:p>
            <w:pPr>
              <w:spacing w:after="0" w:line="240" w:lineRule="auto"/>
              <w:jc w:val="both"/>
              <w:rPr>
                <w:rFonts w:ascii="Times New Roman" w:hAnsi="Times New Roman" w:cs="Times New Roman"/>
                <w:color w:val="000000" w:themeColor="text1"/>
                <w:spacing w:val="-4"/>
                <w:w w:val="98"/>
                <w:sz w:val="21"/>
                <w:szCs w:val="26"/>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552" w:type="dxa"/>
            <w:vAlign w:val="center"/>
          </w:tcPr>
          <w:p>
            <w:pPr>
              <w:spacing w:after="0" w:line="240" w:lineRule="auto"/>
              <w:jc w:val="both"/>
              <w:rPr>
                <w:rFonts w:ascii="Times New Roman" w:hAnsi="Times New Roman" w:cs="Times New Roman"/>
                <w:color w:val="000000" w:themeColor="text1"/>
                <w:spacing w:val="-4"/>
                <w:w w:val="98"/>
                <w:sz w:val="21"/>
                <w:szCs w:val="26"/>
                <w14:textFill>
                  <w14:solidFill>
                    <w14:schemeClr w14:val="tx1"/>
                  </w14:solidFill>
                </w14:textFill>
              </w:rPr>
            </w:pPr>
          </w:p>
        </w:tc>
        <w:tc>
          <w:tcPr>
            <w:tcW w:w="281" w:type="dxa"/>
            <w:vMerge w:val="continue"/>
            <w:vAlign w:val="center"/>
          </w:tcPr>
          <w:p>
            <w:pPr>
              <w:spacing w:after="0" w:line="240" w:lineRule="auto"/>
              <w:jc w:val="both"/>
              <w:rPr>
                <w:rFonts w:ascii="Times New Roman" w:hAnsi="Times New Roman" w:cs="Times New Roman"/>
                <w:color w:val="000000" w:themeColor="text1"/>
                <w:spacing w:val="-4"/>
                <w:w w:val="98"/>
                <w:sz w:val="21"/>
                <w:szCs w:val="26"/>
                <w14:textFill>
                  <w14:solidFill>
                    <w14:schemeClr w14:val="tx1"/>
                  </w14:solidFill>
                </w14:textFill>
              </w:rPr>
            </w:pPr>
          </w:p>
        </w:tc>
        <w:tc>
          <w:tcPr>
            <w:tcW w:w="6239" w:type="dxa"/>
            <w:vAlign w:val="center"/>
          </w:tcPr>
          <w:p>
            <w:pPr>
              <w:spacing w:after="0" w:line="240" w:lineRule="auto"/>
              <w:jc w:val="both"/>
              <w:rPr>
                <w:rFonts w:ascii="Times New Roman" w:hAnsi="Times New Roman" w:cs="Times New Roman"/>
                <w:color w:val="000000" w:themeColor="text1"/>
                <w:spacing w:val="-4"/>
                <w:w w:val="98"/>
                <w:sz w:val="21"/>
                <w:szCs w:val="26"/>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 w:hRule="atLeast"/>
        </w:trPr>
        <w:tc>
          <w:tcPr>
            <w:tcW w:w="2552" w:type="dxa"/>
            <w:shd w:val="clear" w:color="auto" w:fill="FFFFFF" w:themeFill="background1"/>
          </w:tcPr>
          <w:p>
            <w:pPr>
              <w:spacing w:after="0" w:line="240" w:lineRule="auto"/>
              <w:jc w:val="both"/>
              <w:rPr>
                <w:rFonts w:ascii="Times New Roman" w:hAnsi="Times New Roman" w:cs="Times New Roman"/>
                <w:b/>
                <w:color w:val="000000" w:themeColor="text1"/>
                <w:spacing w:val="-4"/>
                <w:w w:val="98"/>
                <w:sz w:val="21"/>
                <w:szCs w:val="26"/>
                <w14:textFill>
                  <w14:solidFill>
                    <w14:schemeClr w14:val="tx1"/>
                  </w14:solidFill>
                </w14:textFill>
              </w:rPr>
            </w:pPr>
          </w:p>
        </w:tc>
        <w:tc>
          <w:tcPr>
            <w:tcW w:w="281" w:type="dxa"/>
            <w:vMerge w:val="continue"/>
            <w:tcBorders>
              <w:right w:val="single" w:color="3F3F3F" w:themeColor="text1" w:themeTint="BF" w:sz="18" w:space="0"/>
            </w:tcBorders>
            <w:shd w:val="clear" w:color="auto" w:fill="FFFFFF" w:themeFill="background1"/>
            <w:vAlign w:val="center"/>
          </w:tcPr>
          <w:p>
            <w:pPr>
              <w:spacing w:after="0" w:line="240" w:lineRule="auto"/>
              <w:rPr>
                <w:rFonts w:ascii="Times New Roman" w:hAnsi="Times New Roman" w:cs="Times New Roman"/>
                <w:b/>
                <w:color w:val="000000" w:themeColor="text1"/>
                <w:spacing w:val="-4"/>
                <w:w w:val="98"/>
                <w:sz w:val="21"/>
                <w:szCs w:val="26"/>
                <w14:textFill>
                  <w14:solidFill>
                    <w14:schemeClr w14:val="tx1"/>
                  </w14:solidFill>
                </w14:textFill>
              </w:rPr>
            </w:pPr>
          </w:p>
        </w:tc>
        <w:tc>
          <w:tcPr>
            <w:tcW w:w="6239" w:type="dxa"/>
            <w:tcBorders>
              <w:left w:val="single" w:color="3F3F3F" w:themeColor="text1" w:themeTint="BF" w:sz="18" w:space="0"/>
            </w:tcBorders>
            <w:shd w:val="clear" w:color="auto" w:fill="D0CECE" w:themeFill="background2" w:themeFillShade="E6"/>
            <w:vAlign w:val="center"/>
          </w:tcPr>
          <w:p>
            <w:pPr>
              <w:spacing w:after="0" w:line="240" w:lineRule="auto"/>
              <w:jc w:val="both"/>
              <w:rPr>
                <w:rFonts w:ascii="Times New Roman" w:hAnsi="Times New Roman" w:cs="Times New Roman"/>
                <w:b/>
                <w:color w:val="000000" w:themeColor="text1"/>
                <w:spacing w:val="-4"/>
                <w:w w:val="98"/>
                <w:sz w:val="21"/>
                <w:szCs w:val="21"/>
                <w14:textFill>
                  <w14:solidFill>
                    <w14:schemeClr w14:val="tx1"/>
                  </w14:solidFill>
                </w14:textFill>
              </w:rPr>
            </w:pPr>
            <w:r>
              <w:rPr>
                <w:rFonts w:ascii="Times New Roman" w:hAnsi="Times New Roman" w:cs="Times New Roman"/>
                <w:b/>
                <w:color w:val="000000" w:themeColor="text1"/>
                <w:spacing w:val="-4"/>
                <w:w w:val="98"/>
                <w:sz w:val="21"/>
                <w:szCs w:val="21"/>
                <w14:textFill>
                  <w14:solidFill>
                    <w14:schemeClr w14:val="tx1"/>
                  </w14:solidFill>
                </w14:textFill>
              </w:rPr>
              <w:t>TÓM TẮT: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4" w:hRule="atLeast"/>
        </w:trPr>
        <w:tc>
          <w:tcPr>
            <w:tcW w:w="2552" w:type="dxa"/>
          </w:tcPr>
          <w:p>
            <w:pPr>
              <w:spacing w:after="0" w:line="240" w:lineRule="auto"/>
              <w:rPr>
                <w:rFonts w:ascii="Times New Roman" w:hAnsi="Times New Roman" w:cs="Times New Roman"/>
                <w:b/>
                <w:sz w:val="21"/>
                <w:szCs w:val="21"/>
              </w:rPr>
            </w:pPr>
            <w:r>
              <w:rPr>
                <w:rFonts w:ascii="Times New Roman" w:hAnsi="Times New Roman" w:cs="Times New Roman"/>
                <w:b/>
                <w:sz w:val="21"/>
                <w:szCs w:val="21"/>
              </w:rPr>
              <w:t>Keywords:</w:t>
            </w:r>
          </w:p>
          <w:p>
            <w:pPr>
              <w:spacing w:after="0" w:line="240" w:lineRule="auto"/>
              <w:rPr>
                <w:rFonts w:ascii="Times New Roman" w:hAnsi="Times New Roman" w:cs="Times New Roman"/>
                <w:sz w:val="21"/>
                <w:szCs w:val="21"/>
              </w:rPr>
            </w:pPr>
            <w:r>
              <w:rPr>
                <w:rFonts w:ascii="Times New Roman" w:hAnsi="Times New Roman" w:cs="Times New Roman"/>
                <w:sz w:val="21"/>
                <w:szCs w:val="21"/>
              </w:rPr>
              <w:t>Digital transformation, vocational education 4.0, teaching methods, IoT, Big Data</w:t>
            </w:r>
          </w:p>
          <w:p>
            <w:pPr>
              <w:spacing w:after="0" w:line="240" w:lineRule="auto"/>
              <w:jc w:val="both"/>
              <w:rPr>
                <w:rFonts w:ascii="Times New Roman" w:hAnsi="Times New Roman" w:cs="Times New Roman"/>
                <w:color w:val="000000" w:themeColor="text1"/>
                <w:spacing w:val="-4"/>
                <w:w w:val="98"/>
                <w:sz w:val="21"/>
                <w:szCs w:val="26"/>
                <w14:textFill>
                  <w14:solidFill>
                    <w14:schemeClr w14:val="tx1"/>
                  </w14:solidFill>
                </w14:textFill>
              </w:rPr>
            </w:pPr>
          </w:p>
        </w:tc>
        <w:tc>
          <w:tcPr>
            <w:tcW w:w="281" w:type="dxa"/>
            <w:vMerge w:val="continue"/>
            <w:tcBorders>
              <w:right w:val="single" w:color="3F3F3F" w:themeColor="text1" w:themeTint="BF" w:sz="18" w:space="0"/>
            </w:tcBorders>
            <w:shd w:val="clear" w:color="auto" w:fill="FFFFFF" w:themeFill="background1"/>
            <w:vAlign w:val="center"/>
          </w:tcPr>
          <w:p>
            <w:pPr>
              <w:spacing w:after="0" w:line="240" w:lineRule="auto"/>
              <w:jc w:val="center"/>
              <w:rPr>
                <w:rFonts w:ascii="Times New Roman" w:hAnsi="Times New Roman" w:cs="Times New Roman"/>
                <w:b/>
                <w:color w:val="000000" w:themeColor="text1"/>
                <w:spacing w:val="-4"/>
                <w:w w:val="98"/>
                <w:sz w:val="21"/>
                <w:szCs w:val="26"/>
                <w14:textFill>
                  <w14:solidFill>
                    <w14:schemeClr w14:val="tx1"/>
                  </w14:solidFill>
                </w14:textFill>
              </w:rPr>
            </w:pPr>
          </w:p>
        </w:tc>
        <w:tc>
          <w:tcPr>
            <w:tcW w:w="6239" w:type="dxa"/>
            <w:vMerge w:val="restart"/>
            <w:tcBorders>
              <w:left w:val="single" w:color="3F3F3F" w:themeColor="text1" w:themeTint="BF" w:sz="18" w:space="0"/>
            </w:tcBorders>
            <w:shd w:val="clear" w:color="auto" w:fill="D0CECE" w:themeFill="background2" w:themeFillShade="E6"/>
            <w:vAlign w:val="center"/>
          </w:tcPr>
          <w:p>
            <w:pPr>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 xml:space="preserve">Bối cảnh: </w:t>
            </w:r>
            <w:r>
              <w:rPr>
                <w:rFonts w:ascii="Times New Roman" w:hAnsi="Times New Roman" w:cs="Times New Roman"/>
                <w:spacing w:val="-4"/>
                <w:w w:val="98"/>
                <w:sz w:val="21"/>
                <w:szCs w:val="21"/>
              </w:rPr>
              <w:t>Chuyển đổi số trong giáo dục là ứng dụng công nghệ kỹ thuật số và hệ thống thông tin internet vào lĩnh vực giáo dục để nâng cao chất lượng giảng dạy, học tập và quản lý giáo dục. Bao gồm cải tiến phương pháp giảng dạy, cải tiến các thiết bị, dụng cụ hỗ trợ học tập, nâng cao trải nghiệm của học sinh, sinh viên và người tham gia đào tạo.</w:t>
            </w:r>
          </w:p>
          <w:p>
            <w:pPr>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 xml:space="preserve">Kết quả: </w:t>
            </w:r>
            <w:r>
              <w:fldChar w:fldCharType="begin"/>
            </w:r>
            <w:r>
              <w:instrText xml:space="preserve"> HYPERLINK "https://www.pace.edu.vn/tin-kho-tri-thuc/chuyen-doi-so-la-gi" \t "_blank" </w:instrText>
            </w:r>
            <w:r>
              <w:fldChar w:fldCharType="separate"/>
            </w:r>
            <w:r>
              <w:rPr>
                <w:rStyle w:val="14"/>
                <w:rFonts w:ascii="Times New Roman" w:hAnsi="Times New Roman" w:cs="Times New Roman"/>
                <w:color w:val="000000" w:themeColor="text1"/>
                <w:spacing w:val="-4"/>
                <w:w w:val="98"/>
                <w:sz w:val="21"/>
                <w:szCs w:val="21"/>
                <w:u w:val="none"/>
                <w14:textFill>
                  <w14:solidFill>
                    <w14:schemeClr w14:val="tx1"/>
                  </w14:solidFill>
                </w14:textFill>
              </w:rPr>
              <w:t>Chuyển đổi số</w:t>
            </w:r>
            <w:r>
              <w:rPr>
                <w:rStyle w:val="14"/>
                <w:rFonts w:ascii="Times New Roman" w:hAnsi="Times New Roman" w:cs="Times New Roman"/>
                <w:color w:val="000000" w:themeColor="text1"/>
                <w:spacing w:val="-4"/>
                <w:w w:val="98"/>
                <w:sz w:val="21"/>
                <w:szCs w:val="21"/>
                <w:u w:val="none"/>
                <w14:textFill>
                  <w14:solidFill>
                    <w14:schemeClr w14:val="tx1"/>
                  </w14:solidFill>
                </w14:textFill>
              </w:rPr>
              <w:fldChar w:fldCharType="end"/>
            </w:r>
            <w:r>
              <w:rPr>
                <w:rFonts w:ascii="Times New Roman" w:hAnsi="Times New Roman" w:cs="Times New Roman"/>
                <w:spacing w:val="-4"/>
                <w:w w:val="98"/>
                <w:sz w:val="21"/>
                <w:szCs w:val="21"/>
              </w:rPr>
              <w:t xml:space="preserve"> giúp tạo ra môi trường học tập nơi mà mọi thứ kết nối với nhau. Theo đó, nhiều mô hình giáo dục thông minh được phát triển trên nền tảng ứng dụng Công nghệ thông tin. </w:t>
            </w:r>
          </w:p>
          <w:p>
            <w:pPr>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 xml:space="preserve">Bàn luận: </w:t>
            </w:r>
            <w:r>
              <w:rPr>
                <w:rFonts w:ascii="Times New Roman" w:hAnsi="Times New Roman" w:cs="Times New Roman"/>
                <w:spacing w:val="-4"/>
                <w:w w:val="98"/>
                <w:sz w:val="21"/>
                <w:szCs w:val="21"/>
              </w:rPr>
              <w:t>Bài viết này tập trung về thực trạng dạy và học thực hành tại khoa Động lực trường CĐ Lý Tự Trọng từ đó đề xuất các giải pháp chuyển đổi số nhằm nâng cao tính hiệu quả của hoạt động dạy và học của Giảng viên tại khoa nghề.</w:t>
            </w:r>
          </w:p>
          <w:p>
            <w:pPr>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ABSTRACT:</w:t>
            </w:r>
          </w:p>
          <w:p>
            <w:pPr>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 xml:space="preserve">Context: </w:t>
            </w:r>
            <w:r>
              <w:rPr>
                <w:rFonts w:ascii="Times New Roman" w:hAnsi="Times New Roman" w:cs="Times New Roman"/>
                <w:spacing w:val="-4"/>
                <w:w w:val="98"/>
                <w:sz w:val="21"/>
                <w:szCs w:val="21"/>
              </w:rPr>
              <w:t>Digital transformation in education is the application of digital technology and internet information system to the field of education to improve the quality of teaching, learning and educational management. Including improving teaching methods, improving learning aids and devices, enhancing the experience of students, students and training participants.</w:t>
            </w:r>
          </w:p>
          <w:p>
            <w:pPr>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 xml:space="preserve">Result: </w:t>
            </w:r>
            <w:r>
              <w:rPr>
                <w:rFonts w:ascii="Times New Roman" w:hAnsi="Times New Roman" w:cs="Times New Roman"/>
                <w:spacing w:val="-4"/>
                <w:w w:val="98"/>
                <w:sz w:val="21"/>
                <w:szCs w:val="21"/>
              </w:rPr>
              <w:t xml:space="preserve">Digital transformation helps create a learning environment where where everything is connected. Accordingly, many intelligent educational models are developed on the basis of Information Technology application. </w:t>
            </w:r>
          </w:p>
          <w:p>
            <w:pPr>
              <w:spacing w:after="0" w:line="240" w:lineRule="auto"/>
              <w:jc w:val="both"/>
              <w:rPr>
                <w:rFonts w:ascii="Times New Roman" w:hAnsi="Times New Roman" w:cs="Times New Roman"/>
                <w:spacing w:val="-4"/>
                <w:w w:val="98"/>
                <w:sz w:val="21"/>
                <w:szCs w:val="21"/>
              </w:rPr>
            </w:pPr>
            <w:r>
              <w:rPr>
                <w:rFonts w:ascii="Times New Roman" w:hAnsi="Times New Roman" w:cs="Times New Roman"/>
                <w:b/>
                <w:spacing w:val="-4"/>
                <w:w w:val="98"/>
                <w:sz w:val="21"/>
                <w:szCs w:val="21"/>
              </w:rPr>
              <w:t xml:space="preserve">Discussion: </w:t>
            </w:r>
            <w:r>
              <w:rPr>
                <w:rFonts w:ascii="Times New Roman" w:hAnsi="Times New Roman" w:cs="Times New Roman"/>
                <w:spacing w:val="-4"/>
                <w:w w:val="98"/>
                <w:sz w:val="21"/>
                <w:szCs w:val="21"/>
              </w:rPr>
              <w:t>This article focuses on the actual situation of teaching and learning practice at the Department of Motivation at Ly Tu Trong College, thereby proposing solutions for digital transformation to improve the effectiveness of teaching and learning activities of teachers at the Faculty of Vocational Education.</w:t>
            </w:r>
          </w:p>
          <w:p>
            <w:pPr>
              <w:spacing w:after="0" w:line="240" w:lineRule="auto"/>
              <w:jc w:val="both"/>
              <w:rPr>
                <w:rFonts w:ascii="Times New Roman" w:hAnsi="Times New Roman" w:cs="Times New Roman"/>
                <w:spacing w:val="-4"/>
                <w:w w:val="98"/>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 w:hRule="atLeast"/>
        </w:trPr>
        <w:tc>
          <w:tcPr>
            <w:tcW w:w="2552" w:type="dxa"/>
            <w:shd w:val="clear" w:color="auto" w:fill="FFFFFF" w:themeFill="background1"/>
          </w:tcPr>
          <w:p>
            <w:pPr>
              <w:spacing w:after="0" w:line="240" w:lineRule="auto"/>
              <w:ind w:left="29"/>
              <w:jc w:val="both"/>
              <w:rPr>
                <w:rFonts w:ascii="Times New Roman" w:hAnsi="Times New Roman" w:eastAsiaTheme="minorEastAsia" w:cstheme="majorHAnsi"/>
                <w:b/>
                <w:bCs/>
                <w:color w:val="000000" w:themeColor="text1"/>
                <w:spacing w:val="-4"/>
                <w:w w:val="98"/>
                <w:sz w:val="21"/>
                <w:szCs w:val="21"/>
                <w14:textFill>
                  <w14:solidFill>
                    <w14:schemeClr w14:val="tx1"/>
                  </w14:solidFill>
                </w14:textFill>
              </w:rPr>
            </w:pPr>
            <w:bookmarkStart w:id="2" w:name="_GoBack"/>
            <w:bookmarkEnd w:id="2"/>
          </w:p>
        </w:tc>
        <w:tc>
          <w:tcPr>
            <w:tcW w:w="281" w:type="dxa"/>
            <w:vMerge w:val="continue"/>
            <w:tcBorders>
              <w:right w:val="single" w:color="3F3F3F" w:themeColor="text1" w:themeTint="BF" w:sz="18" w:space="0"/>
            </w:tcBorders>
            <w:shd w:val="clear" w:color="auto" w:fill="FFFFFF" w:themeFill="background1"/>
            <w:vAlign w:val="center"/>
          </w:tcPr>
          <w:p>
            <w:pPr>
              <w:spacing w:after="0" w:line="240" w:lineRule="auto"/>
              <w:jc w:val="center"/>
              <w:rPr>
                <w:rFonts w:ascii="Times New Roman" w:hAnsi="Times New Roman" w:cs="Times New Roman"/>
                <w:b/>
                <w:color w:val="000000" w:themeColor="text1"/>
                <w:spacing w:val="-4"/>
                <w:w w:val="98"/>
                <w:sz w:val="21"/>
                <w:szCs w:val="26"/>
                <w14:textFill>
                  <w14:solidFill>
                    <w14:schemeClr w14:val="tx1"/>
                  </w14:solidFill>
                </w14:textFill>
              </w:rPr>
            </w:pPr>
          </w:p>
        </w:tc>
        <w:tc>
          <w:tcPr>
            <w:tcW w:w="6239" w:type="dxa"/>
            <w:vMerge w:val="continue"/>
            <w:tcBorders>
              <w:left w:val="single" w:color="3F3F3F" w:themeColor="text1" w:themeTint="BF" w:sz="18" w:space="0"/>
            </w:tcBorders>
            <w:shd w:val="clear" w:color="auto" w:fill="D0CECE" w:themeFill="background2" w:themeFillShade="E6"/>
            <w:vAlign w:val="center"/>
          </w:tcPr>
          <w:p>
            <w:pPr>
              <w:spacing w:after="0" w:line="240" w:lineRule="auto"/>
              <w:jc w:val="both"/>
              <w:rPr>
                <w:rFonts w:ascii="Times New Roman" w:hAnsi="Times New Roman" w:cs="Times New Roman"/>
                <w:color w:val="000000" w:themeColor="text1"/>
                <w:spacing w:val="-4"/>
                <w:w w:val="98"/>
                <w:sz w:val="21"/>
                <w:szCs w:val="26"/>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6" w:hRule="atLeast"/>
        </w:trPr>
        <w:tc>
          <w:tcPr>
            <w:tcW w:w="2552" w:type="dxa"/>
          </w:tcPr>
          <w:p>
            <w:pPr>
              <w:spacing w:after="0" w:line="240" w:lineRule="auto"/>
              <w:ind w:left="29"/>
              <w:jc w:val="both"/>
              <w:rPr>
                <w:rFonts w:ascii="Times New Roman" w:hAnsi="Times New Roman" w:eastAsiaTheme="minorEastAsia" w:cstheme="majorHAnsi"/>
                <w:b/>
                <w:bCs/>
                <w:color w:val="000000" w:themeColor="text1"/>
                <w:spacing w:val="-4"/>
                <w:w w:val="98"/>
                <w:sz w:val="21"/>
                <w:szCs w:val="21"/>
                <w14:textFill>
                  <w14:solidFill>
                    <w14:schemeClr w14:val="tx1"/>
                  </w14:solidFill>
                </w14:textFill>
              </w:rPr>
            </w:pPr>
          </w:p>
        </w:tc>
        <w:tc>
          <w:tcPr>
            <w:tcW w:w="281" w:type="dxa"/>
            <w:vMerge w:val="continue"/>
            <w:tcBorders>
              <w:right w:val="single" w:color="3F3F3F" w:themeColor="text1" w:themeTint="BF" w:sz="18" w:space="0"/>
            </w:tcBorders>
            <w:shd w:val="clear" w:color="auto" w:fill="FFFFFF" w:themeFill="background1"/>
            <w:vAlign w:val="center"/>
          </w:tcPr>
          <w:p>
            <w:pPr>
              <w:spacing w:after="0" w:line="240" w:lineRule="auto"/>
              <w:jc w:val="center"/>
              <w:rPr>
                <w:rFonts w:ascii="Times New Roman" w:hAnsi="Times New Roman" w:cs="Times New Roman"/>
                <w:b/>
                <w:color w:val="000000" w:themeColor="text1"/>
                <w:spacing w:val="-4"/>
                <w:w w:val="98"/>
                <w:sz w:val="21"/>
                <w:szCs w:val="26"/>
                <w14:textFill>
                  <w14:solidFill>
                    <w14:schemeClr w14:val="tx1"/>
                  </w14:solidFill>
                </w14:textFill>
              </w:rPr>
            </w:pPr>
          </w:p>
        </w:tc>
        <w:tc>
          <w:tcPr>
            <w:tcW w:w="6239" w:type="dxa"/>
            <w:vMerge w:val="continue"/>
            <w:tcBorders>
              <w:left w:val="single" w:color="3F3F3F" w:themeColor="text1" w:themeTint="BF" w:sz="18" w:space="0"/>
            </w:tcBorders>
            <w:shd w:val="clear" w:color="auto" w:fill="D0CECE" w:themeFill="background2" w:themeFillShade="E6"/>
            <w:vAlign w:val="center"/>
          </w:tcPr>
          <w:p>
            <w:pPr>
              <w:spacing w:after="0" w:line="240" w:lineRule="auto"/>
              <w:jc w:val="both"/>
              <w:rPr>
                <w:rFonts w:ascii="Times New Roman" w:hAnsi="Times New Roman" w:cs="Times New Roman"/>
                <w:color w:val="000000" w:themeColor="text1"/>
                <w:spacing w:val="-4"/>
                <w:w w:val="98"/>
                <w:sz w:val="21"/>
                <w:szCs w:val="26"/>
                <w14:textFill>
                  <w14:solidFill>
                    <w14:schemeClr w14:val="tx1"/>
                  </w14:solidFill>
                </w14:textFill>
              </w:rPr>
            </w:pPr>
          </w:p>
        </w:tc>
      </w:tr>
    </w:tbl>
    <w:p>
      <w:pPr>
        <w:pStyle w:val="15"/>
        <w:shd w:val="clear" w:color="auto" w:fill="FFFFFF"/>
        <w:spacing w:after="0" w:line="276" w:lineRule="auto"/>
        <w:jc w:val="both"/>
        <w:rPr>
          <w:b/>
          <w:i/>
          <w:color w:val="000000" w:themeColor="text1"/>
          <w:sz w:val="21"/>
          <w:szCs w:val="21"/>
          <w14:textFill>
            <w14:solidFill>
              <w14:schemeClr w14:val="tx1"/>
            </w14:solidFill>
          </w14:textFill>
        </w:rPr>
      </w:pPr>
    </w:p>
    <w:p>
      <w:pPr>
        <w:pStyle w:val="30"/>
        <w:numPr>
          <w:ilvl w:val="0"/>
          <w:numId w:val="2"/>
        </w:numPr>
        <w:tabs>
          <w:tab w:val="left" w:pos="567"/>
        </w:tabs>
        <w:spacing w:after="0" w:line="240" w:lineRule="auto"/>
        <w:ind w:left="0" w:firstLine="284"/>
        <w:jc w:val="both"/>
        <w:rPr>
          <w:rFonts w:ascii="Times New Roman" w:hAnsi="Times New Roman" w:cs="Times New Roman"/>
          <w:b/>
          <w:color w:val="000000" w:themeColor="text1"/>
          <w:spacing w:val="-4"/>
          <w:w w:val="98"/>
          <w:sz w:val="21"/>
          <w:szCs w:val="21"/>
          <w:lang w:val="pt-BR" w:eastAsia="ja-JP"/>
          <w14:textFill>
            <w14:solidFill>
              <w14:schemeClr w14:val="tx1"/>
            </w14:solidFill>
          </w14:textFill>
        </w:rPr>
      </w:pPr>
      <w:r>
        <w:rPr>
          <w:rFonts w:ascii="Times New Roman" w:hAnsi="Times New Roman" w:cs="Times New Roman"/>
          <w:b/>
          <w:color w:val="000000" w:themeColor="text1"/>
          <w:spacing w:val="-4"/>
          <w:w w:val="98"/>
          <w:sz w:val="21"/>
          <w:szCs w:val="21"/>
          <w:lang w:val="pt-BR" w:eastAsia="ja-JP"/>
          <w14:textFill>
            <w14:solidFill>
              <w14:schemeClr w14:val="tx1"/>
            </w14:solidFill>
          </w14:textFill>
        </w:rPr>
        <w:t>Giới thiệu</w:t>
      </w:r>
    </w:p>
    <w:p>
      <w:pPr>
        <w:tabs>
          <w:tab w:val="left" w:pos="567"/>
        </w:tabs>
        <w:spacing w:after="0" w:line="240" w:lineRule="auto"/>
        <w:ind w:firstLine="284"/>
        <w:jc w:val="both"/>
        <w:rPr>
          <w:rFonts w:ascii="Times New Roman" w:hAnsi="Times New Roman" w:cs="Times New Roman"/>
          <w:b/>
          <w:color w:val="000000" w:themeColor="text1"/>
          <w:spacing w:val="-4"/>
          <w:w w:val="98"/>
          <w:sz w:val="21"/>
          <w:szCs w:val="21"/>
          <w:lang w:val="pt-BR" w:eastAsia="ja-JP"/>
          <w14:textFill>
            <w14:solidFill>
              <w14:schemeClr w14:val="tx1"/>
            </w14:solidFill>
          </w14:textFill>
        </w:rPr>
      </w:pPr>
      <w:r>
        <w:rPr>
          <w:rFonts w:ascii="Times New Roman" w:hAnsi="Times New Roman" w:eastAsia="Times New Roman" w:cs="Times New Roman"/>
          <w:color w:val="000000" w:themeColor="text1"/>
          <w:spacing w:val="-4"/>
          <w:w w:val="98"/>
          <w:sz w:val="21"/>
          <w:szCs w:val="21"/>
          <w:lang w:val="pt-BR"/>
          <w14:textFill>
            <w14:solidFill>
              <w14:schemeClr w14:val="tx1"/>
            </w14:solidFill>
          </w14:textFill>
        </w:rPr>
        <w:t>Có thể nói chuyển đổi số trong giáo dục là bước đi then chốt trong việc đẩy nhanh sự phát triển của hoạt động dạy và học trong tương lai. Trong đó có ba áp dụng cơ bản là: Ứng dụng công nghệ trong phương thức giảng dạy, ứng dụng công nghệ trong quản lý và ứng dụng công nghệ trong lớp học. Việc ứng dụng chuyển đổi số trong giáo dục sẽ mang lại những hiệu quả thiết thực như:</w:t>
      </w:r>
    </w:p>
    <w:p>
      <w:pPr>
        <w:tabs>
          <w:tab w:val="left" w:pos="567"/>
        </w:tabs>
        <w:spacing w:after="0" w:line="240" w:lineRule="auto"/>
        <w:ind w:firstLine="284"/>
        <w:jc w:val="both"/>
        <w:rPr>
          <w:rFonts w:ascii="Times New Roman" w:hAnsi="Times New Roman" w:cs="Times New Roman"/>
          <w:b/>
          <w:color w:val="000000" w:themeColor="text1"/>
          <w:spacing w:val="-4"/>
          <w:w w:val="98"/>
          <w:sz w:val="21"/>
          <w:szCs w:val="21"/>
          <w:lang w:val="pt-BR" w:eastAsia="ja-JP"/>
          <w14:textFill>
            <w14:solidFill>
              <w14:schemeClr w14:val="tx1"/>
            </w14:solidFill>
          </w14:textFill>
        </w:rPr>
      </w:pPr>
      <w:r>
        <w:rPr>
          <w:rFonts w:ascii="Times New Roman" w:hAnsi="Times New Roman" w:cs="Times New Roman"/>
          <w:b/>
          <w:bCs/>
          <w:color w:val="000000" w:themeColor="text1"/>
          <w:spacing w:val="-4"/>
          <w:w w:val="98"/>
          <w:sz w:val="21"/>
          <w:szCs w:val="21"/>
          <w:lang w:val="pt-BR"/>
          <w14:textFill>
            <w14:solidFill>
              <w14:schemeClr w14:val="tx1"/>
            </w14:solidFill>
          </w14:textFill>
        </w:rPr>
        <w:t>Thứ nhất:</w:t>
      </w:r>
      <w:r>
        <w:rPr>
          <w:rFonts w:ascii="Times New Roman" w:hAnsi="Times New Roman" w:cs="Times New Roman"/>
          <w:color w:val="000000" w:themeColor="text1"/>
          <w:spacing w:val="-4"/>
          <w:w w:val="98"/>
          <w:sz w:val="21"/>
          <w:szCs w:val="21"/>
          <w:lang w:val="pt-BR"/>
          <w14:textFill>
            <w14:solidFill>
              <w14:schemeClr w14:val="tx1"/>
            </w14:solidFill>
          </w14:textFill>
        </w:rPr>
        <w:t> Việc ứng dụng công nghệ trong phương thức giảng dạy và học mang đến cơ hội học tập linh động cho người học. Lúc này không gian lớp học sẽ không còn bị giới hạn bởi bốn bức tường của lớp học truyền thống do vậy mà người học có thể học tập bất cứ nơi nào miễn là có sự trang bị của các thiết bị học tập công nghệ như máy tính, laptop, smartphone,… Việc loại bỏ rào cản về sự cố định của không gian học tập, thời gian học tập của lớp học truyền thống sẽ mang lại nhiều cơ hội học tập cho người học.</w:t>
      </w:r>
      <w:r>
        <w:rPr>
          <w:rFonts w:ascii="Times New Roman" w:hAnsi="Times New Roman" w:cs="Times New Roman"/>
          <w:bCs/>
          <w:color w:val="000000" w:themeColor="text1"/>
          <w:spacing w:val="-4"/>
          <w:w w:val="98"/>
          <w:sz w:val="21"/>
          <w:szCs w:val="21"/>
          <w:lang w:val="pt-BR"/>
          <w14:textFill>
            <w14:solidFill>
              <w14:schemeClr w14:val="tx1"/>
            </w14:solidFill>
          </w14:textFill>
        </w:rPr>
        <w:t xml:space="preserve"> </w:t>
      </w:r>
      <w:r>
        <w:rPr>
          <w:rFonts w:ascii="Times New Roman" w:hAnsi="Times New Roman" w:cs="Times New Roman"/>
          <w:color w:val="000000" w:themeColor="text1"/>
          <w:spacing w:val="-4"/>
          <w:w w:val="98"/>
          <w:sz w:val="21"/>
          <w:szCs w:val="21"/>
          <w:lang w:val="pt-BR"/>
          <w14:textFill>
            <w14:solidFill>
              <w14:schemeClr w14:val="tx1"/>
            </w14:solidFill>
          </w14:textFill>
        </w:rPr>
        <w:t>Bên cạnh đó Chuyển đổi số sẽ tạo ra kho học liệu mở khổng lồ cho người học. Điều đó có nghĩa là người học có thể truy cập vào các tài nguyên học tập một cách dễ dàng và ít tốn kém hơn. Học liệu điện tử sẽ thay thế dần học liệu truyền thống giúp giảm thiểu chi phí học tập.</w:t>
      </w:r>
    </w:p>
    <w:p>
      <w:pPr>
        <w:tabs>
          <w:tab w:val="left" w:pos="567"/>
        </w:tabs>
        <w:spacing w:after="0" w:line="240" w:lineRule="auto"/>
        <w:ind w:firstLine="284"/>
        <w:jc w:val="both"/>
        <w:rPr>
          <w:rFonts w:ascii="Times New Roman" w:hAnsi="Times New Roman" w:cs="Times New Roman"/>
          <w:b/>
          <w:color w:val="000000" w:themeColor="text1"/>
          <w:spacing w:val="-4"/>
          <w:w w:val="98"/>
          <w:sz w:val="21"/>
          <w:szCs w:val="21"/>
          <w:lang w:val="pt-BR" w:eastAsia="ja-JP"/>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Với mục tiêu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ngày 25/01/2022, Thủ tướng Chính phủ ban hành Quyết định số 131/QĐ-TTg về việc phê duyệt Đề án Tăng cường ứng dụng công nghệ thông tin và chuyển đổi số trong giáo dục và đào tạo giai đoạn 2022 - 2025, định hướng đến năm 2030.</w:t>
      </w:r>
    </w:p>
    <w:p>
      <w:pPr>
        <w:tabs>
          <w:tab w:val="left" w:pos="567"/>
        </w:tabs>
        <w:spacing w:after="0" w:line="240" w:lineRule="auto"/>
        <w:ind w:firstLine="284"/>
        <w:jc w:val="both"/>
        <w:rPr>
          <w:rFonts w:ascii="Times New Roman" w:hAnsi="Times New Roman" w:cs="Times New Roman"/>
          <w:b/>
          <w:color w:val="000000" w:themeColor="text1"/>
          <w:spacing w:val="-4"/>
          <w:w w:val="98"/>
          <w:sz w:val="21"/>
          <w:szCs w:val="21"/>
          <w:lang w:val="pt-BR" w:eastAsia="ja-JP"/>
          <w14:textFill>
            <w14:solidFill>
              <w14:schemeClr w14:val="tx1"/>
            </w14:solidFill>
          </w14:textFill>
        </w:rPr>
      </w:pPr>
      <w:r>
        <w:rPr>
          <w:rFonts w:ascii="Times New Roman" w:hAnsi="Times New Roman" w:cs="Times New Roman"/>
          <w:b/>
          <w:bCs/>
          <w:color w:val="000000" w:themeColor="text1"/>
          <w:spacing w:val="-4"/>
          <w:w w:val="98"/>
          <w:sz w:val="21"/>
          <w:szCs w:val="21"/>
          <w:lang w:val="pt-BR"/>
          <w14:textFill>
            <w14:solidFill>
              <w14:schemeClr w14:val="tx1"/>
            </w14:solidFill>
          </w14:textFill>
        </w:rPr>
        <w:t>Thứ hai:</w:t>
      </w:r>
      <w:r>
        <w:rPr>
          <w:rFonts w:ascii="Times New Roman" w:hAnsi="Times New Roman" w:cs="Times New Roman"/>
          <w:color w:val="000000" w:themeColor="text1"/>
          <w:spacing w:val="-4"/>
          <w:w w:val="98"/>
          <w:sz w:val="21"/>
          <w:szCs w:val="21"/>
          <w:lang w:val="pt-BR"/>
          <w14:textFill>
            <w14:solidFill>
              <w14:schemeClr w14:val="tx1"/>
            </w14:solidFill>
          </w14:textFill>
        </w:rPr>
        <w:t> Việc tăng cường ứng dụng công nghệ thông tin và chuyển đổi số trong giáo dục và đào tạo sẽ tăng tính tương tác và trải nghiệm thực tế. Sẽ là sai lầm nếu quan niệm học trực tuyến sẽ làm giới hạn khả năng tương tác giữa người dạy và người học.</w:t>
      </w:r>
      <w:r>
        <w:rPr>
          <w:rFonts w:ascii="Times New Roman" w:hAnsi="Times New Roman" w:cs="Times New Roman"/>
          <w:b/>
          <w:color w:val="000000" w:themeColor="text1"/>
          <w:spacing w:val="-4"/>
          <w:w w:val="98"/>
          <w:sz w:val="21"/>
          <w:szCs w:val="21"/>
          <w:lang w:val="pt-BR" w:eastAsia="ja-JP"/>
          <w14:textFill>
            <w14:solidFill>
              <w14:schemeClr w14:val="tx1"/>
            </w14:solidFill>
          </w14:textFill>
        </w:rPr>
        <w:t xml:space="preserve"> </w:t>
      </w:r>
      <w:r>
        <w:rPr>
          <w:rFonts w:ascii="Times New Roman" w:hAnsi="Times New Roman" w:eastAsia="Times New Roman" w:cs="Times New Roman"/>
          <w:color w:val="000000" w:themeColor="text1"/>
          <w:spacing w:val="-4"/>
          <w:w w:val="98"/>
          <w:sz w:val="21"/>
          <w:szCs w:val="21"/>
          <w:lang w:val="pt-BR"/>
          <w14:textFill>
            <w14:solidFill>
              <w14:schemeClr w14:val="tx1"/>
            </w14:solidFill>
          </w14:textFill>
        </w:rPr>
        <w:t>Bằng những ứng dụng mới trong triển khai dạy học trực tuyến đã cho thấy việc tương tác giữa người học và người dạy đang dần cải thiện một cách nhanh chóng thậm chí ở một số hình thức còn tỏ ra ưu trội hơn dạy học truyền thống. Cách thức dạy học trực tuyến giúp gia tăng tính tương tác hai chiều do người học có thể nói chuyện với giáo viên hướng dẫn mà không bị giới hạn bởi không gian.</w:t>
      </w:r>
    </w:p>
    <w:p>
      <w:pPr>
        <w:tabs>
          <w:tab w:val="left" w:pos="567"/>
        </w:tabs>
        <w:spacing w:after="0" w:line="240" w:lineRule="auto"/>
        <w:ind w:firstLine="284"/>
        <w:jc w:val="both"/>
        <w:rPr>
          <w:rFonts w:ascii="Times New Roman" w:hAnsi="Times New Roman" w:eastAsia="Times New Roman" w:cs="Times New Roman"/>
          <w:color w:val="000000" w:themeColor="text1"/>
          <w:spacing w:val="-4"/>
          <w:w w:val="98"/>
          <w:sz w:val="21"/>
          <w:szCs w:val="21"/>
          <w:lang w:val="pt-BR"/>
          <w14:textFill>
            <w14:solidFill>
              <w14:schemeClr w14:val="tx1"/>
            </w14:solidFill>
          </w14:textFill>
        </w:rPr>
      </w:pPr>
      <w:r>
        <w:rPr>
          <w:rFonts w:ascii="Times New Roman" w:hAnsi="Times New Roman" w:eastAsia="Times New Roman" w:cs="Times New Roman"/>
          <w:color w:val="000000" w:themeColor="text1"/>
          <w:spacing w:val="-4"/>
          <w:w w:val="98"/>
          <w:sz w:val="21"/>
          <w:szCs w:val="21"/>
          <w:lang w:val="pt-BR"/>
          <w14:textFill>
            <w14:solidFill>
              <w14:schemeClr w14:val="tx1"/>
            </w14:solidFill>
          </w14:textFill>
        </w:rPr>
        <w:t>Bên cạnh đó, dạy học trực tuyến cũng là môi trường thuận lợi để giáo viên có thể ứng dụng những công cụ công nghệ thông tin mới nhằm sinh động hóa tiết dạy. Những phần mềm "thực tế ảo" đã và đang phát huy hiệu quả trong dạy học trực tuyến. Những công cụ mới trong kiểm tra đánh giá cũng đã phát huy tính tích cực trong hoạt động dạy và học.</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Style w:val="16"/>
          <w:rFonts w:ascii="Times New Roman" w:hAnsi="Times New Roman" w:cs="Times New Roman"/>
          <w:color w:val="000000" w:themeColor="text1"/>
          <w:lang w:val="pt-BR"/>
          <w14:textFill>
            <w14:solidFill>
              <w14:schemeClr w14:val="tx1"/>
            </w14:solidFill>
          </w14:textFill>
        </w:rPr>
        <w:t>Thứ ba:</w:t>
      </w:r>
      <w:r>
        <w:rPr>
          <w:rFonts w:ascii="Times New Roman" w:hAnsi="Times New Roman" w:cs="Times New Roman"/>
          <w:color w:val="000000" w:themeColor="text1"/>
          <w:spacing w:val="-4"/>
          <w:w w:val="98"/>
          <w:sz w:val="21"/>
          <w:szCs w:val="21"/>
          <w:lang w:val="pt-BR"/>
          <w14:textFill>
            <w14:solidFill>
              <w14:schemeClr w14:val="tx1"/>
            </w14:solidFill>
          </w14:textFill>
        </w:rPr>
        <w:t> Việc chuyển đối số ngành giáo dục đã tạo ra kỷ nguyên mới, thời đại mà người dạy và người học được trao quyền để sử dụng công nghệ. Trong công tác quản lý giáo dục, hệ thống trực tuyến sẽ giúp người dạy lưu trữ thông tin của người học một cách khoa học, thuận tiện trong quá trình truy xuất dữ liệu. Người học cũng có thể dễ dàng tiếp cận với hồ sơ, lịch sử học tập, bảng điểm của bản thân. Đây là việc vô cùng quan trọng trong việc đồng nhất cũng như minh bạch hóa thông tin học tập của người học. Ngoài ra các thành tựu công nghệ như Big data giúp lưu trữ mọi kiến thức lên không gian mạng giúp người học có thể nhanh chóng tiếp cận với tư liệu học tập.</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Style w:val="16"/>
          <w:rFonts w:ascii="Times New Roman" w:hAnsi="Times New Roman" w:cs="Times New Roman"/>
          <w:color w:val="000000" w:themeColor="text1"/>
          <w:lang w:val="pt-BR"/>
          <w14:textFill>
            <w14:solidFill>
              <w14:schemeClr w14:val="tx1"/>
            </w14:solidFill>
          </w14:textFill>
        </w:rPr>
        <w:t>Thứ tư:</w:t>
      </w:r>
      <w:r>
        <w:rPr>
          <w:rFonts w:ascii="Times New Roman" w:hAnsi="Times New Roman" w:cs="Times New Roman"/>
          <w:color w:val="000000" w:themeColor="text1"/>
          <w:spacing w:val="-4"/>
          <w:w w:val="98"/>
          <w:sz w:val="21"/>
          <w:szCs w:val="21"/>
          <w:lang w:val="pt-BR"/>
          <w14:textFill>
            <w14:solidFill>
              <w14:schemeClr w14:val="tx1"/>
            </w14:solidFill>
          </w14:textFill>
        </w:rPr>
        <w:t> Việc chuyển đối số ngành giáo dục giảm chi phí đào tạo. Với việc người học có thể tham gia học trực tuyến sẽ tiết giảm rất nhiều chi phí cho việc kiến tạo không gian học tập truyền thống qua việc mua hoặc thuê mướn các mặt bằng cho cơ sở giáo dục đào tạo. Người học bằng việc linh động thời gian học tập, không gian học tập của bản thân nên cũng giảm chi phí di chuyển đến các cơ sở đào tạo.</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Hiện nay, đã có một số phần mềm ứng dụng trong tổ chức dạy học đại học hiện nay. Một số phần mềm đã được chuẩn hóa và được Bộ GD&amp;ĐT đưa vào văn bản chỉ đạo, triển khai. Có những phần mềm được ứng dụng do thầy cô hoặc do cơ sở giáo dục tự triển khai. Các phần mềm này ít nhiều đã được ứng dụng trong dạy học và đã góp phần nâng cao hiệu quả dạy học. Ngày 22/4/2016, để hỗ trợ đào tạo từ xa, Bộ GD&amp;ĐT đã có Thông tư 12/2016/TT-BGDĐT quy định ứng dụng công nghệ thông tin trong quản lý, tổ chức đào tạo qua mạng. Trong Thông tư này, Bộ đã coi việc sử dụng trang thiết bị điện tử, học liệu điện tử, mạng interrnet là phương tiện hỗ trợ tổ chức và quản lý đào tạo theo hai hình thức: Đào tạo kết hợp và Học tập điện tử (e-learrning). Bộ cũng quy định rõ những nội dung đào tạo nào được triển khai qua mạng; Các học liệu nào được đóng gói, chuẩn đóng gói e-learrning; Các phần mềm mã nguồn mở được sử dụng. Tuy nhiên, Bộ cũng xác định rõ việc sử dụng CNTT trong tổ chức và quản lý đào tạo phải tuân theo quy chế, bản chất đào tạo. Điều đó có nghĩa là CNTT chỉ là phương tiện để tổ chức, quản lý đào tạo, chứ bản chất của đào tạo không thay đổi. Đến đầu năm 2020, trong thời gian dịch Covid-19, các trường đã quay trở lại giải pháp ứng dụng sử dụng CNTT để tổ chức dạy học. Có khá nhiều phần mềm dạy học trực tuyến đã được ứng dụng như Phần mềm dạy học trực tuyến Trans của Công ty Nam Việt Telecom; Phần mềm dạy học online của Facebook; Phần mềm dạy học từ xa qua Zoom Cloud Meetings; Dạy học online qua Google Classroom của Google; Phần mềm Microsoft Teams hỗ trợ dạy học trực tuyến; Phần mềm dạy học online miễn phí TeamLink,Về công nghệ dạy học, cũng có một số phần mềm hỗ trợ giáo viên trong tổ chức dạy học như công nghệ thực tế ảo VR, công nghệ AR; Công nghệ mô phỏng 3D. Trong rất nhiều nội dung dạy học, chúng ta không thể dùng lời, tranh ảnh để mô tả như mô tả diễn biến một vụ động đất, hoặc phun trào của núi lửa, mô tả mối quan hệ giữa các hành tinh trong hệ mặt trời, lực hấp dẫn,…Những thí nghiệm hóa, vật lý… chỉ có thể sử dụng phần mềm thực tế ảo để xây dựng và đưa học sinh vào trong thực tế đó để các em cảm nhận, trải nghiệm. Những phần mềm này cũng được ứng dụng khá phổ biến trong đào tạo nghề hiện nay. Công nghệ thực tế ảo được cho là sẽ giúp việc dạy học hấp dẫn, sinh động và hiệu quả hơn trong tương lai.</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14:textFill>
            <w14:solidFill>
              <w14:schemeClr w14:val="tx1"/>
            </w14:solidFill>
          </w14:textFill>
        </w:rPr>
        <w:drawing>
          <wp:anchor distT="0" distB="0" distL="114300" distR="114300" simplePos="0" relativeHeight="251659264" behindDoc="0" locked="0" layoutInCell="1" allowOverlap="1">
            <wp:simplePos x="0" y="0"/>
            <wp:positionH relativeFrom="column">
              <wp:posOffset>966470</wp:posOffset>
            </wp:positionH>
            <wp:positionV relativeFrom="paragraph">
              <wp:posOffset>189865</wp:posOffset>
            </wp:positionV>
            <wp:extent cx="3762375" cy="1838325"/>
            <wp:effectExtent l="0" t="0" r="0" b="0"/>
            <wp:wrapTopAndBottom/>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ascii="Times New Roman" w:hAnsi="Times New Roman" w:cs="Times New Roman"/>
          <w:bCs/>
          <w:color w:val="000000" w:themeColor="text1"/>
          <w:spacing w:val="4"/>
          <w:w w:val="98"/>
          <w:sz w:val="21"/>
          <w:szCs w:val="21"/>
          <w:lang w:val="pt-BR"/>
          <w14:textFill>
            <w14:solidFill>
              <w14:schemeClr w14:val="tx1"/>
            </w14:solidFill>
          </w14:textFill>
        </w:rPr>
        <w:t>Ngày 03/6/2020, Thủ tướng Chính phủ đã ký Quyết định số 749/QĐ-TTg phê duyệt “Chương trình chuyển đổi số quốc gia đến năm 2025, định hướng đến năm 2030”, trong đó giáo dục là một trong những lĩnh vực cần được ưu tiên thực hiện chuyển đổi số đầu tiên, bởi giáo dục là một lĩnh vực có tác động xã hội, liên quan trực tiếp và hằng ngày với người dân.</w:t>
      </w:r>
      <w:r>
        <w:rPr>
          <w:rFonts w:ascii="Times New Roman" w:hAnsi="Times New Roman" w:cs="Times New Roman"/>
          <w:bCs/>
          <w:color w:val="000000" w:themeColor="text1"/>
          <w:sz w:val="21"/>
          <w:szCs w:val="21"/>
          <w:lang w:val="pt-BR"/>
          <w14:textFill>
            <w14:solidFill>
              <w14:schemeClr w14:val="tx1"/>
            </w14:solidFill>
          </w14:textFill>
        </w:rPr>
        <w:t xml:space="preserve"> </w:t>
      </w:r>
      <w:r>
        <w:rPr>
          <w:rFonts w:ascii="Times New Roman" w:hAnsi="Times New Roman" w:cs="Times New Roman"/>
          <w:bCs/>
          <w:color w:val="000000" w:themeColor="text1"/>
          <w:spacing w:val="4"/>
          <w:w w:val="98"/>
          <w:sz w:val="21"/>
          <w:szCs w:val="21"/>
          <w:lang w:val="pt-BR"/>
          <w14:textFill>
            <w14:solidFill>
              <w14:schemeClr w14:val="tx1"/>
            </w14:solidFill>
          </w14:textFill>
        </w:rPr>
        <w:t>Để chuyển đổi số trong giáo dục nói chung, trong dạy học nói riêng thành công, cần có sự chuẩn bị kỹ và đồng bộ. Chuyển đổi số thành công sẽ tạo ra bước đột phá trong quản lý, điều hành, tổ chức, cũng như trong nâng cao chất lượng giáo dục, tạo ra một hệ thống mở, linh hoạt, tạo điều kiện thực hiện chiến lược học tập suốt đời một cách hiệu quả hơn.</w:t>
      </w:r>
    </w:p>
    <w:p>
      <w:pPr>
        <w:pStyle w:val="30"/>
        <w:numPr>
          <w:ilvl w:val="0"/>
          <w:numId w:val="2"/>
        </w:numPr>
        <w:tabs>
          <w:tab w:val="left" w:pos="567"/>
        </w:tabs>
        <w:spacing w:after="0" w:line="240" w:lineRule="auto"/>
        <w:ind w:left="0" w:firstLine="284"/>
        <w:jc w:val="both"/>
        <w:rPr>
          <w:rFonts w:ascii="Times New Roman" w:hAnsi="Times New Roman" w:cs="Times New Roman"/>
          <w:b/>
          <w:color w:val="000000" w:themeColor="text1"/>
          <w:spacing w:val="4"/>
          <w:w w:val="98"/>
          <w:sz w:val="21"/>
          <w:szCs w:val="21"/>
          <w:lang w:val="pt-BR"/>
          <w14:textFill>
            <w14:solidFill>
              <w14:schemeClr w14:val="tx1"/>
            </w14:solidFill>
          </w14:textFill>
        </w:rPr>
      </w:pPr>
      <w:r>
        <w:rPr>
          <w:rFonts w:ascii="Times New Roman" w:hAnsi="Times New Roman" w:cs="Times New Roman"/>
          <w:b/>
          <w:color w:val="000000" w:themeColor="text1"/>
          <w:spacing w:val="4"/>
          <w:w w:val="98"/>
          <w:sz w:val="21"/>
          <w:szCs w:val="21"/>
          <w:lang w:val="pt-BR"/>
          <w14:textFill>
            <w14:solidFill>
              <w14:schemeClr w14:val="tx1"/>
            </w14:solidFill>
          </w14:textFill>
        </w:rPr>
        <w:t>THỰC TRẠNG</w:t>
      </w:r>
    </w:p>
    <w:p>
      <w:pPr>
        <w:tabs>
          <w:tab w:val="left" w:pos="567"/>
        </w:tabs>
        <w:spacing w:after="0" w:line="240" w:lineRule="auto"/>
        <w:ind w:firstLine="284"/>
        <w:jc w:val="both"/>
        <w:rPr>
          <w:rFonts w:ascii="Times New Roman" w:hAnsi="Times New Roman" w:cs="Times New Roman"/>
          <w:b/>
          <w:color w:val="000000" w:themeColor="text1"/>
          <w:spacing w:val="4"/>
          <w:w w:val="98"/>
          <w:sz w:val="21"/>
          <w:szCs w:val="21"/>
          <w:lang w:val="pt-BR"/>
          <w14:textFill>
            <w14:solidFill>
              <w14:schemeClr w14:val="tx1"/>
            </w14:solidFill>
          </w14:textFill>
        </w:rPr>
      </w:pPr>
      <w:r>
        <w:rPr>
          <w:rFonts w:ascii="Times New Roman" w:hAnsi="Times New Roman" w:cs="Times New Roman"/>
          <w:b/>
          <w:color w:val="000000" w:themeColor="text1"/>
          <w:spacing w:val="4"/>
          <w:w w:val="98"/>
          <w:sz w:val="21"/>
          <w:szCs w:val="21"/>
          <w:lang w:val="pt-BR"/>
          <w14:textFill>
            <w14:solidFill>
              <w14:schemeClr w14:val="tx1"/>
            </w14:solidFill>
          </w14:textFill>
        </w:rPr>
        <w:t>2.1 ĐỐI VỚI GIẢNG VIÊN</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Công tác chuẩn bị bài giảng, giáo án được hiểu là những kế hoạch và dàn ý mà giáo viên, gia sư lên lớp giảng dạy hay dạy ở trung tâm, bao gồm những đề tài của giờ lên lớp dạy học, mục đích mà giảng viên hướng đến, nội dung, phương hướng, cách thức hay những hoạt động cụ thể của giảng viên và sinh viên tất cả đều được trình bày theo thứ tự thực tế diễn ra trong buổi học. Giáo án này được giảng viên biên soạn trong giai đoạn trước buổi học trên lớp. Nhưng trên thực tế có nhiều giảng viên vì khối lượng giảng dạy nhiều, đảm nhiệm nhiều môn chuyên ngành nên việc chuẩn bị giáo án cho ngày hôm sau bị lơ là, lãng quên và hiện tượng này xuất hiện ngày càng nhiều trong giáo viên trẻ.</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 xml:space="preserve">Năng lực chuyên môn, thực trạng tại khoa Động lực giảng viên trẻ nhiều với độ tuổi trung bình 30 tuổi. Tuy nhiên trình độ chuyên môn, kỹ năng số, khả năng công nghệ thông tin còn hạn chế. Việc thường xuyên cập nhật những kiến thực thực tiễn tại các Hãng xe, garage không được thường xuyên và liên tục mà chỉ xuất phát từ những buổi đi doanh nghiệp thực tế của mỗi cá nhân hay nhóm giảng viên trong một năm học.  </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 xml:space="preserve">Trang thiết bị chưa đáp ứng được yêu cầu giảng dạy, trên thực tế mô hình thiết bị giảng dạy tại khoa rất hiện đại và thường xuyên được cập nhật và bảo trì tuy nhiên khi sử dụng các thiết bị này giảng viên gặp nhiều rào cản về tài liệu tham khảo và hướng dẫn sử dụng từ các tập đoàn hay công ty cung cấp thiết bị. </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Hành lang pháp lý khi tiếp cận tài liệu bên ngoài, giảng viên khi sử dụng các tài liệu tham khảo nước ngoài các ứng dụng về elearning sẽ gặp về vấn đề bản quyền tham khảo</w:t>
      </w:r>
      <w:r>
        <w:rPr>
          <w:rFonts w:ascii="Times New Roman" w:hAnsi="Times New Roman" w:cs="Times New Roman"/>
          <w:color w:val="000000" w:themeColor="text1"/>
          <w:spacing w:val="4"/>
          <w:w w:val="98"/>
          <w:sz w:val="21"/>
          <w:szCs w:val="21"/>
          <w:highlight w:val="yellow"/>
          <w:lang w:val="pt-BR"/>
          <w14:textFill>
            <w14:solidFill>
              <w14:schemeClr w14:val="tx1"/>
            </w14:solidFill>
          </w14:textFill>
        </w:rPr>
        <w:t xml:space="preserve"> </w:t>
      </w:r>
      <w:r>
        <w:rPr>
          <w:rFonts w:ascii="Times New Roman" w:hAnsi="Times New Roman" w:cs="Times New Roman"/>
          <w:color w:val="000000" w:themeColor="text1"/>
          <w:spacing w:val="4"/>
          <w:w w:val="98"/>
          <w:sz w:val="21"/>
          <w:szCs w:val="21"/>
          <w:lang w:val="pt-BR"/>
          <w14:textFill>
            <w14:solidFill>
              <w14:schemeClr w14:val="tx1"/>
            </w14:solidFill>
          </w14:textFill>
        </w:rPr>
        <w:t>. Tạo ra khó khăn nhất định trong quá trình tạo ra một bài giảng số khi đưa lên các trang web.</w:t>
      </w:r>
    </w:p>
    <w:p>
      <w:pPr>
        <w:tabs>
          <w:tab w:val="left" w:pos="567"/>
        </w:tabs>
        <w:spacing w:after="0" w:line="240" w:lineRule="auto"/>
        <w:ind w:firstLine="284"/>
        <w:jc w:val="both"/>
        <w:rPr>
          <w:rFonts w:ascii="Times New Roman" w:hAnsi="Times New Roman" w:cs="Times New Roman"/>
          <w:b/>
          <w:color w:val="000000" w:themeColor="text1"/>
          <w:spacing w:val="4"/>
          <w:w w:val="98"/>
          <w:sz w:val="21"/>
          <w:szCs w:val="21"/>
          <w:lang w:val="pt-BR"/>
          <w14:textFill>
            <w14:solidFill>
              <w14:schemeClr w14:val="tx1"/>
            </w14:solidFill>
          </w14:textFill>
        </w:rPr>
      </w:pPr>
      <w:r>
        <w:rPr>
          <w:rFonts w:ascii="Times New Roman" w:hAnsi="Times New Roman" w:cs="Times New Roman"/>
          <w:b/>
          <w:color w:val="000000" w:themeColor="text1"/>
          <w:spacing w:val="4"/>
          <w:w w:val="98"/>
          <w:sz w:val="21"/>
          <w:szCs w:val="21"/>
          <w:lang w:val="pt-BR"/>
          <w14:textFill>
            <w14:solidFill>
              <w14:schemeClr w14:val="tx1"/>
            </w14:solidFill>
          </w14:textFill>
        </w:rPr>
        <w:t>2.2 ĐỐI VỚI NGƯỜI HỌC</w:t>
      </w:r>
    </w:p>
    <w:p>
      <w:pPr>
        <w:tabs>
          <w:tab w:val="left" w:pos="567"/>
        </w:tabs>
        <w:spacing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 xml:space="preserve">Tiếp cận nguồn tài liệu số khá khó khăn, tuy có được sự hướng dẫn nhiệt tình của giảng viên. Tuy nhiên sinh viên vẫn gặp khó khăn khi tiếp cận các giáo trình số đa phần tài liệu sinh viên dùng là giáo trình giấy mà giảng viên và nhà trường cung cấp. </w:t>
      </w:r>
      <w:r>
        <w:rPr>
          <w:rFonts w:ascii="Times New Roman" w:hAnsi="Times New Roman" w:cs="Times New Roman"/>
          <w:color w:val="000000" w:themeColor="text1"/>
          <w:spacing w:val="4"/>
          <w:w w:val="98"/>
          <w:sz w:val="21"/>
          <w:szCs w:val="21"/>
          <w:highlight w:val="yellow"/>
          <w:lang w:val="pt-BR"/>
          <w14:textFill>
            <w14:solidFill>
              <w14:schemeClr w14:val="tx1"/>
            </w14:solidFill>
          </w14:textFill>
        </w:rPr>
        <w:t>Để làm rõ thực trạng trên nhóm đã làm khảo sát về cách tiếp cận tài liệu của các em sinh viên khóa 22C1, 22C3, 22T4 các môn thực tập động cơ xăng, thực tập động cơ cơ bản và động cơ đốt trong ( lý thuyết) và kết quả  70% tài liệu là sử dụng sách giáo trình do giảng viên cung cấp, 20% là các kênh dạy học trên you tube, 7% là các trang elearning của các trường đại học lớn, 3% là các tài liệu nước ngoài.</w:t>
      </w:r>
      <w:r>
        <w:rPr>
          <w:rFonts w:ascii="Times New Roman" w:hAnsi="Times New Roman" w:cs="Times New Roman"/>
          <w:color w:val="000000" w:themeColor="text1"/>
          <w:spacing w:val="4"/>
          <w:w w:val="98"/>
          <w:sz w:val="21"/>
          <w:szCs w:val="21"/>
          <w:lang w:val="pt-BR"/>
          <w14:textFill>
            <w14:solidFill>
              <w14:schemeClr w14:val="tx1"/>
            </w14:solidFill>
          </w14:textFill>
        </w:rPr>
        <w:t xml:space="preserve"> Hạn chế về trình độ ngoại ngữ, tin học của sinh viên là rào cản rất lớn để các em có thể tiếp cận được nguồn tài liệu số và các tài nguyên mở. Mặc dù trong những năm gần đây nhà trường liên tục đẩy mạnh chuẩn đầu ra của sinh viên nhằm đáp ứng được nhu cầu tuyển dụng của doanh nghiệp. Tuy nhiên số lượng sinh viên có khả năng đọc hiểu tài liệu bằng tiếng nước ngoài còn rất hạn chế, các lớp anh văn học thuật chuyên ngành khoa Động lực chưa thật sự đáp ứng được yêu cầu cho các em sinh viên. </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Thiết bị chuyên môn chưa bám sát với tài liệu tham khảo, vì tính đa dạng của các máy móc thiết bị sửa chữa trong ngành ôtô, khả năng ứng dụng, vận hành của các thiết bị này cũng khác nhau nên đôi khi tài liệu tham khảo chưa đáp ứng được yêu cầu tìm hiểu vận hành, sửa chữa. Từ đó dẫn đến các khó khăn trong việc tiếp cận sửa chữa, kiểm tra khi học thực hành.</w:t>
      </w:r>
    </w:p>
    <w:p>
      <w:pPr>
        <w:pStyle w:val="30"/>
        <w:numPr>
          <w:ilvl w:val="0"/>
          <w:numId w:val="2"/>
        </w:numPr>
        <w:tabs>
          <w:tab w:val="left" w:pos="567"/>
        </w:tabs>
        <w:spacing w:after="0" w:line="240" w:lineRule="auto"/>
        <w:ind w:left="0" w:firstLine="284"/>
        <w:jc w:val="both"/>
        <w:rPr>
          <w:rFonts w:ascii="Times New Roman" w:hAnsi="Times New Roman" w:cs="Times New Roman"/>
          <w:b/>
          <w:color w:val="000000" w:themeColor="text1"/>
          <w:spacing w:val="4"/>
          <w:w w:val="98"/>
          <w:sz w:val="21"/>
          <w:szCs w:val="21"/>
          <w:lang w:val="pt-BR"/>
          <w14:textFill>
            <w14:solidFill>
              <w14:schemeClr w14:val="tx1"/>
            </w14:solidFill>
          </w14:textFill>
        </w:rPr>
      </w:pPr>
      <w:r>
        <w:rPr>
          <w:rFonts w:ascii="Times New Roman" w:hAnsi="Times New Roman" w:cs="Times New Roman"/>
          <w:b/>
          <w:color w:val="000000" w:themeColor="text1"/>
          <w:spacing w:val="4"/>
          <w:w w:val="98"/>
          <w:sz w:val="21"/>
          <w:szCs w:val="21"/>
          <w:lang w:val="pt-BR"/>
          <w14:textFill>
            <w14:solidFill>
              <w14:schemeClr w14:val="tx1"/>
            </w14:solidFill>
          </w14:textFill>
        </w:rPr>
        <w:t>ĐỀ XUẤT GIẢI PHÁP</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Từ những thực trạng dạy và học theo phương pháp truyền thống nêu trên nhóm tác giả đề xuất các giải pháp ứng dụng chuyển đổi số cho từng đối tượng, giảng viên ( người dạy), sinh viên (người học) như sau:</w:t>
      </w:r>
    </w:p>
    <w:p>
      <w:pPr>
        <w:tabs>
          <w:tab w:val="left" w:pos="567"/>
        </w:tabs>
        <w:spacing w:after="0" w:line="240" w:lineRule="auto"/>
        <w:ind w:firstLine="284"/>
        <w:jc w:val="both"/>
        <w:rPr>
          <w:rFonts w:ascii="Times New Roman" w:hAnsi="Times New Roman" w:cs="Times New Roman"/>
          <w:b/>
          <w:color w:val="000000" w:themeColor="text1"/>
          <w:spacing w:val="4"/>
          <w:w w:val="98"/>
          <w:sz w:val="21"/>
          <w:szCs w:val="21"/>
          <w:lang w:val="pt-BR"/>
          <w14:textFill>
            <w14:solidFill>
              <w14:schemeClr w14:val="tx1"/>
            </w14:solidFill>
          </w14:textFill>
        </w:rPr>
      </w:pPr>
      <w:r>
        <w:rPr>
          <w:rFonts w:ascii="Times New Roman" w:hAnsi="Times New Roman" w:cs="Times New Roman"/>
          <w:b/>
          <w:color w:val="000000" w:themeColor="text1"/>
          <w:spacing w:val="4"/>
          <w:w w:val="98"/>
          <w:sz w:val="21"/>
          <w:szCs w:val="21"/>
          <w:lang w:val="pt-BR"/>
          <w14:textFill>
            <w14:solidFill>
              <w14:schemeClr w14:val="tx1"/>
            </w14:solidFill>
          </w14:textFill>
        </w:rPr>
        <w:t>3.1 ĐỐI VỚI GIẢNG VIÊN</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Nâng cao nhận thức, thấy được tầm quan trọng của việc chuyển đổi số trong sự nghiệp giáo dục. Giảng viên phải thay đổi để thích nghi thì chuyển đổi số mới thành công. Nhận thức đóng vai trò quyết định trong chuyển đổi số, muốn chuyển đổi số trước hết phải chuyển đổi nhận thức. Tham gia vào tiến trình chuyển đổi số mỗi giảng viên cần cảm nhận, thấy rõ, nhận thức rõ về vai trò, ý nghĩa, tầm quan trọng của chuyển đổi số trước khi có hành động cụ thể để thực hiện. Chuyển đổi số không phải là một khái niệm trừu tượng, xa vời, không thiết thực với bản thân. Trên thực tế chúng ta đang sống trong thời kỳ mà chuyển đổi số là xu thế tất yếu; nhiều cơ quan nhà nước, tổ chức, cá nhân đã và đang tham gia vào quá trình chuyển đổi số trên các lĩnh vực quản lý, giáo dục, y tế, kinh tế… nhưng vẫn chưa ý thức được những gì đang diễn ra chính là biểu hiện của thực hiện chuyển đổi số và mình đã và đang làm gì ở đâu, trong quá trình chuyển đổi số. Tuy nhiên, giữa tham gia quá trình chuyển đối số và tiến tới đạt được các mục tiêu chuyển đổi số đặt ra là quá trình lâu dài, việc nâng cao nhận thức, chuyển đổi nhận thức của mỗi cán bộ, đảng viên, công chức, viên chức. Chìa khóa để đẩy nhanh sự chuyển đổi nhận thức nằm ở trong “nhận thức”, trách nhiệm nêu gương của mỗi giảng viên</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Triển khai, tiếp cận giáo án số.  Giờ đây học sinh, sinh viên có quá nhiều kênh thông tin, tài liệu. Người thầy cần phải thay đổi từ việc truyền thụ kiến thức sang biết chọn lọc và tập hợp kiến thức để xây dựng được chương trình, giáo án, đặc biệt phải làm sao cá thể hóa tới từng học sinh bằng các phần mềm quản lý và đánh giá người học trong từng môn học, từng buổi học. Tránh hiểu nhầm giáo án số chỉ là chuyển từ in giấy truyền thống chuyển sang gửi file. Giáo án số phải thể hiện được đầy đủ mục tiêu giảng dạy và cụ thể hóa được trang thiết bị cần thiết cho buổi giảng và đánh giá kết thúc buổi giảng.</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Áp dụng mạnh mẽ công nghệ thông tin, mô phỏng vào giảng dạy thực hành, tiến đến đánh giá người học trực tiếp trên các phần mềm, việc này cần tiến hành đồng loạt và thống nhất trong cả khoa để tạo ra cách làm việc chung trong môi trường chuyển đổi số, tránh làm từng cá nhân riêng lẻ.</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Nâng cấp, đầu tư trang thiết bị kết nối internet ngay tại các xưởng, phòng học thực hành để giảng viên và sinh viên được thường xuyên tiếp cận với tài liệu số trong quá trình dạy và học.</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Thường xuyên cập nhật hình ảnh, thông số, nguyên lý làm việc các thiết bị giảng dạy lên môi trường số một cách chính xác và thực tế nhất để tạo ra nguồn tài nguyên số cho người học dễ dàng tham khảo.</w:t>
      </w:r>
    </w:p>
    <w:p>
      <w:pPr>
        <w:tabs>
          <w:tab w:val="left" w:pos="567"/>
        </w:tabs>
        <w:spacing w:after="0" w:line="240" w:lineRule="auto"/>
        <w:ind w:firstLine="284"/>
        <w:jc w:val="both"/>
        <w:rPr>
          <w:rFonts w:ascii="Times New Roman" w:hAnsi="Times New Roman" w:cs="Times New Roman"/>
          <w:b/>
          <w:color w:val="000000" w:themeColor="text1"/>
          <w:spacing w:val="4"/>
          <w:w w:val="98"/>
          <w:sz w:val="21"/>
          <w:szCs w:val="21"/>
          <w:lang w:val="pt-BR"/>
          <w14:textFill>
            <w14:solidFill>
              <w14:schemeClr w14:val="tx1"/>
            </w14:solidFill>
          </w14:textFill>
        </w:rPr>
      </w:pPr>
      <w:r>
        <w:rPr>
          <w:rFonts w:ascii="Times New Roman" w:hAnsi="Times New Roman" w:cs="Times New Roman"/>
          <w:b/>
          <w:color w:val="000000" w:themeColor="text1"/>
          <w:spacing w:val="4"/>
          <w:w w:val="98"/>
          <w:sz w:val="21"/>
          <w:szCs w:val="21"/>
          <w:lang w:val="pt-BR"/>
          <w14:textFill>
            <w14:solidFill>
              <w14:schemeClr w14:val="tx1"/>
            </w14:solidFill>
          </w14:textFill>
        </w:rPr>
        <w:t>3.2 ĐỐI VỚI SINH VIÊN</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Thường xuyên truy cập tìm hiểu tài liệu số sẵn có trong nhà trường, khoa cung cấp như các học liệu trong elearning, mô phỏng. Quá trình này phải diễn ra thường xuyên và liên tục trong quá trình học trên trường để hình thành thói quen tự tìm hiểu trong quá trình học tập. Thường xuyên theo dõi phần giảng viên đánh giá người học trên trang cá nhân, từ đó đưa ra phương án và lộ trình học hợp lý.</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Tăng cường khả năng ngoại ngữ và công nghê thông tin, mỗi bản thân sinh viên phải ý thức được việc chuyển đổi số đang diễn ra trong môi trường sống hàng ngày từ đó nâng cao tự giác về khả năng tiếp cận bằng cách cải thiện khả năng ngoại ngữ và trình độ vi tính.</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i/>
          <w:iCs/>
          <w:color w:val="000000" w:themeColor="text1"/>
          <w:spacing w:val="4"/>
          <w:sz w:val="21"/>
          <w:szCs w:val="21"/>
          <w:lang w:val="pt-BR"/>
          <w14:textFill>
            <w14:solidFill>
              <w14:schemeClr w14:val="tx1"/>
            </w14:solidFill>
          </w14:textFill>
        </w:rPr>
        <w:t xml:space="preserve"> Cần tăng cường kỹ năng nghiên cứu độc lập, khả năng tự học,</w:t>
      </w:r>
      <w:r>
        <w:rPr>
          <w:rFonts w:ascii="Times New Roman" w:hAnsi="Times New Roman" w:cs="Times New Roman"/>
          <w:color w:val="000000" w:themeColor="text1"/>
          <w:spacing w:val="4"/>
          <w:w w:val="98"/>
          <w:sz w:val="21"/>
          <w:szCs w:val="21"/>
          <w:lang w:val="pt-BR"/>
          <w14:textFill>
            <w14:solidFill>
              <w14:schemeClr w14:val="tx1"/>
            </w14:solidFill>
          </w14:textFill>
        </w:rPr>
        <w:t> đây là kỹ năng rất quan trọng bởi vì ngoài những kiến thức trên lớp do giảng viên truyền đạt, các em cần tham khảo, nghiên cứu tài liệu để tự nâng cao, hoàn thiện kiến thức của mình trong bối cảnh khoa học và công nghệ phát triển rất nhanh hiện nay. Điều này sẽ giúp sinh viên cả khi rời nhà trường các em cũng có thể tự học để nâng cao trình độ chuyên môn.</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Kỹ năng giao tiếp, ngoài các kỹ năng giao tiếp truyền thống như đọc, nói và viết mạch lạc, rõ ràng các sinh viên cần bổ sung thêm kỹ năng giao tiếp trên mạng xã hội, thông qua Internet để tiếp cận với nhiều người để thu thập và trao đổi thông tin.</w:t>
      </w:r>
    </w:p>
    <w:p>
      <w:pPr>
        <w:tabs>
          <w:tab w:val="left" w:pos="567"/>
        </w:tabs>
        <w:spacing w:after="0" w:line="240" w:lineRule="auto"/>
        <w:ind w:firstLine="284"/>
        <w:jc w:val="both"/>
        <w:rPr>
          <w:rFonts w:ascii="Times New Roman" w:hAnsi="Times New Roman" w:cs="Times New Roman"/>
          <w:color w:val="000000" w:themeColor="text1"/>
          <w:spacing w:val="4"/>
          <w:w w:val="98"/>
          <w:sz w:val="21"/>
          <w:szCs w:val="21"/>
          <w:lang w:val="pt-BR"/>
          <w14:textFill>
            <w14:solidFill>
              <w14:schemeClr w14:val="tx1"/>
            </w14:solidFill>
          </w14:textFill>
        </w:rPr>
      </w:pPr>
      <w:r>
        <w:rPr>
          <w:rFonts w:ascii="Times New Roman" w:hAnsi="Times New Roman" w:cs="Times New Roman"/>
          <w:color w:val="000000" w:themeColor="text1"/>
          <w:spacing w:val="4"/>
          <w:w w:val="98"/>
          <w:sz w:val="21"/>
          <w:szCs w:val="21"/>
          <w:lang w:val="pt-BR"/>
          <w14:textFill>
            <w14:solidFill>
              <w14:schemeClr w14:val="tx1"/>
            </w14:solidFill>
          </w14:textFill>
        </w:rPr>
        <w:t xml:space="preserve">Kỹ năng làm việc theo nhóm, kỹ năng này rất cần thiết để sinh viên có thể biết cách hợp tác, phối hợp để hoàn thành nhiệm vụ học tập và sớm hình thành tác phong cần thiết này khi làm việc trong các doanh nghiệp, tổ chức. </w:t>
      </w:r>
    </w:p>
    <w:p>
      <w:pPr>
        <w:spacing w:after="0" w:line="240" w:lineRule="auto"/>
        <w:ind w:left="360" w:firstLine="284"/>
        <w:jc w:val="both"/>
        <w:rPr>
          <w:rFonts w:ascii="Times New Roman" w:hAnsi="Times New Roman" w:eastAsia="Times New Roman" w:cs="Times New Roman"/>
          <w:color w:val="000000" w:themeColor="text1"/>
          <w:w w:val="98"/>
          <w:sz w:val="21"/>
          <w:szCs w:val="21"/>
          <w:lang w:val="pt-BR"/>
          <w14:textFill>
            <w14:solidFill>
              <w14:schemeClr w14:val="tx1"/>
            </w14:solidFill>
          </w14:textFill>
        </w:rPr>
      </w:pPr>
    </w:p>
    <w:p>
      <w:pPr>
        <w:spacing w:after="0" w:line="240" w:lineRule="auto"/>
        <w:ind w:left="284" w:hanging="284"/>
        <w:jc w:val="both"/>
        <w:rPr>
          <w:rStyle w:val="43"/>
          <w:rFonts w:ascii="Times New Roman" w:hAnsi="Times New Roman" w:eastAsia="Times New Roman" w:cs="Times New Roman"/>
          <w:b w:val="0"/>
          <w:color w:val="000000" w:themeColor="text1"/>
          <w:sz w:val="21"/>
          <w:szCs w:val="21"/>
          <w:lang w:val="pt-BR"/>
          <w14:textFill>
            <w14:solidFill>
              <w14:schemeClr w14:val="tx1"/>
            </w14:solidFill>
          </w14:textFill>
        </w:rPr>
      </w:pPr>
      <w:r>
        <w:rPr>
          <w:rFonts w:ascii="Times New Roman" w:hAnsi="Times New Roman" w:eastAsia="Times New Roman" w:cs="Times New Roman"/>
          <w:b/>
          <w:color w:val="000000" w:themeColor="text1"/>
          <w:sz w:val="21"/>
          <w:szCs w:val="21"/>
          <w:lang w:val="pt-BR"/>
          <w14:textFill>
            <w14:solidFill>
              <w14:schemeClr w14:val="tx1"/>
            </w14:solidFill>
          </w14:textFill>
        </w:rPr>
        <w:t>Tài liệu tham khảo</w:t>
      </w:r>
    </w:p>
    <w:p>
      <w:pPr>
        <w:pStyle w:val="29"/>
        <w:numPr>
          <w:ilvl w:val="0"/>
          <w:numId w:val="0"/>
        </w:numPr>
        <w:spacing w:before="0"/>
        <w:ind w:left="284" w:hanging="284"/>
        <w:rPr>
          <w:rStyle w:val="43"/>
          <w:rFonts w:ascii="Times New Roman" w:hAnsi="Times New Roman" w:cs="Times New Roman"/>
          <w:b w:val="0"/>
          <w:color w:val="000000" w:themeColor="text1"/>
          <w:sz w:val="21"/>
          <w:szCs w:val="21"/>
          <w:lang w:val="pt-BR"/>
          <w14:textFill>
            <w14:solidFill>
              <w14:schemeClr w14:val="tx1"/>
            </w14:solidFill>
          </w14:textFill>
        </w:rPr>
      </w:pPr>
      <w:r>
        <w:rPr>
          <w:rStyle w:val="43"/>
          <w:rFonts w:ascii="Times New Roman" w:hAnsi="Times New Roman" w:cs="Times New Roman"/>
          <w:b w:val="0"/>
          <w:color w:val="000000" w:themeColor="text1"/>
          <w:sz w:val="21"/>
          <w:szCs w:val="21"/>
          <w:lang w:val="pt-BR"/>
          <w14:textFill>
            <w14:solidFill>
              <w14:schemeClr w14:val="tx1"/>
            </w14:solidFill>
          </w14:textFill>
        </w:rPr>
        <w:t>Bộ Giáo dục và Đào tạo (2016),</w:t>
      </w:r>
      <w:r>
        <w:rPr>
          <w:rStyle w:val="43"/>
          <w:rFonts w:ascii="Times New Roman" w:hAnsi="Times New Roman" w:cs="Times New Roman"/>
          <w:color w:val="000000" w:themeColor="text1"/>
          <w:sz w:val="21"/>
          <w:szCs w:val="21"/>
          <w:lang w:val="pt-BR"/>
          <w14:textFill>
            <w14:solidFill>
              <w14:schemeClr w14:val="tx1"/>
            </w14:solidFill>
          </w14:textFill>
        </w:rPr>
        <w:t xml:space="preserve"> </w:t>
      </w:r>
      <w:r>
        <w:rPr>
          <w:rStyle w:val="47"/>
          <w:rFonts w:ascii="Times New Roman" w:hAnsi="Times New Roman" w:cs="Times New Roman"/>
          <w:color w:val="000000" w:themeColor="text1"/>
          <w:sz w:val="21"/>
          <w:szCs w:val="21"/>
          <w:lang w:val="pt-BR"/>
          <w14:textFill>
            <w14:solidFill>
              <w14:schemeClr w14:val="tx1"/>
            </w14:solidFill>
          </w14:textFill>
        </w:rPr>
        <w:t xml:space="preserve">Thông tư 12/2016/TT-BGDĐT ngày 22/4/2016 về “quy định ứng dụng công nghệ thông tin trong quản lý, tổ chức đào tạo qua mạng”, </w:t>
      </w:r>
      <w:r>
        <w:rPr>
          <w:rStyle w:val="43"/>
          <w:rFonts w:ascii="Times New Roman" w:hAnsi="Times New Roman" w:cs="Times New Roman"/>
          <w:b w:val="0"/>
          <w:color w:val="000000" w:themeColor="text1"/>
          <w:sz w:val="21"/>
          <w:szCs w:val="21"/>
          <w:lang w:val="pt-BR"/>
          <w14:textFill>
            <w14:solidFill>
              <w14:schemeClr w14:val="tx1"/>
            </w14:solidFill>
          </w14:textFill>
        </w:rPr>
        <w:t>http://vanban.chinhphu.vn/portal/page/portal/chinhphu/hethongvanban?class_id=1&amp;mode=detail&amp;document_id=185192.</w:t>
      </w:r>
    </w:p>
    <w:p>
      <w:pPr>
        <w:pStyle w:val="29"/>
        <w:numPr>
          <w:ilvl w:val="0"/>
          <w:numId w:val="0"/>
        </w:numPr>
        <w:spacing w:before="0"/>
        <w:ind w:left="284" w:hanging="284"/>
        <w:rPr>
          <w:rStyle w:val="43"/>
          <w:rFonts w:ascii="Times New Roman" w:hAnsi="Times New Roman" w:cs="Times New Roman"/>
          <w:b w:val="0"/>
          <w:color w:val="000000" w:themeColor="text1"/>
          <w:sz w:val="21"/>
          <w:szCs w:val="21"/>
          <w:lang w:val="pt-BR"/>
          <w14:textFill>
            <w14:solidFill>
              <w14:schemeClr w14:val="tx1"/>
            </w14:solidFill>
          </w14:textFill>
        </w:rPr>
      </w:pPr>
      <w:r>
        <w:rPr>
          <w:rStyle w:val="43"/>
          <w:rFonts w:ascii="Times New Roman" w:hAnsi="Times New Roman" w:cs="Times New Roman"/>
          <w:b w:val="0"/>
          <w:color w:val="000000" w:themeColor="text1"/>
          <w:sz w:val="21"/>
          <w:szCs w:val="21"/>
          <w:lang w:val="pt-BR"/>
          <w14:textFill>
            <w14:solidFill>
              <w14:schemeClr w14:val="tx1"/>
            </w14:solidFill>
          </w14:textFill>
        </w:rPr>
        <w:t>Bộ Giáo dục và Đào tạo (12.2020),</w:t>
      </w:r>
      <w:r>
        <w:rPr>
          <w:rStyle w:val="43"/>
          <w:rFonts w:ascii="Times New Roman" w:hAnsi="Times New Roman" w:cs="Times New Roman"/>
          <w:color w:val="000000" w:themeColor="text1"/>
          <w:sz w:val="21"/>
          <w:szCs w:val="21"/>
          <w:lang w:val="pt-BR"/>
          <w14:textFill>
            <w14:solidFill>
              <w14:schemeClr w14:val="tx1"/>
            </w14:solidFill>
          </w14:textFill>
        </w:rPr>
        <w:t xml:space="preserve"> </w:t>
      </w:r>
      <w:r>
        <w:rPr>
          <w:rStyle w:val="47"/>
          <w:rFonts w:ascii="Times New Roman" w:hAnsi="Times New Roman" w:cs="Times New Roman"/>
          <w:color w:val="000000" w:themeColor="text1"/>
          <w:sz w:val="21"/>
          <w:szCs w:val="21"/>
          <w:lang w:val="pt-BR"/>
          <w14:textFill>
            <w14:solidFill>
              <w14:schemeClr w14:val="tx1"/>
            </w14:solidFill>
          </w14:textFill>
        </w:rPr>
        <w:t xml:space="preserve">Chuyển đổi số trong giáo dục và đào tạo, </w:t>
      </w:r>
      <w:r>
        <w:rPr>
          <w:rStyle w:val="43"/>
          <w:rFonts w:ascii="Times New Roman" w:hAnsi="Times New Roman" w:cs="Times New Roman"/>
          <w:b w:val="0"/>
          <w:color w:val="000000" w:themeColor="text1"/>
          <w:sz w:val="21"/>
          <w:szCs w:val="21"/>
          <w:lang w:val="pt-BR"/>
          <w14:textFill>
            <w14:solidFill>
              <w14:schemeClr w14:val="tx1"/>
            </w14:solidFill>
          </w14:textFill>
        </w:rPr>
        <w:t>https:// moet.gov.vn/tintuc/Pages/tin-tong-hop.aspx?ItemID=7123.</w:t>
      </w:r>
    </w:p>
    <w:p>
      <w:pPr>
        <w:pStyle w:val="29"/>
        <w:numPr>
          <w:ilvl w:val="0"/>
          <w:numId w:val="0"/>
        </w:numPr>
        <w:spacing w:before="0"/>
        <w:ind w:left="284" w:hanging="284"/>
        <w:rPr>
          <w:rStyle w:val="47"/>
          <w:rFonts w:ascii="Times New Roman" w:hAnsi="Times New Roman" w:cs="Times New Roman"/>
          <w:color w:val="000000" w:themeColor="text1"/>
          <w:sz w:val="21"/>
          <w:szCs w:val="21"/>
          <w:lang w:val="fr-FR"/>
          <w14:textFill>
            <w14:solidFill>
              <w14:schemeClr w14:val="tx1"/>
            </w14:solidFill>
          </w14:textFill>
        </w:rPr>
      </w:pPr>
      <w:r>
        <w:rPr>
          <w:rStyle w:val="43"/>
          <w:rFonts w:ascii="Times New Roman" w:hAnsi="Times New Roman" w:cs="Times New Roman"/>
          <w:b w:val="0"/>
          <w:color w:val="000000" w:themeColor="text1"/>
          <w:sz w:val="21"/>
          <w:szCs w:val="21"/>
          <w:lang w:val="fr-FR"/>
          <w14:textFill>
            <w14:solidFill>
              <w14:schemeClr w14:val="tx1"/>
            </w14:solidFill>
          </w14:textFill>
        </w:rPr>
        <w:t>Châu An,</w:t>
      </w:r>
      <w:r>
        <w:rPr>
          <w:rStyle w:val="43"/>
          <w:rFonts w:ascii="Times New Roman" w:hAnsi="Times New Roman" w:cs="Times New Roman"/>
          <w:color w:val="000000" w:themeColor="text1"/>
          <w:sz w:val="21"/>
          <w:szCs w:val="21"/>
          <w:lang w:val="fr-FR"/>
          <w14:textFill>
            <w14:solidFill>
              <w14:schemeClr w14:val="tx1"/>
            </w14:solidFill>
          </w14:textFill>
        </w:rPr>
        <w:t xml:space="preserve"> </w:t>
      </w:r>
      <w:r>
        <w:rPr>
          <w:rStyle w:val="47"/>
          <w:rFonts w:ascii="Times New Roman" w:hAnsi="Times New Roman" w:cs="Times New Roman"/>
          <w:color w:val="000000" w:themeColor="text1"/>
          <w:sz w:val="21"/>
          <w:szCs w:val="21"/>
          <w:lang w:val="fr-FR"/>
          <w14:textFill>
            <w14:solidFill>
              <w14:schemeClr w14:val="tx1"/>
            </w14:solidFill>
          </w14:textFill>
        </w:rPr>
        <w:t>Chuyển đổi số là gì?, https://vnexpress.net/chuyen-doi-so-la-gi-3921707. htm</w:t>
      </w:r>
    </w:p>
    <w:p>
      <w:pPr>
        <w:pStyle w:val="29"/>
        <w:numPr>
          <w:ilvl w:val="0"/>
          <w:numId w:val="0"/>
        </w:numPr>
        <w:spacing w:before="0"/>
        <w:ind w:left="284" w:hanging="284"/>
        <w:rPr>
          <w:rStyle w:val="43"/>
          <w:rFonts w:ascii="Times New Roman" w:hAnsi="Times New Roman" w:cs="Times New Roman"/>
          <w:b w:val="0"/>
          <w:color w:val="000000" w:themeColor="text1"/>
          <w:sz w:val="21"/>
          <w:szCs w:val="21"/>
          <w:lang w:val="fr-FR"/>
          <w14:textFill>
            <w14:solidFill>
              <w14:schemeClr w14:val="tx1"/>
            </w14:solidFill>
          </w14:textFill>
        </w:rPr>
      </w:pPr>
      <w:r>
        <w:rPr>
          <w:rStyle w:val="43"/>
          <w:rFonts w:ascii="Times New Roman" w:hAnsi="Times New Roman" w:cs="Times New Roman"/>
          <w:b w:val="0"/>
          <w:color w:val="000000" w:themeColor="text1"/>
          <w:sz w:val="21"/>
          <w:szCs w:val="21"/>
          <w:lang w:val="fr-FR"/>
          <w14:textFill>
            <w14:solidFill>
              <w14:schemeClr w14:val="tx1"/>
            </w14:solidFill>
          </w14:textFill>
        </w:rPr>
        <w:t>TS. Tô Hồng Nam (9.2020),</w:t>
      </w:r>
      <w:r>
        <w:rPr>
          <w:rStyle w:val="43"/>
          <w:rFonts w:ascii="Times New Roman" w:hAnsi="Times New Roman" w:cs="Times New Roman"/>
          <w:color w:val="000000" w:themeColor="text1"/>
          <w:sz w:val="21"/>
          <w:szCs w:val="21"/>
          <w:lang w:val="fr-FR"/>
          <w14:textFill>
            <w14:solidFill>
              <w14:schemeClr w14:val="tx1"/>
            </w14:solidFill>
          </w14:textFill>
        </w:rPr>
        <w:t xml:space="preserve"> </w:t>
      </w:r>
      <w:r>
        <w:rPr>
          <w:rStyle w:val="47"/>
          <w:rFonts w:ascii="Times New Roman" w:hAnsi="Times New Roman" w:cs="Times New Roman"/>
          <w:color w:val="000000" w:themeColor="text1"/>
          <w:sz w:val="21"/>
          <w:szCs w:val="21"/>
          <w:lang w:val="fr-FR"/>
          <w14:textFill>
            <w14:solidFill>
              <w14:schemeClr w14:val="tx1"/>
            </w14:solidFill>
          </w14:textFill>
        </w:rPr>
        <w:t xml:space="preserve">Chuyển đổi số trong lĩnh vực giáo dục và đào tạo: Thực trạng và giải pháp, </w:t>
      </w:r>
      <w:r>
        <w:rPr>
          <w:rStyle w:val="43"/>
          <w:rFonts w:ascii="Times New Roman" w:hAnsi="Times New Roman" w:cs="Times New Roman"/>
          <w:b w:val="0"/>
          <w:color w:val="000000" w:themeColor="text1"/>
          <w:sz w:val="21"/>
          <w:szCs w:val="21"/>
          <w:lang w:val="fr-FR"/>
          <w14:textFill>
            <w14:solidFill>
              <w14:schemeClr w14:val="tx1"/>
            </w14:solidFill>
          </w14:textFill>
        </w:rPr>
        <w:t>http://hvcsnd.edu.vn/nghien-cuu-trao-doi/dai-hoc-40/chuyen-doi-so-tronglinh-vuc-giao-duc-va-dao-tao-thuc-trang-va-giai-phap-6454.</w:t>
      </w:r>
    </w:p>
    <w:p>
      <w:pPr>
        <w:pStyle w:val="29"/>
        <w:numPr>
          <w:ilvl w:val="0"/>
          <w:numId w:val="0"/>
        </w:numPr>
        <w:spacing w:before="0"/>
        <w:ind w:left="284" w:hanging="284"/>
        <w:rPr>
          <w:rStyle w:val="43"/>
          <w:rFonts w:ascii="Times New Roman" w:hAnsi="Times New Roman" w:cs="Times New Roman"/>
          <w:b w:val="0"/>
          <w:color w:val="000000" w:themeColor="text1"/>
          <w:sz w:val="21"/>
          <w:szCs w:val="21"/>
          <w:lang w:val="fr-FR"/>
          <w14:textFill>
            <w14:solidFill>
              <w14:schemeClr w14:val="tx1"/>
            </w14:solidFill>
          </w14:textFill>
        </w:rPr>
      </w:pPr>
      <w:r>
        <w:rPr>
          <w:rStyle w:val="43"/>
          <w:rFonts w:ascii="Times New Roman" w:hAnsi="Times New Roman" w:cs="Times New Roman"/>
          <w:b w:val="0"/>
          <w:color w:val="000000" w:themeColor="text1"/>
          <w:sz w:val="21"/>
          <w:szCs w:val="21"/>
          <w:lang w:val="fr-FR"/>
          <w14:textFill>
            <w14:solidFill>
              <w14:schemeClr w14:val="tx1"/>
            </w14:solidFill>
          </w14:textFill>
        </w:rPr>
        <w:t xml:space="preserve">Đỗ Thị Ngọc Quyên (02.2021), </w:t>
      </w:r>
      <w:r>
        <w:rPr>
          <w:rStyle w:val="47"/>
          <w:rFonts w:ascii="Times New Roman" w:hAnsi="Times New Roman" w:cs="Times New Roman"/>
          <w:color w:val="000000" w:themeColor="text1"/>
          <w:sz w:val="21"/>
          <w:szCs w:val="21"/>
          <w:lang w:val="fr-FR"/>
          <w14:textFill>
            <w14:solidFill>
              <w14:schemeClr w14:val="tx1"/>
            </w14:solidFill>
          </w14:textFill>
        </w:rPr>
        <w:t xml:space="preserve">Chuyển đổi số trong giáo dục: Những thách thức và nguy cơ, </w:t>
      </w:r>
      <w:r>
        <w:rPr>
          <w:rStyle w:val="43"/>
          <w:rFonts w:ascii="Times New Roman" w:hAnsi="Times New Roman" w:cs="Times New Roman"/>
          <w:b w:val="0"/>
          <w:color w:val="000000" w:themeColor="text1"/>
          <w:sz w:val="21"/>
          <w:szCs w:val="21"/>
          <w:lang w:val="fr-FR"/>
          <w14:textFill>
            <w14:solidFill>
              <w14:schemeClr w14:val="tx1"/>
            </w14:solidFill>
          </w14:textFill>
        </w:rPr>
        <w:t>https://tiasang.com.vn/-giao-duc/Chuyen-doi-so-trong-giao-duc-Nhung-thach-thucva-nguy-co-26836</w:t>
      </w:r>
    </w:p>
    <w:p>
      <w:pPr>
        <w:pStyle w:val="29"/>
        <w:numPr>
          <w:ilvl w:val="0"/>
          <w:numId w:val="0"/>
        </w:numPr>
        <w:spacing w:before="0"/>
        <w:ind w:left="284" w:hanging="284"/>
        <w:rPr>
          <w:rStyle w:val="47"/>
          <w:rFonts w:ascii="Times New Roman" w:hAnsi="Times New Roman" w:cs="Times New Roman"/>
          <w:color w:val="000000" w:themeColor="text1"/>
          <w:sz w:val="21"/>
          <w:szCs w:val="21"/>
          <w:lang w:val="fr-FR"/>
          <w14:textFill>
            <w14:solidFill>
              <w14:schemeClr w14:val="tx1"/>
            </w14:solidFill>
          </w14:textFill>
        </w:rPr>
      </w:pPr>
      <w:r>
        <w:rPr>
          <w:rStyle w:val="43"/>
          <w:rFonts w:ascii="Times New Roman" w:hAnsi="Times New Roman" w:cs="Times New Roman"/>
          <w:b w:val="0"/>
          <w:color w:val="000000" w:themeColor="text1"/>
          <w:sz w:val="21"/>
          <w:szCs w:val="21"/>
          <w:lang w:val="fr-FR"/>
          <w14:textFill>
            <w14:solidFill>
              <w14:schemeClr w14:val="tx1"/>
            </w14:solidFill>
          </w14:textFill>
        </w:rPr>
        <w:t>Hội thảo khoa học (27.10.2020),</w:t>
      </w:r>
      <w:r>
        <w:rPr>
          <w:rStyle w:val="43"/>
          <w:rFonts w:ascii="Times New Roman" w:hAnsi="Times New Roman" w:cs="Times New Roman"/>
          <w:color w:val="000000" w:themeColor="text1"/>
          <w:sz w:val="21"/>
          <w:szCs w:val="21"/>
          <w:lang w:val="fr-FR"/>
          <w14:textFill>
            <w14:solidFill>
              <w14:schemeClr w14:val="tx1"/>
            </w14:solidFill>
          </w14:textFill>
        </w:rPr>
        <w:t xml:space="preserve"> </w:t>
      </w:r>
      <w:r>
        <w:rPr>
          <w:rStyle w:val="47"/>
          <w:rFonts w:ascii="Times New Roman" w:hAnsi="Times New Roman" w:cs="Times New Roman"/>
          <w:color w:val="000000" w:themeColor="text1"/>
          <w:sz w:val="21"/>
          <w:szCs w:val="21"/>
          <w:lang w:val="fr-FR"/>
          <w14:textFill>
            <w14:solidFill>
              <w14:schemeClr w14:val="tx1"/>
            </w14:solidFill>
          </w14:textFill>
        </w:rPr>
        <w:t>“Hệ sinh thái giáo dục trực tuyến - Mô hình, tổ chức và một số yếu tố đảm bảo chất lượng”.</w:t>
      </w:r>
    </w:p>
    <w:p>
      <w:pPr>
        <w:pStyle w:val="29"/>
        <w:numPr>
          <w:ilvl w:val="0"/>
          <w:numId w:val="0"/>
        </w:numPr>
        <w:spacing w:before="0"/>
        <w:ind w:left="284" w:hanging="284"/>
        <w:rPr>
          <w:rStyle w:val="43"/>
          <w:rFonts w:ascii="Times New Roman" w:hAnsi="Times New Roman" w:cs="Times New Roman"/>
          <w:b w:val="0"/>
          <w:color w:val="000000" w:themeColor="text1"/>
          <w:sz w:val="21"/>
          <w:szCs w:val="21"/>
          <w:lang w:val="fr-FR"/>
          <w14:textFill>
            <w14:solidFill>
              <w14:schemeClr w14:val="tx1"/>
            </w14:solidFill>
          </w14:textFill>
        </w:rPr>
      </w:pPr>
      <w:r>
        <w:rPr>
          <w:rStyle w:val="47"/>
          <w:rFonts w:ascii="Times New Roman" w:hAnsi="Times New Roman" w:cs="Times New Roman"/>
          <w:color w:val="000000" w:themeColor="text1"/>
          <w:sz w:val="21"/>
          <w:szCs w:val="21"/>
          <w:lang w:val="fr-FR"/>
          <w14:textFill>
            <w14:solidFill>
              <w14:schemeClr w14:val="tx1"/>
            </w14:solidFill>
          </w14:textFill>
        </w:rPr>
        <w:t xml:space="preserve">Số hóa ngành giáo dục: Lợi mọi bề. </w:t>
      </w:r>
      <w:r>
        <w:rPr>
          <w:rStyle w:val="43"/>
          <w:rFonts w:ascii="Times New Roman" w:hAnsi="Times New Roman" w:cs="Times New Roman"/>
          <w:b w:val="0"/>
          <w:color w:val="000000" w:themeColor="text1"/>
          <w:sz w:val="21"/>
          <w:szCs w:val="21"/>
          <w:lang w:val="fr-FR"/>
          <w14:textFill>
            <w14:solidFill>
              <w14:schemeClr w14:val="tx1"/>
            </w14:solidFill>
          </w14:textFill>
        </w:rPr>
        <w:t>https://moet.gov.vn/tintuc/Pages/cai-cach-hanhchinh.aspx?ItemID=6213 .</w:t>
      </w:r>
    </w:p>
    <w:p>
      <w:pPr>
        <w:pStyle w:val="29"/>
        <w:numPr>
          <w:ilvl w:val="0"/>
          <w:numId w:val="0"/>
        </w:numPr>
        <w:spacing w:before="0"/>
        <w:ind w:left="284" w:hanging="284"/>
        <w:rPr>
          <w:rStyle w:val="43"/>
          <w:rFonts w:ascii="Times New Roman" w:hAnsi="Times New Roman" w:cs="Times New Roman"/>
          <w:b w:val="0"/>
          <w:color w:val="000000" w:themeColor="text1"/>
          <w:sz w:val="21"/>
          <w:szCs w:val="21"/>
          <w:lang w:val="fr-FR"/>
          <w14:textFill>
            <w14:solidFill>
              <w14:schemeClr w14:val="tx1"/>
            </w14:solidFill>
          </w14:textFill>
        </w:rPr>
      </w:pPr>
      <w:r>
        <w:rPr>
          <w:rStyle w:val="47"/>
          <w:rFonts w:ascii="Times New Roman" w:hAnsi="Times New Roman" w:cs="Times New Roman"/>
          <w:color w:val="000000" w:themeColor="text1"/>
          <w:sz w:val="21"/>
          <w:szCs w:val="21"/>
          <w:lang w:val="fr-FR"/>
          <w14:textFill>
            <w14:solidFill>
              <w14:schemeClr w14:val="tx1"/>
            </w14:solidFill>
          </w14:textFill>
        </w:rPr>
        <w:t>Ra mắt nền tảng công nghệ giáo dục số</w:t>
      </w:r>
      <w:r>
        <w:rPr>
          <w:rStyle w:val="47"/>
          <w:rFonts w:ascii="Times New Roman" w:hAnsi="Times New Roman" w:cs="Times New Roman"/>
          <w:b/>
          <w:color w:val="000000" w:themeColor="text1"/>
          <w:sz w:val="21"/>
          <w:szCs w:val="21"/>
          <w:lang w:val="fr-FR"/>
          <w14:textFill>
            <w14:solidFill>
              <w14:schemeClr w14:val="tx1"/>
            </w14:solidFill>
          </w14:textFill>
        </w:rPr>
        <w:t xml:space="preserve">, </w:t>
      </w:r>
      <w:r>
        <w:rPr>
          <w:rStyle w:val="43"/>
          <w:rFonts w:ascii="Times New Roman" w:hAnsi="Times New Roman" w:cs="Times New Roman"/>
          <w:b w:val="0"/>
          <w:color w:val="000000" w:themeColor="text1"/>
          <w:sz w:val="21"/>
          <w:szCs w:val="21"/>
          <w:lang w:val="fr-FR"/>
          <w14:textFill>
            <w14:solidFill>
              <w14:schemeClr w14:val="tx1"/>
            </w14:solidFill>
          </w14:textFill>
        </w:rPr>
        <w:t>1.10.2020, https://moet.gov.vn/tintuc/Pages/ cai-cach-hanh-chinh.aspx?ItemID=6950.</w:t>
      </w:r>
    </w:p>
    <w:p>
      <w:pPr>
        <w:pStyle w:val="29"/>
        <w:numPr>
          <w:ilvl w:val="0"/>
          <w:numId w:val="0"/>
        </w:numPr>
        <w:spacing w:before="0"/>
        <w:ind w:left="284" w:hanging="284"/>
      </w:pPr>
      <w:r>
        <w:rPr>
          <w:rStyle w:val="43"/>
          <w:rFonts w:ascii="Times New Roman" w:hAnsi="Times New Roman" w:cs="Times New Roman"/>
          <w:b w:val="0"/>
          <w:color w:val="000000" w:themeColor="text1"/>
          <w:sz w:val="21"/>
          <w:szCs w:val="21"/>
          <w:lang w:val="fr-FR"/>
          <w14:textFill>
            <w14:solidFill>
              <w14:schemeClr w14:val="tx1"/>
            </w14:solidFill>
          </w14:textFill>
        </w:rPr>
        <w:t>Lê Thị Thùy Trang (2020),</w:t>
      </w:r>
      <w:r>
        <w:rPr>
          <w:rStyle w:val="43"/>
          <w:rFonts w:ascii="Times New Roman" w:hAnsi="Times New Roman" w:cs="Times New Roman"/>
          <w:color w:val="000000" w:themeColor="text1"/>
          <w:sz w:val="21"/>
          <w:szCs w:val="21"/>
          <w:lang w:val="fr-FR"/>
          <w14:textFill>
            <w14:solidFill>
              <w14:schemeClr w14:val="tx1"/>
            </w14:solidFill>
          </w14:textFill>
        </w:rPr>
        <w:t xml:space="preserve"> </w:t>
      </w:r>
      <w:r>
        <w:rPr>
          <w:rStyle w:val="47"/>
          <w:rFonts w:ascii="Times New Roman" w:hAnsi="Times New Roman" w:cs="Times New Roman"/>
          <w:color w:val="000000" w:themeColor="text1"/>
          <w:sz w:val="21"/>
          <w:szCs w:val="21"/>
          <w:lang w:val="fr-FR"/>
          <w14:textFill>
            <w14:solidFill>
              <w14:schemeClr w14:val="tx1"/>
            </w14:solidFill>
          </w14:textFill>
        </w:rPr>
        <w:t xml:space="preserve">Phương pháp luận để chuyển đổi số chính phủ, </w:t>
      </w:r>
      <w:r>
        <w:rPr>
          <w:rStyle w:val="43"/>
          <w:rFonts w:ascii="Times New Roman" w:hAnsi="Times New Roman" w:cs="Times New Roman"/>
          <w:b w:val="0"/>
          <w:color w:val="000000" w:themeColor="text1"/>
          <w:sz w:val="21"/>
          <w:szCs w:val="21"/>
          <w:lang w:val="fr-FR"/>
          <w14:textFill>
            <w14:solidFill>
              <w14:schemeClr w14:val="tx1"/>
            </w14:solidFill>
          </w14:textFill>
        </w:rPr>
        <w:t>https:// aita.gov.vn/phuong-phap-luan-de-chuyen-doi-so-chinh-phu</w:t>
      </w:r>
      <w:r>
        <w:rPr>
          <w:rStyle w:val="43"/>
          <w:rFonts w:hint="default" w:cs="Times New Roman"/>
          <w:b w:val="0"/>
          <w:color w:val="000000" w:themeColor="text1"/>
          <w:sz w:val="21"/>
          <w:szCs w:val="21"/>
          <w:lang w:val="en-US"/>
          <w14:textFill>
            <w14:solidFill>
              <w14:schemeClr w14:val="tx1"/>
            </w14:solidFill>
          </w14:textFill>
        </w:rPr>
        <w:t xml:space="preserve"> </w:t>
      </w:r>
      <w:r>
        <w:rPr>
          <w:rStyle w:val="44"/>
          <w:color w:val="000000" w:themeColor="text1"/>
          <w:szCs w:val="21"/>
          <w14:textFill>
            <w14:solidFill>
              <w14:schemeClr w14:val="tx1"/>
            </w14:solidFill>
          </w14:textFill>
        </w:rPr>
        <w:t>pp.1-15.</w:t>
      </w:r>
    </w:p>
    <w:sectPr>
      <w:headerReference r:id="rId5" w:type="default"/>
      <w:footerReference r:id="rId6" w:type="default"/>
      <w:pgSz w:w="11907" w:h="16840"/>
      <w:pgMar w:top="1985" w:right="1418" w:bottom="2155" w:left="1418" w:header="1418" w:footer="1418" w:gutter="0"/>
      <w:pgNumType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Times New Roman Bold">
    <w:altName w:val="Times New Roman"/>
    <w:panose1 w:val="02020803070505020304"/>
    <w:charset w:val="00"/>
    <w:family w:val="roman"/>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NimbusRomNo9L-Medi">
    <w:altName w:val="Cambria"/>
    <w:panose1 w:val="00000000000000000000"/>
    <w:charset w:val="00"/>
    <w:family w:val="roman"/>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TimesNewRomanPS-ItalicMT">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7542825"/>
      <w:docPartObj>
        <w:docPartGallery w:val="AutoText"/>
      </w:docPartObj>
    </w:sdtPr>
    <w:sdtContent>
      <w:p>
        <w:pPr>
          <w:pStyle w:val="12"/>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sdtContent>
  </w:sdt>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
      <w:tblW w:w="5000" w:type="pct"/>
      <w:tblInd w:w="0" w:type="dxa"/>
      <w:tblLayout w:type="autofit"/>
      <w:tblCellMar>
        <w:top w:w="72" w:type="dxa"/>
        <w:left w:w="115" w:type="dxa"/>
        <w:bottom w:w="72" w:type="dxa"/>
        <w:right w:w="115" w:type="dxa"/>
      </w:tblCellMar>
    </w:tblPr>
    <w:tblGrid>
      <w:gridCol w:w="680"/>
      <w:gridCol w:w="8621"/>
    </w:tblGrid>
    <w:tr>
      <w:tblPrEx>
        <w:tblCellMar>
          <w:top w:w="72" w:type="dxa"/>
          <w:left w:w="115" w:type="dxa"/>
          <w:bottom w:w="72" w:type="dxa"/>
          <w:right w:w="115" w:type="dxa"/>
        </w:tblCellMar>
      </w:tblPrEx>
      <w:tc>
        <w:tcPr>
          <w:tcW w:w="365" w:type="pct"/>
          <w:tcBorders>
            <w:top w:val="single" w:color="943634" w:sz="18" w:space="0"/>
            <w:left w:val="single" w:color="943634" w:sz="18" w:space="0"/>
            <w:bottom w:val="single" w:color="943634" w:sz="18" w:space="0"/>
            <w:right w:val="single" w:color="943634" w:sz="18" w:space="0"/>
          </w:tcBorders>
          <w:shd w:val="clear" w:color="auto" w:fill="943634"/>
          <w:vAlign w:val="bottom"/>
        </w:tcPr>
        <w:p>
          <w:pPr>
            <w:tabs>
              <w:tab w:val="center" w:pos="4680"/>
              <w:tab w:val="right" w:pos="9360"/>
            </w:tabs>
            <w:spacing w:after="0" w:line="240" w:lineRule="auto"/>
            <w:jc w:val="center"/>
            <w:rPr>
              <w:rFonts w:ascii="Arial" w:hAnsi="Arial" w:eastAsia="Times New Roman" w:cs="Arial"/>
              <w:b/>
              <w:w w:val="80"/>
              <w:sz w:val="24"/>
              <w:szCs w:val="24"/>
            </w:rPr>
          </w:pPr>
          <w:r>
            <w:rPr>
              <w:rFonts w:ascii="Arial" w:hAnsi="Arial" w:eastAsia="Times New Roman" w:cs="Arial"/>
              <w:b/>
              <w:color w:val="FFFFFF"/>
              <w:w w:val="80"/>
            </w:rPr>
            <w:t>LTTC</w:t>
          </w:r>
        </w:p>
      </w:tc>
      <w:tc>
        <w:tcPr>
          <w:tcW w:w="4635" w:type="pct"/>
          <w:tcBorders>
            <w:left w:val="single" w:color="943634" w:sz="18" w:space="0"/>
            <w:bottom w:val="single" w:color="943634" w:sz="18" w:space="0"/>
          </w:tcBorders>
          <w:vAlign w:val="bottom"/>
        </w:tcPr>
        <w:p>
          <w:pPr>
            <w:tabs>
              <w:tab w:val="center" w:pos="4680"/>
              <w:tab w:val="right" w:pos="9360"/>
            </w:tabs>
            <w:spacing w:after="0" w:line="240" w:lineRule="auto"/>
            <w:rPr>
              <w:rFonts w:ascii="Arial" w:hAnsi="Arial" w:eastAsia="Times New Roman" w:cs="Arial"/>
              <w:w w:val="85"/>
              <w:sz w:val="24"/>
              <w:szCs w:val="24"/>
            </w:rPr>
          </w:pPr>
          <w:r>
            <w:rPr>
              <w:rFonts w:ascii="Arial" w:hAnsi="Arial" w:eastAsia="Times New Roman" w:cs="Arial"/>
              <w:bCs/>
              <w:w w:val="85"/>
              <w:sz w:val="18"/>
              <w:szCs w:val="24"/>
            </w:rPr>
            <w:t>Conference on Smart School 2023</w:t>
          </w:r>
        </w:p>
      </w:tc>
    </w:tr>
  </w:tbl>
  <w:p>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7267D3"/>
    <w:multiLevelType w:val="multilevel"/>
    <w:tmpl w:val="207267D3"/>
    <w:lvl w:ilvl="0" w:tentative="0">
      <w:start w:val="1"/>
      <w:numFmt w:val="decimal"/>
      <w:pStyle w:val="29"/>
      <w:lvlText w:val="[%1]"/>
      <w:lvlJc w:val="left"/>
      <w:pPr>
        <w:ind w:left="360" w:hanging="360"/>
      </w:pPr>
      <w:rPr>
        <w:rFonts w:hint="default" w:ascii="Times New Roman" w:hAnsi="Times New Roman"/>
        <w:b w:val="0"/>
        <w:i w:val="0"/>
        <w:sz w:val="21"/>
        <w:szCs w:val="26"/>
      </w:rPr>
    </w:lvl>
    <w:lvl w:ilvl="1" w:tentative="0">
      <w:start w:val="1"/>
      <w:numFmt w:val="lowerLetter"/>
      <w:lvlText w:val="%2."/>
      <w:lvlJc w:val="left"/>
      <w:pPr>
        <w:ind w:left="6184" w:hanging="360"/>
      </w:pPr>
    </w:lvl>
    <w:lvl w:ilvl="2" w:tentative="0">
      <w:start w:val="1"/>
      <w:numFmt w:val="lowerRoman"/>
      <w:lvlText w:val="%3."/>
      <w:lvlJc w:val="right"/>
      <w:pPr>
        <w:ind w:left="6904" w:hanging="180"/>
      </w:pPr>
    </w:lvl>
    <w:lvl w:ilvl="3" w:tentative="0">
      <w:start w:val="1"/>
      <w:numFmt w:val="decimal"/>
      <w:lvlText w:val="%4."/>
      <w:lvlJc w:val="left"/>
      <w:pPr>
        <w:ind w:left="7624" w:hanging="360"/>
      </w:pPr>
    </w:lvl>
    <w:lvl w:ilvl="4" w:tentative="0">
      <w:start w:val="1"/>
      <w:numFmt w:val="lowerLetter"/>
      <w:lvlText w:val="%5."/>
      <w:lvlJc w:val="left"/>
      <w:pPr>
        <w:ind w:left="8344" w:hanging="360"/>
      </w:pPr>
    </w:lvl>
    <w:lvl w:ilvl="5" w:tentative="0">
      <w:start w:val="1"/>
      <w:numFmt w:val="lowerRoman"/>
      <w:lvlText w:val="%6."/>
      <w:lvlJc w:val="right"/>
      <w:pPr>
        <w:ind w:left="9064" w:hanging="180"/>
      </w:pPr>
    </w:lvl>
    <w:lvl w:ilvl="6" w:tentative="0">
      <w:start w:val="1"/>
      <w:numFmt w:val="decimal"/>
      <w:lvlText w:val="%7."/>
      <w:lvlJc w:val="left"/>
      <w:pPr>
        <w:ind w:left="9784" w:hanging="360"/>
      </w:pPr>
    </w:lvl>
    <w:lvl w:ilvl="7" w:tentative="0">
      <w:start w:val="1"/>
      <w:numFmt w:val="lowerLetter"/>
      <w:lvlText w:val="%8."/>
      <w:lvlJc w:val="left"/>
      <w:pPr>
        <w:ind w:left="10504" w:hanging="360"/>
      </w:pPr>
    </w:lvl>
    <w:lvl w:ilvl="8" w:tentative="0">
      <w:start w:val="1"/>
      <w:numFmt w:val="lowerRoman"/>
      <w:lvlText w:val="%9."/>
      <w:lvlJc w:val="right"/>
      <w:pPr>
        <w:ind w:left="11224" w:hanging="180"/>
      </w:pPr>
    </w:lvl>
  </w:abstractNum>
  <w:abstractNum w:abstractNumId="1">
    <w:nsid w:val="72143F63"/>
    <w:multiLevelType w:val="multilevel"/>
    <w:tmpl w:val="72143F63"/>
    <w:lvl w:ilvl="0" w:tentative="0">
      <w:start w:val="1"/>
      <w:numFmt w:val="decimal"/>
      <w:lvlText w:val="%1."/>
      <w:lvlJc w:val="left"/>
      <w:pPr>
        <w:ind w:left="720" w:hanging="360"/>
      </w:pPr>
      <w:rPr>
        <w:rFonts w:hint="default"/>
      </w:rPr>
    </w:lvl>
    <w:lvl w:ilvl="1" w:tentative="0">
      <w:start w:val="1"/>
      <w:numFmt w:val="decimal"/>
      <w:isLgl/>
      <w:lvlText w:val="%1.%2"/>
      <w:lvlJc w:val="left"/>
      <w:pPr>
        <w:ind w:left="750" w:hanging="39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sttrsxd4d0vdkee02p5ffv49ax9s0twre0a&quot;&gt;My EndNote LibraryVIETBAO_COSS2023&lt;record-ids&gt;&lt;item&gt;1&lt;/item&gt;&lt;item&gt;2&lt;/item&gt;&lt;item&gt;3&lt;/item&gt;&lt;item&gt;7&lt;/item&gt;&lt;item&gt;10&lt;/item&gt;&lt;item&gt;13&lt;/item&gt;&lt;item&gt;14&lt;/item&gt;&lt;/record-ids&gt;&lt;/item&gt;&lt;/Libraries&gt;"/>
  </w:docVars>
  <w:rsids>
    <w:rsidRoot w:val="007278A2"/>
    <w:rsid w:val="00000A4A"/>
    <w:rsid w:val="000125BE"/>
    <w:rsid w:val="000236F3"/>
    <w:rsid w:val="000325ED"/>
    <w:rsid w:val="00035344"/>
    <w:rsid w:val="0006781E"/>
    <w:rsid w:val="000700EE"/>
    <w:rsid w:val="00071F7F"/>
    <w:rsid w:val="00073480"/>
    <w:rsid w:val="0007474E"/>
    <w:rsid w:val="00096DE8"/>
    <w:rsid w:val="0009719B"/>
    <w:rsid w:val="000A2D41"/>
    <w:rsid w:val="000A7199"/>
    <w:rsid w:val="000B252A"/>
    <w:rsid w:val="000B403D"/>
    <w:rsid w:val="000C1844"/>
    <w:rsid w:val="000D01C0"/>
    <w:rsid w:val="000D2771"/>
    <w:rsid w:val="000F498C"/>
    <w:rsid w:val="001115B9"/>
    <w:rsid w:val="001152E5"/>
    <w:rsid w:val="00120037"/>
    <w:rsid w:val="00120CE9"/>
    <w:rsid w:val="00125D2A"/>
    <w:rsid w:val="00137E01"/>
    <w:rsid w:val="001400BA"/>
    <w:rsid w:val="00140CD7"/>
    <w:rsid w:val="001508A4"/>
    <w:rsid w:val="00155EE1"/>
    <w:rsid w:val="001577B6"/>
    <w:rsid w:val="00167B6C"/>
    <w:rsid w:val="0018414D"/>
    <w:rsid w:val="00184936"/>
    <w:rsid w:val="00187ABB"/>
    <w:rsid w:val="00194B6C"/>
    <w:rsid w:val="0019731A"/>
    <w:rsid w:val="001A3223"/>
    <w:rsid w:val="001A5D24"/>
    <w:rsid w:val="001B188B"/>
    <w:rsid w:val="001C2EA9"/>
    <w:rsid w:val="001C4E0D"/>
    <w:rsid w:val="001C5DD4"/>
    <w:rsid w:val="001D44A9"/>
    <w:rsid w:val="001E4979"/>
    <w:rsid w:val="001E4A14"/>
    <w:rsid w:val="001E5811"/>
    <w:rsid w:val="001F062A"/>
    <w:rsid w:val="001F35AB"/>
    <w:rsid w:val="002024A5"/>
    <w:rsid w:val="002030F8"/>
    <w:rsid w:val="0021765F"/>
    <w:rsid w:val="002210B9"/>
    <w:rsid w:val="002542DA"/>
    <w:rsid w:val="002634D9"/>
    <w:rsid w:val="002717CF"/>
    <w:rsid w:val="00284E2B"/>
    <w:rsid w:val="00291F77"/>
    <w:rsid w:val="00291FE6"/>
    <w:rsid w:val="00295441"/>
    <w:rsid w:val="002A68D7"/>
    <w:rsid w:val="002C46D2"/>
    <w:rsid w:val="002D0008"/>
    <w:rsid w:val="002D08CD"/>
    <w:rsid w:val="002D64A1"/>
    <w:rsid w:val="002D7932"/>
    <w:rsid w:val="002D7B64"/>
    <w:rsid w:val="002E24FA"/>
    <w:rsid w:val="002E2A9E"/>
    <w:rsid w:val="002E725D"/>
    <w:rsid w:val="002F1C97"/>
    <w:rsid w:val="002F36F4"/>
    <w:rsid w:val="003029E0"/>
    <w:rsid w:val="00310BF4"/>
    <w:rsid w:val="00311135"/>
    <w:rsid w:val="00312C85"/>
    <w:rsid w:val="00317EC6"/>
    <w:rsid w:val="0032180B"/>
    <w:rsid w:val="003234F4"/>
    <w:rsid w:val="00327B42"/>
    <w:rsid w:val="00332B9E"/>
    <w:rsid w:val="00347B2D"/>
    <w:rsid w:val="00350CB2"/>
    <w:rsid w:val="00352A6C"/>
    <w:rsid w:val="00372C88"/>
    <w:rsid w:val="00383C32"/>
    <w:rsid w:val="00396298"/>
    <w:rsid w:val="003A541C"/>
    <w:rsid w:val="003B6BAB"/>
    <w:rsid w:val="003D45FE"/>
    <w:rsid w:val="003E0449"/>
    <w:rsid w:val="003E2EB6"/>
    <w:rsid w:val="003E3B91"/>
    <w:rsid w:val="003E6EA7"/>
    <w:rsid w:val="003F7599"/>
    <w:rsid w:val="004326EF"/>
    <w:rsid w:val="0043311E"/>
    <w:rsid w:val="0043575F"/>
    <w:rsid w:val="00436FEF"/>
    <w:rsid w:val="004466B7"/>
    <w:rsid w:val="0044705C"/>
    <w:rsid w:val="00463542"/>
    <w:rsid w:val="004A006E"/>
    <w:rsid w:val="004B005D"/>
    <w:rsid w:val="004B6957"/>
    <w:rsid w:val="004B7F3C"/>
    <w:rsid w:val="004C2F84"/>
    <w:rsid w:val="004D1A55"/>
    <w:rsid w:val="004D3352"/>
    <w:rsid w:val="004E3B78"/>
    <w:rsid w:val="004E7804"/>
    <w:rsid w:val="004E7BDE"/>
    <w:rsid w:val="004F5B1E"/>
    <w:rsid w:val="005200F2"/>
    <w:rsid w:val="0052133F"/>
    <w:rsid w:val="0052247A"/>
    <w:rsid w:val="0052499E"/>
    <w:rsid w:val="005324AA"/>
    <w:rsid w:val="00536217"/>
    <w:rsid w:val="00544464"/>
    <w:rsid w:val="00563C55"/>
    <w:rsid w:val="00577494"/>
    <w:rsid w:val="005845AC"/>
    <w:rsid w:val="00587E9A"/>
    <w:rsid w:val="00590C56"/>
    <w:rsid w:val="0059640D"/>
    <w:rsid w:val="005B0F85"/>
    <w:rsid w:val="005B1FB4"/>
    <w:rsid w:val="005B40FF"/>
    <w:rsid w:val="005C20F5"/>
    <w:rsid w:val="005D4C40"/>
    <w:rsid w:val="005D5F01"/>
    <w:rsid w:val="005D70F0"/>
    <w:rsid w:val="005D7646"/>
    <w:rsid w:val="005E29CE"/>
    <w:rsid w:val="005E3BBF"/>
    <w:rsid w:val="005F46F8"/>
    <w:rsid w:val="005F5D1E"/>
    <w:rsid w:val="006010DC"/>
    <w:rsid w:val="00601609"/>
    <w:rsid w:val="006021EC"/>
    <w:rsid w:val="006030AD"/>
    <w:rsid w:val="00603CDE"/>
    <w:rsid w:val="0061508C"/>
    <w:rsid w:val="0062427D"/>
    <w:rsid w:val="0062639A"/>
    <w:rsid w:val="006342A8"/>
    <w:rsid w:val="00640A06"/>
    <w:rsid w:val="006542A6"/>
    <w:rsid w:val="00655093"/>
    <w:rsid w:val="006561AD"/>
    <w:rsid w:val="006631EE"/>
    <w:rsid w:val="00675072"/>
    <w:rsid w:val="00687001"/>
    <w:rsid w:val="0069250A"/>
    <w:rsid w:val="006B7949"/>
    <w:rsid w:val="006C3395"/>
    <w:rsid w:val="006E454A"/>
    <w:rsid w:val="007017A2"/>
    <w:rsid w:val="00705C74"/>
    <w:rsid w:val="00716685"/>
    <w:rsid w:val="00717E07"/>
    <w:rsid w:val="00723E49"/>
    <w:rsid w:val="0072694B"/>
    <w:rsid w:val="007278A2"/>
    <w:rsid w:val="00734ADB"/>
    <w:rsid w:val="00756A8F"/>
    <w:rsid w:val="00764F34"/>
    <w:rsid w:val="007712F3"/>
    <w:rsid w:val="00785571"/>
    <w:rsid w:val="00787F31"/>
    <w:rsid w:val="00790EA5"/>
    <w:rsid w:val="0079421D"/>
    <w:rsid w:val="00794AC8"/>
    <w:rsid w:val="007A67BF"/>
    <w:rsid w:val="007A6E33"/>
    <w:rsid w:val="007A71B4"/>
    <w:rsid w:val="007B2D89"/>
    <w:rsid w:val="007B3460"/>
    <w:rsid w:val="007B3644"/>
    <w:rsid w:val="007B3A6C"/>
    <w:rsid w:val="007B75BC"/>
    <w:rsid w:val="007B7CE7"/>
    <w:rsid w:val="007B7FFA"/>
    <w:rsid w:val="007C402E"/>
    <w:rsid w:val="007C4EAF"/>
    <w:rsid w:val="007C6552"/>
    <w:rsid w:val="007D2709"/>
    <w:rsid w:val="007E00F0"/>
    <w:rsid w:val="007E3259"/>
    <w:rsid w:val="007E3674"/>
    <w:rsid w:val="00805012"/>
    <w:rsid w:val="008137CB"/>
    <w:rsid w:val="0081733D"/>
    <w:rsid w:val="00832AA4"/>
    <w:rsid w:val="00862382"/>
    <w:rsid w:val="00862C30"/>
    <w:rsid w:val="0087152E"/>
    <w:rsid w:val="00876E1F"/>
    <w:rsid w:val="0089247B"/>
    <w:rsid w:val="00894DBF"/>
    <w:rsid w:val="008A2F78"/>
    <w:rsid w:val="008B65A5"/>
    <w:rsid w:val="008C0892"/>
    <w:rsid w:val="008C675C"/>
    <w:rsid w:val="008D68E9"/>
    <w:rsid w:val="008E2201"/>
    <w:rsid w:val="008F19D9"/>
    <w:rsid w:val="008F3367"/>
    <w:rsid w:val="008F6C7A"/>
    <w:rsid w:val="008F71B1"/>
    <w:rsid w:val="0090451E"/>
    <w:rsid w:val="00912091"/>
    <w:rsid w:val="00923A4D"/>
    <w:rsid w:val="009259E4"/>
    <w:rsid w:val="009271F9"/>
    <w:rsid w:val="00937563"/>
    <w:rsid w:val="009418FE"/>
    <w:rsid w:val="00943D3F"/>
    <w:rsid w:val="0095001B"/>
    <w:rsid w:val="009564B0"/>
    <w:rsid w:val="00956E02"/>
    <w:rsid w:val="00974357"/>
    <w:rsid w:val="00980ECF"/>
    <w:rsid w:val="00981665"/>
    <w:rsid w:val="00981B67"/>
    <w:rsid w:val="0098474D"/>
    <w:rsid w:val="00984ABE"/>
    <w:rsid w:val="00984FD5"/>
    <w:rsid w:val="00985886"/>
    <w:rsid w:val="00987EEE"/>
    <w:rsid w:val="00992858"/>
    <w:rsid w:val="009A7A6D"/>
    <w:rsid w:val="009B5D5B"/>
    <w:rsid w:val="009B75F0"/>
    <w:rsid w:val="009C35AC"/>
    <w:rsid w:val="009E2D8B"/>
    <w:rsid w:val="009E3CA5"/>
    <w:rsid w:val="009E4A5E"/>
    <w:rsid w:val="009F7E01"/>
    <w:rsid w:val="00A03BAA"/>
    <w:rsid w:val="00A04D58"/>
    <w:rsid w:val="00A04EFF"/>
    <w:rsid w:val="00A23936"/>
    <w:rsid w:val="00A3085D"/>
    <w:rsid w:val="00A42260"/>
    <w:rsid w:val="00A423FC"/>
    <w:rsid w:val="00A44EC3"/>
    <w:rsid w:val="00A56F92"/>
    <w:rsid w:val="00A57891"/>
    <w:rsid w:val="00A634B2"/>
    <w:rsid w:val="00A850DC"/>
    <w:rsid w:val="00A86A10"/>
    <w:rsid w:val="00AA0276"/>
    <w:rsid w:val="00AA5D51"/>
    <w:rsid w:val="00AA64DD"/>
    <w:rsid w:val="00AC0136"/>
    <w:rsid w:val="00AC5F3D"/>
    <w:rsid w:val="00AC7A50"/>
    <w:rsid w:val="00AD1F86"/>
    <w:rsid w:val="00AD5E66"/>
    <w:rsid w:val="00AD6DC1"/>
    <w:rsid w:val="00B03A68"/>
    <w:rsid w:val="00B061DF"/>
    <w:rsid w:val="00B0706E"/>
    <w:rsid w:val="00B10212"/>
    <w:rsid w:val="00B10DF8"/>
    <w:rsid w:val="00B157C4"/>
    <w:rsid w:val="00B25DAF"/>
    <w:rsid w:val="00B26F2E"/>
    <w:rsid w:val="00B30EB7"/>
    <w:rsid w:val="00B45A2F"/>
    <w:rsid w:val="00B46840"/>
    <w:rsid w:val="00B5290F"/>
    <w:rsid w:val="00B643C3"/>
    <w:rsid w:val="00B66441"/>
    <w:rsid w:val="00B73B16"/>
    <w:rsid w:val="00B853BE"/>
    <w:rsid w:val="00B93300"/>
    <w:rsid w:val="00B939E5"/>
    <w:rsid w:val="00B94D05"/>
    <w:rsid w:val="00B95DB8"/>
    <w:rsid w:val="00BA2F64"/>
    <w:rsid w:val="00BA746D"/>
    <w:rsid w:val="00BE1FBD"/>
    <w:rsid w:val="00C035B2"/>
    <w:rsid w:val="00C0501B"/>
    <w:rsid w:val="00C12412"/>
    <w:rsid w:val="00C22357"/>
    <w:rsid w:val="00C42CE8"/>
    <w:rsid w:val="00C74A48"/>
    <w:rsid w:val="00C84E96"/>
    <w:rsid w:val="00C94B3D"/>
    <w:rsid w:val="00CA3563"/>
    <w:rsid w:val="00CB2A05"/>
    <w:rsid w:val="00CB4A4E"/>
    <w:rsid w:val="00CB5110"/>
    <w:rsid w:val="00CD1CE1"/>
    <w:rsid w:val="00CD3FBB"/>
    <w:rsid w:val="00CE0FE6"/>
    <w:rsid w:val="00CE5679"/>
    <w:rsid w:val="00CF2596"/>
    <w:rsid w:val="00CF776B"/>
    <w:rsid w:val="00D02056"/>
    <w:rsid w:val="00D039A0"/>
    <w:rsid w:val="00D179D3"/>
    <w:rsid w:val="00D236E7"/>
    <w:rsid w:val="00D24623"/>
    <w:rsid w:val="00D254FF"/>
    <w:rsid w:val="00D4031D"/>
    <w:rsid w:val="00D5312F"/>
    <w:rsid w:val="00D539C4"/>
    <w:rsid w:val="00D854AE"/>
    <w:rsid w:val="00D87C9E"/>
    <w:rsid w:val="00D87E7D"/>
    <w:rsid w:val="00DA6D5A"/>
    <w:rsid w:val="00DA7C2D"/>
    <w:rsid w:val="00DB1D6F"/>
    <w:rsid w:val="00DC62D1"/>
    <w:rsid w:val="00DE41D8"/>
    <w:rsid w:val="00DE64DC"/>
    <w:rsid w:val="00DE7726"/>
    <w:rsid w:val="00DF0E25"/>
    <w:rsid w:val="00DF384F"/>
    <w:rsid w:val="00E05E46"/>
    <w:rsid w:val="00E11841"/>
    <w:rsid w:val="00E1532A"/>
    <w:rsid w:val="00E157FE"/>
    <w:rsid w:val="00E17993"/>
    <w:rsid w:val="00E21087"/>
    <w:rsid w:val="00E25A69"/>
    <w:rsid w:val="00E27A40"/>
    <w:rsid w:val="00E32C6B"/>
    <w:rsid w:val="00E43FFE"/>
    <w:rsid w:val="00E66FB0"/>
    <w:rsid w:val="00E72575"/>
    <w:rsid w:val="00E75D76"/>
    <w:rsid w:val="00E8025E"/>
    <w:rsid w:val="00EA4486"/>
    <w:rsid w:val="00EA65F9"/>
    <w:rsid w:val="00EB0670"/>
    <w:rsid w:val="00EB0DD3"/>
    <w:rsid w:val="00EB41D7"/>
    <w:rsid w:val="00EB771F"/>
    <w:rsid w:val="00EC075E"/>
    <w:rsid w:val="00EC1B75"/>
    <w:rsid w:val="00EE1541"/>
    <w:rsid w:val="00EE1744"/>
    <w:rsid w:val="00EE39B7"/>
    <w:rsid w:val="00EE4B2C"/>
    <w:rsid w:val="00EE7E94"/>
    <w:rsid w:val="00EE7F2E"/>
    <w:rsid w:val="00EF548C"/>
    <w:rsid w:val="00F00A32"/>
    <w:rsid w:val="00F10085"/>
    <w:rsid w:val="00F15EF6"/>
    <w:rsid w:val="00F21BA9"/>
    <w:rsid w:val="00F25259"/>
    <w:rsid w:val="00F37F89"/>
    <w:rsid w:val="00F51CF6"/>
    <w:rsid w:val="00F547E1"/>
    <w:rsid w:val="00F60607"/>
    <w:rsid w:val="00F63596"/>
    <w:rsid w:val="00F6576D"/>
    <w:rsid w:val="00F675A9"/>
    <w:rsid w:val="00F80BF1"/>
    <w:rsid w:val="00F900E1"/>
    <w:rsid w:val="00F96AC5"/>
    <w:rsid w:val="00F97ECF"/>
    <w:rsid w:val="00FA0C98"/>
    <w:rsid w:val="00FA193E"/>
    <w:rsid w:val="00FA50F5"/>
    <w:rsid w:val="00FB5864"/>
    <w:rsid w:val="00FC1684"/>
    <w:rsid w:val="00FC4CB6"/>
    <w:rsid w:val="00FC56C0"/>
    <w:rsid w:val="00FD12A8"/>
    <w:rsid w:val="00FD3625"/>
    <w:rsid w:val="00FE71DF"/>
    <w:rsid w:val="00FF76AD"/>
    <w:rsid w:val="3EE860F1"/>
    <w:rsid w:val="70A703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26"/>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34"/>
    <w:semiHidden/>
    <w:unhideWhenUsed/>
    <w:uiPriority w:val="99"/>
    <w:pPr>
      <w:spacing w:after="0" w:line="240" w:lineRule="auto"/>
    </w:pPr>
    <w:rPr>
      <w:rFonts w:ascii="Segoe UI" w:hAnsi="Segoe UI" w:cs="Segoe UI"/>
      <w:sz w:val="18"/>
      <w:szCs w:val="18"/>
    </w:rPr>
  </w:style>
  <w:style w:type="paragraph" w:styleId="6">
    <w:name w:val="Body Text"/>
    <w:basedOn w:val="1"/>
    <w:link w:val="42"/>
    <w:qFormat/>
    <w:uiPriority w:val="1"/>
    <w:pPr>
      <w:widowControl w:val="0"/>
      <w:autoSpaceDE w:val="0"/>
      <w:autoSpaceDN w:val="0"/>
      <w:spacing w:after="0" w:line="240" w:lineRule="auto"/>
    </w:pPr>
    <w:rPr>
      <w:rFonts w:ascii="Times New Roman" w:hAnsi="Times New Roman" w:eastAsia="Times New Roman" w:cs="Times New Roman"/>
      <w:sz w:val="26"/>
      <w:szCs w:val="26"/>
      <w:lang w:val="vi"/>
    </w:rPr>
  </w:style>
  <w:style w:type="paragraph" w:styleId="7">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character" w:styleId="8">
    <w:name w:val="annotation reference"/>
    <w:basedOn w:val="3"/>
    <w:semiHidden/>
    <w:unhideWhenUsed/>
    <w:uiPriority w:val="99"/>
    <w:rPr>
      <w:sz w:val="16"/>
      <w:szCs w:val="16"/>
    </w:rPr>
  </w:style>
  <w:style w:type="paragraph" w:styleId="9">
    <w:name w:val="annotation text"/>
    <w:basedOn w:val="1"/>
    <w:link w:val="35"/>
    <w:semiHidden/>
    <w:unhideWhenUsed/>
    <w:uiPriority w:val="99"/>
    <w:pPr>
      <w:spacing w:line="240" w:lineRule="auto"/>
    </w:pPr>
    <w:rPr>
      <w:sz w:val="20"/>
      <w:szCs w:val="20"/>
    </w:rPr>
  </w:style>
  <w:style w:type="paragraph" w:styleId="10">
    <w:name w:val="annotation subject"/>
    <w:basedOn w:val="9"/>
    <w:next w:val="9"/>
    <w:link w:val="36"/>
    <w:semiHidden/>
    <w:unhideWhenUsed/>
    <w:uiPriority w:val="99"/>
    <w:rPr>
      <w:b/>
      <w:bCs/>
    </w:rPr>
  </w:style>
  <w:style w:type="character" w:styleId="11">
    <w:name w:val="Emphasis"/>
    <w:basedOn w:val="3"/>
    <w:qFormat/>
    <w:uiPriority w:val="20"/>
    <w:rPr>
      <w:i/>
      <w:iCs/>
    </w:rPr>
  </w:style>
  <w:style w:type="paragraph" w:styleId="12">
    <w:name w:val="footer"/>
    <w:basedOn w:val="1"/>
    <w:link w:val="32"/>
    <w:unhideWhenUsed/>
    <w:uiPriority w:val="99"/>
    <w:pPr>
      <w:tabs>
        <w:tab w:val="center" w:pos="4680"/>
        <w:tab w:val="right" w:pos="9360"/>
      </w:tabs>
      <w:spacing w:after="0" w:line="240" w:lineRule="auto"/>
    </w:pPr>
  </w:style>
  <w:style w:type="paragraph" w:styleId="13">
    <w:name w:val="header"/>
    <w:basedOn w:val="1"/>
    <w:link w:val="33"/>
    <w:unhideWhenUsed/>
    <w:uiPriority w:val="99"/>
    <w:pPr>
      <w:tabs>
        <w:tab w:val="center" w:pos="4680"/>
        <w:tab w:val="right" w:pos="9360"/>
      </w:tabs>
      <w:spacing w:after="0" w:line="240" w:lineRule="auto"/>
    </w:pPr>
  </w:style>
  <w:style w:type="character" w:styleId="14">
    <w:name w:val="Hyperlink"/>
    <w:basedOn w:val="3"/>
    <w:unhideWhenUsed/>
    <w:uiPriority w:val="99"/>
    <w:rPr>
      <w:color w:val="0563C1" w:themeColor="hyperlink"/>
      <w:u w:val="single"/>
      <w14:textFill>
        <w14:solidFill>
          <w14:schemeClr w14:val="hlink"/>
        </w14:solidFill>
      </w14:textFill>
    </w:rPr>
  </w:style>
  <w:style w:type="paragraph" w:styleId="15">
    <w:name w:val="Normal (Web)"/>
    <w:basedOn w:val="1"/>
    <w:unhideWhenUsed/>
    <w:uiPriority w:val="99"/>
    <w:rPr>
      <w:rFonts w:ascii="Times New Roman" w:hAnsi="Times New Roman" w:cs="Times New Roman"/>
      <w:sz w:val="24"/>
      <w:szCs w:val="24"/>
    </w:rPr>
  </w:style>
  <w:style w:type="character" w:styleId="16">
    <w:name w:val="Strong"/>
    <w:basedOn w:val="3"/>
    <w:qFormat/>
    <w:uiPriority w:val="22"/>
    <w:rPr>
      <w:b/>
      <w:bCs/>
    </w:rPr>
  </w:style>
  <w:style w:type="table" w:styleId="17">
    <w:name w:val="Table Grid"/>
    <w:basedOn w:val="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toc 1"/>
    <w:basedOn w:val="1"/>
    <w:next w:val="1"/>
    <w:unhideWhenUsed/>
    <w:uiPriority w:val="39"/>
    <w:pPr>
      <w:tabs>
        <w:tab w:val="right" w:leader="dot" w:pos="9061"/>
      </w:tabs>
      <w:spacing w:after="100"/>
      <w:jc w:val="both"/>
    </w:pPr>
  </w:style>
  <w:style w:type="paragraph" w:customStyle="1" w:styleId="19">
    <w:name w:val="_Tóm tắt"/>
    <w:basedOn w:val="1"/>
    <w:qFormat/>
    <w:uiPriority w:val="0"/>
    <w:pPr>
      <w:spacing w:before="40" w:after="0" w:line="240" w:lineRule="auto"/>
      <w:ind w:left="567" w:right="567"/>
      <w:jc w:val="both"/>
    </w:pPr>
    <w:rPr>
      <w:rFonts w:ascii="Times New Roman" w:hAnsi="Times New Roman" w:eastAsia="Times New Roman" w:cs="Times New Roman"/>
      <w:bCs/>
      <w:kern w:val="32"/>
      <w:szCs w:val="28"/>
    </w:rPr>
  </w:style>
  <w:style w:type="paragraph" w:customStyle="1" w:styleId="20">
    <w:name w:val="+Noi dung"/>
    <w:basedOn w:val="1"/>
    <w:link w:val="21"/>
    <w:qFormat/>
    <w:uiPriority w:val="0"/>
    <w:pPr>
      <w:spacing w:after="0" w:line="240" w:lineRule="auto"/>
      <w:jc w:val="both"/>
    </w:pPr>
    <w:rPr>
      <w:rFonts w:asciiTheme="majorHAnsi" w:hAnsiTheme="majorHAnsi" w:eastAsiaTheme="minorEastAsia" w:cstheme="majorHAnsi"/>
      <w:spacing w:val="-4"/>
      <w:w w:val="98"/>
      <w:sz w:val="21"/>
      <w:szCs w:val="23"/>
    </w:rPr>
  </w:style>
  <w:style w:type="character" w:customStyle="1" w:styleId="21">
    <w:name w:val="+Noi dung Char"/>
    <w:basedOn w:val="3"/>
    <w:link w:val="20"/>
    <w:qFormat/>
    <w:uiPriority w:val="0"/>
    <w:rPr>
      <w:rFonts w:asciiTheme="majorHAnsi" w:hAnsiTheme="majorHAnsi" w:eastAsiaTheme="minorEastAsia" w:cstheme="majorHAnsi"/>
      <w:spacing w:val="-4"/>
      <w:w w:val="98"/>
      <w:sz w:val="21"/>
      <w:szCs w:val="23"/>
    </w:rPr>
  </w:style>
  <w:style w:type="paragraph" w:customStyle="1" w:styleId="22">
    <w:name w:val="+Tac gia"/>
    <w:basedOn w:val="1"/>
    <w:link w:val="23"/>
    <w:qFormat/>
    <w:uiPriority w:val="0"/>
    <w:pPr>
      <w:spacing w:after="0" w:line="240" w:lineRule="auto"/>
      <w:jc w:val="center"/>
    </w:pPr>
    <w:rPr>
      <w:rFonts w:asciiTheme="majorHAnsi" w:hAnsiTheme="majorHAnsi" w:eastAsiaTheme="minorEastAsia" w:cstheme="majorHAnsi"/>
      <w:spacing w:val="-4"/>
      <w:w w:val="98"/>
      <w:sz w:val="21"/>
      <w:szCs w:val="21"/>
    </w:rPr>
  </w:style>
  <w:style w:type="character" w:customStyle="1" w:styleId="23">
    <w:name w:val="+Tac gia Char"/>
    <w:basedOn w:val="3"/>
    <w:link w:val="22"/>
    <w:uiPriority w:val="0"/>
    <w:rPr>
      <w:rFonts w:asciiTheme="majorHAnsi" w:hAnsiTheme="majorHAnsi" w:eastAsiaTheme="minorEastAsia" w:cstheme="majorHAnsi"/>
      <w:spacing w:val="-4"/>
      <w:w w:val="98"/>
      <w:sz w:val="21"/>
      <w:szCs w:val="21"/>
    </w:rPr>
  </w:style>
  <w:style w:type="paragraph" w:customStyle="1" w:styleId="24">
    <w:name w:val="+Tit bai"/>
    <w:basedOn w:val="2"/>
    <w:link w:val="25"/>
    <w:qFormat/>
    <w:uiPriority w:val="0"/>
    <w:pPr>
      <w:keepLines w:val="0"/>
      <w:spacing w:before="60" w:after="200" w:line="240" w:lineRule="auto"/>
      <w:jc w:val="center"/>
    </w:pPr>
    <w:rPr>
      <w:rFonts w:ascii="Times New Roman Bold" w:hAnsi="Times New Roman Bold" w:cs="Times New Roman" w:eastAsiaTheme="minorEastAsia"/>
      <w:b/>
      <w:color w:val="000000" w:themeColor="text1"/>
      <w:spacing w:val="-4"/>
      <w:w w:val="98"/>
      <w:kern w:val="32"/>
      <w:sz w:val="26"/>
      <w:szCs w:val="26"/>
      <w:lang w:val="vi-VN" w:eastAsia="vi-VN"/>
      <w14:textFill>
        <w14:solidFill>
          <w14:schemeClr w14:val="tx1"/>
        </w14:solidFill>
      </w14:textFill>
    </w:rPr>
  </w:style>
  <w:style w:type="character" w:customStyle="1" w:styleId="25">
    <w:name w:val="+Tit bai Char"/>
    <w:basedOn w:val="3"/>
    <w:link w:val="24"/>
    <w:uiPriority w:val="0"/>
    <w:rPr>
      <w:rFonts w:ascii="Times New Roman Bold" w:hAnsi="Times New Roman Bold" w:cs="Times New Roman" w:eastAsiaTheme="minorEastAsia"/>
      <w:b/>
      <w:color w:val="000000" w:themeColor="text1"/>
      <w:spacing w:val="-4"/>
      <w:w w:val="98"/>
      <w:kern w:val="32"/>
      <w:sz w:val="26"/>
      <w:szCs w:val="26"/>
      <w:lang w:val="vi-VN" w:eastAsia="vi-VN"/>
      <w14:textFill>
        <w14:solidFill>
          <w14:schemeClr w14:val="tx1"/>
        </w14:solidFill>
      </w14:textFill>
    </w:rPr>
  </w:style>
  <w:style w:type="character" w:customStyle="1" w:styleId="26">
    <w:name w:val="Heading 1 Char"/>
    <w:basedOn w:val="3"/>
    <w:link w:val="2"/>
    <w:uiPriority w:val="9"/>
    <w:rPr>
      <w:rFonts w:asciiTheme="majorHAnsi" w:hAnsiTheme="majorHAnsi" w:eastAsiaTheme="majorEastAsia" w:cstheme="majorBidi"/>
      <w:color w:val="2E75B6" w:themeColor="accent1" w:themeShade="BF"/>
      <w:sz w:val="32"/>
      <w:szCs w:val="32"/>
    </w:rPr>
  </w:style>
  <w:style w:type="paragraph" w:customStyle="1" w:styleId="27">
    <w:name w:val="+Tom tat"/>
    <w:basedOn w:val="1"/>
    <w:link w:val="28"/>
    <w:qFormat/>
    <w:uiPriority w:val="0"/>
    <w:pPr>
      <w:spacing w:after="0" w:line="240" w:lineRule="auto"/>
      <w:ind w:left="709" w:right="709"/>
      <w:jc w:val="both"/>
    </w:pPr>
    <w:rPr>
      <w:rFonts w:ascii="Times New Roman" w:hAnsi="Times New Roman" w:eastAsiaTheme="minorEastAsia" w:cstheme="majorHAnsi"/>
      <w:bCs/>
      <w:spacing w:val="-4"/>
      <w:w w:val="98"/>
      <w:sz w:val="21"/>
      <w:szCs w:val="21"/>
    </w:rPr>
  </w:style>
  <w:style w:type="character" w:customStyle="1" w:styleId="28">
    <w:name w:val="+Tom tat Char"/>
    <w:basedOn w:val="3"/>
    <w:link w:val="27"/>
    <w:uiPriority w:val="0"/>
    <w:rPr>
      <w:rFonts w:ascii="Times New Roman" w:hAnsi="Times New Roman" w:eastAsiaTheme="minorEastAsia" w:cstheme="majorHAnsi"/>
      <w:bCs/>
      <w:spacing w:val="-4"/>
      <w:w w:val="98"/>
      <w:sz w:val="21"/>
      <w:szCs w:val="21"/>
    </w:rPr>
  </w:style>
  <w:style w:type="paragraph" w:customStyle="1" w:styleId="29">
    <w:name w:val="+TLTK"/>
    <w:basedOn w:val="30"/>
    <w:link w:val="31"/>
    <w:qFormat/>
    <w:uiPriority w:val="0"/>
    <w:pPr>
      <w:numPr>
        <w:ilvl w:val="0"/>
        <w:numId w:val="1"/>
      </w:numPr>
      <w:tabs>
        <w:tab w:val="left" w:pos="567"/>
      </w:tabs>
      <w:autoSpaceDE w:val="0"/>
      <w:autoSpaceDN w:val="0"/>
      <w:adjustRightInd w:val="0"/>
      <w:spacing w:before="40" w:after="0" w:line="240" w:lineRule="auto"/>
      <w:jc w:val="both"/>
    </w:pPr>
    <w:rPr>
      <w:rFonts w:ascii="Times New Roman" w:hAnsi="Times New Roman" w:eastAsiaTheme="minorEastAsia" w:cstheme="majorHAnsi"/>
      <w:spacing w:val="-4"/>
      <w:w w:val="98"/>
      <w:sz w:val="21"/>
      <w:szCs w:val="23"/>
    </w:rPr>
  </w:style>
  <w:style w:type="paragraph" w:styleId="30">
    <w:name w:val="List Paragraph"/>
    <w:basedOn w:val="1"/>
    <w:link w:val="41"/>
    <w:qFormat/>
    <w:uiPriority w:val="34"/>
    <w:pPr>
      <w:ind w:left="720"/>
      <w:contextualSpacing/>
    </w:pPr>
  </w:style>
  <w:style w:type="character" w:customStyle="1" w:styleId="31">
    <w:name w:val="+TLTK Char"/>
    <w:basedOn w:val="3"/>
    <w:link w:val="29"/>
    <w:uiPriority w:val="0"/>
    <w:rPr>
      <w:rFonts w:ascii="Times New Roman" w:hAnsi="Times New Roman" w:eastAsiaTheme="minorEastAsia" w:cstheme="majorHAnsi"/>
      <w:spacing w:val="-4"/>
      <w:w w:val="98"/>
      <w:sz w:val="21"/>
      <w:szCs w:val="23"/>
    </w:rPr>
  </w:style>
  <w:style w:type="character" w:customStyle="1" w:styleId="32">
    <w:name w:val="Footer Char"/>
    <w:basedOn w:val="3"/>
    <w:link w:val="12"/>
    <w:uiPriority w:val="99"/>
  </w:style>
  <w:style w:type="character" w:customStyle="1" w:styleId="33">
    <w:name w:val="Header Char"/>
    <w:basedOn w:val="3"/>
    <w:link w:val="13"/>
    <w:uiPriority w:val="99"/>
  </w:style>
  <w:style w:type="character" w:customStyle="1" w:styleId="34">
    <w:name w:val="Balloon Text Char"/>
    <w:basedOn w:val="3"/>
    <w:link w:val="5"/>
    <w:semiHidden/>
    <w:uiPriority w:val="99"/>
    <w:rPr>
      <w:rFonts w:ascii="Segoe UI" w:hAnsi="Segoe UI" w:cs="Segoe UI"/>
      <w:sz w:val="18"/>
      <w:szCs w:val="18"/>
    </w:rPr>
  </w:style>
  <w:style w:type="character" w:customStyle="1" w:styleId="35">
    <w:name w:val="Comment Text Char"/>
    <w:basedOn w:val="3"/>
    <w:link w:val="9"/>
    <w:semiHidden/>
    <w:uiPriority w:val="99"/>
    <w:rPr>
      <w:sz w:val="20"/>
      <w:szCs w:val="20"/>
    </w:rPr>
  </w:style>
  <w:style w:type="character" w:customStyle="1" w:styleId="36">
    <w:name w:val="Comment Subject Char"/>
    <w:basedOn w:val="35"/>
    <w:link w:val="10"/>
    <w:semiHidden/>
    <w:qFormat/>
    <w:uiPriority w:val="99"/>
    <w:rPr>
      <w:b/>
      <w:bCs/>
      <w:sz w:val="20"/>
      <w:szCs w:val="20"/>
    </w:rPr>
  </w:style>
  <w:style w:type="paragraph" w:customStyle="1" w:styleId="37">
    <w:name w:val="EndNote Bibliography Title"/>
    <w:basedOn w:val="1"/>
    <w:link w:val="38"/>
    <w:uiPriority w:val="0"/>
    <w:pPr>
      <w:spacing w:after="0"/>
      <w:jc w:val="center"/>
    </w:pPr>
    <w:rPr>
      <w:rFonts w:ascii="Calibri" w:hAnsi="Calibri" w:cs="Calibri"/>
    </w:rPr>
  </w:style>
  <w:style w:type="character" w:customStyle="1" w:styleId="38">
    <w:name w:val="EndNote Bibliography Title Char"/>
    <w:basedOn w:val="3"/>
    <w:link w:val="37"/>
    <w:uiPriority w:val="0"/>
    <w:rPr>
      <w:rFonts w:ascii="Calibri" w:hAnsi="Calibri" w:cs="Calibri"/>
    </w:rPr>
  </w:style>
  <w:style w:type="paragraph" w:customStyle="1" w:styleId="39">
    <w:name w:val="EndNote Bibliography"/>
    <w:basedOn w:val="1"/>
    <w:link w:val="40"/>
    <w:uiPriority w:val="0"/>
    <w:pPr>
      <w:spacing w:line="240" w:lineRule="auto"/>
      <w:jc w:val="center"/>
    </w:pPr>
    <w:rPr>
      <w:rFonts w:ascii="Calibri" w:hAnsi="Calibri" w:cs="Calibri"/>
    </w:rPr>
  </w:style>
  <w:style w:type="character" w:customStyle="1" w:styleId="40">
    <w:name w:val="EndNote Bibliography Char"/>
    <w:basedOn w:val="3"/>
    <w:link w:val="39"/>
    <w:uiPriority w:val="0"/>
    <w:rPr>
      <w:rFonts w:ascii="Calibri" w:hAnsi="Calibri" w:cs="Calibri"/>
    </w:rPr>
  </w:style>
  <w:style w:type="character" w:customStyle="1" w:styleId="41">
    <w:name w:val="List Paragraph Char"/>
    <w:link w:val="30"/>
    <w:locked/>
    <w:uiPriority w:val="34"/>
  </w:style>
  <w:style w:type="character" w:customStyle="1" w:styleId="42">
    <w:name w:val="Body Text Char"/>
    <w:basedOn w:val="3"/>
    <w:link w:val="6"/>
    <w:uiPriority w:val="1"/>
    <w:rPr>
      <w:rFonts w:ascii="Times New Roman" w:hAnsi="Times New Roman" w:eastAsia="Times New Roman" w:cs="Times New Roman"/>
      <w:sz w:val="26"/>
      <w:szCs w:val="26"/>
      <w:lang w:val="vi"/>
    </w:rPr>
  </w:style>
  <w:style w:type="character" w:customStyle="1" w:styleId="43">
    <w:name w:val="fontstyle01"/>
    <w:basedOn w:val="3"/>
    <w:uiPriority w:val="0"/>
    <w:rPr>
      <w:rFonts w:hint="default" w:ascii="NimbusRomNo9L-Medi" w:hAnsi="NimbusRomNo9L-Medi"/>
      <w:b/>
      <w:bCs/>
      <w:color w:val="131413"/>
      <w:sz w:val="24"/>
      <w:szCs w:val="24"/>
    </w:rPr>
  </w:style>
  <w:style w:type="character" w:customStyle="1" w:styleId="44">
    <w:name w:val="font4"/>
    <w:basedOn w:val="3"/>
    <w:uiPriority w:val="0"/>
  </w:style>
  <w:style w:type="character" w:customStyle="1" w:styleId="45">
    <w:name w:val="y2iqfc"/>
    <w:basedOn w:val="3"/>
    <w:uiPriority w:val="0"/>
  </w:style>
  <w:style w:type="paragraph" w:customStyle="1" w:styleId="46">
    <w:name w:val="Bibliography"/>
    <w:basedOn w:val="1"/>
    <w:next w:val="1"/>
    <w:unhideWhenUsed/>
    <w:uiPriority w:val="37"/>
  </w:style>
  <w:style w:type="character" w:customStyle="1" w:styleId="47">
    <w:name w:val="fontstyle21"/>
    <w:basedOn w:val="3"/>
    <w:uiPriority w:val="0"/>
    <w:rPr>
      <w:rFonts w:hint="default" w:ascii="TimesNewRomanPS-ItalicMT" w:hAnsi="TimesNewRomanPS-ItalicMT"/>
      <w:i/>
      <w:iCs/>
      <w:color w:val="000000"/>
      <w:sz w:val="24"/>
      <w:szCs w:val="24"/>
    </w:rPr>
  </w:style>
  <w:style w:type="paragraph" w:customStyle="1" w:styleId="48">
    <w:name w:val="TOC Heading"/>
    <w:basedOn w:val="2"/>
    <w:next w:val="1"/>
    <w:unhideWhenUsed/>
    <w:qFormat/>
    <w:uiPriority w:val="39"/>
    <w:pPr>
      <w:outlineLvl w:val="9"/>
    </w:pPr>
  </w:style>
  <w:style w:type="character" w:customStyle="1" w:styleId="49">
    <w:name w:val="Unresolved Mention"/>
    <w:basedOn w:val="3"/>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1" i="0" u="none" strike="noStrike" kern="1200" cap="all" spc="50" baseline="0">
                <a:ln>
                  <a:noFill/>
                </a:ln>
                <a:solidFill>
                  <a:schemeClr val="tx1"/>
                </a:solidFill>
                <a:latin typeface="+mn-lt"/>
                <a:ea typeface="+mn-ea"/>
                <a:cs typeface="+mn-cs"/>
              </a:defRPr>
            </a:pPr>
            <a:r>
              <a:rPr lang="en-US">
                <a:latin typeface="Times New Roman" panose="02020603050405020304" charset="0"/>
                <a:cs typeface="Times New Roman" panose="02020603050405020304" charset="0"/>
              </a:rPr>
              <a:t>Tài Liệu Tham Khảo</a:t>
            </a:r>
            <a:r>
              <a:rPr lang="en-US"/>
              <a:t> </a:t>
            </a:r>
            <a:endParaRPr lang="en-US"/>
          </a:p>
        </c:rich>
      </c:tx>
      <c:layout/>
      <c:overlay val="0"/>
      <c:spPr>
        <a:noFill/>
        <a:ln>
          <a:noFill/>
        </a:ln>
        <a:effectLst/>
      </c:spPr>
    </c:title>
    <c:autoTitleDeleted val="0"/>
    <c:plotArea>
      <c:layout>
        <c:manualLayout>
          <c:layoutTarget val="inner"/>
          <c:xMode val="edge"/>
          <c:yMode val="edge"/>
          <c:x val="0.3506140913495"/>
          <c:y val="0.317791217709628"/>
          <c:w val="0.32188007478268"/>
          <c:h val="0.61093685246581"/>
        </c:manualLayout>
      </c:layout>
      <c:pieChart>
        <c:varyColors val="1"/>
        <c:ser>
          <c:idx val="0"/>
          <c:order val="0"/>
          <c:tx>
            <c:strRef>
              <c:f>Sheet1!$B$1</c:f>
              <c:strCache>
                <c:ptCount val="1"/>
                <c:pt idx="0">
                  <c:v>Sales</c:v>
                </c:pt>
              </c:strCache>
            </c:strRef>
          </c:tx>
          <c:explosion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dPt>
          <c:dLbls>
            <c:spPr>
              <a:noFill/>
              <a:ln>
                <a:noFill/>
              </a:ln>
              <a:effectLst/>
            </c:spPr>
            <c:txPr>
              <a:bodyPr rot="0" spcFirstLastPara="1" vertOverflow="ellipsis" vert="horz" wrap="square" lIns="38100" tIns="19050" rIns="38100" bIns="19050" anchor="ctr" anchorCtr="1"/>
              <a:lstStyle/>
              <a:p>
                <a:pPr>
                  <a:defRPr lang="en-US" sz="900" b="1" i="0" u="none" strike="noStrike" kern="1200" baseline="0">
                    <a:ln>
                      <a:noFill/>
                    </a:ln>
                    <a:solidFill>
                      <a:schemeClr val="tx1"/>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Sheet1!$A$2:$A$5</c:f>
              <c:strCache>
                <c:ptCount val="4"/>
                <c:pt idx="0">
                  <c:v>Sách GT</c:v>
                </c:pt>
                <c:pt idx="1">
                  <c:v>you tube</c:v>
                </c:pt>
                <c:pt idx="2">
                  <c:v>Elearning</c:v>
                </c:pt>
                <c:pt idx="3">
                  <c:v>TL nước ngoài</c:v>
                </c:pt>
              </c:strCache>
            </c:strRef>
          </c:cat>
          <c:val>
            <c:numRef>
              <c:f>Sheet1!$B$2:$B$5</c:f>
              <c:numCache>
                <c:formatCode>General</c:formatCode>
                <c:ptCount val="4"/>
                <c:pt idx="0">
                  <c:v>70</c:v>
                </c:pt>
                <c:pt idx="1">
                  <c:v>20</c:v>
                </c:pt>
                <c:pt idx="2">
                  <c:v>7</c:v>
                </c:pt>
                <c:pt idx="3">
                  <c:v>3</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1" vertOverflow="ellipsis" vert="horz" wrap="square" anchor="ctr" anchorCtr="1"/>
        <a:lstStyle/>
        <a:p>
          <a:pPr>
            <a:defRPr lang="en-US" sz="900" b="0" i="0" u="none" strike="noStrike" kern="1200" baseline="0">
              <a:ln>
                <a:noFill/>
              </a:ln>
              <a:solidFill>
                <a:schemeClr val="tx1"/>
              </a:solidFill>
              <a:latin typeface="+mn-lt"/>
              <a:ea typeface="+mn-ea"/>
              <a:cs typeface="+mn-cs"/>
            </a:defRPr>
          </a:pPr>
        </a:p>
      </c:txPr>
    </c:legend>
    <c:plotVisOnly val="1"/>
    <c:dispBlanksAs val="gap"/>
    <c:showDLblsOverMax val="0"/>
  </c:chart>
  <c:spPr>
    <a:solidFill>
      <a:schemeClr val="bg1"/>
    </a:solidFill>
    <a:ln w="9525" cap="flat" cmpd="sng" algn="ctr">
      <a:noFill/>
      <a:prstDash val="solid"/>
      <a:round/>
    </a:ln>
    <a:effectLst/>
  </c:spPr>
  <c:txPr>
    <a:bodyPr/>
    <a:lstStyle/>
    <a:p>
      <a:pPr>
        <a:defRPr lang="en-US">
          <a:ln>
            <a:noFill/>
          </a:ln>
          <a:solidFill>
            <a:schemeClr val="tx1"/>
          </a:solidFill>
        </a:defRPr>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Jon</b:Tag>
    <b:SourceType>Report</b:SourceType>
    <b:Guid>{8171B457-D5CB-4059-8340-B4635CF73CEC}</b:Guid>
    <b:Author>
      <b:Author>
        <b:NameList>
          <b:Person>
            <b:Last>Jonattan Miranda</b:Last>
            <b:First>Christelle</b:First>
            <b:Middle>Navarrete</b:Middle>
          </b:Person>
        </b:NameList>
      </b:Author>
    </b:Author>
    <b:Title>The core components of education 4.0 in higher education: Three case studies in engineering education.</b:Title>
    <b:Year>2021</b:Year>
    <b:Publisher>Computers and Electrical Engineering 93 107278</b:Publisher>
    <b:City>Turkish Journal </b:City>
    <b:Pages>1239-1254</b:Pages>
    <b:RefOrder>1</b:RefOrder>
  </b:Source>
  <b:Source>
    <b:Tag>Niz21</b:Tag>
    <b:SourceType>Report</b:SourceType>
    <b:Guid>{9B825D4D-230E-40D8-A0DF-856F0D75411D}</b:Guid>
    <b:Author>
      <b:Author>
        <b:NameList>
          <b:Person>
            <b:Last>Nizwardi Jalinus</b:Last>
            <b:First>Unung</b:First>
            <b:Middle>Verawardina et al</b:Middle>
          </b:Person>
        </b:NameList>
      </b:Author>
    </b:Author>
    <b:Year>2021</b:Year>
    <b:Title>Developing Blended Learning Model in Vocational Education Based On 21st Century Integrated Learning and Industrial Revolution 4.0</b:Title>
    <b:Publisher>Turkish Journal of Computer and Mathematics Education</b:Publisher>
    <b:DOI>https://doi.org/10.17762/turcomat.v12i8.3035</b:DOI>
    <b:RefOrder>2</b:RefOrder>
  </b:Source>
  <b:Source>
    <b:Tag>Đặn20</b:Tag>
    <b:SourceType>Report</b:SourceType>
    <b:Guid>{4140D805-5140-43CF-BDCE-CAFB649212A8}</b:Guid>
    <b:Author>
      <b:Author>
        <b:NameList>
          <b:Person>
            <b:Last>Hải</b:Last>
            <b:First>Đặng</b:First>
            <b:Middle>Xuân</b:Middle>
          </b:Person>
        </b:NameList>
      </b:Author>
    </b:Author>
    <b:Title>Mô hình quản trị nhà trường trong bối cảnh đổi mới giáo dục hiện nay</b:Title>
    <b:Year>2020</b:Year>
    <b:Publisher>Trường Đại học Giáo dục, Đại học Quốc gia Hà Nội</b:Publisher>
    <b:RefOrder>3</b:RefOrder>
  </b:Source>
  <b:Source>
    <b:Tag>Imr19</b:Tag>
    <b:SourceType>Report</b:SourceType>
    <b:Guid>{E9EA3E91-46E3-4882-8B3E-93EEEBE6102B}</b:Guid>
    <b:Author>
      <b:Author>
        <b:Corporate>Imre Petkovics</b:Corporate>
      </b:Author>
    </b:Author>
    <b:Title>Digital Transformation in Higher Education</b:Title>
    <b:Year>2019</b:Year>
    <b:Publisher>Journal of Applied Technical and Education Sciences</b:Publisher>
    <b:DOI>10.24368/jates.v8i4.55</b:DOI>
    <b:RefOrder>4</b:RefOrder>
  </b:Source>
  <b:Source>
    <b:Tag>Ser02</b:Tag>
    <b:SourceType>Report</b:SourceType>
    <b:Guid>{DDD82082-676D-402D-A4ED-40B735752AE6}</b:Guid>
    <b:Author>
      <b:Author>
        <b:NameList>
          <b:Person>
            <b:Last>Service</b:Last>
            <b:First>Educational</b:First>
            <b:Middle>Testing</b:Middle>
          </b:Person>
        </b:NameList>
      </b:Author>
    </b:Author>
    <b:Title>Digital Transformation A Framework for ICT Literacy</b:Title>
    <b:Year>2002</b:Year>
    <b:Publisher>iSkills ETS</b:Publisher>
    <b:URL>www.ets.org/research/ictliteracy</b:URL>
    <b:RefOrder>5</b:RefOrder>
  </b:Source>
  <b:Source>
    <b:Tag>Mar21</b:Tag>
    <b:SourceType>Report</b:SourceType>
    <b:Guid>{605F90E8-CE8C-4506-BDD1-6A37B59211AF}</b:Guid>
    <b:Author>
      <b:Author>
        <b:NameList>
          <b:Person>
            <b:Last>María Soledad Ramírez-Montoya</b:Last>
            <b:First>María</b:First>
            <b:Middle>Isabel Loaiza-Aguirre et al</b:Middle>
          </b:Person>
        </b:NameList>
      </b:Author>
    </b:Author>
    <b:Title>Characterization of the Teaching Profile within the Framework of Education 4.0</b:Title>
    <b:Year>2021</b:Year>
    <b:Publisher>Article future 2021, 13, 91</b:Publisher>
    <b:DOI>Article future 2021, 13, 91</b:DOI>
    <b:RefOrder>6</b:RefOrder>
  </b:Source>
  <b:Source>
    <b:Tag>Mac16</b:Tag>
    <b:SourceType>Report</b:SourceType>
    <b:Guid>{D9CE5538-7E8B-45D2-9C67-FA2E2BE60385}</b:Guid>
    <b:Author>
      <b:Author>
        <b:NameList>
          <b:Person>
            <b:Last>Machumu</b:Last>
            <b:First>H.</b:First>
            <b:Middle>J., Zhu, C., &amp; Sesabo, J. K.</b:Middle>
          </b:Person>
        </b:NameList>
      </b:Author>
    </b:Author>
    <b:Year>2016</b:Year>
    <b:Title>Blended Learning in the Vocational Education and Training System in Tanzania</b:Title>
    <b:Publisher>International Journal of Multicultaral and Multireligion</b:Publisher>
    <b:DOI>https://doi.org/10.18415/ijmmu.v3i2.46</b:DOI>
    <b:RefOrder>7</b:RefOrder>
  </b:Source>
  <b:Source>
    <b:Tag>Sud18</b:Tag>
    <b:SourceType>Report</b:SourceType>
    <b:Guid>{4F484C42-4BF2-4085-A9CE-8238F17858D3}</b:Guid>
    <b:Author>
      <b:Author>
        <b:NameList>
          <b:Person>
            <b:Last>Sudira</b:Last>
            <b:First>P</b:First>
          </b:Person>
        </b:NameList>
      </b:Author>
    </b:Author>
    <b:Title>Metodelogi Pembelajaran Vokasional abad XXI</b:Title>
    <b:Year>2018</b:Year>
    <b:Publisher>UNY Press</b:Publisher>
    <b:RefOrder>8</b:RefOrder>
  </b:Source>
  <b:Source>
    <b:Tag>Lub20</b:Tag>
    <b:SourceType>Report</b:SourceType>
    <b:Guid>{D4F03637-677F-4F9A-94A3-B747279661BF}</b:Guid>
    <b:Author>
      <b:Author>
        <b:NameList>
          <b:Person>
            <b:Last>Lubis</b:Last>
            <b:First>A.</b:First>
            <b:Middle>L., Jalinus, N., &amp; Abdullah, R</b:Middle>
          </b:Person>
        </b:NameList>
      </b:Author>
    </b:Author>
    <b:Year>2020</b:Year>
    <b:Title>The Importance of Need Analysis for the Development of Co-PjBL Models on the Creative Products</b:Title>
    <b:Publisher>International Joural of Avanced Science and Technology 29, 985-993</b:Publisher>
    <b:RefOrder>9</b:RefOrder>
  </b:Source>
  <b:Source>
    <b:Tag>7Vi20</b:Tag>
    <b:SourceType>Report</b:SourceType>
    <b:Guid>{958DDFF4-12F3-43C6-A39A-AB467E1E77D0}</b:Guid>
    <b:Author>
      <b:Author>
        <b:NameList>
          <b:Person>
            <b:Last>Vitriani</b:Last>
            <b:First>Ali,</b:First>
            <b:Middle>G., Nanda, D. W., Syahril, Desnelita, Y., Satria, R., &amp; Verawadina, U.,</b:Middle>
          </b:Person>
        </b:NameList>
      </b:Author>
    </b:Author>
    <b:Year>2020</b:Year>
    <b:Title>The validity of training models based on knowledge management systems</b:Title>
    <b:Publisher>International Journal of Innovation, Creativity, and Change, 12, 726-744</b:Publisher>
    <b:RefOrder>10</b:RefOrder>
  </b:Source>
  <b:Source>
    <b:Tag>Nof20</b:Tag>
    <b:SourceType>Report</b:SourceType>
    <b:Guid>{54B649DC-A2BB-4336-BB84-18F70DE1C128}</b:Guid>
    <b:Author>
      <b:Author>
        <b:NameList>
          <b:Person>
            <b:Last>Nofrianto</b:Last>
            <b:First>H.,</b:First>
            <b:Middle>Jama, J., &amp; Indra, A.,</b:Middle>
          </b:Person>
        </b:NameList>
      </b:Author>
    </b:Author>
    <b:Title>Validity of Cooperative-Discovery Learing Model to Improve Competencies of Engineering Students</b:Title>
    <b:Year>2020</b:Year>
    <b:Publisher>Systematic Review in Pharmacy,11,1134-1138</b:Publisher>
    <b:RefOrder>11</b:RefOrder>
  </b:Source>
  <b:Source>
    <b:Tag>Moh19</b:Tag>
    <b:SourceType>Report</b:SourceType>
    <b:Guid>{C94A6BB0-60FE-4CE8-A8B8-DC36934FA9EF}</b:Guid>
    <b:Author>
      <b:Author>
        <b:Corporate>Mohamed-Iliasse Mahraz1, Loubna Benabbou2 et al</b:Corporate>
      </b:Author>
    </b:Author>
    <b:Title>A Systematic literature review of Digital Tràmormtion</b:Title>
    <b:Year>2019</b:Year>
    <b:Publisher>Proceedings of the International Conference on Industrial Engineering and Operations Management </b:Publisher>
    <b:City>Toronto, Canada</b:City>
    <b:RefOrder>12</b:RefOrder>
  </b:Source>
  <b:Source>
    <b:Tag>Imr191</b:Tag>
    <b:SourceType>Report</b:SourceType>
    <b:Guid>{66222474-42BC-4677-96D2-0DD0DBCDD5A3}</b:Guid>
    <b:Author>
      <b:Author>
        <b:NameList>
          <b:Person>
            <b:Last>Petkovics</b:Last>
            <b:First>Imre</b:First>
          </b:Person>
        </b:NameList>
      </b:Author>
    </b:Author>
    <b:Year>2019</b:Year>
    <b:Title>Digital Transformation in Higher Education</b:Title>
    <b:Publisher>Journal of Applied Technical and Educational Sciences</b:Publisher>
    <b:DOI>10.24368/jates.v8i4.55</b:DOI>
    <b:RefOrder>13</b:RefOrder>
  </b:Source>
  <b:Source>
    <b:Tag>Bol00</b:Tag>
    <b:SourceType>Report</b:SourceType>
    <b:Guid>{D2F6CB71-353C-4FB0-AF54-ECD8C4E28E76}</b:Guid>
    <b:Author>
      <b:Author>
        <b:NameList>
          <b:Person>
            <b:Last>Bollier</b:Last>
          </b:Person>
        </b:NameList>
      </b:Author>
    </b:Author>
    <b:Title>Ecologies of innovation: The role of information and communications technologies</b:Title>
    <b:Year>2000</b:Year>
    <b:Publisher>Aspen Institute Roundtable on Information Technology</b:Publisher>
    <b:City>Washington</b:City>
    <b:RefOrder>14</b:RefOrder>
  </b:Source>
  <b:Source>
    <b:Tag>Dig02</b:Tag>
    <b:SourceType>Report</b:SourceType>
    <b:Guid>{109BE686-C159-4CB3-A1F1-EDA9396155AB}</b:Guid>
    <b:Title>Digital Transformation A Framework for ICT Literacy</b:Title>
    <b:Year>2002</b:Year>
    <b:Publisher>Educational Testing Service</b:Publisher>
    <b:URL>www.ets.org/research/ictliteracy</b:URL>
    <b:RefOrder>15</b:RefOrder>
  </b:Source>
  <b:Source>
    <b:Tag>Her21</b:Tag>
    <b:SourceType>Report</b:SourceType>
    <b:Guid>{B95B46A7-DD5C-4CA4-8289-87D665235E59}</b:Guid>
    <b:Author>
      <b:Author>
        <b:Corporate>Hernández, D.; Abellán, M.; Ortíz, J.; Requena, P</b:Corporate>
      </b:Author>
    </b:Author>
    <b:Title>Profile of university teachers using a student-centered approach to teaching</b:Title>
    <b:Year>2021</b:Year>
    <b:Publisher>Psychol. Soc. Educ. 2021, 11,125–135</b:Publisher>
    <b:RefOrder>16</b:RefOrder>
  </b:Source>
  <b:Source>
    <b:Tag>Nhi20</b:Tag>
    <b:SourceType>Report</b:SourceType>
    <b:Guid>{2C89BDA6-3FFC-4621-9752-3D4C94C0B515}</b:Guid>
    <b:Author>
      <b:Author>
        <b:Corporate>Nhi Thi Nguyen, Thanh Van Thai, Huong Thi Pham, Giang Chau Thi Nguyen</b:Corporate>
      </b:Author>
    </b:Author>
    <b:Title>CDIO Approach in Developing Teacher Training Program to Meet Requirement of the Industrial Revolution 4.0 in Vietnam</b:Title>
    <b:Year>2020</b:Year>
    <b:DOI>https://doi.org/10.3991/ijet.v15i18.15517</b:DOI>
    <b:RefOrder>17</b:RefOrder>
  </b:Source>
</b:Sources>
</file>

<file path=customXml/itemProps1.xml><?xml version="1.0" encoding="utf-8"?>
<ds:datastoreItem xmlns:ds="http://schemas.openxmlformats.org/officeDocument/2006/customXml" ds:itemID="{430DAD86-8633-46D0-B7AB-31161C4EAE4D}">
  <ds:schemaRefs/>
</ds:datastoreItem>
</file>

<file path=docProps/app.xml><?xml version="1.0" encoding="utf-8"?>
<Properties xmlns="http://schemas.openxmlformats.org/officeDocument/2006/extended-properties" xmlns:vt="http://schemas.openxmlformats.org/officeDocument/2006/docPropsVTypes">
  <Template>Normal.dotm</Template>
  <Pages>5</Pages>
  <Words>2679</Words>
  <Characters>15272</Characters>
  <Lines>127</Lines>
  <Paragraphs>35</Paragraphs>
  <TotalTime>20</TotalTime>
  <ScaleCrop>false</ScaleCrop>
  <LinksUpToDate>false</LinksUpToDate>
  <CharactersWithSpaces>17916</CharactersWithSpaces>
  <Application>WPS Office_11.2.0.11225_F1E327BC-269C-435d-A152-05C5408002CA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2023-09-05T01:02:00Z</dcterms:created>
  <dc:creator>NGUYỄN MINH THÁI (thông qua Google Drive)</dc:creator>
  <cp:lastModifiedBy>asus</cp:lastModifiedBy>
  <cp:lastPrinted>2023-07-26T04:47:00Z</cp:lastPrinted>
  <dcterms:modified xsi:type="dcterms:W3CDTF">2023-10-27T14:19:32Z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1033-11.2.0.11225</vt:lpwstr>
  </property>
  <property fmtid="{D5CDD505-2E9C-101B-9397-08002B2CF9AE}" pid="3" name="ICV">
    <vt:lpwstr>40637075CC36496293F6DB9B2D6610A1</vt:lpwstr>
  </property>
</Properties>
</file>