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spacing w:after="0" w:line="240" w:lineRule="auto"/>
        <w:jc w:val="center"/>
        <w:outlineLvl w:val="0"/>
        <w:rPr>
          <w:rFonts w:ascii="Times New Roman" w:hAnsi="Times New Roman" w:cs="Times New Roman" w:eastAsiaTheme="minorEastAsia"/>
          <w:b/>
          <w:spacing w:val="-4"/>
          <w:w w:val="98"/>
          <w:kern w:val="32"/>
          <w:sz w:val="26"/>
          <w:szCs w:val="26"/>
          <w:lang w:eastAsia="vi-VN"/>
        </w:rPr>
      </w:pPr>
      <w:r>
        <w:rPr>
          <w:rFonts w:ascii="Times New Roman" w:hAnsi="Times New Roman" w:cs="Times New Roman" w:eastAsiaTheme="minorEastAsia"/>
          <w:b/>
          <w:spacing w:val="-4"/>
          <w:w w:val="98"/>
          <w:kern w:val="32"/>
          <w:sz w:val="26"/>
          <w:szCs w:val="26"/>
          <w:lang w:eastAsia="vi-VN"/>
        </w:rPr>
        <w:t>CHUYỂN ĐỔI SỐ TRONG MÔ HÌNH NHÀ TRƯỜNG THÔNG MINH TẠI TRƯỜNG CAO ĐẲNG LÝ TỰ TRỌNG THÀNH PHỐ HỒ CHÍ MINH</w:t>
      </w:r>
    </w:p>
    <w:p>
      <w:pPr>
        <w:widowControl w:val="0"/>
        <w:spacing w:after="0" w:line="240" w:lineRule="auto"/>
        <w:jc w:val="center"/>
        <w:outlineLvl w:val="0"/>
        <w:rPr>
          <w:rFonts w:ascii="Times New Roman" w:hAnsi="Times New Roman" w:cs="Times New Roman" w:eastAsiaTheme="minorEastAsia"/>
          <w:bCs/>
          <w:spacing w:val="-4"/>
          <w:w w:val="98"/>
          <w:kern w:val="32"/>
          <w:sz w:val="26"/>
          <w:szCs w:val="26"/>
          <w:lang w:eastAsia="vi-VN"/>
        </w:rPr>
      </w:pPr>
      <w:r>
        <w:rPr>
          <w:rFonts w:ascii="Times New Roman" w:hAnsi="Times New Roman" w:cs="Times New Roman" w:eastAsiaTheme="minorEastAsia"/>
          <w:bCs/>
          <w:spacing w:val="-4"/>
          <w:w w:val="98"/>
          <w:kern w:val="32"/>
          <w:sz w:val="26"/>
          <w:szCs w:val="26"/>
          <w:lang w:eastAsia="vi-VN"/>
        </w:rPr>
        <w:t xml:space="preserve">DIGITAL CONVERSION IN THE SMART SCHOOL MODEL AT LY TU TRONG COLLEGES OF HO CHI MINH CITY </w:t>
      </w:r>
    </w:p>
    <w:p>
      <w:pPr>
        <w:widowControl w:val="0"/>
        <w:spacing w:after="0" w:line="240" w:lineRule="auto"/>
        <w:jc w:val="center"/>
        <w:outlineLvl w:val="0"/>
        <w:rPr>
          <w:rFonts w:ascii="Times New Roman" w:hAnsi="Times New Roman" w:cs="Times New Roman" w:eastAsiaTheme="minorEastAsia"/>
          <w:i/>
          <w:spacing w:val="-4"/>
          <w:w w:val="98"/>
          <w:kern w:val="32"/>
          <w:sz w:val="26"/>
          <w:szCs w:val="26"/>
          <w:lang w:eastAsia="vi-VN"/>
        </w:rPr>
      </w:pPr>
    </w:p>
    <w:tbl>
      <w:tblPr>
        <w:tblStyle w:val="9"/>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281"/>
        <w:gridCol w:w="6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before="40" w:after="0" w:line="240" w:lineRule="auto"/>
              <w:rPr>
                <w:rFonts w:ascii="Times New Roman" w:hAnsi="Times New Roman" w:cs="Times New Roman"/>
                <w:b/>
                <w:spacing w:val="-4"/>
                <w:w w:val="98"/>
                <w:sz w:val="21"/>
                <w:szCs w:val="26"/>
              </w:rPr>
            </w:pPr>
          </w:p>
        </w:tc>
        <w:tc>
          <w:tcPr>
            <w:tcW w:w="281" w:type="dxa"/>
            <w:vMerge w:val="restart"/>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i/>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ind w:left="29"/>
              <w:jc w:val="both"/>
              <w:rPr>
                <w:rFonts w:ascii="Times New Roman" w:hAnsi="Times New Roman" w:cs="Times New Roman"/>
                <w:i/>
                <w:spacing w:val="-4"/>
                <w:w w:val="98"/>
                <w:sz w:val="21"/>
                <w:szCs w:val="26"/>
              </w:rPr>
            </w:pPr>
          </w:p>
        </w:tc>
        <w:tc>
          <w:tcPr>
            <w:tcW w:w="281" w:type="dxa"/>
            <w:vMerge w:val="continue"/>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2552" w:type="dxa"/>
            <w:shd w:val="clear" w:color="auto" w:fill="FFFFFF" w:themeFill="background1"/>
          </w:tcPr>
          <w:p>
            <w:pPr>
              <w:spacing w:after="0" w:line="240" w:lineRule="auto"/>
              <w:jc w:val="both"/>
              <w:rPr>
                <w:rFonts w:ascii="Times New Roman" w:hAnsi="Times New Roman" w:eastAsiaTheme="minorEastAsia" w:cstheme="majorHAnsi"/>
                <w:b/>
                <w:bCs/>
                <w:spacing w:val="-4"/>
                <w:w w:val="98"/>
                <w:sz w:val="21"/>
                <w:szCs w:val="21"/>
              </w:rPr>
            </w:pPr>
            <w:r>
              <w:rPr>
                <w:rFonts w:ascii="Times New Roman" w:hAnsi="Times New Roman" w:eastAsiaTheme="minorEastAsia" w:cstheme="majorHAnsi"/>
                <w:b/>
                <w:bCs/>
                <w:spacing w:val="-4"/>
                <w:w w:val="98"/>
                <w:sz w:val="21"/>
                <w:szCs w:val="21"/>
              </w:rPr>
              <w:t>Từ khóa:</w:t>
            </w:r>
          </w:p>
          <w:p>
            <w:pPr>
              <w:spacing w:after="0" w:line="240" w:lineRule="auto"/>
              <w:jc w:val="both"/>
              <w:rPr>
                <w:rFonts w:ascii="Times New Roman" w:hAnsi="Times New Roman" w:eastAsiaTheme="minorEastAsia" w:cstheme="majorHAnsi"/>
                <w:bCs/>
                <w:spacing w:val="-4"/>
                <w:w w:val="98"/>
                <w:sz w:val="21"/>
                <w:szCs w:val="21"/>
              </w:rPr>
            </w:pPr>
            <w:r>
              <w:rPr>
                <w:rFonts w:ascii="Times New Roman" w:hAnsi="Times New Roman" w:eastAsiaTheme="minorEastAsia" w:cstheme="majorHAnsi"/>
                <w:bCs/>
                <w:spacing w:val="-4"/>
                <w:w w:val="98"/>
                <w:sz w:val="21"/>
                <w:szCs w:val="21"/>
              </w:rPr>
              <w:t>Chuyển đổi số, mô hình trường học thông minh, quản lý trường học, nguồn nhân lực</w:t>
            </w:r>
          </w:p>
          <w:p>
            <w:pPr>
              <w:spacing w:after="0" w:line="240" w:lineRule="auto"/>
              <w:jc w:val="both"/>
              <w:rPr>
                <w:rFonts w:ascii="Times New Roman" w:hAnsi="Times New Roman" w:eastAsiaTheme="minorEastAsia" w:cstheme="majorHAnsi"/>
                <w:bCs/>
                <w:spacing w:val="-4"/>
                <w:w w:val="98"/>
                <w:sz w:val="21"/>
                <w:szCs w:val="21"/>
              </w:rPr>
            </w:pPr>
          </w:p>
          <w:p>
            <w:pPr>
              <w:spacing w:after="0" w:line="240" w:lineRule="auto"/>
              <w:jc w:val="both"/>
              <w:rPr>
                <w:rFonts w:ascii="Times New Roman" w:hAnsi="Times New Roman" w:eastAsiaTheme="minorEastAsia" w:cstheme="majorHAnsi"/>
                <w:b/>
                <w:bCs/>
                <w:spacing w:val="-4"/>
                <w:w w:val="98"/>
                <w:sz w:val="21"/>
                <w:szCs w:val="21"/>
              </w:rPr>
            </w:pPr>
            <w:r>
              <w:rPr>
                <w:rFonts w:ascii="Times New Roman" w:hAnsi="Times New Roman" w:eastAsiaTheme="minorEastAsia" w:cstheme="majorHAnsi"/>
                <w:b/>
                <w:bCs/>
                <w:spacing w:val="-4"/>
                <w:w w:val="98"/>
                <w:sz w:val="21"/>
                <w:szCs w:val="21"/>
              </w:rPr>
              <w:t xml:space="preserve">Keywords: </w:t>
            </w:r>
          </w:p>
          <w:p>
            <w:pPr>
              <w:spacing w:after="0" w:line="240" w:lineRule="auto"/>
              <w:jc w:val="both"/>
              <w:rPr>
                <w:rFonts w:ascii="Times New Roman" w:hAnsi="Times New Roman" w:cs="Times New Roman"/>
                <w:sz w:val="21"/>
                <w:szCs w:val="21"/>
              </w:rPr>
            </w:pPr>
            <w:r>
              <w:rPr>
                <w:rFonts w:ascii="Times New Roman" w:hAnsi="Times New Roman" w:cs="Times New Roman"/>
                <w:sz w:val="21"/>
                <w:szCs w:val="21"/>
              </w:rPr>
              <w:t>Digital conversion, smart school model, school management, human resources</w:t>
            </w:r>
          </w:p>
          <w:p>
            <w:pPr>
              <w:spacing w:after="0" w:line="240" w:lineRule="auto"/>
              <w:jc w:val="both"/>
              <w:rPr>
                <w:rFonts w:ascii="Times New Roman" w:hAnsi="Times New Roman" w:cs="Times New Roman"/>
                <w:b/>
                <w:spacing w:val="-4"/>
                <w:w w:val="98"/>
                <w:sz w:val="21"/>
                <w:szCs w:val="26"/>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rPr>
                <w:rFonts w:ascii="Times New Roman" w:hAnsi="Times New Roman" w:cs="Times New Roman"/>
                <w:b/>
                <w:spacing w:val="-4"/>
                <w:w w:val="98"/>
                <w:sz w:val="21"/>
                <w:szCs w:val="26"/>
              </w:rPr>
            </w:pPr>
          </w:p>
        </w:tc>
        <w:tc>
          <w:tcPr>
            <w:tcW w:w="6239" w:type="dxa"/>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TÓM TẮT: </w:t>
            </w:r>
            <w:r>
              <w:rPr>
                <w:rFonts w:ascii="Times New Roman" w:hAnsi="Times New Roman" w:cs="Times New Roman"/>
                <w:spacing w:val="-4"/>
                <w:w w:val="98"/>
                <w:sz w:val="21"/>
                <w:szCs w:val="26"/>
              </w:rPr>
              <w:t>Nghiên cứu quá trình chuyển đổi số và phát triển năng lực số cho các trường học là vấn đề tất yếu. Nhìn chung quá trình chuyển đổi số đang diễn ra mỗi ngày. Các ứng dụng công nghệ thông tin và truyền thông đang thay đổi diện mạo của của các trường Cao đẳng nói chung và Cao đẳng Lý Tự Trọng Thành phố Hồ Chí Minh cũng không ngoại lệ. Để trở thành Nhà trường thông minh và có đội ngũ quản trị Nhà trường thông minh cần có điều kiện nhất định, tiên quyết, cốt lõi. Phát triển các điều kiện cốt lõi này là tiêu chí của phát triển và bền vững.</w:t>
            </w:r>
          </w:p>
          <w:p>
            <w:pPr>
              <w:spacing w:before="40" w:after="0" w:line="240" w:lineRule="auto"/>
              <w:jc w:val="both"/>
              <w:rPr>
                <w:rFonts w:ascii="Times New Roman" w:hAnsi="Times New Roman" w:cs="Times New Roman"/>
                <w:sz w:val="21"/>
                <w:szCs w:val="21"/>
                <w:highlight w:val="green"/>
              </w:rPr>
            </w:pPr>
            <w:r>
              <w:rPr>
                <w:rFonts w:ascii="Times New Roman" w:hAnsi="Times New Roman" w:cs="Times New Roman"/>
                <w:b/>
                <w:spacing w:val="-4"/>
                <w:w w:val="98"/>
                <w:sz w:val="21"/>
                <w:szCs w:val="26"/>
              </w:rPr>
              <w:t xml:space="preserve">Bối cảnh: </w:t>
            </w:r>
            <w:r>
              <w:rPr>
                <w:rFonts w:ascii="Times New Roman" w:hAnsi="Times New Roman" w:cs="Times New Roman"/>
                <w:spacing w:val="-4"/>
                <w:w w:val="98"/>
                <w:sz w:val="21"/>
                <w:szCs w:val="21"/>
                <w:highlight w:val="green"/>
              </w:rPr>
              <w:t xml:space="preserve">Việc </w:t>
            </w:r>
            <w:r>
              <w:rPr>
                <w:rFonts w:ascii="Times New Roman" w:hAnsi="Times New Roman" w:cs="Times New Roman"/>
                <w:sz w:val="21"/>
                <w:szCs w:val="21"/>
                <w:highlight w:val="green"/>
              </w:rPr>
              <w:t>ứng dụng công nghệ kỹ thuật số và hệ thống thông tin internet vào lĩnh vực giáo dục để nâng cao chất lượng giảng dạy, học tập và quản lý giáo dục đang diễn ra mạnh mẽ. Bao gồm cải tiến phương pháp giảng dạy, cải tiến các thiết bị, dụng cụ hỗ trợ học tập, nâng cao trải nghiệm của học sinh, sinh viên và người tham gia đào tạo bao gồm giáo viên và cán bộ quản lý. Chuyển đổi số cần có lộ trình, theo đó các giá trị cốt lõi cần được chú trọng đồng thời cần học tập những kinh nghiệm đi trước để có những đầu tư trọng tâm, đúng yêu cầu chuyển đổi số của xã hội trong giai đoạn cách mạng công nghiệp lần thứ tư.</w:t>
            </w:r>
          </w:p>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Kết quả</w:t>
            </w:r>
            <w:r>
              <w:rPr>
                <w:rFonts w:ascii="Times New Roman" w:hAnsi="Times New Roman" w:cs="Times New Roman"/>
                <w:spacing w:val="-4"/>
                <w:w w:val="98"/>
                <w:sz w:val="21"/>
                <w:szCs w:val="26"/>
              </w:rPr>
              <w:t>: Bằng cách phân tích các nghiên cứu đã được công bố về kinh nghiệm chuyển đổi số ở các trường Trung học và Đại học. Qua thống kê các kết quả cho thấy các giá trị cốt lõi của chuyển đổi số, nhu cầu xã hội về chuyển đổi số trong giáo dục, các năng lực số, cơ sở hạ</w:t>
            </w:r>
            <w:r>
              <w:rPr>
                <w:rFonts w:ascii="Times New Roman" w:hAnsi="Times New Roman" w:cs="Times New Roman"/>
                <w:spacing w:val="-4"/>
                <w:w w:val="98"/>
                <w:sz w:val="21"/>
                <w:szCs w:val="26"/>
                <w:highlight w:val="yellow"/>
              </w:rPr>
              <w:t xml:space="preserve"> tần </w:t>
            </w:r>
            <w:r>
              <w:rPr>
                <w:rFonts w:ascii="Times New Roman" w:hAnsi="Times New Roman" w:cs="Times New Roman"/>
                <w:spacing w:val="-4"/>
                <w:w w:val="98"/>
                <w:sz w:val="21"/>
                <w:szCs w:val="26"/>
              </w:rPr>
              <w:t>kỹ thuật số và hệ sinh thái kỹ thuật số là các vấn đề cần tập trung đầu tư, cải tiến, phát triển.</w:t>
            </w:r>
          </w:p>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Tác giả nhận thấy vấn đề quan trọng trong công tác quản trị nhà trường thông minh tại trường Cao đẳng Lý Tự Trong Thành Phố Hồ Chí Minh là cần phát triển một hệ sinh thái kỹ thuật số tại trường để có thể</w:t>
            </w:r>
            <w:r>
              <w:rPr>
                <w:rFonts w:ascii="Times New Roman" w:hAnsi="Times New Roman" w:cs="Times New Roman"/>
                <w:sz w:val="21"/>
                <w:szCs w:val="21"/>
              </w:rPr>
              <w:t xml:space="preserve"> </w:t>
            </w:r>
            <w:r>
              <w:rPr>
                <w:rFonts w:ascii="Times New Roman" w:hAnsi="Times New Roman" w:cs="Times New Roman"/>
                <w:sz w:val="21"/>
                <w:szCs w:val="21"/>
                <w:highlight w:val="green"/>
              </w:rPr>
              <w:t>đánh giá 8 năng lực của sinh viên bao gồm kiến thức, kỹ năng nhận thức, kỹ năng thực hành, thái độ, động cơ, xúc cảm, giá trị và đạo đức</w:t>
            </w:r>
            <w:r>
              <w:rPr>
                <w:rFonts w:ascii="Times New Roman" w:hAnsi="Times New Roman" w:cs="Times New Roman"/>
                <w:spacing w:val="-4"/>
                <w:w w:val="98"/>
                <w:sz w:val="21"/>
                <w:szCs w:val="26"/>
                <w:highlight w:val="green"/>
              </w:rPr>
              <w:t xml:space="preserve">. </w:t>
            </w:r>
            <w:r>
              <w:rPr>
                <w:rFonts w:ascii="Times New Roman" w:hAnsi="Times New Roman" w:cs="Times New Roman"/>
                <w:spacing w:val="-4"/>
                <w:w w:val="98"/>
                <w:sz w:val="21"/>
                <w:szCs w:val="26"/>
              </w:rPr>
              <w:t>Đồng thời tạo điều kiện cho cán bộ quản lý và giáo viên phát triển năng lực số của mình theo một chuẩn thống nhất.</w:t>
            </w:r>
          </w:p>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ABSTRACT: </w:t>
            </w:r>
            <w:r>
              <w:rPr>
                <w:rFonts w:ascii="Times New Roman" w:hAnsi="Times New Roman" w:cs="Times New Roman"/>
                <w:spacing w:val="-4"/>
                <w:w w:val="98"/>
                <w:sz w:val="21"/>
                <w:szCs w:val="26"/>
              </w:rPr>
              <w:t>Researching the digital transformation process and developing digital capacity for schools is an inevitable issue. Overall, digital transformation is happening every day. The application of information and communication technology is changing the face of colleges in general and Ly Tu Trong College in Ho Chi Minh City is no exception. To become a smart school and have a management team of a smart school, there are certain prerequisites, prerequisites, and core requirements. Developing these core conditions is the criterion of development and sustainability.</w:t>
            </w:r>
          </w:p>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Context: </w:t>
            </w:r>
            <w:r>
              <w:rPr>
                <w:rFonts w:ascii="Times New Roman" w:hAnsi="Times New Roman" w:cs="Times New Roman"/>
                <w:spacing w:val="-4"/>
                <w:w w:val="98"/>
                <w:sz w:val="21"/>
                <w:szCs w:val="26"/>
              </w:rPr>
              <w:t>The application of digital technology and internet information system to the education sector to improve the quality of teaching, learning, and educational management is taking place strongly. This includes improving teaching methods, improving learning aids, and improving the experience of students, students, and training participants, including teachers and administrators. Digital transformation needs a roadmap, according to which it is necessary to focus on core values, and at the same time learn from experience to make key investments to meet the digital transformation requirements of society in the transition period. fourth industrial network</w:t>
            </w:r>
          </w:p>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Result: </w:t>
            </w:r>
            <w:r>
              <w:rPr>
                <w:rFonts w:ascii="Times New Roman" w:hAnsi="Times New Roman" w:cs="Times New Roman"/>
                <w:spacing w:val="-4"/>
                <w:w w:val="98"/>
                <w:sz w:val="21"/>
                <w:szCs w:val="26"/>
              </w:rPr>
              <w:t>By analyzing published research on digital transformation experiences in high schools and universities. Through statistics, the results show that the core value of digital transformation, the social need for digital transformation in education, digital capacity, digital infrastructure, and digital ecosystem are issues that need attention. improve.</w:t>
            </w: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Discussion: </w:t>
            </w:r>
            <w:r>
              <w:rPr>
                <w:rFonts w:ascii="Times New Roman" w:hAnsi="Times New Roman" w:cs="Times New Roman"/>
                <w:spacing w:val="-4"/>
                <w:w w:val="98"/>
                <w:sz w:val="21"/>
                <w:szCs w:val="26"/>
              </w:rPr>
              <w:t>The author realizes that an important issue in smart school management at Ly Tu Trong College in Ho Chi Minh City is the need to develop a digital ecosystem at the school to be able to assess the school's 8 Student competencies including knowledge, cognitive skills, practical skills, attitudes, motivations, emotions, values, and ethics. At the same time, create conditions for administrators and teachers to promote their digital capabilities according to a unified standard.</w:t>
            </w:r>
          </w:p>
        </w:tc>
      </w:tr>
    </w:tbl>
    <w:p>
      <w:pPr>
        <w:spacing w:before="40" w:after="0" w:line="240" w:lineRule="auto"/>
        <w:jc w:val="center"/>
        <w:rPr>
          <w:rFonts w:ascii="Times New Roman" w:hAnsi="Times New Roman" w:cs="Times New Roman"/>
          <w:i/>
          <w:spacing w:val="-4"/>
          <w:w w:val="98"/>
          <w:sz w:val="21"/>
          <w:szCs w:val="26"/>
        </w:rPr>
      </w:pPr>
    </w:p>
    <w:p>
      <w:pPr>
        <w:spacing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Việc chuyển đổi kỹ thuật số của các quy trình giảng dạy đang phát triển mạnh mẽ trong Giáo dục 4.0 nhằm trang bị cho học sinh các kỹ năng nhận thức, xã hội, giao tiếp, kỹ thuật nhằm đáp ứng nhu cầu của Cách mạng công nghiệp lần thứ tư. Vấn đề xây dựng chiến lượt chuyển đổi số cần được nhìn theo góc nhìn tổng quan để có những bước chuyển đổi phù hợp.</w:t>
      </w:r>
    </w:p>
    <w:p>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Quá trình chuyển đổi là tất yếu theo xu hướng cách mạng công nghiệp 4.0. vấn đề đặt ra là nhân sự phải là những người sử dụng thành thạo hệ thống thông tin quản lý trong đó bao gồm sử dụng thành thạo nhiều loại phần mềm, phần cứng, cả mạng nội bộ và liên mạng, tích hợp công nghệ vào quá trình dạy và học, tham dự các chương trình phát triển chuyên nghiệp để nâng cao trình độ năng lực của toàn thể nhân sự ở một trường học trong việc xử lý thiết bị công nghệ thông tin và truyền thông(CNTT-TT) cũng như trải nghiệm tác động của CNTT-TT đối với công việc của quản lý, giám sát, điều hành, giảng dạy, đánh giá…</w:t>
      </w:r>
    </w:p>
    <w:p>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Thực tế, các trường phải lựa chọn tài nguyên và công cụ để tích hợp các thành phần công nghệ vào quy trình quản lý và giảng dạy. Tuy nhiên thách thức là làm thế nào để đầu tư cho CNTT-TT trong giáo dục để có tác động lớn hơn đến việc học tập của sinh viên và làm thế nào để nó được áp dụng một cách nghiêm túc và đầy đủ. Vì vậy cần thiết phải xem xét khái niệm môi trường học tập chứ không phải trường học hay lớp học, củng cố sự tập trung vào tổ chức học tập trong toàn bộ khái niệm về trường học thông minh, trên cơ sở tổ chức và địa điểm vật lý nơi học tập chính thức xảy ra.</w:t>
      </w:r>
    </w:p>
    <w:p>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Động lực phát triển công nghệ trong giáo dục đòi hỏi mọi người phải đạt được các kỹ năng kỹ thuật số mới và thích nghi với các tình huống mới. Sự thay đổi mô hình trong các tổ chức học tập chắc chắn đòi hỏi sự thay đổi từ vi mô là giáo viên </w:t>
      </w:r>
      <w:r>
        <w:rPr>
          <w:rFonts w:ascii="Times New Roman" w:hAnsi="Times New Roman" w:cs="Times New Roman"/>
          <w:spacing w:val="-4"/>
          <w:w w:val="98"/>
          <w:sz w:val="21"/>
          <w:szCs w:val="26"/>
          <w:highlight w:val="yellow"/>
        </w:rPr>
        <w:t>đế</w:t>
      </w:r>
      <w:r>
        <w:rPr>
          <w:rFonts w:ascii="Times New Roman" w:hAnsi="Times New Roman" w:cs="Times New Roman"/>
          <w:spacing w:val="-4"/>
          <w:w w:val="98"/>
          <w:sz w:val="21"/>
          <w:szCs w:val="26"/>
        </w:rPr>
        <w:t xml:space="preserve"> vĩ mô là hệ thống quản lý giáo dục. Để được coi là trường học thông minh cần cung cấp các giải pháp hiệu quả, môi trường học tập phải cho phép xác định các đặc điểm của người học, cung cấp các tài nguyên và công cụ cần thiết, tự động hóa quy trình học tập và đánh giá kết quả của người học. Học tập kinh nghiệm chuyển đổi số từ các đơn vị đi trước là một lợi thế và vấn đề cơ sở hạ</w:t>
      </w:r>
      <w:r>
        <w:rPr>
          <w:rFonts w:ascii="Times New Roman" w:hAnsi="Times New Roman" w:cs="Times New Roman"/>
          <w:spacing w:val="-4"/>
          <w:w w:val="98"/>
          <w:sz w:val="21"/>
          <w:szCs w:val="26"/>
          <w:highlight w:val="yellow"/>
        </w:rPr>
        <w:t xml:space="preserve"> tần</w:t>
      </w:r>
      <w:r>
        <w:rPr>
          <w:rFonts w:ascii="Times New Roman" w:hAnsi="Times New Roman" w:cs="Times New Roman"/>
          <w:spacing w:val="-4"/>
          <w:w w:val="98"/>
          <w:sz w:val="21"/>
          <w:szCs w:val="26"/>
        </w:rPr>
        <w:t xml:space="preserve"> là trở ngại trong quá trình chuyển đổi số trong trường học để đạt được vị trí trường học thông minh trong cách mạng công nghiệp lần thứ tư. </w:t>
      </w:r>
    </w:p>
    <w:p>
      <w:pPr>
        <w:spacing w:after="0" w:line="240" w:lineRule="auto"/>
        <w:ind w:firstLine="284"/>
        <w:jc w:val="both"/>
        <w:rPr>
          <w:rFonts w:ascii="Times New Roman" w:hAnsi="Times New Roman" w:eastAsia="MS Mincho" w:cs="Times New Roman"/>
          <w:b/>
          <w:spacing w:val="-4"/>
          <w:w w:val="98"/>
          <w:sz w:val="21"/>
          <w:szCs w:val="26"/>
        </w:rPr>
      </w:pPr>
      <w:r>
        <w:rPr>
          <w:rFonts w:ascii="Times New Roman" w:hAnsi="Times New Roman" w:eastAsia="MS Mincho" w:cs="Times New Roman"/>
          <w:b/>
          <w:spacing w:val="-4"/>
          <w:w w:val="98"/>
          <w:sz w:val="21"/>
          <w:szCs w:val="26"/>
        </w:rPr>
        <w:t>2. Kết quả nghiên cứu</w:t>
      </w:r>
    </w:p>
    <w:p>
      <w:pPr>
        <w:spacing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2.1 Các nội dung cốt lõi của cách mạng công nghiệp 4.0 áp dụng trong giáo dục.</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Thuật ngữ "Giáo dục 4.0" đã trở nên phổ biến. Theo đó, sự phát triển của công nghệ đã ảnh hưởng đến ngành giáo dục qua các nội dung cụ thể như phương pháp sư phạm, nguồn thông tin, phương pháp học tập cũng như vai trò của học sinh, sinh viên và nhà giáo dục đã được định nghĩa lại. </w:t>
      </w:r>
    </w:p>
    <w:p>
      <w:pPr>
        <w:spacing w:after="0" w:line="240" w:lineRule="auto"/>
        <w:ind w:firstLine="284"/>
        <w:jc w:val="both"/>
        <w:rPr>
          <w:rFonts w:ascii="Times New Roman" w:hAnsi="Times New Roman" w:cs="Times New Roman"/>
          <w:bCs/>
          <w:spacing w:val="-4"/>
          <w:w w:val="98"/>
          <w:sz w:val="21"/>
          <w:szCs w:val="21"/>
          <w:highlight w:val="green"/>
        </w:rPr>
      </w:pPr>
      <w:r>
        <w:rPr>
          <w:rFonts w:ascii="Times New Roman" w:hAnsi="Times New Roman" w:cs="Times New Roman"/>
          <w:bCs/>
          <w:spacing w:val="-4"/>
          <w:w w:val="98"/>
          <w:sz w:val="21"/>
          <w:szCs w:val="21"/>
          <w:highlight w:val="green"/>
        </w:rPr>
        <w:t xml:space="preserve">Ngày nay, chúng ta thấy rằng các phương pháp dạy học lý thuyết và thực hành cũng như hoạt động giảng dạy theo hướng cá nhân hóa các quy trình đã tạo ra tri thức và chuyển giao thông tin, làm cho quá trình dạy và học hiệu quả hơn, dễ tiếp cận hơn và linh hoạt hơn. </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Trong đó bốn thành phần đề xuất để định hình khái niệm cốt lõi về Giáo dục 4.0</w:t>
      </w:r>
      <w:sdt>
        <w:sdtPr>
          <w:rPr>
            <w:rFonts w:ascii="Times New Roman" w:hAnsi="Times New Roman" w:cs="Times New Roman"/>
            <w:bCs/>
            <w:spacing w:val="-4"/>
            <w:w w:val="98"/>
            <w:sz w:val="21"/>
            <w:szCs w:val="21"/>
          </w:rPr>
          <w:id w:val="-1519303639"/>
        </w:sdtPr>
        <w:sdtEndPr>
          <w:rPr>
            <w:rFonts w:ascii="Times New Roman" w:hAnsi="Times New Roman" w:cs="Times New Roman"/>
            <w:bCs/>
            <w:spacing w:val="-4"/>
            <w:w w:val="98"/>
            <w:sz w:val="21"/>
            <w:szCs w:val="21"/>
          </w:rPr>
        </w:sdtEndPr>
        <w:sdtContent>
          <w:r>
            <w:rPr>
              <w:rFonts w:ascii="Times New Roman" w:hAnsi="Times New Roman" w:cs="Times New Roman"/>
              <w:bCs/>
              <w:spacing w:val="-4"/>
              <w:w w:val="98"/>
              <w:sz w:val="21"/>
              <w:szCs w:val="21"/>
            </w:rPr>
            <w:fldChar w:fldCharType="begin"/>
          </w:r>
          <w:r>
            <w:rPr>
              <w:rFonts w:ascii="Times New Roman" w:hAnsi="Times New Roman" w:cs="Times New Roman"/>
              <w:bCs/>
              <w:spacing w:val="-4"/>
              <w:w w:val="98"/>
              <w:sz w:val="21"/>
              <w:szCs w:val="21"/>
            </w:rPr>
            <w:instrText xml:space="preserve"> CITATION Jon \l 1033 </w:instrText>
          </w:r>
          <w:r>
            <w:rPr>
              <w:rFonts w:ascii="Times New Roman" w:hAnsi="Times New Roman" w:cs="Times New Roman"/>
              <w:bCs/>
              <w:spacing w:val="-4"/>
              <w:w w:val="98"/>
              <w:sz w:val="21"/>
              <w:szCs w:val="21"/>
            </w:rPr>
            <w:fldChar w:fldCharType="separate"/>
          </w:r>
          <w:r>
            <w:rPr>
              <w:rFonts w:ascii="Times New Roman" w:hAnsi="Times New Roman" w:cs="Times New Roman"/>
              <w:bCs/>
              <w:spacing w:val="-4"/>
              <w:w w:val="98"/>
              <w:sz w:val="21"/>
              <w:szCs w:val="21"/>
            </w:rPr>
            <w:t xml:space="preserve"> </w:t>
          </w:r>
          <w:r>
            <w:rPr>
              <w:rFonts w:ascii="Times New Roman" w:hAnsi="Times New Roman" w:cs="Times New Roman"/>
              <w:spacing w:val="-4"/>
              <w:w w:val="98"/>
              <w:sz w:val="21"/>
              <w:szCs w:val="21"/>
            </w:rPr>
            <w:t>(Jonattan Miranda, 2021)</w:t>
          </w:r>
          <w:r>
            <w:rPr>
              <w:rFonts w:ascii="Times New Roman" w:hAnsi="Times New Roman" w:cs="Times New Roman"/>
              <w:bCs/>
              <w:spacing w:val="-4"/>
              <w:w w:val="98"/>
              <w:sz w:val="21"/>
              <w:szCs w:val="21"/>
            </w:rPr>
            <w:fldChar w:fldCharType="end"/>
          </w:r>
        </w:sdtContent>
      </w:sdt>
      <w:r>
        <w:rPr>
          <w:rFonts w:ascii="Times New Roman" w:hAnsi="Times New Roman" w:cs="Times New Roman"/>
          <w:bCs/>
          <w:spacing w:val="-4"/>
          <w:w w:val="98"/>
          <w:sz w:val="21"/>
          <w:szCs w:val="21"/>
        </w:rPr>
        <w:t xml:space="preserve"> là:</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1. Năng lực (đào tạo và phát triển các năng lực mong muốn ở học sinh ngày nay), </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2. Phương pháp học tập (kết hợp các phương pháp học tập mới), </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3. Công nghệ thông tin và truyền thông (ICT - triển khai các công nghệ ICT hiện tại và mới nổi),</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4. Cơ sở hạ tầng (sử dụng cơ sở hạ tầng sáng tạo để cải thiện quy trình dạy-học). </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Các bộ phận cấu thành này có thể tạo thành khung tham chiếu trong quá trình thiết kế các dự án đổi mới giáo dục. Để có thể dẫn đến những đề xuất, giải pháp nhằm phát triển nội dung mới, quy trình sư phạm mới và các dự án mới trong đổi mới giáo dục.</w:t>
      </w:r>
    </w:p>
    <w:p>
      <w:pPr>
        <w:spacing w:before="40" w:after="0" w:line="240" w:lineRule="auto"/>
        <w:jc w:val="center"/>
        <w:rPr>
          <w:rFonts w:ascii="Times New Roman" w:hAnsi="Times New Roman" w:eastAsia="MS Mincho" w:cs="Times New Roman"/>
          <w:b/>
          <w:spacing w:val="-4"/>
          <w:w w:val="98"/>
          <w:sz w:val="21"/>
          <w:szCs w:val="26"/>
        </w:rPr>
      </w:pPr>
      <w:r>
        <w:rPr>
          <w:rFonts w:ascii="Times New Roman" w:hAnsi="Times New Roman" w:cs="Times New Roman"/>
          <w:bCs/>
          <w:spacing w:val="-4"/>
          <w:w w:val="98"/>
          <w:sz w:val="21"/>
          <w:szCs w:val="21"/>
        </w:rPr>
        <w:drawing>
          <wp:inline distT="0" distB="0" distL="0" distR="0">
            <wp:extent cx="4601210" cy="2133600"/>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672627" cy="2166470"/>
                    </a:xfrm>
                    <a:prstGeom prst="rect">
                      <a:avLst/>
                    </a:prstGeom>
                    <a:noFill/>
                    <a:ln>
                      <a:noFill/>
                    </a:ln>
                  </pic:spPr>
                </pic:pic>
              </a:graphicData>
            </a:graphic>
          </wp:inline>
        </w:drawing>
      </w:r>
    </w:p>
    <w:p>
      <w:pPr>
        <w:spacing w:after="0" w:line="240" w:lineRule="auto"/>
        <w:ind w:firstLine="284"/>
        <w:jc w:val="center"/>
        <w:rPr>
          <w:rFonts w:ascii="Times New Roman" w:hAnsi="Times New Roman" w:cs="Times New Roman"/>
          <w:color w:val="333333"/>
          <w:sz w:val="21"/>
          <w:szCs w:val="21"/>
          <w:shd w:val="clear" w:color="auto" w:fill="FFFFFF"/>
        </w:rPr>
      </w:pPr>
      <w:r>
        <w:rPr>
          <w:rFonts w:ascii="Times New Roman" w:hAnsi="Times New Roman" w:cs="Times New Roman"/>
          <w:bCs/>
          <w:i/>
          <w:spacing w:val="-4"/>
          <w:w w:val="98"/>
          <w:sz w:val="21"/>
          <w:szCs w:val="21"/>
        </w:rPr>
        <w:t xml:space="preserve">Hình 1. Các thành phần chủ yếu trong giáo dục 4.0. </w:t>
      </w:r>
      <w:r>
        <w:rPr>
          <w:rFonts w:ascii="Times New Roman" w:hAnsi="Times New Roman" w:cs="Times New Roman"/>
          <w:color w:val="333333"/>
          <w:sz w:val="21"/>
          <w:szCs w:val="21"/>
          <w:shd w:val="clear" w:color="auto" w:fill="FFFFFF"/>
        </w:rPr>
        <w:t>Source:</w:t>
      </w:r>
      <w:sdt>
        <w:sdtPr>
          <w:rPr>
            <w:rFonts w:ascii="Times New Roman" w:hAnsi="Times New Roman" w:cs="Times New Roman"/>
            <w:color w:val="333333"/>
            <w:sz w:val="21"/>
            <w:szCs w:val="21"/>
            <w:shd w:val="clear" w:color="auto" w:fill="FFFFFF"/>
          </w:rPr>
          <w:id w:val="-982615862"/>
        </w:sdtPr>
        <w:sdtEndPr>
          <w:rPr>
            <w:rFonts w:ascii="Times New Roman" w:hAnsi="Times New Roman" w:cs="Times New Roman"/>
            <w:color w:val="333333"/>
            <w:sz w:val="21"/>
            <w:szCs w:val="21"/>
            <w:shd w:val="clear" w:color="auto" w:fill="FFFFFF"/>
          </w:rPr>
        </w:sdtEndPr>
        <w:sdtContent>
          <w:r>
            <w:rPr>
              <w:rFonts w:ascii="Times New Roman" w:hAnsi="Times New Roman" w:cs="Times New Roman"/>
              <w:color w:val="333333"/>
              <w:sz w:val="21"/>
              <w:szCs w:val="21"/>
              <w:shd w:val="clear" w:color="auto" w:fill="FFFFFF"/>
            </w:rPr>
            <w:fldChar w:fldCharType="begin"/>
          </w:r>
          <w:r>
            <w:rPr>
              <w:rFonts w:ascii="Times New Roman" w:hAnsi="Times New Roman" w:cs="Times New Roman"/>
              <w:color w:val="333333"/>
              <w:sz w:val="21"/>
              <w:szCs w:val="21"/>
              <w:shd w:val="clear" w:color="auto" w:fill="FFFFFF"/>
            </w:rPr>
            <w:instrText xml:space="preserve"> CITATION Jon \l 1033 </w:instrText>
          </w:r>
          <w:r>
            <w:rPr>
              <w:rFonts w:ascii="Times New Roman" w:hAnsi="Times New Roman" w:cs="Times New Roman"/>
              <w:color w:val="333333"/>
              <w:sz w:val="21"/>
              <w:szCs w:val="21"/>
              <w:shd w:val="clear" w:color="auto" w:fill="FFFFFF"/>
            </w:rPr>
            <w:fldChar w:fldCharType="separate"/>
          </w:r>
          <w:r>
            <w:rPr>
              <w:rFonts w:ascii="Times New Roman" w:hAnsi="Times New Roman" w:cs="Times New Roman"/>
              <w:color w:val="333333"/>
              <w:sz w:val="21"/>
              <w:szCs w:val="21"/>
              <w:shd w:val="clear" w:color="auto" w:fill="FFFFFF"/>
            </w:rPr>
            <w:t xml:space="preserve"> (Jonattan Miranda, 2021)</w:t>
          </w:r>
          <w:r>
            <w:rPr>
              <w:rFonts w:ascii="Times New Roman" w:hAnsi="Times New Roman" w:cs="Times New Roman"/>
              <w:color w:val="333333"/>
              <w:sz w:val="21"/>
              <w:szCs w:val="21"/>
              <w:shd w:val="clear" w:color="auto" w:fill="FFFFFF"/>
            </w:rPr>
            <w:fldChar w:fldCharType="end"/>
          </w:r>
        </w:sdtContent>
      </w:sdt>
    </w:p>
    <w:p>
      <w:pPr>
        <w:spacing w:after="0" w:line="240" w:lineRule="auto"/>
        <w:ind w:firstLine="284"/>
        <w:jc w:val="center"/>
        <w:rPr>
          <w:rFonts w:ascii="Times New Roman" w:hAnsi="Times New Roman" w:cs="Times New Roman"/>
          <w:bCs/>
          <w:i/>
          <w:spacing w:val="-4"/>
          <w:w w:val="98"/>
          <w:sz w:val="11"/>
          <w:szCs w:val="11"/>
        </w:rPr>
      </w:pP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Giáo dục 4.0 đã cho phép các nhà giáo dục và học sinh, sinh viên tận dụng cơ sở hạ tầng hiện đại và các nền tảng mới để cải thiện quy trình sư phạm. Các phương pháp sư phạm cũng đang theo hướng đổi mới trong quy trình đào tạo để đáp ứng nhu cầu công nghệ thay đổi liên tục.</w:t>
      </w: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Giáo dục 4.0 là áp dụng phương pháp học tập mới, đổi mới phương pháp giảng dạy, quản lý các công cụ và cơ sở hạ tầng thông minh. Quá trình chủ yếu được bổ sung bởi các công nghệ thông tin và truyền thông mới để cải thiện quá trình tạo ra tri thức và chuyển giao thông tin. Việc kết hợp các nguồn lực này trong quá trình dạy-học sẽ hỗ trợ việc đào tạo và phát triển các năng lực quan trọng mong muốn ở học sinh ngày nay.</w:t>
      </w:r>
    </w:p>
    <w:p>
      <w:pPr>
        <w:spacing w:after="0" w:line="240" w:lineRule="auto"/>
        <w:ind w:firstLine="284"/>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2.2 Mô hình giáo dục và học tập trong </w:t>
      </w:r>
      <w:r>
        <w:rPr>
          <w:rFonts w:ascii="Times New Roman" w:hAnsi="Times New Roman" w:cs="Times New Roman"/>
          <w:b/>
          <w:spacing w:val="-4"/>
          <w:w w:val="98"/>
          <w:sz w:val="21"/>
          <w:szCs w:val="26"/>
        </w:rPr>
        <w:t>cách mạng công nghiệp 4.0</w:t>
      </w:r>
    </w:p>
    <w:p>
      <w:pPr>
        <w:spacing w:after="0" w:line="240" w:lineRule="auto"/>
        <w:ind w:firstLine="284"/>
        <w:jc w:val="both"/>
        <w:rPr>
          <w:rFonts w:ascii="Times New Roman" w:hAnsi="Times New Roman" w:cs="Times New Roman"/>
          <w:bCs/>
          <w:spacing w:val="-4"/>
          <w:w w:val="98"/>
          <w:sz w:val="21"/>
          <w:szCs w:val="21"/>
        </w:rPr>
      </w:pPr>
      <w:r>
        <w:rPr>
          <w:rStyle w:val="14"/>
          <w:rFonts w:ascii="Times New Roman" w:hAnsi="Times New Roman" w:cs="Times New Roman"/>
          <w:sz w:val="21"/>
          <w:szCs w:val="21"/>
        </w:rPr>
        <w:t>Jhonattan Miranda và các đồng sự đã tóm tắt các nội dung thay đổi trong giáo dục từ cách mạng công nghiệp lần thứ nhất đến lần thứ tư qua bài báo “</w:t>
      </w:r>
      <w:r>
        <w:rPr>
          <w:rStyle w:val="14"/>
          <w:rFonts w:ascii="Times New Roman" w:hAnsi="Times New Roman" w:cs="Times New Roman"/>
          <w:i/>
          <w:iCs/>
          <w:sz w:val="21"/>
          <w:szCs w:val="21"/>
        </w:rPr>
        <w:t>The core components of education 4.0 in higher education</w:t>
      </w:r>
      <w:r>
        <w:rPr>
          <w:rStyle w:val="14"/>
          <w:rFonts w:ascii="Times New Roman" w:hAnsi="Times New Roman" w:cs="Times New Roman"/>
          <w:sz w:val="21"/>
          <w:szCs w:val="21"/>
        </w:rPr>
        <w:t>”.</w:t>
      </w:r>
      <w:r>
        <w:rPr>
          <w:rFonts w:ascii="Times New Roman" w:hAnsi="Times New Roman" w:cs="Times New Roman"/>
        </w:rPr>
        <w:t xml:space="preserve"> </w:t>
      </w:r>
    </w:p>
    <w:p>
      <w:pPr>
        <w:spacing w:after="0" w:line="240" w:lineRule="auto"/>
        <w:ind w:firstLine="284"/>
        <w:jc w:val="both"/>
        <w:rPr>
          <w:rStyle w:val="14"/>
          <w:rFonts w:ascii="Times New Roman" w:hAnsi="Times New Roman" w:cs="Times New Roman"/>
          <w:bCs/>
          <w:spacing w:val="-4"/>
          <w:w w:val="98"/>
          <w:sz w:val="21"/>
          <w:szCs w:val="21"/>
        </w:rPr>
      </w:pPr>
      <w:r>
        <w:rPr>
          <w:rStyle w:val="14"/>
          <w:rFonts w:ascii="Times New Roman" w:hAnsi="Times New Roman" w:cs="Times New Roman"/>
          <w:sz w:val="21"/>
          <w:szCs w:val="21"/>
        </w:rPr>
        <w:t>Nizwardi Jalinus đã chỉ ra rằng “</w:t>
      </w:r>
      <w:r>
        <w:rPr>
          <w:rStyle w:val="14"/>
          <w:rFonts w:ascii="Times New Roman" w:hAnsi="Times New Roman" w:cs="Times New Roman"/>
          <w:i/>
          <w:iCs/>
          <w:sz w:val="21"/>
          <w:szCs w:val="21"/>
        </w:rPr>
        <w:t>Có một lỗ hổng của nhu cầu về khái niệm mô hình học tập kết hợp khi học trong lớp và ngoài lớp/trực tuyến</w:t>
      </w:r>
      <w:r>
        <w:rPr>
          <w:rStyle w:val="14"/>
          <w:rFonts w:ascii="Times New Roman" w:hAnsi="Times New Roman" w:cs="Times New Roman"/>
          <w:sz w:val="21"/>
          <w:szCs w:val="21"/>
        </w:rPr>
        <w:t>”(2021). Các hình thức thảo luận ở dạng văn bản không phải là một nội dung hấp dẫn nhất là khi các nguồn tài liệu hỗ trợ dưới dạng tài liệu tham khảo không có sẵn để thực hiện các cuộc thảo luận dẫn đến mô hình này không được ưa chuộng bởi các sinh viên.</w:t>
      </w:r>
    </w:p>
    <w:p>
      <w:pPr>
        <w:spacing w:after="0" w:line="240" w:lineRule="auto"/>
        <w:ind w:firstLine="284"/>
        <w:jc w:val="both"/>
        <w:rPr>
          <w:rStyle w:val="14"/>
          <w:rFonts w:ascii="Times New Roman" w:hAnsi="Times New Roman" w:cs="Times New Roman"/>
          <w:sz w:val="21"/>
          <w:szCs w:val="21"/>
        </w:rPr>
      </w:pPr>
      <w:r>
        <w:rPr>
          <w:rStyle w:val="14"/>
          <w:rFonts w:ascii="Times New Roman" w:hAnsi="Times New Roman" w:cs="Times New Roman"/>
          <w:sz w:val="21"/>
          <w:szCs w:val="21"/>
        </w:rPr>
        <w:t xml:space="preserve">Trên cơ sở đó nhu cầu đổi mới các khái niệm học nghề trong thế kỷ 21 là rất cần thiết, cơ sở là làm việc dựa trên tri thức, kỷ nguyên kỹ thuật số, kỷ nguyên công nghệ thông tin và truyền thông (Sudira, 2018). Vì vậy, việc thiết kế lại mô hình giáo dục nghề nghiệp căn bản cần phải được thực hiện. Giáo dục nghề nghiệp đòi hỏi những thay đổi trong cách dạy và học, thay đổi về công nghệ, kỹ năng phù hợp với nhu cầu của ngành, kỹ năng làm việc và kỹ năng học tập suốt đời, giáo viên phải đảm bảo nhu cầu thiết kế, áp dụng và triển khai học tập kết hợp (Machumu et al, 2016).  </w:t>
      </w:r>
    </w:p>
    <w:p>
      <w:pPr>
        <w:spacing w:after="0" w:line="240" w:lineRule="auto"/>
        <w:ind w:firstLine="284"/>
        <w:jc w:val="both"/>
        <w:rPr>
          <w:rFonts w:ascii="Times New Roman" w:hAnsi="Times New Roman" w:cs="Times New Roman"/>
          <w:color w:val="000000"/>
          <w:sz w:val="21"/>
          <w:szCs w:val="21"/>
        </w:rPr>
      </w:pPr>
      <w:r>
        <w:rPr>
          <w:rFonts w:ascii="Times New Roman" w:hAnsi="Times New Roman" w:cs="Times New Roman"/>
        </w:rPr>
        <w:drawing>
          <wp:anchor distT="0" distB="0" distL="114300" distR="114300" simplePos="0" relativeHeight="251660288" behindDoc="0" locked="0" layoutInCell="1" allowOverlap="1">
            <wp:simplePos x="0" y="0"/>
            <wp:positionH relativeFrom="page">
              <wp:posOffset>2276475</wp:posOffset>
            </wp:positionH>
            <wp:positionV relativeFrom="paragraph">
              <wp:posOffset>0</wp:posOffset>
            </wp:positionV>
            <wp:extent cx="2881630" cy="308610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81630" cy="3086100"/>
                    </a:xfrm>
                    <a:prstGeom prst="rect">
                      <a:avLst/>
                    </a:prstGeom>
                  </pic:spPr>
                </pic:pic>
              </a:graphicData>
            </a:graphic>
          </wp:anchor>
        </w:drawing>
      </w:r>
      <w:r>
        <w:rPr>
          <w:rStyle w:val="14"/>
          <w:rFonts w:ascii="Times New Roman" w:hAnsi="Times New Roman" w:cs="Times New Roman"/>
          <w:sz w:val="21"/>
          <w:szCs w:val="21"/>
        </w:rPr>
        <w:t xml:space="preserve">              </w:t>
      </w:r>
    </w:p>
    <w:p>
      <w:pPr>
        <w:spacing w:after="0" w:line="240" w:lineRule="auto"/>
        <w:ind w:firstLine="284"/>
        <w:jc w:val="center"/>
        <w:rPr>
          <w:rFonts w:ascii="Times New Roman" w:hAnsi="Times New Roman" w:cs="Times New Roman"/>
          <w:color w:val="333333"/>
          <w:sz w:val="21"/>
          <w:szCs w:val="21"/>
          <w:shd w:val="clear" w:color="auto" w:fill="FFFFFF"/>
        </w:rPr>
      </w:pPr>
      <w:r>
        <w:rPr>
          <w:rFonts w:ascii="Times New Roman" w:hAnsi="Times New Roman" w:cs="Times New Roman"/>
          <w:bCs/>
          <w:i/>
          <w:spacing w:val="-4"/>
          <w:w w:val="98"/>
          <w:sz w:val="21"/>
          <w:szCs w:val="21"/>
        </w:rPr>
        <w:t>Hình 2. Tóm tắt quá trình chuyển đổi từ Giáo dục 1.0 sang Giáo dục 4.0.</w:t>
      </w:r>
      <w:r>
        <w:rPr>
          <w:rFonts w:ascii="Times New Roman" w:hAnsi="Times New Roman" w:cs="Times New Roman"/>
          <w:color w:val="333333"/>
          <w:sz w:val="21"/>
          <w:szCs w:val="21"/>
          <w:shd w:val="clear" w:color="auto" w:fill="FFFFFF"/>
        </w:rPr>
        <w:t xml:space="preserve"> Source:</w:t>
      </w:r>
      <w:sdt>
        <w:sdtPr>
          <w:rPr>
            <w:rFonts w:ascii="Times New Roman" w:hAnsi="Times New Roman" w:cs="Times New Roman"/>
            <w:color w:val="333333"/>
            <w:sz w:val="21"/>
            <w:szCs w:val="21"/>
            <w:shd w:val="clear" w:color="auto" w:fill="FFFFFF"/>
          </w:rPr>
          <w:id w:val="1051495549"/>
        </w:sdtPr>
        <w:sdtEndPr>
          <w:rPr>
            <w:rFonts w:ascii="Times New Roman" w:hAnsi="Times New Roman" w:cs="Times New Roman"/>
            <w:color w:val="333333"/>
            <w:sz w:val="21"/>
            <w:szCs w:val="21"/>
            <w:shd w:val="clear" w:color="auto" w:fill="FFFFFF"/>
          </w:rPr>
        </w:sdtEndPr>
        <w:sdtContent>
          <w:r>
            <w:rPr>
              <w:rFonts w:ascii="Times New Roman" w:hAnsi="Times New Roman" w:cs="Times New Roman"/>
              <w:color w:val="333333"/>
              <w:sz w:val="21"/>
              <w:szCs w:val="21"/>
              <w:shd w:val="clear" w:color="auto" w:fill="FFFFFF"/>
            </w:rPr>
            <w:fldChar w:fldCharType="begin"/>
          </w:r>
          <w:r>
            <w:rPr>
              <w:rFonts w:ascii="Times New Roman" w:hAnsi="Times New Roman" w:cs="Times New Roman"/>
              <w:color w:val="333333"/>
              <w:sz w:val="21"/>
              <w:szCs w:val="21"/>
              <w:shd w:val="clear" w:color="auto" w:fill="FFFFFF"/>
            </w:rPr>
            <w:instrText xml:space="preserve"> CITATION Jon \l 1033 </w:instrText>
          </w:r>
          <w:r>
            <w:rPr>
              <w:rFonts w:ascii="Times New Roman" w:hAnsi="Times New Roman" w:cs="Times New Roman"/>
              <w:color w:val="333333"/>
              <w:sz w:val="21"/>
              <w:szCs w:val="21"/>
              <w:shd w:val="clear" w:color="auto" w:fill="FFFFFF"/>
            </w:rPr>
            <w:fldChar w:fldCharType="separate"/>
          </w:r>
          <w:r>
            <w:rPr>
              <w:rFonts w:ascii="Times New Roman" w:hAnsi="Times New Roman" w:cs="Times New Roman"/>
              <w:color w:val="333333"/>
              <w:sz w:val="21"/>
              <w:szCs w:val="21"/>
              <w:shd w:val="clear" w:color="auto" w:fill="FFFFFF"/>
            </w:rPr>
            <w:t xml:space="preserve"> (Jonattan Miranda, 2021)</w:t>
          </w:r>
          <w:r>
            <w:rPr>
              <w:rFonts w:ascii="Times New Roman" w:hAnsi="Times New Roman" w:cs="Times New Roman"/>
              <w:color w:val="333333"/>
              <w:sz w:val="21"/>
              <w:szCs w:val="21"/>
              <w:shd w:val="clear" w:color="auto" w:fill="FFFFFF"/>
            </w:rPr>
            <w:fldChar w:fldCharType="end"/>
          </w:r>
        </w:sdtContent>
      </w:sdt>
    </w:p>
    <w:p>
      <w:pPr>
        <w:spacing w:after="0" w:line="240" w:lineRule="auto"/>
        <w:ind w:firstLine="284"/>
        <w:jc w:val="center"/>
        <w:rPr>
          <w:rFonts w:ascii="Times New Roman" w:hAnsi="Times New Roman" w:cs="Times New Roman"/>
          <w:bCs/>
          <w:i/>
          <w:spacing w:val="-4"/>
          <w:w w:val="98"/>
          <w:sz w:val="11"/>
          <w:szCs w:val="11"/>
        </w:rPr>
      </w:pPr>
    </w:p>
    <w:p>
      <w:pPr>
        <w:spacing w:after="0" w:line="240" w:lineRule="auto"/>
        <w:ind w:firstLine="284"/>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drawing>
          <wp:anchor distT="0" distB="0" distL="114300" distR="114300" simplePos="0" relativeHeight="251659264" behindDoc="0" locked="0" layoutInCell="1" allowOverlap="1">
            <wp:simplePos x="0" y="0"/>
            <wp:positionH relativeFrom="margin">
              <wp:posOffset>1309370</wp:posOffset>
            </wp:positionH>
            <wp:positionV relativeFrom="paragraph">
              <wp:posOffset>1294765</wp:posOffset>
            </wp:positionV>
            <wp:extent cx="3232150" cy="2743835"/>
            <wp:effectExtent l="0" t="0" r="635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232150" cy="2743835"/>
                    </a:xfrm>
                    <a:prstGeom prst="rect">
                      <a:avLst/>
                    </a:prstGeom>
                    <a:noFill/>
                    <a:ln>
                      <a:noFill/>
                    </a:ln>
                  </pic:spPr>
                </pic:pic>
              </a:graphicData>
            </a:graphic>
          </wp:anchor>
        </w:drawing>
      </w:r>
      <w:r>
        <w:rPr>
          <w:rFonts w:ascii="Times New Roman" w:hAnsi="Times New Roman" w:cs="Times New Roman"/>
          <w:bCs/>
          <w:spacing w:val="-4"/>
          <w:w w:val="98"/>
          <w:sz w:val="21"/>
          <w:szCs w:val="21"/>
        </w:rPr>
        <w:t xml:space="preserve">Khái niệm về mô hình học tập kết hợp hiện đại, dựa trên cách học của thế kỷ XXI diễn ra trong giáo dục nghề nghiệp chứa đựng nhiều năng lực khác nhau như tư duy phản biện, khả năng giải quyết vấn đề, sáng tạo, đổi mới và những năng lực khác. Ngoài ra, sự </w:t>
      </w:r>
      <w:r>
        <w:rPr>
          <w:rFonts w:ascii="Times New Roman" w:hAnsi="Times New Roman" w:cs="Times New Roman"/>
          <w:bCs/>
          <w:spacing w:val="-4"/>
          <w:w w:val="98"/>
          <w:sz w:val="21"/>
          <w:szCs w:val="21"/>
          <w:highlight w:val="yellow"/>
        </w:rPr>
        <w:t>hổ</w:t>
      </w:r>
      <w:r>
        <w:rPr>
          <w:rFonts w:ascii="Times New Roman" w:hAnsi="Times New Roman" w:cs="Times New Roman"/>
          <w:bCs/>
          <w:spacing w:val="-4"/>
          <w:w w:val="98"/>
          <w:sz w:val="21"/>
          <w:szCs w:val="21"/>
        </w:rPr>
        <w:t xml:space="preserve"> trợ của công nghệ như hiểu biết về dữ liệu, hiểu biết về công nghệ, hiểu biết về con người sẽ thay đổi tư duy dạy và học. Đi từ nhận thức như tư duy bậc thấp (ghi nhớ, hiểu và áp dụng) đến tư duy bậc cao (phân tích, đánh giá và sáng tạo) và có các thiết lập chủ động cho việc học tập đồng bộ và không đồng bộ bao gồm học trên lớp và trực tuyến. Do đó việc học có thể diễn ra linh hoạt ở mọi nơi và mọi lúc được kết nối với nhau dưới dạng kỹ thuật số. Ngoài ra còn có các cuộc thảo luận theo nhóm, dự án, tương tác, đánh giá và các tài nguyên học tập khác nhau có thể kích thích học sinh. </w:t>
      </w:r>
    </w:p>
    <w:p>
      <w:pPr>
        <w:spacing w:after="0" w:line="240" w:lineRule="auto"/>
        <w:ind w:firstLine="284"/>
        <w:jc w:val="center"/>
        <w:rPr>
          <w:rFonts w:ascii="Times New Roman" w:hAnsi="Times New Roman" w:cs="Times New Roman"/>
          <w:bCs/>
          <w:i/>
          <w:spacing w:val="-4"/>
          <w:w w:val="98"/>
          <w:sz w:val="21"/>
          <w:szCs w:val="21"/>
        </w:rPr>
      </w:pPr>
      <w:r>
        <w:rPr>
          <w:rFonts w:ascii="Times New Roman" w:hAnsi="Times New Roman" w:cs="Times New Roman"/>
          <w:bCs/>
          <w:i/>
          <w:spacing w:val="-4"/>
          <w:w w:val="98"/>
          <w:sz w:val="21"/>
          <w:szCs w:val="21"/>
        </w:rPr>
        <w:t xml:space="preserve">Hình 3. Mô hình học tập kết hợp trong giai đoạn hiện đại. </w:t>
      </w:r>
      <w:r>
        <w:rPr>
          <w:rFonts w:ascii="Times New Roman" w:hAnsi="Times New Roman" w:cs="Times New Roman"/>
          <w:color w:val="333333"/>
          <w:sz w:val="21"/>
          <w:szCs w:val="21"/>
          <w:shd w:val="clear" w:color="auto" w:fill="FFFFFF"/>
        </w:rPr>
        <w:t>Source:</w:t>
      </w:r>
      <w:sdt>
        <w:sdtPr>
          <w:rPr>
            <w:rFonts w:ascii="Times New Roman" w:hAnsi="Times New Roman" w:cs="Times New Roman"/>
            <w:color w:val="333333"/>
            <w:sz w:val="21"/>
            <w:szCs w:val="21"/>
            <w:shd w:val="clear" w:color="auto" w:fill="FFFFFF"/>
          </w:rPr>
          <w:id w:val="-741875662"/>
        </w:sdtPr>
        <w:sdtEndPr>
          <w:rPr>
            <w:rFonts w:ascii="Times New Roman" w:hAnsi="Times New Roman" w:cs="Times New Roman"/>
            <w:color w:val="333333"/>
            <w:sz w:val="21"/>
            <w:szCs w:val="21"/>
            <w:shd w:val="clear" w:color="auto" w:fill="FFFFFF"/>
          </w:rPr>
        </w:sdtEndPr>
        <w:sdtContent>
          <w:r>
            <w:rPr>
              <w:rFonts w:ascii="Times New Roman" w:hAnsi="Times New Roman" w:cs="Times New Roman"/>
              <w:color w:val="333333"/>
              <w:sz w:val="21"/>
              <w:szCs w:val="21"/>
              <w:shd w:val="clear" w:color="auto" w:fill="FFFFFF"/>
            </w:rPr>
            <w:fldChar w:fldCharType="begin"/>
          </w:r>
          <w:r>
            <w:rPr>
              <w:rFonts w:ascii="Times New Roman" w:hAnsi="Times New Roman" w:cs="Times New Roman"/>
              <w:color w:val="333333"/>
              <w:sz w:val="21"/>
              <w:szCs w:val="21"/>
              <w:shd w:val="clear" w:color="auto" w:fill="FFFFFF"/>
            </w:rPr>
            <w:instrText xml:space="preserve"> CITATION Niz21 \l 1033 </w:instrText>
          </w:r>
          <w:r>
            <w:rPr>
              <w:rFonts w:ascii="Times New Roman" w:hAnsi="Times New Roman" w:cs="Times New Roman"/>
              <w:color w:val="333333"/>
              <w:sz w:val="21"/>
              <w:szCs w:val="21"/>
              <w:shd w:val="clear" w:color="auto" w:fill="FFFFFF"/>
            </w:rPr>
            <w:fldChar w:fldCharType="separate"/>
          </w:r>
          <w:r>
            <w:rPr>
              <w:rFonts w:ascii="Times New Roman" w:hAnsi="Times New Roman" w:cs="Times New Roman"/>
              <w:color w:val="333333"/>
              <w:sz w:val="21"/>
              <w:szCs w:val="21"/>
              <w:shd w:val="clear" w:color="auto" w:fill="FFFFFF"/>
            </w:rPr>
            <w:t xml:space="preserve"> (Nizwardi Jalinus, 2021)</w:t>
          </w:r>
          <w:r>
            <w:rPr>
              <w:rFonts w:ascii="Times New Roman" w:hAnsi="Times New Roman" w:cs="Times New Roman"/>
              <w:color w:val="333333"/>
              <w:sz w:val="21"/>
              <w:szCs w:val="21"/>
              <w:shd w:val="clear" w:color="auto" w:fill="FFFFFF"/>
            </w:rPr>
            <w:fldChar w:fldCharType="end"/>
          </w:r>
        </w:sdtContent>
      </w:sdt>
    </w:p>
    <w:p>
      <w:pPr>
        <w:spacing w:after="0" w:line="240" w:lineRule="auto"/>
        <w:ind w:firstLine="284"/>
        <w:jc w:val="both"/>
        <w:rPr>
          <w:rFonts w:ascii="Times New Roman" w:hAnsi="Times New Roman" w:cs="Times New Roman"/>
          <w:b/>
          <w:bCs/>
          <w:spacing w:val="-4"/>
          <w:w w:val="98"/>
          <w:sz w:val="21"/>
          <w:szCs w:val="21"/>
        </w:rPr>
      </w:pPr>
    </w:p>
    <w:p>
      <w:pPr>
        <w:spacing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bCs/>
          <w:spacing w:val="-4"/>
          <w:w w:val="98"/>
          <w:sz w:val="21"/>
          <w:szCs w:val="21"/>
        </w:rPr>
        <w:t>2.3 Mô hình quảng trị nhà trường</w:t>
      </w:r>
      <w:r>
        <w:rPr>
          <w:rFonts w:ascii="Times New Roman" w:hAnsi="Times New Roman" w:cs="Times New Roman"/>
          <w:bCs/>
          <w:spacing w:val="-4"/>
          <w:w w:val="98"/>
          <w:sz w:val="21"/>
          <w:szCs w:val="21"/>
        </w:rPr>
        <w:t xml:space="preserve"> </w:t>
      </w:r>
      <w:r>
        <w:rPr>
          <w:rFonts w:ascii="Times New Roman" w:hAnsi="Times New Roman" w:cs="Times New Roman"/>
          <w:b/>
          <w:spacing w:val="-4"/>
          <w:w w:val="98"/>
          <w:sz w:val="21"/>
          <w:szCs w:val="21"/>
        </w:rPr>
        <w:t xml:space="preserve">trong </w:t>
      </w:r>
      <w:r>
        <w:rPr>
          <w:rFonts w:ascii="Times New Roman" w:hAnsi="Times New Roman" w:cs="Times New Roman"/>
          <w:b/>
          <w:spacing w:val="-4"/>
          <w:w w:val="98"/>
          <w:sz w:val="21"/>
          <w:szCs w:val="26"/>
        </w:rPr>
        <w:t>cách mạng công nghiệp 4.0.</w:t>
      </w:r>
    </w:p>
    <w:p>
      <w:pPr>
        <w:spacing w:after="0" w:line="240" w:lineRule="auto"/>
        <w:ind w:firstLine="284"/>
        <w:jc w:val="both"/>
        <w:rPr>
          <w:rStyle w:val="14"/>
          <w:rFonts w:ascii="Times New Roman" w:hAnsi="Times New Roman" w:cs="Times New Roman"/>
          <w:sz w:val="21"/>
          <w:szCs w:val="21"/>
        </w:rPr>
      </w:pPr>
      <w:r>
        <w:rPr>
          <w:rStyle w:val="14"/>
          <w:rFonts w:ascii="Times New Roman" w:hAnsi="Times New Roman" w:cs="Times New Roman"/>
          <w:sz w:val="21"/>
          <w:szCs w:val="21"/>
        </w:rPr>
        <w:t>Đổi mới giáo dục trong cách mạng công nghiệp 4.0 phải được tiến hành đồng bộ, tích cực từ trên xuống dưới, từ trong ra ngoài mới mang lại hiệu quả.</w:t>
      </w:r>
    </w:p>
    <w:p>
      <w:pPr>
        <w:spacing w:after="0" w:line="240" w:lineRule="auto"/>
        <w:ind w:firstLine="284"/>
        <w:jc w:val="both"/>
        <w:rPr>
          <w:rStyle w:val="14"/>
          <w:rFonts w:ascii="Times New Roman" w:hAnsi="Times New Roman" w:cs="Times New Roman"/>
          <w:sz w:val="21"/>
          <w:szCs w:val="21"/>
        </w:rPr>
      </w:pPr>
      <w:r>
        <w:rPr>
          <w:rStyle w:val="14"/>
          <w:rFonts w:ascii="Times New Roman" w:hAnsi="Times New Roman" w:cs="Times New Roman"/>
          <w:sz w:val="21"/>
          <w:szCs w:val="21"/>
        </w:rPr>
        <w:t>Trong “</w:t>
      </w:r>
      <w:r>
        <w:rPr>
          <w:rStyle w:val="14"/>
          <w:rFonts w:ascii="Times New Roman" w:hAnsi="Times New Roman" w:cs="Times New Roman"/>
          <w:i/>
          <w:iCs/>
          <w:sz w:val="21"/>
          <w:szCs w:val="21"/>
        </w:rPr>
        <w:t>cơ chế bao cấp</w:t>
      </w:r>
      <w:r>
        <w:rPr>
          <w:rStyle w:val="14"/>
          <w:rFonts w:ascii="Times New Roman" w:hAnsi="Times New Roman" w:cs="Times New Roman"/>
          <w:sz w:val="21"/>
          <w:szCs w:val="21"/>
        </w:rPr>
        <w:t>” quá coi trọng sự can thiệp của nhà nước vào các hoạt động cụ</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thể của các cơ sở giáo dục vì vai trò, trách nhiệm của nhà nước là bao trùm, nên quản lí ở các cơ</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sở giáo dục cũng nặng “</w:t>
      </w:r>
      <w:r>
        <w:rPr>
          <w:rStyle w:val="14"/>
          <w:rFonts w:ascii="Times New Roman" w:hAnsi="Times New Roman" w:cs="Times New Roman"/>
          <w:i/>
          <w:iCs/>
          <w:sz w:val="21"/>
          <w:szCs w:val="21"/>
        </w:rPr>
        <w:t>tính hành chính</w:t>
      </w:r>
      <w:r>
        <w:rPr>
          <w:rStyle w:val="14"/>
          <w:rFonts w:ascii="Times New Roman" w:hAnsi="Times New Roman" w:cs="Times New Roman"/>
          <w:sz w:val="21"/>
          <w:szCs w:val="21"/>
        </w:rPr>
        <w:t>” và được bao cấp mọi nguồn lực, coi trọng việc tuân thủ</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chỉ đạo từ các cấp quản lí là “</w:t>
      </w:r>
      <w:r>
        <w:rPr>
          <w:rStyle w:val="14"/>
          <w:rFonts w:ascii="Times New Roman" w:hAnsi="Times New Roman" w:cs="Times New Roman"/>
          <w:i/>
          <w:iCs/>
          <w:sz w:val="21"/>
          <w:szCs w:val="21"/>
        </w:rPr>
        <w:t>bùa hộ mệnh</w:t>
      </w:r>
      <w:r>
        <w:rPr>
          <w:rStyle w:val="14"/>
          <w:rFonts w:ascii="Times New Roman" w:hAnsi="Times New Roman" w:cs="Times New Roman"/>
          <w:sz w:val="21"/>
          <w:szCs w:val="21"/>
        </w:rPr>
        <w:t>” cho sự phát triển, đồng thời với sự tự chủ không</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cao là tính chịu trách nhiệm cũng rất thấp. Vì vậy, để thích ứng với yêu cầu đổi mới giáo dục phải chuyển sang</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mô hình “</w:t>
      </w:r>
      <w:r>
        <w:rPr>
          <w:rStyle w:val="14"/>
          <w:rFonts w:ascii="Times New Roman" w:hAnsi="Times New Roman" w:cs="Times New Roman"/>
          <w:i/>
          <w:iCs/>
          <w:sz w:val="21"/>
          <w:szCs w:val="21"/>
        </w:rPr>
        <w:t>quản trị nhà trường</w:t>
      </w:r>
      <w:r>
        <w:rPr>
          <w:rStyle w:val="14"/>
          <w:rFonts w:ascii="Times New Roman" w:hAnsi="Times New Roman" w:cs="Times New Roman"/>
          <w:sz w:val="21"/>
          <w:szCs w:val="21"/>
        </w:rPr>
        <w:t>” một cách hiệu quả, phù hợp với “</w:t>
      </w:r>
      <w:r>
        <w:rPr>
          <w:rStyle w:val="14"/>
          <w:rFonts w:ascii="Times New Roman" w:hAnsi="Times New Roman" w:cs="Times New Roman"/>
          <w:i/>
          <w:iCs/>
          <w:sz w:val="21"/>
          <w:szCs w:val="21"/>
        </w:rPr>
        <w:t>cơ chế thị trường định</w:t>
      </w:r>
      <w:r>
        <w:rPr>
          <w:rFonts w:ascii="Times New Roman" w:hAnsi="Times New Roman" w:cs="Times New Roman"/>
          <w:i/>
          <w:iCs/>
          <w:color w:val="242021"/>
          <w:sz w:val="21"/>
          <w:szCs w:val="21"/>
        </w:rPr>
        <w:t xml:space="preserve"> </w:t>
      </w:r>
      <w:r>
        <w:rPr>
          <w:rStyle w:val="14"/>
          <w:rFonts w:ascii="Times New Roman" w:hAnsi="Times New Roman" w:cs="Times New Roman"/>
          <w:i/>
          <w:iCs/>
          <w:sz w:val="21"/>
          <w:szCs w:val="21"/>
        </w:rPr>
        <w:t>hướng xã hội chủ nghĩa</w:t>
      </w:r>
      <w:r>
        <w:rPr>
          <w:rStyle w:val="14"/>
          <w:rFonts w:ascii="Times New Roman" w:hAnsi="Times New Roman" w:cs="Times New Roman"/>
          <w:sz w:val="21"/>
          <w:szCs w:val="21"/>
        </w:rPr>
        <w:t>” (Đặng Xuân Hải, 2020)</w:t>
      </w:r>
    </w:p>
    <w:p>
      <w:pPr>
        <w:spacing w:after="0" w:line="240" w:lineRule="auto"/>
        <w:ind w:firstLine="284"/>
        <w:jc w:val="both"/>
        <w:rPr>
          <w:rStyle w:val="14"/>
          <w:rFonts w:ascii="Times New Roman" w:hAnsi="Times New Roman" w:cs="Times New Roman"/>
          <w:sz w:val="21"/>
          <w:szCs w:val="21"/>
        </w:rPr>
      </w:pPr>
      <w:r>
        <w:rPr>
          <w:rStyle w:val="14"/>
          <w:rFonts w:ascii="Times New Roman" w:hAnsi="Times New Roman" w:cs="Times New Roman"/>
          <w:sz w:val="21"/>
          <w:szCs w:val="21"/>
        </w:rPr>
        <w:t>Như vậy khi chuyển sang mô hình quản trị thích ứng với cơ chế thị</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trường định hướng xã hội chủ nghĩa cần nhận thức rõ hơn nội hàm của từ quản trị khi sử</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dụng cho mô hình quản trị một cơ sở giáo dục. Về bản chất quản trị chỉ tập trung vào kết quả và thành tích hoạt động của tập thể, tổ chức. Như vậy mô hình quản trị một cơ sở giáo dục cần gắn với 3 vấn đề,</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đó là sự phân bổ quyền lực (trong tổ chức và trong nội bộ tổ chức), cách thức đo lường</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đánh giá (hiệu quả công việc) và tính tự chủ (tự chịu trách nhiệm của</w:t>
      </w:r>
      <w:r>
        <w:rPr>
          <w:rFonts w:ascii="Times New Roman" w:hAnsi="Times New Roman" w:cs="Times New Roman"/>
          <w:color w:val="242021"/>
          <w:sz w:val="21"/>
          <w:szCs w:val="21"/>
        </w:rPr>
        <w:t xml:space="preserve"> </w:t>
      </w:r>
      <w:r>
        <w:rPr>
          <w:rStyle w:val="14"/>
          <w:rFonts w:ascii="Times New Roman" w:hAnsi="Times New Roman" w:cs="Times New Roman"/>
          <w:sz w:val="21"/>
          <w:szCs w:val="21"/>
        </w:rPr>
        <w:t>tổ chức đó cũng như các thành viên tham gia). Mô hình được mô tả như hình 4</w:t>
      </w:r>
    </w:p>
    <w:p>
      <w:pPr>
        <w:spacing w:after="0" w:line="240" w:lineRule="auto"/>
        <w:jc w:val="center"/>
        <w:rPr>
          <w:rFonts w:ascii="Times New Roman" w:hAnsi="Times New Roman" w:cs="Times New Roman"/>
          <w:bCs/>
          <w:i/>
          <w:spacing w:val="-4"/>
          <w:w w:val="98"/>
          <w:sz w:val="21"/>
          <w:szCs w:val="21"/>
        </w:rPr>
      </w:pPr>
      <w:r>
        <w:drawing>
          <wp:inline distT="0" distB="0" distL="0" distR="0">
            <wp:extent cx="3113405" cy="1685925"/>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2"/>
                    <a:stretch>
                      <a:fillRect/>
                    </a:stretch>
                  </pic:blipFill>
                  <pic:spPr>
                    <a:xfrm>
                      <a:off x="0" y="0"/>
                      <a:ext cx="3114034" cy="1685925"/>
                    </a:xfrm>
                    <a:prstGeom prst="rect">
                      <a:avLst/>
                    </a:prstGeom>
                  </pic:spPr>
                </pic:pic>
              </a:graphicData>
            </a:graphic>
          </wp:inline>
        </w:drawing>
      </w:r>
    </w:p>
    <w:p>
      <w:pPr>
        <w:spacing w:after="0" w:line="240" w:lineRule="auto"/>
        <w:ind w:firstLine="284"/>
        <w:jc w:val="center"/>
        <w:rPr>
          <w:rFonts w:ascii="Times New Roman" w:hAnsi="Times New Roman" w:cs="Times New Roman"/>
          <w:color w:val="333333"/>
          <w:sz w:val="21"/>
          <w:szCs w:val="21"/>
          <w:shd w:val="clear" w:color="auto" w:fill="FFFFFF"/>
        </w:rPr>
      </w:pPr>
      <w:r>
        <w:rPr>
          <w:rFonts w:ascii="Times New Roman" w:hAnsi="Times New Roman" w:cs="Times New Roman"/>
          <w:bCs/>
          <w:i/>
          <w:spacing w:val="-4"/>
          <w:w w:val="98"/>
          <w:sz w:val="21"/>
          <w:szCs w:val="21"/>
        </w:rPr>
        <w:t xml:space="preserve">Hình 4. Mô hình quản trị cơ sở. </w:t>
      </w:r>
      <w:r>
        <w:rPr>
          <w:rFonts w:ascii="Times New Roman" w:hAnsi="Times New Roman" w:cs="Times New Roman"/>
          <w:color w:val="333333"/>
          <w:sz w:val="21"/>
          <w:szCs w:val="21"/>
          <w:shd w:val="clear" w:color="auto" w:fill="FFFFFF"/>
        </w:rPr>
        <w:t>Source:</w:t>
      </w:r>
      <w:sdt>
        <w:sdtPr>
          <w:rPr>
            <w:rFonts w:ascii="Times New Roman" w:hAnsi="Times New Roman" w:cs="Times New Roman"/>
            <w:color w:val="333333"/>
            <w:sz w:val="21"/>
            <w:szCs w:val="21"/>
            <w:shd w:val="clear" w:color="auto" w:fill="FFFFFF"/>
          </w:rPr>
          <w:id w:val="-1684044076"/>
        </w:sdtPr>
        <w:sdtEndPr>
          <w:rPr>
            <w:rFonts w:ascii="Times New Roman" w:hAnsi="Times New Roman" w:cs="Times New Roman"/>
            <w:color w:val="333333"/>
            <w:sz w:val="21"/>
            <w:szCs w:val="21"/>
            <w:shd w:val="clear" w:color="auto" w:fill="FFFFFF"/>
          </w:rPr>
        </w:sdtEndPr>
        <w:sdtContent>
          <w:r>
            <w:rPr>
              <w:rFonts w:ascii="Times New Roman" w:hAnsi="Times New Roman" w:cs="Times New Roman"/>
              <w:color w:val="333333"/>
              <w:sz w:val="21"/>
              <w:szCs w:val="21"/>
              <w:shd w:val="clear" w:color="auto" w:fill="FFFFFF"/>
            </w:rPr>
            <w:fldChar w:fldCharType="begin"/>
          </w:r>
          <w:r>
            <w:rPr>
              <w:rFonts w:ascii="Times New Roman" w:hAnsi="Times New Roman" w:cs="Times New Roman"/>
              <w:color w:val="333333"/>
              <w:sz w:val="21"/>
              <w:szCs w:val="21"/>
              <w:shd w:val="clear" w:color="auto" w:fill="FFFFFF"/>
            </w:rPr>
            <w:instrText xml:space="preserve"> CITATION Đặn20 \l 1033 </w:instrText>
          </w:r>
          <w:r>
            <w:rPr>
              <w:rFonts w:ascii="Times New Roman" w:hAnsi="Times New Roman" w:cs="Times New Roman"/>
              <w:color w:val="333333"/>
              <w:sz w:val="21"/>
              <w:szCs w:val="21"/>
              <w:shd w:val="clear" w:color="auto" w:fill="FFFFFF"/>
            </w:rPr>
            <w:fldChar w:fldCharType="separate"/>
          </w:r>
          <w:r>
            <w:rPr>
              <w:rFonts w:ascii="Times New Roman" w:hAnsi="Times New Roman" w:cs="Times New Roman"/>
              <w:color w:val="333333"/>
              <w:sz w:val="21"/>
              <w:szCs w:val="21"/>
              <w:shd w:val="clear" w:color="auto" w:fill="FFFFFF"/>
            </w:rPr>
            <w:t xml:space="preserve"> (Hải, 2020)</w:t>
          </w:r>
          <w:r>
            <w:rPr>
              <w:rFonts w:ascii="Times New Roman" w:hAnsi="Times New Roman" w:cs="Times New Roman"/>
              <w:color w:val="333333"/>
              <w:sz w:val="21"/>
              <w:szCs w:val="21"/>
              <w:shd w:val="clear" w:color="auto" w:fill="FFFFFF"/>
            </w:rPr>
            <w:fldChar w:fldCharType="end"/>
          </w:r>
        </w:sdtContent>
      </w:sdt>
    </w:p>
    <w:p>
      <w:pPr>
        <w:spacing w:after="0" w:line="240" w:lineRule="auto"/>
        <w:ind w:firstLine="284"/>
        <w:jc w:val="center"/>
        <w:rPr>
          <w:rFonts w:ascii="Times New Roman" w:hAnsi="Times New Roman" w:cs="Times New Roman"/>
          <w:bCs/>
          <w:i/>
          <w:spacing w:val="-4"/>
          <w:w w:val="98"/>
          <w:sz w:val="21"/>
          <w:szCs w:val="21"/>
        </w:rPr>
      </w:pPr>
    </w:p>
    <w:p>
      <w:pPr>
        <w:spacing w:after="0" w:line="240" w:lineRule="auto"/>
        <w:ind w:firstLine="284"/>
        <w:jc w:val="both"/>
        <w:rPr>
          <w:rFonts w:ascii="Times New Roman" w:hAnsi="Times New Roman" w:eastAsia="MS Mincho" w:cs="Times New Roman"/>
          <w:b/>
          <w:spacing w:val="-4"/>
          <w:w w:val="98"/>
          <w:sz w:val="21"/>
          <w:szCs w:val="21"/>
        </w:rPr>
      </w:pPr>
      <w:r>
        <w:rPr>
          <w:rFonts w:ascii="Times New Roman" w:hAnsi="Times New Roman" w:eastAsia="MS Mincho" w:cs="Times New Roman"/>
          <w:b/>
          <w:spacing w:val="-4"/>
          <w:w w:val="98"/>
          <w:sz w:val="21"/>
          <w:szCs w:val="21"/>
        </w:rPr>
        <w:t>2.4 Kinh nghiệm chuyển đổi kỹ thuật số.</w:t>
      </w:r>
    </w:p>
    <w:p>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Sự chuyển đổi kỹ thuật số của xã hội không phải là một chủ đề gần đây. Công nghệ ở khắp mọi nơi, thông qua điện thoại thông minh cũng như nhà thông minh với các đồ vật được kết nối qua internet. Sự xuất hiện của các công cụ mới dựa trên Trí tuệ nhân tạo(Artificial Intelligence - AI) và một số chuyển đổi công nghệ dựa trên Dữ liệu lớn(Big Data), cũng như sự phát triển của việc sử dụng </w:t>
      </w:r>
      <w:r>
        <w:rPr>
          <w:rFonts w:ascii="Times New Roman" w:hAnsi="Times New Roman" w:cs="Times New Roman"/>
          <w:spacing w:val="-4"/>
          <w:w w:val="98"/>
          <w:sz w:val="21"/>
          <w:szCs w:val="21"/>
          <w:highlight w:val="yellow"/>
        </w:rPr>
        <w:t xml:space="preserve">Kết nối vạn vật </w:t>
      </w:r>
      <w:r>
        <w:rPr>
          <w:rFonts w:ascii="Times New Roman" w:hAnsi="Times New Roman" w:cs="Times New Roman"/>
          <w:spacing w:val="-4"/>
          <w:w w:val="98"/>
          <w:sz w:val="21"/>
          <w:szCs w:val="21"/>
          <w:highlight w:val="yellow"/>
        </w:rPr>
        <w:t>(Internet of Object – IoT)</w:t>
      </w:r>
      <w:r>
        <w:rPr>
          <w:rFonts w:ascii="Times New Roman" w:hAnsi="Times New Roman" w:cs="Times New Roman"/>
          <w:spacing w:val="-4"/>
          <w:w w:val="98"/>
          <w:sz w:val="21"/>
          <w:szCs w:val="21"/>
        </w:rPr>
        <w:t xml:space="preserve"> thúc đẩy một sự thay đổi sâu sắc tác động đến tất cả các lĩnh vực.</w:t>
      </w:r>
    </w:p>
    <w:p>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Sự thay đổi trải nghiệm của người tiêu dùng trong việc sử dụng các sản phẩm và dịch vụ được nghiên cứu sâu về  hành vi. Kết quả cho thấy “</w:t>
      </w:r>
      <w:r>
        <w:rPr>
          <w:rFonts w:ascii="Times New Roman" w:hAnsi="Times New Roman" w:cs="Times New Roman"/>
          <w:i/>
          <w:iCs/>
          <w:spacing w:val="-4"/>
          <w:w w:val="98"/>
          <w:sz w:val="21"/>
          <w:szCs w:val="21"/>
        </w:rPr>
        <w:t>khách hàng</w:t>
      </w:r>
      <w:r>
        <w:rPr>
          <w:rFonts w:ascii="Times New Roman" w:hAnsi="Times New Roman" w:cs="Times New Roman"/>
          <w:spacing w:val="-4"/>
          <w:w w:val="98"/>
          <w:sz w:val="21"/>
          <w:szCs w:val="21"/>
        </w:rPr>
        <w:t>” đòi hỏi khắt khe hơn và mong muốn được lắng nghe, thấu hiểu và đáp ứng nhu cầu của họ. Trong các môi trường, người dùng mong muốn được sử dụng các công nghệ mới cũng như mong muốn sử dụng các kỹ thuật mới trong môi trường của mình. Đặc biệt là đối với các thế hệ trẻ, còn được gọi là "</w:t>
      </w:r>
      <w:r>
        <w:rPr>
          <w:rFonts w:ascii="Times New Roman" w:hAnsi="Times New Roman" w:cs="Times New Roman"/>
          <w:i/>
          <w:iCs/>
          <w:spacing w:val="-4"/>
          <w:w w:val="98"/>
          <w:sz w:val="21"/>
          <w:szCs w:val="21"/>
        </w:rPr>
        <w:t>digital natives</w:t>
      </w:r>
      <w:r>
        <w:rPr>
          <w:rFonts w:ascii="Times New Roman" w:hAnsi="Times New Roman" w:cs="Times New Roman"/>
          <w:spacing w:val="-4"/>
          <w:w w:val="98"/>
          <w:sz w:val="21"/>
          <w:szCs w:val="21"/>
        </w:rPr>
        <w:t>" (Pardo et al., 2014).</w:t>
      </w:r>
    </w:p>
    <w:p>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Xu hướng công nghệ trong chuyển đổi kỹ thuật số gồm có Big data, Cloud computing(CC), Internet of things và Blockchain là những xu hướng hình thành cơ sở công nghệ của chuyển đổi kỹ thuật số. Các ứng dụng được trải rộng trên các môi trường và bộ phận khác nhau. Mặc dù là lợi ích của công nghệ kỹ thuật số nhưng chúng cũng là một thách thức lớn đối với tổ chức. Đặc biệt, việc sử dụng các công nghệ mới đòi hỏi phải có mạng lưới các bộ phận chuyên môn khác nhau và phát triển các kỹ năng mới giữa các nhà quản lý và thành viên.</w:t>
      </w:r>
    </w:p>
    <w:p>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Dữ liệu lớn đề cập đến một lượng lớn hoặc phức tạp dữ liệu thay đổi liên tục. Dữ liệu lớn bao gồm tất cả dữ liệu từ mạng xã hội, trung tâm cuộc gọi, dữ liệu video, tài liệu, sách tham khảo...</w:t>
      </w:r>
      <w:r>
        <w:rPr>
          <w:rFonts w:ascii="Times New Roman" w:hAnsi="Times New Roman" w:cs="Times New Roman"/>
        </w:rPr>
        <w:t xml:space="preserve"> </w:t>
      </w:r>
      <w:r>
        <w:rPr>
          <w:rFonts w:ascii="Times New Roman" w:hAnsi="Times New Roman" w:cs="Times New Roman"/>
          <w:spacing w:val="-4"/>
          <w:w w:val="98"/>
          <w:sz w:val="21"/>
          <w:szCs w:val="21"/>
        </w:rPr>
        <w:t>tất cả được thu thập và áp dụng công nghệ xử lý dữ liệu, phương pháp phân tích.</w:t>
      </w:r>
    </w:p>
    <w:p>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Thuật ngữ Internet of Things (IoT) đề cập đến việc kết nối các đối tượng vật lý cho phép các đối tượng giao tiếp với nhau một cách độc lập. Ngoài ra, người dùng có thể theo dõi và giám sát trạng thái của các đối tượng. Những thuật ngữ này được hiểu là kết nối mạng các tài nguyên của một tổ chức như là một tài nguyên điều hành chung hoặc hệ thống lưu trữ để kiểm soát độc lập và trao đổi thông tin độc lập.</w:t>
      </w:r>
    </w:p>
    <w:p>
      <w:pPr>
        <w:spacing w:after="0" w:line="240" w:lineRule="auto"/>
        <w:ind w:firstLine="284"/>
        <w:jc w:val="both"/>
        <w:rPr>
          <w:rFonts w:ascii="Times New Roman" w:hAnsi="Times New Roman" w:cs="Times New Roman"/>
          <w:spacing w:val="-4"/>
          <w:w w:val="98"/>
          <w:sz w:val="21"/>
          <w:szCs w:val="21"/>
          <w:highlight w:val="green"/>
        </w:rPr>
      </w:pPr>
      <w:r>
        <w:rPr>
          <w:rFonts w:ascii="Times New Roman" w:hAnsi="Times New Roman" w:cs="Times New Roman"/>
          <w:sz w:val="21"/>
          <w:szCs w:val="21"/>
          <w:highlight w:val="green"/>
        </w:rPr>
        <w:t>Công nghệ Blockchain là một cơ chế cơ sở dữ liệu tiên tiến cho phép chia sẻ thông tin minh bạch trong một mạng lưới. Cơ sở dữ liệu chuỗi khối lưu trữ dữ liệu trong các khối được liên kết với nhau trong một chuỗi. Dữ liệu có sự nhất quán theo trình tự thời gian vì bạn không thể xóa hoặc sửa đổi chuỗi mà không có sự đồng thuận từ mạng lưới. Do đó, có thể sử dụng công nghệ chuỗi khối để tạo một sổ cái không thể chỉnh sửa hay biến đổi để theo dõi các thông tin cá nhân, khoản thanh toán, tài khoản và những giao dịch khác. Hệ thống có những cơ chế tích hợp để ngăn chặn các mục nhập dữ liệu trái phép và tạo ra sự nhất quán trong chế độ xem chung của các dữ liệu này.</w:t>
      </w:r>
    </w:p>
    <w:p>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Có thể thấy các quá trình chuyển đổi số không thể tránh khỏi và tiến triển cực kỳ nhanh. Khả năng phát triển hoặc áp dụng các công nghệ kỹ thuật số mới đang thúc đẩy các tổ chức liên tục thay đổi nhằm phát triển các mô hình hiện đại theo xu thế chung dựa trên các cơ sở hiện có.</w:t>
      </w:r>
    </w:p>
    <w:p>
      <w:pPr>
        <w:spacing w:after="0" w:line="240" w:lineRule="auto"/>
        <w:ind w:firstLine="284"/>
        <w:jc w:val="both"/>
        <w:rPr>
          <w:rFonts w:ascii="Times New Roman" w:hAnsi="Times New Roman" w:cs="Times New Roman"/>
          <w:b/>
          <w:spacing w:val="-4"/>
          <w:w w:val="98"/>
          <w:sz w:val="21"/>
          <w:szCs w:val="26"/>
        </w:rPr>
      </w:pPr>
      <w:r>
        <w:rPr>
          <w:rFonts w:ascii="Times New Roman" w:hAnsi="Times New Roman" w:eastAsia="MS Mincho" w:cs="Times New Roman"/>
          <w:b/>
          <w:spacing w:val="-4"/>
          <w:w w:val="98"/>
          <w:sz w:val="21"/>
          <w:szCs w:val="21"/>
        </w:rPr>
        <w:t xml:space="preserve">2.5 </w:t>
      </w:r>
      <w:r>
        <w:rPr>
          <w:rFonts w:ascii="Times New Roman" w:hAnsi="Times New Roman" w:cs="Times New Roman"/>
          <w:b/>
          <w:spacing w:val="-4"/>
          <w:w w:val="98"/>
          <w:sz w:val="21"/>
          <w:szCs w:val="26"/>
        </w:rPr>
        <w:t>Hệ sinh thái công nghệ thông tin trong giáo dục.</w:t>
      </w:r>
    </w:p>
    <w:p>
      <w:pPr>
        <w:spacing w:after="0" w:line="240" w:lineRule="auto"/>
        <w:ind w:firstLine="284"/>
        <w:jc w:val="both"/>
        <w:rPr>
          <w:rFonts w:ascii="Times New Roman" w:hAnsi="Times New Roman" w:eastAsia="MS Mincho" w:cs="Times New Roman"/>
          <w:spacing w:val="-4"/>
          <w:w w:val="98"/>
          <w:sz w:val="21"/>
          <w:szCs w:val="21"/>
        </w:rPr>
      </w:pPr>
      <w:r>
        <w:rPr>
          <w:rFonts w:ascii="Times New Roman" w:hAnsi="Times New Roman" w:eastAsia="MS Mincho" w:cs="Times New Roman"/>
          <w:spacing w:val="-4"/>
          <w:w w:val="98"/>
          <w:sz w:val="21"/>
          <w:szCs w:val="21"/>
        </w:rPr>
        <w:t>Những đổi mới trong công nghệ thông tin và truyền thông đưa ra các khái niệm mới như điện toán đám mây(</w:t>
      </w:r>
      <w:r>
        <w:rPr>
          <w:rFonts w:ascii="Times New Roman" w:hAnsi="Times New Roman" w:cs="Times New Roman"/>
          <w:sz w:val="21"/>
          <w:szCs w:val="21"/>
        </w:rPr>
        <w:t>Cloud Computing</w:t>
      </w:r>
      <w:r>
        <w:rPr>
          <w:rFonts w:ascii="Times New Roman" w:hAnsi="Times New Roman" w:eastAsia="MS Mincho" w:cs="Times New Roman"/>
          <w:spacing w:val="-4"/>
          <w:w w:val="98"/>
          <w:sz w:val="21"/>
          <w:szCs w:val="21"/>
        </w:rPr>
        <w:t>), Internet vạn vật, dữ liệu lớn, chuỗi khối, trí tuệ nhân tạo và machine learning-ML, tạo thành mô hình Hệ sinh thái CNTT-TT có thể áp dụng cho giáo dục</w:t>
      </w:r>
      <w:sdt>
        <w:sdtPr>
          <w:rPr>
            <w:rFonts w:ascii="Times New Roman" w:hAnsi="Times New Roman" w:eastAsia="MS Mincho" w:cs="Times New Roman"/>
            <w:spacing w:val="-4"/>
            <w:w w:val="98"/>
            <w:sz w:val="21"/>
            <w:szCs w:val="21"/>
          </w:rPr>
          <w:id w:val="-1235165632"/>
        </w:sdtPr>
        <w:sdtEndPr>
          <w:rPr>
            <w:rFonts w:ascii="Times New Roman" w:hAnsi="Times New Roman" w:eastAsia="MS Mincho" w:cs="Times New Roman"/>
            <w:spacing w:val="-4"/>
            <w:w w:val="98"/>
            <w:sz w:val="21"/>
            <w:szCs w:val="21"/>
          </w:rPr>
        </w:sdtEndPr>
        <w:sdtContent>
          <w:r>
            <w:rPr>
              <w:rFonts w:ascii="Times New Roman" w:hAnsi="Times New Roman" w:eastAsia="MS Mincho" w:cs="Times New Roman"/>
              <w:spacing w:val="-4"/>
              <w:w w:val="98"/>
              <w:sz w:val="21"/>
              <w:szCs w:val="21"/>
            </w:rPr>
            <w:fldChar w:fldCharType="begin"/>
          </w:r>
          <w:r>
            <w:rPr>
              <w:rFonts w:ascii="Times New Roman" w:hAnsi="Times New Roman" w:eastAsia="MS Mincho" w:cs="Times New Roman"/>
              <w:spacing w:val="-4"/>
              <w:w w:val="98"/>
              <w:sz w:val="21"/>
              <w:szCs w:val="21"/>
            </w:rPr>
            <w:instrText xml:space="preserve">CITATION Imr19 \l 1033 </w:instrText>
          </w:r>
          <w:r>
            <w:rPr>
              <w:rFonts w:ascii="Times New Roman" w:hAnsi="Times New Roman" w:eastAsia="MS Mincho" w:cs="Times New Roman"/>
              <w:spacing w:val="-4"/>
              <w:w w:val="98"/>
              <w:sz w:val="21"/>
              <w:szCs w:val="21"/>
            </w:rPr>
            <w:fldChar w:fldCharType="separate"/>
          </w:r>
          <w:r>
            <w:rPr>
              <w:rFonts w:ascii="Times New Roman" w:hAnsi="Times New Roman" w:eastAsia="MS Mincho" w:cs="Times New Roman"/>
              <w:spacing w:val="-4"/>
              <w:w w:val="98"/>
              <w:sz w:val="21"/>
              <w:szCs w:val="21"/>
            </w:rPr>
            <w:t xml:space="preserve"> (Imre Petkovics, 2019)</w:t>
          </w:r>
          <w:r>
            <w:rPr>
              <w:rFonts w:ascii="Times New Roman" w:hAnsi="Times New Roman" w:eastAsia="MS Mincho" w:cs="Times New Roman"/>
              <w:spacing w:val="-4"/>
              <w:w w:val="98"/>
              <w:sz w:val="21"/>
              <w:szCs w:val="21"/>
            </w:rPr>
            <w:fldChar w:fldCharType="end"/>
          </w:r>
        </w:sdtContent>
      </w:sdt>
      <w:r>
        <w:rPr>
          <w:rFonts w:ascii="Times New Roman" w:hAnsi="Times New Roman" w:eastAsia="MS Mincho" w:cs="Times New Roman"/>
          <w:spacing w:val="-4"/>
          <w:w w:val="98"/>
          <w:sz w:val="21"/>
          <w:szCs w:val="21"/>
        </w:rPr>
        <w:t>.</w:t>
      </w:r>
    </w:p>
    <w:p>
      <w:pPr>
        <w:spacing w:after="0" w:line="240" w:lineRule="auto"/>
        <w:ind w:firstLine="284"/>
        <w:jc w:val="both"/>
        <w:rPr>
          <w:rFonts w:ascii="Times New Roman" w:hAnsi="Times New Roman" w:eastAsia="MS Mincho" w:cs="Times New Roman"/>
          <w:spacing w:val="-4"/>
          <w:w w:val="98"/>
          <w:sz w:val="21"/>
          <w:szCs w:val="21"/>
        </w:rPr>
      </w:pPr>
      <w:r>
        <w:rPr>
          <w:rFonts w:ascii="Times New Roman" w:hAnsi="Times New Roman" w:cs="Times New Roman"/>
          <w:spacing w:val="-4"/>
          <w:w w:val="98"/>
          <w:sz w:val="21"/>
          <w:szCs w:val="21"/>
        </w:rPr>
        <w:t>Cloud computing</w:t>
      </w:r>
      <w:r>
        <w:rPr>
          <w:rFonts w:ascii="Times New Roman" w:hAnsi="Times New Roman" w:eastAsia="MS Mincho" w:cs="Times New Roman"/>
          <w:spacing w:val="-4"/>
          <w:w w:val="98"/>
          <w:sz w:val="21"/>
          <w:szCs w:val="21"/>
        </w:rPr>
        <w:t xml:space="preserve"> không đòi hỏi cơ sở hạ tầng CNTT-TT quá cao nhưng vẫn đảm bảo chất lượng và năng lực phù hợp. Trên thực tế, các tổ chức giáo dục thường chọn đám mây riêng vì nó hoạt động an toàn và đáng tin cậy, với điều kiện có một nhà cung cấp đám mây đáng tin cậy. Các mạng xã hội, dữ liệu lớn, phân tích trực tuyến, hệ thống cơ sở dữ liệu… hòa trộn hoàn toàn vào hệ sinh thái </w:t>
      </w:r>
      <w:r>
        <w:rPr>
          <w:rFonts w:ascii="Times New Roman" w:hAnsi="Times New Roman" w:cs="Times New Roman"/>
          <w:spacing w:val="-4"/>
          <w:w w:val="98"/>
          <w:sz w:val="21"/>
          <w:szCs w:val="21"/>
        </w:rPr>
        <w:t>Cloud computing</w:t>
      </w:r>
      <w:r>
        <w:rPr>
          <w:rFonts w:ascii="Times New Roman" w:hAnsi="Times New Roman" w:eastAsia="MS Mincho" w:cs="Times New Roman"/>
          <w:spacing w:val="-4"/>
          <w:w w:val="98"/>
          <w:sz w:val="21"/>
          <w:szCs w:val="21"/>
        </w:rPr>
        <w:t>.</w:t>
      </w:r>
    </w:p>
    <w:p>
      <w:pPr>
        <w:spacing w:after="0" w:line="240" w:lineRule="auto"/>
        <w:ind w:firstLine="284"/>
        <w:jc w:val="both"/>
        <w:rPr>
          <w:rFonts w:ascii="Times New Roman" w:hAnsi="Times New Roman" w:eastAsia="MS Mincho" w:cs="Times New Roman"/>
          <w:spacing w:val="-4"/>
          <w:w w:val="98"/>
          <w:sz w:val="21"/>
          <w:szCs w:val="21"/>
        </w:rPr>
      </w:pPr>
      <w:r>
        <w:rPr>
          <w:rFonts w:ascii="Times New Roman" w:hAnsi="Times New Roman" w:cs="Times New Roman"/>
          <w:spacing w:val="-4"/>
          <w:w w:val="98"/>
          <w:sz w:val="21"/>
          <w:szCs w:val="21"/>
        </w:rPr>
        <w:t>Cloud computing</w:t>
      </w:r>
      <w:r>
        <w:rPr>
          <w:rFonts w:ascii="Times New Roman" w:hAnsi="Times New Roman" w:eastAsia="MS Mincho" w:cs="Times New Roman"/>
          <w:spacing w:val="-4"/>
          <w:w w:val="98"/>
          <w:sz w:val="21"/>
          <w:szCs w:val="21"/>
        </w:rPr>
        <w:t xml:space="preserve"> trong giáo dục có thể cung cấp các chức năng liên quan đến giám sát và kiểm soát các thiết bị khác nhau đảm bảo điều kiện làm việc và hoạt động như giám sát và điều khiển đèn, điện tích, nhiệt độ, thông gió, khóa và mở khóa các phòng học cũng như giám sát phòng cháy chữa cháy tòa nhà bằng camera. Các vòng/thẻ đeo có thể phục vụ nhiều mục đích khác nhau, ví dụ có thể được sử dụng để theo dõi chuyển động của cá nhân, ghi nhật ký khi mượn sách thư viện, trả tiền tại nhà ăn, hiệu sách, quầy photocopy trong khuôn viên trường. Các thiết bị có kết nối IoT như điện thoại di động, máy tính xách tay, máy tính bảng…, cũng có thể giám sát tiến bộ trong học tập của người học, nếu các hoạt động học tập của người học được giám sát liên tục bằng AI trên các thiết bị di động này thông qua giám sát việc tiếp thu kiến thức và nộp/tải lên các nhiệm vụ bắt buộc cũng như kết quả các bài tập. </w:t>
      </w:r>
    </w:p>
    <w:p>
      <w:pPr>
        <w:spacing w:after="0" w:line="240" w:lineRule="auto"/>
        <w:ind w:firstLine="284"/>
        <w:jc w:val="both"/>
        <w:rPr>
          <w:rFonts w:ascii="Times New Roman" w:hAnsi="Times New Roman" w:eastAsia="MS Mincho" w:cs="Times New Roman"/>
          <w:spacing w:val="-4"/>
          <w:w w:val="98"/>
          <w:sz w:val="21"/>
          <w:szCs w:val="21"/>
        </w:rPr>
      </w:pPr>
      <w:r>
        <w:rPr>
          <w:rFonts w:ascii="Times New Roman" w:hAnsi="Times New Roman" w:eastAsia="MS Mincho" w:cs="Times New Roman"/>
          <w:spacing w:val="-4"/>
          <w:w w:val="98"/>
          <w:sz w:val="21"/>
          <w:szCs w:val="21"/>
        </w:rPr>
        <w:t>Mạng IoT và điện toán đám mây là yêu cầu cho quản trị trường học mà trong đó các thiết bị liên kết với nhau tại mọi thời điểm trong toàn bộ cơ sở hạ tầng hoặc có thể gọi là hệ sinh thái của các tổ chức giáo dục. Do đó, phát triển và bảo mật tài nguyên này là điều cần thiết.</w:t>
      </w:r>
    </w:p>
    <w:p>
      <w:pPr>
        <w:spacing w:after="0" w:line="240" w:lineRule="auto"/>
        <w:ind w:firstLine="284"/>
        <w:jc w:val="both"/>
        <w:rPr>
          <w:rFonts w:ascii="Times New Roman" w:hAnsi="Times New Roman" w:eastAsia="MS Mincho" w:cs="Times New Roman"/>
          <w:b/>
          <w:spacing w:val="-4"/>
          <w:w w:val="98"/>
          <w:sz w:val="21"/>
          <w:szCs w:val="21"/>
        </w:rPr>
      </w:pPr>
      <w:r>
        <w:rPr>
          <w:rFonts w:ascii="Times New Roman" w:hAnsi="Times New Roman" w:eastAsia="MS Mincho" w:cs="Times New Roman"/>
          <w:b/>
          <w:spacing w:val="-4"/>
          <w:w w:val="98"/>
          <w:sz w:val="21"/>
          <w:szCs w:val="21"/>
        </w:rPr>
        <w:t>2.6 Kiến thức công nghệ thông tin cho giáo dục.</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Công nghệ ngày càng có tầm quan trọng và trong những năm tới công nghệ không còn bị giới hạn trong môi trường làm việc chuyên biệt. </w:t>
      </w:r>
      <w:r>
        <w:rPr>
          <w:rFonts w:ascii="Times New Roman" w:hAnsi="Times New Roman" w:eastAsia="MS Mincho" w:cs="Times New Roman"/>
          <w:bCs/>
          <w:spacing w:val="-4"/>
          <w:w w:val="98"/>
          <w:sz w:val="21"/>
          <w:szCs w:val="21"/>
          <w:highlight w:val="yellow"/>
        </w:rPr>
        <w:t>Dể</w:t>
      </w:r>
      <w:r>
        <w:rPr>
          <w:rFonts w:ascii="Times New Roman" w:hAnsi="Times New Roman" w:eastAsia="MS Mincho" w:cs="Times New Roman"/>
          <w:bCs/>
          <w:spacing w:val="-4"/>
          <w:w w:val="98"/>
          <w:sz w:val="21"/>
          <w:szCs w:val="21"/>
        </w:rPr>
        <w:t xml:space="preserve"> thấy công nghệ thông tin và truyền thông ngày càng trở nên phổ biến trong môi trường cộng đồng, ở trường học và ở nhà ví dụ như tra cứu một cuốn sách trên danh mục thẻ được vi tính hóa tại thư viện công cộng, rút tiền từ máy rút tiền tự động hoặc truy cập tin nhắn điện thoại, các hoạt động hàng ngày đã được biến đổi bởi CNTT-TT. Do đó, khái niệm về năng lực trong giáo dục phải được mở rộng để đáp ứng nhu cầu bao gồm các kỹ năng và khả năng dựa trên công nghệ giúp người dạy có thể hoạt động trong một thế giới công nghệ ngày càng phát triển. </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Kiến thức CNTT-TT không thể được định nghĩa chủ yếu là sự thành thạo các kỹ năng. Các thảo luận cho rằng khái niệm về kiến thức CNTT nên được mở rộng để bao gồm cả các kỹ năng nhận thức cũng như việc áp dụng các kỹ năng vào kiến thức kỹ thuật. Những kỹ năng nhận thức này bao gồm khả năng đọc viết tổng quát, cũng như tư duy phản biện và giải quyết vấn đề. </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Nhiều nghiên cứu đã xem xét các vấn đề liên quan đến kỹ năng Công nghệ Thông tin Truyền thông (ICT) vì chúng ảnh hưởng đến sự sẵn sàng của lực lượng lao động (Bollier, 2000). Nghiên cứu đã xem xét việc đánh giá toàn diện các kỹ năng CNTT cho học sinh trung học những nghiên cứu này đã tạo ra các mô hình và năng lực cần thiết để đáp ứng các yêu cầu về lực lượng lao động và giáo dục CNTT-TT cho người lao động.</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Hiệp hội Đào tạo và Phát triển Hoa Kỳ và Hiệp hội Thống đốc Quốc gia đã công bố một báo cáo về e-learning và lực lượng lao động (Commission on Technology and Adult Learning, 2001). Báo cáo này cung cấp một nền tảng vững chắc để kiểm tra các kỹ năng và trình độ kiến thức cho lực lượng lao động thế kỷ 21, cũng như cho giáo dục và học tập suốt đời. Chúng cũng cung cấp cơ sở để liên kết các bộ kỹ năng với các tiêu chuẩn kiểm tra và chương trình giảng dạy cụ thể hoặc liên kết trực tiếp với các bài kiểm tra chứng chỉ cho các yêu cầu công việc CNTT-TT cụ thể.</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Năm thành phần đại diện cho sự liên tục của các kỹ năng và kiến thức và được trình bày theo trình tự gợi ý mức độ phức tạp nhận thức ngày càng tăng được thể hiện bởi từng thành phần với các định nghĩa sau </w:t>
      </w:r>
      <w:sdt>
        <w:sdtPr>
          <w:rPr>
            <w:rFonts w:ascii="Times New Roman" w:hAnsi="Times New Roman" w:eastAsia="MS Mincho" w:cs="Times New Roman"/>
            <w:bCs/>
            <w:spacing w:val="-4"/>
            <w:w w:val="98"/>
            <w:sz w:val="21"/>
            <w:szCs w:val="21"/>
          </w:rPr>
          <w:id w:val="-1168701832"/>
        </w:sdtPr>
        <w:sdtEndPr>
          <w:rPr>
            <w:rFonts w:ascii="Times New Roman" w:hAnsi="Times New Roman" w:eastAsia="MS Mincho" w:cs="Times New Roman"/>
            <w:bCs/>
            <w:spacing w:val="-4"/>
            <w:w w:val="98"/>
            <w:sz w:val="21"/>
            <w:szCs w:val="21"/>
          </w:rPr>
        </w:sdtEndPr>
        <w:sdtContent>
          <w:r>
            <w:rPr>
              <w:rFonts w:ascii="Times New Roman" w:hAnsi="Times New Roman" w:eastAsia="MS Mincho" w:cs="Times New Roman"/>
              <w:bCs/>
              <w:spacing w:val="-4"/>
              <w:w w:val="98"/>
              <w:sz w:val="21"/>
              <w:szCs w:val="21"/>
            </w:rPr>
            <w:fldChar w:fldCharType="begin"/>
          </w:r>
          <w:r>
            <w:rPr>
              <w:rFonts w:ascii="Times New Roman" w:hAnsi="Times New Roman" w:eastAsia="MS Mincho" w:cs="Times New Roman"/>
              <w:bCs/>
              <w:spacing w:val="-4"/>
              <w:w w:val="98"/>
              <w:sz w:val="21"/>
              <w:szCs w:val="21"/>
            </w:rPr>
            <w:instrText xml:space="preserve">CITATION Ser02 \l 1033 </w:instrText>
          </w:r>
          <w:r>
            <w:rPr>
              <w:rFonts w:ascii="Times New Roman" w:hAnsi="Times New Roman" w:eastAsia="MS Mincho" w:cs="Times New Roman"/>
              <w:bCs/>
              <w:spacing w:val="-4"/>
              <w:w w:val="98"/>
              <w:sz w:val="21"/>
              <w:szCs w:val="21"/>
            </w:rPr>
            <w:fldChar w:fldCharType="separate"/>
          </w:r>
          <w:r>
            <w:rPr>
              <w:rFonts w:ascii="Times New Roman" w:hAnsi="Times New Roman" w:eastAsia="MS Mincho" w:cs="Times New Roman"/>
              <w:spacing w:val="-4"/>
              <w:w w:val="98"/>
              <w:sz w:val="21"/>
              <w:szCs w:val="21"/>
            </w:rPr>
            <w:t>(Service, 2002)</w:t>
          </w:r>
          <w:r>
            <w:rPr>
              <w:rFonts w:ascii="Times New Roman" w:hAnsi="Times New Roman" w:eastAsia="MS Mincho" w:cs="Times New Roman"/>
              <w:bCs/>
              <w:spacing w:val="-4"/>
              <w:w w:val="98"/>
              <w:sz w:val="21"/>
              <w:szCs w:val="21"/>
            </w:rPr>
            <w:fldChar w:fldCharType="end"/>
          </w:r>
        </w:sdtContent>
      </w:sdt>
      <w:r>
        <w:rPr>
          <w:rFonts w:ascii="Times New Roman" w:hAnsi="Times New Roman" w:eastAsia="MS Mincho" w:cs="Times New Roman"/>
          <w:bCs/>
          <w:spacing w:val="-4"/>
          <w:w w:val="98"/>
          <w:sz w:val="21"/>
          <w:szCs w:val="21"/>
        </w:rPr>
        <w:t>.</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 Truy cập(Access) </w:t>
      </w:r>
      <w:r>
        <w:rPr>
          <w:rFonts w:ascii="Times New Roman" w:hAnsi="Times New Roman" w:eastAsia="MS Mincho" w:cs="Times New Roman"/>
          <w:bCs/>
          <w:spacing w:val="-4"/>
          <w:w w:val="98"/>
          <w:sz w:val="21"/>
          <w:szCs w:val="21"/>
        </w:rPr>
        <w:tab/>
      </w:r>
      <w:r>
        <w:rPr>
          <w:rFonts w:ascii="Times New Roman" w:hAnsi="Times New Roman" w:eastAsia="MS Mincho" w:cs="Times New Roman"/>
          <w:bCs/>
          <w:spacing w:val="-4"/>
          <w:w w:val="98"/>
          <w:sz w:val="21"/>
          <w:szCs w:val="21"/>
        </w:rPr>
        <w:t>- Biết cách thu thập và/hoặc truy xuất thông tin.</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 Quản lý(Manage) </w:t>
      </w:r>
      <w:r>
        <w:rPr>
          <w:rFonts w:ascii="Times New Roman" w:hAnsi="Times New Roman" w:eastAsia="MS Mincho" w:cs="Times New Roman"/>
          <w:bCs/>
          <w:spacing w:val="-4"/>
          <w:w w:val="98"/>
          <w:sz w:val="21"/>
          <w:szCs w:val="21"/>
        </w:rPr>
        <w:tab/>
      </w:r>
      <w:r>
        <w:rPr>
          <w:rFonts w:ascii="Times New Roman" w:hAnsi="Times New Roman" w:eastAsia="MS Mincho" w:cs="Times New Roman"/>
          <w:bCs/>
          <w:spacing w:val="-4"/>
          <w:w w:val="98"/>
          <w:sz w:val="21"/>
          <w:szCs w:val="21"/>
        </w:rPr>
        <w:t>- Bảo mật, quản lý (áp dụng sơ đồ tổ chức) và/hoặc phân loại hiện có.</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 Tích hợp(Integrate) </w:t>
      </w:r>
      <w:r>
        <w:rPr>
          <w:rFonts w:ascii="Times New Roman" w:hAnsi="Times New Roman" w:eastAsia="MS Mincho" w:cs="Times New Roman"/>
          <w:bCs/>
          <w:spacing w:val="-4"/>
          <w:w w:val="98"/>
          <w:sz w:val="21"/>
          <w:szCs w:val="21"/>
        </w:rPr>
        <w:tab/>
      </w:r>
      <w:r>
        <w:rPr>
          <w:rFonts w:ascii="Times New Roman" w:hAnsi="Times New Roman" w:eastAsia="MS Mincho" w:cs="Times New Roman"/>
          <w:bCs/>
          <w:spacing w:val="-4"/>
          <w:w w:val="98"/>
          <w:sz w:val="21"/>
          <w:szCs w:val="21"/>
        </w:rPr>
        <w:t>- Diễn giải và biểu diễn thông tin. Hiểu để tóm tắt, so sánh và đối chiếu.</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 Đánh giá(Evaluate) </w:t>
      </w:r>
      <w:r>
        <w:rPr>
          <w:rFonts w:ascii="Times New Roman" w:hAnsi="Times New Roman" w:eastAsia="MS Mincho" w:cs="Times New Roman"/>
          <w:bCs/>
          <w:spacing w:val="-4"/>
          <w:w w:val="98"/>
          <w:sz w:val="21"/>
          <w:szCs w:val="21"/>
        </w:rPr>
        <w:tab/>
      </w:r>
      <w:r>
        <w:rPr>
          <w:rFonts w:ascii="Times New Roman" w:hAnsi="Times New Roman" w:eastAsia="MS Mincho" w:cs="Times New Roman"/>
          <w:bCs/>
          <w:spacing w:val="-4"/>
          <w:w w:val="98"/>
          <w:sz w:val="21"/>
          <w:szCs w:val="21"/>
        </w:rPr>
        <w:t>- Đưa ra nhận định về chất lượng, độ phù hợp, tính hữu ích hoặc hiệu quả của thông tin.</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 Sáng tạo(Create) </w:t>
      </w:r>
      <w:r>
        <w:rPr>
          <w:rFonts w:ascii="Times New Roman" w:hAnsi="Times New Roman" w:eastAsia="MS Mincho" w:cs="Times New Roman"/>
          <w:bCs/>
          <w:spacing w:val="-4"/>
          <w:w w:val="98"/>
          <w:sz w:val="21"/>
          <w:szCs w:val="21"/>
        </w:rPr>
        <w:tab/>
      </w:r>
      <w:r>
        <w:rPr>
          <w:rFonts w:ascii="Times New Roman" w:hAnsi="Times New Roman" w:eastAsia="MS Mincho" w:cs="Times New Roman"/>
          <w:bCs/>
          <w:spacing w:val="-4"/>
          <w:w w:val="98"/>
          <w:sz w:val="21"/>
          <w:szCs w:val="21"/>
        </w:rPr>
        <w:t>- Tạo ra thông tin mới bằng cách điều chỉnh, áp dụng, thiết kế, phát minh.</w:t>
      </w:r>
    </w:p>
    <w:p>
      <w:pPr>
        <w:spacing w:after="0" w:line="240" w:lineRule="auto"/>
        <w:ind w:firstLine="284"/>
        <w:jc w:val="both"/>
        <w:rPr>
          <w:rFonts w:ascii="Times New Roman" w:hAnsi="Times New Roman" w:eastAsia="MS Mincho" w:cs="Times New Roman"/>
          <w:b/>
          <w:spacing w:val="-4"/>
          <w:w w:val="98"/>
          <w:sz w:val="21"/>
          <w:szCs w:val="21"/>
        </w:rPr>
      </w:pPr>
      <w:r>
        <w:rPr>
          <w:rFonts w:ascii="Times New Roman" w:hAnsi="Times New Roman" w:eastAsia="MS Mincho" w:cs="Times New Roman"/>
          <w:b/>
          <w:spacing w:val="-4"/>
          <w:w w:val="98"/>
          <w:sz w:val="21"/>
          <w:szCs w:val="21"/>
        </w:rPr>
        <w:t>2.7 Tiêu chuẩn công nghệ thông tin cho giáo viên.</w:t>
      </w:r>
    </w:p>
    <w:p>
      <w:pPr>
        <w:spacing w:after="0" w:line="240" w:lineRule="auto"/>
        <w:ind w:firstLine="284"/>
        <w:jc w:val="both"/>
        <w:rPr>
          <w:rFonts w:ascii="Times New Roman" w:hAnsi="Times New Roman" w:eastAsia="MS Mincho" w:cs="Times New Roman"/>
          <w:bCs/>
          <w:spacing w:val="-4"/>
          <w:w w:val="98"/>
          <w:sz w:val="21"/>
          <w:szCs w:val="21"/>
        </w:rPr>
      </w:pPr>
      <w:r>
        <w:rPr>
          <w:rFonts w:ascii="Times New Roman" w:hAnsi="Times New Roman" w:eastAsia="MS Mincho" w:cs="Times New Roman"/>
          <w:bCs/>
          <w:spacing w:val="-4"/>
          <w:w w:val="98"/>
          <w:sz w:val="21"/>
          <w:szCs w:val="21"/>
        </w:rPr>
        <w:t xml:space="preserve">Giáo viên phải thay đổi và biến đổi kiến thức, kỹ năng và năng lực của chính mình khi mà sinh viên Thế hệ Z </w:t>
      </w:r>
      <w:r>
        <w:rPr>
          <w:rFonts w:ascii="Times New Roman" w:hAnsi="Times New Roman" w:cs="Times New Roman"/>
          <w:sz w:val="21"/>
          <w:szCs w:val="21"/>
        </w:rPr>
        <w:t>(Generation Z hay Gen Z),</w:t>
      </w:r>
      <w:r>
        <w:rPr>
          <w:rFonts w:ascii="Times New Roman" w:hAnsi="Times New Roman" w:eastAsia="MS Mincho" w:cs="Times New Roman"/>
          <w:bCs/>
          <w:spacing w:val="-4"/>
          <w:w w:val="98"/>
          <w:sz w:val="21"/>
          <w:szCs w:val="21"/>
        </w:rPr>
        <w:t xml:space="preserve"> những người được coi là “</w:t>
      </w:r>
      <w:r>
        <w:rPr>
          <w:rFonts w:ascii="Times New Roman" w:hAnsi="Times New Roman" w:eastAsia="MS Mincho" w:cs="Times New Roman"/>
          <w:bCs/>
          <w:i/>
          <w:iCs/>
          <w:spacing w:val="-4"/>
          <w:w w:val="98"/>
          <w:sz w:val="21"/>
          <w:szCs w:val="21"/>
        </w:rPr>
        <w:t>digital natives</w:t>
      </w:r>
      <w:r>
        <w:rPr>
          <w:rFonts w:ascii="Times New Roman" w:hAnsi="Times New Roman" w:eastAsia="MS Mincho" w:cs="Times New Roman"/>
          <w:bCs/>
          <w:spacing w:val="-4"/>
          <w:w w:val="98"/>
          <w:sz w:val="21"/>
          <w:szCs w:val="21"/>
        </w:rPr>
        <w:t>”</w:t>
      </w:r>
      <w:sdt>
        <w:sdtPr>
          <w:rPr>
            <w:rFonts w:ascii="Times New Roman" w:hAnsi="Times New Roman" w:eastAsia="MS Mincho" w:cs="Times New Roman"/>
            <w:bCs/>
            <w:spacing w:val="-4"/>
            <w:w w:val="98"/>
            <w:sz w:val="21"/>
            <w:szCs w:val="21"/>
          </w:rPr>
          <w:id w:val="1984041539"/>
        </w:sdtPr>
        <w:sdtEndPr>
          <w:rPr>
            <w:rFonts w:ascii="Times New Roman" w:hAnsi="Times New Roman" w:eastAsia="MS Mincho" w:cs="Times New Roman"/>
            <w:bCs/>
            <w:spacing w:val="-4"/>
            <w:w w:val="98"/>
            <w:sz w:val="21"/>
            <w:szCs w:val="21"/>
          </w:rPr>
        </w:sdtEndPr>
        <w:sdtContent>
          <w:r>
            <w:rPr>
              <w:rFonts w:ascii="Times New Roman" w:hAnsi="Times New Roman" w:eastAsia="MS Mincho" w:cs="Times New Roman"/>
              <w:bCs/>
              <w:spacing w:val="-4"/>
              <w:w w:val="98"/>
              <w:sz w:val="21"/>
              <w:szCs w:val="21"/>
            </w:rPr>
            <w:fldChar w:fldCharType="begin"/>
          </w:r>
          <w:r>
            <w:rPr>
              <w:rFonts w:ascii="Times New Roman" w:hAnsi="Times New Roman" w:eastAsia="MS Mincho" w:cs="Times New Roman"/>
              <w:bCs/>
              <w:spacing w:val="-4"/>
              <w:w w:val="98"/>
              <w:sz w:val="21"/>
              <w:szCs w:val="21"/>
            </w:rPr>
            <w:instrText xml:space="preserve">CITATION Mar21 \l 1033 </w:instrText>
          </w:r>
          <w:r>
            <w:rPr>
              <w:rFonts w:ascii="Times New Roman" w:hAnsi="Times New Roman" w:eastAsia="MS Mincho" w:cs="Times New Roman"/>
              <w:bCs/>
              <w:spacing w:val="-4"/>
              <w:w w:val="98"/>
              <w:sz w:val="21"/>
              <w:szCs w:val="21"/>
            </w:rPr>
            <w:fldChar w:fldCharType="separate"/>
          </w:r>
          <w:r>
            <w:rPr>
              <w:rFonts w:ascii="Times New Roman" w:hAnsi="Times New Roman" w:eastAsia="MS Mincho" w:cs="Times New Roman"/>
              <w:bCs/>
              <w:spacing w:val="-4"/>
              <w:w w:val="98"/>
              <w:sz w:val="21"/>
              <w:szCs w:val="21"/>
            </w:rPr>
            <w:t xml:space="preserve"> </w:t>
          </w:r>
          <w:r>
            <w:rPr>
              <w:rFonts w:ascii="Times New Roman" w:hAnsi="Times New Roman" w:eastAsia="MS Mincho" w:cs="Times New Roman"/>
              <w:spacing w:val="-4"/>
              <w:w w:val="98"/>
              <w:sz w:val="21"/>
              <w:szCs w:val="21"/>
            </w:rPr>
            <w:t>(María Soledad Ramírez-Montoya, 2021)</w:t>
          </w:r>
          <w:r>
            <w:rPr>
              <w:rFonts w:ascii="Times New Roman" w:hAnsi="Times New Roman" w:eastAsia="MS Mincho" w:cs="Times New Roman"/>
              <w:bCs/>
              <w:spacing w:val="-4"/>
              <w:w w:val="98"/>
              <w:sz w:val="21"/>
              <w:szCs w:val="21"/>
            </w:rPr>
            <w:fldChar w:fldCharType="end"/>
          </w:r>
        </w:sdtContent>
      </w:sdt>
      <w:r>
        <w:rPr>
          <w:rFonts w:ascii="Times New Roman" w:hAnsi="Times New Roman" w:eastAsia="MS Mincho" w:cs="Times New Roman"/>
          <w:bCs/>
          <w:spacing w:val="-4"/>
          <w:w w:val="98"/>
          <w:sz w:val="21"/>
          <w:szCs w:val="21"/>
        </w:rPr>
        <w:t>, là một thế hệ siêu nhận thức nhu cầu học tập khác với những thế hệ trước, Gen Z đòi hỏi những hình thức dạy và học mới từ những giáo viên giàu kinh nghiệm kết hợp với các công nghệ mới trong thời kỳ 4.0. Nói cách khác, công nghệ gây ra những thay đổi trong vai trò của giáo viên. Do đó, các nhà giáo dục cần cải tiến liên tục trong thực hành giảng dạy cũng như cần phải phát triển các phương thức để cân bằng vị trí giữa giảng viên và sinh viên.</w:t>
      </w:r>
    </w:p>
    <w:p>
      <w:pPr>
        <w:spacing w:after="0" w:line="240" w:lineRule="auto"/>
        <w:ind w:firstLine="284"/>
        <w:jc w:val="both"/>
        <w:rPr>
          <w:rFonts w:ascii="Times New Roman" w:hAnsi="Times New Roman" w:eastAsia="MS Mincho" w:cs="Times New Roman"/>
          <w:bCs/>
          <w:spacing w:val="-4"/>
          <w:w w:val="98"/>
          <w:sz w:val="21"/>
          <w:szCs w:val="21"/>
          <w:lang w:val="de-DE"/>
        </w:rPr>
      </w:pPr>
      <w:r>
        <w:rPr>
          <w:rFonts w:ascii="Times New Roman" w:hAnsi="Times New Roman" w:eastAsia="MS Mincho" w:cs="Times New Roman"/>
          <w:bCs/>
          <w:spacing w:val="-4"/>
          <w:w w:val="98"/>
          <w:sz w:val="21"/>
          <w:szCs w:val="21"/>
          <w:lang w:val="de-DE"/>
        </w:rPr>
        <w:t>Vấn đề thiếu kiến thức trong việc sử dụng công nghệ được thể hiện qua “</w:t>
      </w:r>
      <w:r>
        <w:rPr>
          <w:rFonts w:ascii="Times New Roman" w:hAnsi="Times New Roman" w:eastAsia="MS Mincho" w:cs="Times New Roman"/>
          <w:bCs/>
          <w:i/>
          <w:iCs/>
          <w:spacing w:val="-4"/>
          <w:w w:val="98"/>
          <w:sz w:val="21"/>
          <w:szCs w:val="21"/>
          <w:lang w:val="de-DE"/>
        </w:rPr>
        <w:t>đại dịch cho thấy các chương trình giáo dục đã sử dụng công nghệ mới cho mục đích giảng dạy thiếu chuẩn bị như thế nào</w:t>
      </w:r>
      <w:r>
        <w:rPr>
          <w:rFonts w:ascii="Times New Roman" w:hAnsi="Times New Roman" w:eastAsia="MS Mincho" w:cs="Times New Roman"/>
          <w:bCs/>
          <w:spacing w:val="-4"/>
          <w:w w:val="98"/>
          <w:sz w:val="21"/>
          <w:szCs w:val="21"/>
          <w:lang w:val="de-DE"/>
        </w:rPr>
        <w:t>” và “</w:t>
      </w:r>
      <w:r>
        <w:rPr>
          <w:rFonts w:ascii="Times New Roman" w:hAnsi="Times New Roman" w:eastAsia="MS Mincho" w:cs="Times New Roman"/>
          <w:bCs/>
          <w:i/>
          <w:iCs/>
          <w:spacing w:val="-4"/>
          <w:w w:val="98"/>
          <w:sz w:val="21"/>
          <w:szCs w:val="21"/>
          <w:lang w:val="de-DE"/>
        </w:rPr>
        <w:t>cả học sinh và giáo viên đều không quen với các công cụ hỗ trợ học tập trong môi trường hoàn toàn ảo</w:t>
      </w:r>
      <w:r>
        <w:rPr>
          <w:rFonts w:ascii="Times New Roman" w:hAnsi="Times New Roman" w:eastAsia="MS Mincho" w:cs="Times New Roman"/>
          <w:bCs/>
          <w:spacing w:val="-4"/>
          <w:w w:val="98"/>
          <w:sz w:val="21"/>
          <w:szCs w:val="21"/>
          <w:lang w:val="de-DE"/>
        </w:rPr>
        <w:t>”</w:t>
      </w:r>
      <w:sdt>
        <w:sdtPr>
          <w:rPr>
            <w:rFonts w:ascii="Times New Roman" w:hAnsi="Times New Roman" w:eastAsia="MS Mincho" w:cs="Times New Roman"/>
            <w:bCs/>
            <w:spacing w:val="-4"/>
            <w:w w:val="98"/>
            <w:sz w:val="21"/>
            <w:szCs w:val="21"/>
            <w:lang w:val="de-DE"/>
          </w:rPr>
          <w:id w:val="-503432077"/>
        </w:sdtPr>
        <w:sdtEndPr>
          <w:rPr>
            <w:rFonts w:ascii="Times New Roman" w:hAnsi="Times New Roman" w:eastAsia="MS Mincho" w:cs="Times New Roman"/>
            <w:bCs/>
            <w:spacing w:val="-4"/>
            <w:w w:val="98"/>
            <w:sz w:val="21"/>
            <w:szCs w:val="21"/>
            <w:lang w:val="de-DE"/>
          </w:rPr>
        </w:sdtEndPr>
        <w:sdtContent>
          <w:r>
            <w:rPr>
              <w:rFonts w:ascii="Times New Roman" w:hAnsi="Times New Roman" w:eastAsia="MS Mincho" w:cs="Times New Roman"/>
              <w:bCs/>
              <w:spacing w:val="-4"/>
              <w:w w:val="98"/>
              <w:sz w:val="21"/>
              <w:szCs w:val="21"/>
              <w:lang w:val="de-DE"/>
            </w:rPr>
            <w:fldChar w:fldCharType="begin"/>
          </w:r>
          <w:r>
            <w:rPr>
              <w:rFonts w:ascii="Times New Roman" w:hAnsi="Times New Roman" w:eastAsia="MS Mincho" w:cs="Times New Roman"/>
              <w:bCs/>
              <w:spacing w:val="-4"/>
              <w:w w:val="98"/>
              <w:sz w:val="21"/>
              <w:szCs w:val="21"/>
            </w:rPr>
            <w:instrText xml:space="preserve"> CITATION Mar21 \l 1033 </w:instrText>
          </w:r>
          <w:r>
            <w:rPr>
              <w:rFonts w:ascii="Times New Roman" w:hAnsi="Times New Roman" w:eastAsia="MS Mincho" w:cs="Times New Roman"/>
              <w:bCs/>
              <w:spacing w:val="-4"/>
              <w:w w:val="98"/>
              <w:sz w:val="21"/>
              <w:szCs w:val="21"/>
              <w:lang w:val="de-DE"/>
            </w:rPr>
            <w:fldChar w:fldCharType="separate"/>
          </w:r>
          <w:r>
            <w:rPr>
              <w:rFonts w:ascii="Times New Roman" w:hAnsi="Times New Roman" w:eastAsia="MS Mincho" w:cs="Times New Roman"/>
              <w:bCs/>
              <w:spacing w:val="-4"/>
              <w:w w:val="98"/>
              <w:sz w:val="21"/>
              <w:szCs w:val="21"/>
            </w:rPr>
            <w:t xml:space="preserve"> </w:t>
          </w:r>
          <w:r>
            <w:rPr>
              <w:rFonts w:ascii="Times New Roman" w:hAnsi="Times New Roman" w:eastAsia="MS Mincho" w:cs="Times New Roman"/>
              <w:spacing w:val="-4"/>
              <w:w w:val="98"/>
              <w:sz w:val="21"/>
              <w:szCs w:val="21"/>
            </w:rPr>
            <w:t>(María Soledad Ramírez-Montoya, 2021)</w:t>
          </w:r>
          <w:r>
            <w:rPr>
              <w:rFonts w:ascii="Times New Roman" w:hAnsi="Times New Roman" w:eastAsia="MS Mincho" w:cs="Times New Roman"/>
              <w:bCs/>
              <w:spacing w:val="-4"/>
              <w:w w:val="98"/>
              <w:sz w:val="21"/>
              <w:szCs w:val="21"/>
              <w:lang w:val="de-DE"/>
            </w:rPr>
            <w:fldChar w:fldCharType="end"/>
          </w:r>
        </w:sdtContent>
      </w:sdt>
      <w:r>
        <w:rPr>
          <w:rFonts w:ascii="Times New Roman" w:hAnsi="Times New Roman" w:eastAsia="MS Mincho" w:cs="Times New Roman"/>
          <w:bCs/>
          <w:spacing w:val="-4"/>
          <w:w w:val="98"/>
          <w:sz w:val="21"/>
          <w:szCs w:val="21"/>
          <w:lang w:val="de-DE"/>
        </w:rPr>
        <w:t>.</w:t>
      </w:r>
    </w:p>
    <w:p>
      <w:pPr>
        <w:spacing w:after="0" w:line="240" w:lineRule="auto"/>
        <w:ind w:firstLine="284"/>
        <w:jc w:val="both"/>
        <w:rPr>
          <w:rFonts w:ascii="Times New Roman" w:hAnsi="Times New Roman" w:eastAsia="MS Mincho" w:cs="Times New Roman"/>
          <w:bCs/>
          <w:spacing w:val="-4"/>
          <w:w w:val="98"/>
          <w:sz w:val="21"/>
          <w:szCs w:val="21"/>
          <w:lang w:val="de-DE"/>
        </w:rPr>
      </w:pPr>
      <w:r>
        <w:rPr>
          <w:rFonts w:ascii="Times New Roman" w:hAnsi="Times New Roman" w:eastAsia="MS Mincho" w:cs="Times New Roman"/>
          <w:bCs/>
          <w:spacing w:val="-4"/>
          <w:w w:val="98"/>
          <w:sz w:val="21"/>
          <w:szCs w:val="21"/>
          <w:lang w:val="de-DE"/>
        </w:rPr>
        <w:t>Theo kết quả khảo sát thì một giáo viên lý tưởng (trong Giáo dục 4.0) nên duy trì sự cân bằng giữa các kỹ năng mềm và năng lực công nghệ cũng như tư duy phản biện. Giáo viên phải có khả năng lãnh đạo mạnh mẽ và tập trung vào nhu cầu của học sinh, là một nhà lãnh đạo thúc đẩy và tạo ra mối quan tâm. Trong lĩnh vực công nghệ, giáo viên đòi hỏi những năng lực cần thiết cho phương pháp sư phạm kỹ thuật số. Về năng lực mềm, các nhà giáo dục phải là chuyên gia về giao tiếp, về các yếu tố viết và giao tiếp giữa các cá nhân. Giáo viên cần thiết kế chương trình giảng dạy chống lại phương pháp lặp đi lặp lại dựa trên sự ghi nhớ và cuối cùng nên định hướng người học vào thực hành và giải quyết vấn đề.</w:t>
      </w:r>
    </w:p>
    <w:p>
      <w:pPr>
        <w:spacing w:after="0" w:line="240" w:lineRule="auto"/>
        <w:ind w:firstLine="284"/>
        <w:jc w:val="both"/>
        <w:rPr>
          <w:rFonts w:ascii="Times New Roman" w:hAnsi="Times New Roman" w:eastAsia="MS Mincho" w:cs="Times New Roman"/>
          <w:bCs/>
          <w:spacing w:val="-4"/>
          <w:w w:val="98"/>
          <w:sz w:val="21"/>
          <w:szCs w:val="21"/>
          <w:lang w:val="de-DE"/>
        </w:rPr>
      </w:pPr>
      <w:r>
        <w:rPr>
          <w:rFonts w:ascii="Times New Roman" w:hAnsi="Times New Roman" w:eastAsia="MS Mincho" w:cs="Times New Roman"/>
          <w:bCs/>
          <w:spacing w:val="-4"/>
          <w:w w:val="98"/>
          <w:sz w:val="21"/>
          <w:szCs w:val="21"/>
          <w:lang w:val="de-DE"/>
        </w:rPr>
        <w:t>Giáo viên cũng phải thông thạo các kỹ năng khác và biết các công nghệ mới như trí tuệ nhân tạo và công nghệ kỹ thuật số với các ứng dụng giáo dục. Cần phải thúc đẩy tư duy phản biện, thiết kế các kế hoạch học tập tạo ra việc học tập cho học sinh thực tế và phát triển các dự án có tác động đến các lĩnh vực cộng đồng khác nhau. Các đặc điểm về hồ sơ năng lực giáo viên gồm có năng lực thực tế của người hướng dẫn(Facilitator), kỹ năng mềm(Soft skills), ý thức xã hội(Human sense) và khả năng kiểm soát công nghệ(Technology management).</w:t>
      </w:r>
    </w:p>
    <w:p>
      <w:pPr>
        <w:spacing w:after="0" w:line="240" w:lineRule="auto"/>
        <w:jc w:val="center"/>
        <w:rPr>
          <w:rFonts w:ascii="Times New Roman" w:hAnsi="Times New Roman" w:cs="Times New Roman"/>
          <w:bCs/>
          <w:i/>
          <w:spacing w:val="-4"/>
          <w:w w:val="98"/>
          <w:sz w:val="21"/>
          <w:szCs w:val="21"/>
        </w:rPr>
      </w:pPr>
      <w:r>
        <w:rPr>
          <w:rFonts w:ascii="Times New Roman" w:hAnsi="Times New Roman" w:eastAsia="MS Mincho" w:cs="Times New Roman"/>
          <w:bCs/>
          <w:spacing w:val="-4"/>
          <w:w w:val="98"/>
          <w:sz w:val="21"/>
          <w:szCs w:val="21"/>
        </w:rPr>
        <w:drawing>
          <wp:inline distT="0" distB="0" distL="0" distR="0">
            <wp:extent cx="4162425" cy="225933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220674" cy="2291475"/>
                    </a:xfrm>
                    <a:prstGeom prst="rect">
                      <a:avLst/>
                    </a:prstGeom>
                    <a:noFill/>
                    <a:ln>
                      <a:noFill/>
                    </a:ln>
                  </pic:spPr>
                </pic:pic>
              </a:graphicData>
            </a:graphic>
          </wp:inline>
        </w:drawing>
      </w:r>
    </w:p>
    <w:p>
      <w:pPr>
        <w:spacing w:after="0" w:line="240" w:lineRule="auto"/>
        <w:ind w:firstLine="284"/>
        <w:jc w:val="center"/>
        <w:rPr>
          <w:rFonts w:ascii="Times New Roman" w:hAnsi="Times New Roman" w:eastAsia="MS Mincho" w:cs="Times New Roman"/>
          <w:bCs/>
          <w:i/>
          <w:spacing w:val="-4"/>
          <w:w w:val="98"/>
          <w:sz w:val="21"/>
          <w:szCs w:val="21"/>
          <w:lang w:val="de-DE"/>
        </w:rPr>
      </w:pPr>
      <w:r>
        <w:rPr>
          <w:rFonts w:ascii="Times New Roman" w:hAnsi="Times New Roman" w:eastAsia="MS Mincho" w:cs="Times New Roman"/>
          <w:bCs/>
          <w:i/>
          <w:spacing w:val="-4"/>
          <w:w w:val="98"/>
          <w:sz w:val="21"/>
          <w:szCs w:val="21"/>
          <w:lang w:val="de-DE"/>
        </w:rPr>
        <w:t xml:space="preserve">Hình 5. Đặc điểm giáo viên trong thời kỳ công nghệ 4.0. </w:t>
      </w:r>
      <w:r>
        <w:rPr>
          <w:rFonts w:ascii="Times New Roman" w:hAnsi="Times New Roman" w:cs="Times New Roman"/>
          <w:color w:val="333333"/>
          <w:sz w:val="21"/>
          <w:szCs w:val="21"/>
          <w:shd w:val="clear" w:color="auto" w:fill="FFFFFF"/>
        </w:rPr>
        <w:t>Source:</w:t>
      </w:r>
      <w:sdt>
        <w:sdtPr>
          <w:rPr>
            <w:rFonts w:ascii="Times New Roman" w:hAnsi="Times New Roman" w:cs="Times New Roman"/>
            <w:color w:val="333333"/>
            <w:sz w:val="21"/>
            <w:szCs w:val="21"/>
            <w:shd w:val="clear" w:color="auto" w:fill="FFFFFF"/>
          </w:rPr>
          <w:id w:val="-62727802"/>
        </w:sdtPr>
        <w:sdtEndPr>
          <w:rPr>
            <w:rFonts w:ascii="Times New Roman" w:hAnsi="Times New Roman" w:cs="Times New Roman"/>
            <w:color w:val="333333"/>
            <w:sz w:val="21"/>
            <w:szCs w:val="21"/>
            <w:shd w:val="clear" w:color="auto" w:fill="FFFFFF"/>
          </w:rPr>
        </w:sdtEndPr>
        <w:sdtContent>
          <w:r>
            <w:rPr>
              <w:rFonts w:ascii="Times New Roman" w:hAnsi="Times New Roman" w:cs="Times New Roman"/>
              <w:color w:val="333333"/>
              <w:sz w:val="21"/>
              <w:szCs w:val="21"/>
              <w:shd w:val="clear" w:color="auto" w:fill="FFFFFF"/>
            </w:rPr>
            <w:fldChar w:fldCharType="begin"/>
          </w:r>
          <w:r>
            <w:rPr>
              <w:rFonts w:ascii="Times New Roman" w:hAnsi="Times New Roman" w:cs="Times New Roman"/>
              <w:color w:val="333333"/>
              <w:sz w:val="21"/>
              <w:szCs w:val="21"/>
              <w:shd w:val="clear" w:color="auto" w:fill="FFFFFF"/>
            </w:rPr>
            <w:instrText xml:space="preserve"> CITATION Mar21 \l 1033 </w:instrText>
          </w:r>
          <w:r>
            <w:rPr>
              <w:rFonts w:ascii="Times New Roman" w:hAnsi="Times New Roman" w:cs="Times New Roman"/>
              <w:color w:val="333333"/>
              <w:sz w:val="21"/>
              <w:szCs w:val="21"/>
              <w:shd w:val="clear" w:color="auto" w:fill="FFFFFF"/>
            </w:rPr>
            <w:fldChar w:fldCharType="separate"/>
          </w:r>
          <w:r>
            <w:rPr>
              <w:rFonts w:ascii="Times New Roman" w:hAnsi="Times New Roman" w:cs="Times New Roman"/>
              <w:color w:val="333333"/>
              <w:sz w:val="21"/>
              <w:szCs w:val="21"/>
              <w:shd w:val="clear" w:color="auto" w:fill="FFFFFF"/>
            </w:rPr>
            <w:t xml:space="preserve"> (María Soledad Ramírez-Montoya, 2021)</w:t>
          </w:r>
          <w:r>
            <w:rPr>
              <w:rFonts w:ascii="Times New Roman" w:hAnsi="Times New Roman" w:cs="Times New Roman"/>
              <w:color w:val="333333"/>
              <w:sz w:val="21"/>
              <w:szCs w:val="21"/>
              <w:shd w:val="clear" w:color="auto" w:fill="FFFFFF"/>
            </w:rPr>
            <w:fldChar w:fldCharType="end"/>
          </w:r>
        </w:sdtContent>
      </w:sdt>
    </w:p>
    <w:p>
      <w:pPr>
        <w:spacing w:after="0" w:line="240" w:lineRule="auto"/>
        <w:ind w:firstLine="284"/>
        <w:jc w:val="both"/>
        <w:rPr>
          <w:rFonts w:ascii="Times New Roman" w:hAnsi="Times New Roman" w:eastAsia="MS Mincho" w:cs="Times New Roman"/>
          <w:b/>
          <w:spacing w:val="-4"/>
          <w:w w:val="98"/>
          <w:sz w:val="21"/>
          <w:szCs w:val="21"/>
          <w:lang w:val="de-DE"/>
        </w:rPr>
      </w:pPr>
      <w:r>
        <w:rPr>
          <w:rFonts w:ascii="Times New Roman" w:hAnsi="Times New Roman" w:eastAsia="MS Mincho" w:cs="Times New Roman"/>
          <w:b/>
          <w:spacing w:val="-4"/>
          <w:w w:val="98"/>
          <w:sz w:val="21"/>
          <w:szCs w:val="21"/>
          <w:lang w:val="de-DE"/>
        </w:rPr>
        <w:t xml:space="preserve">2.8 Giải pháp đào tạo giáo viên trong </w:t>
      </w:r>
      <w:r>
        <w:rPr>
          <w:rFonts w:ascii="Times New Roman" w:hAnsi="Times New Roman" w:cs="Times New Roman"/>
          <w:b/>
          <w:spacing w:val="-4"/>
          <w:w w:val="98"/>
          <w:sz w:val="21"/>
          <w:szCs w:val="26"/>
        </w:rPr>
        <w:t>cách mạng công nghiệp 4.0.</w:t>
      </w:r>
    </w:p>
    <w:p>
      <w:pPr>
        <w:spacing w:after="0" w:line="240" w:lineRule="auto"/>
        <w:ind w:firstLine="284"/>
        <w:jc w:val="both"/>
        <w:rPr>
          <w:rFonts w:ascii="Times New Roman" w:hAnsi="Times New Roman" w:eastAsia="MS Mincho" w:cs="Times New Roman"/>
          <w:bCs/>
          <w:spacing w:val="-4"/>
          <w:w w:val="98"/>
          <w:sz w:val="21"/>
          <w:szCs w:val="21"/>
          <w:lang w:val="de-DE"/>
        </w:rPr>
      </w:pPr>
      <w:r>
        <w:rPr>
          <w:rFonts w:ascii="Times New Roman" w:hAnsi="Times New Roman" w:eastAsia="MS Mincho" w:cs="Times New Roman"/>
          <w:bCs/>
          <w:spacing w:val="-4"/>
          <w:w w:val="98"/>
          <w:sz w:val="21"/>
          <w:szCs w:val="21"/>
          <w:lang w:val="de-DE"/>
        </w:rPr>
        <w:t>Việc xây dựng chương trình đào tạo giáo viên được coi là vấn đề cấp thiết, là điều kiện tiên quyết góp phần tích cực vào sự nghiệp phát triển giáo dục và đào tạo trong giai đoạn 4.0. Tuy nhiên thời kỳ đầu hội nhập cho thấy giáo viên còn nhiều hạn chế về kỹ năng thực hành, kỹ năng mềm, ngoại ngữ khi làm việc trong môi trường hiện đại. Những hạn chế cơ bản là chương trình đào tạo ở các cơ sở đào tạo giáo viên trước đây chủ yếu tập trung vào kiến thức theo hướng tiếp cận cổ điển. Vì vậy, việc xây dựng chương trình đào tạo nói chung và chương trình đào tạo giáo viên nói riêng theo hướng phát triển những kỹ năng cần thiết mà xã hội yêu cầu người học phải có để làm việc và phát triển phẩm chất sau khi tốt nghiệp, đáp ứng nhu cầu hội nhập trong bối cảnh Cách mạng công nghiệp 4.0.</w:t>
      </w:r>
    </w:p>
    <w:p>
      <w:pPr>
        <w:spacing w:after="0" w:line="240" w:lineRule="auto"/>
        <w:ind w:firstLine="284"/>
        <w:jc w:val="both"/>
        <w:rPr>
          <w:rFonts w:ascii="Times New Roman" w:hAnsi="Times New Roman" w:cs="Times New Roman"/>
          <w:sz w:val="21"/>
          <w:szCs w:val="21"/>
        </w:rPr>
      </w:pPr>
      <w:r>
        <w:rPr>
          <w:rFonts w:ascii="Times New Roman" w:hAnsi="Times New Roman" w:eastAsia="MS Mincho" w:cs="Times New Roman"/>
          <w:bCs/>
          <w:spacing w:val="-4"/>
          <w:w w:val="98"/>
          <w:sz w:val="21"/>
          <w:szCs w:val="21"/>
          <w:lang w:val="de-DE"/>
        </w:rPr>
        <w:t xml:space="preserve">Một trong các tiêu chuẩn phổ biến hiện nay để đào tạo giáo viên là CDIO. </w:t>
      </w:r>
      <w:r>
        <w:rPr>
          <w:rFonts w:ascii="Times New Roman" w:hAnsi="Times New Roman" w:cs="Times New Roman"/>
          <w:sz w:val="21"/>
          <w:szCs w:val="21"/>
        </w:rPr>
        <w:t>Là viết tắt 4 chữ cái đầu của Conceive – Design – Implement – Operate, có khởi nguồn từ Viện công nghệ MIT của Mỹ, được hiểu là hình thành ý tưởng, thiết kế ý tưởng, thực hiện, và vận hành. Về cơ bản CDIO là một hệ thống phương pháp phát triển chương trình đào tạo kỹ sư tuy nhiên do quy trình này được xây dựng một cách khoa học, hợp lý, logic nên có thể áp dụng cho nhiều lĩnh vực đào tạo khác nhau.</w:t>
      </w:r>
    </w:p>
    <w:p>
      <w:pPr>
        <w:spacing w:after="0" w:line="240" w:lineRule="auto"/>
        <w:ind w:firstLine="284"/>
        <w:jc w:val="both"/>
        <w:rPr>
          <w:rFonts w:ascii="Times New Roman" w:hAnsi="Times New Roman" w:eastAsia="MS Mincho" w:cs="Times New Roman"/>
          <w:bCs/>
          <w:spacing w:val="-4"/>
          <w:w w:val="98"/>
          <w:sz w:val="21"/>
          <w:szCs w:val="21"/>
          <w:lang w:val="de-DE"/>
        </w:rPr>
      </w:pPr>
      <w:r>
        <w:rPr>
          <w:rFonts w:ascii="Times New Roman" w:hAnsi="Times New Roman" w:eastAsia="MS Mincho" w:cs="Times New Roman"/>
          <w:bCs/>
          <w:spacing w:val="-4"/>
          <w:w w:val="98"/>
          <w:sz w:val="21"/>
          <w:szCs w:val="21"/>
          <w:lang w:val="de-DE"/>
        </w:rPr>
        <w:t>Từ đó có thể khẳng định, “</w:t>
      </w:r>
      <w:r>
        <w:rPr>
          <w:rFonts w:ascii="Times New Roman" w:hAnsi="Times New Roman" w:eastAsia="MS Mincho" w:cs="Times New Roman"/>
          <w:bCs/>
          <w:i/>
          <w:iCs/>
          <w:spacing w:val="-4"/>
          <w:w w:val="98"/>
          <w:sz w:val="21"/>
          <w:szCs w:val="21"/>
          <w:lang w:val="de-DE"/>
        </w:rPr>
        <w:t>việc áp dụng phương pháp tiếp cận CDIO trong phát triển chương trình đào tạo giáo viên ở các cơ sở giáo dục ở Việt Nam là hoàn toàn hợp lý và khoa học</w:t>
      </w:r>
      <w:r>
        <w:rPr>
          <w:rFonts w:ascii="Times New Roman" w:hAnsi="Times New Roman" w:eastAsia="MS Mincho" w:cs="Times New Roman"/>
          <w:bCs/>
          <w:spacing w:val="-4"/>
          <w:w w:val="98"/>
          <w:sz w:val="21"/>
          <w:szCs w:val="21"/>
          <w:lang w:val="de-DE"/>
        </w:rPr>
        <w:t xml:space="preserve">“(Nguyen Thi Nhi, 2020). </w:t>
      </w:r>
      <w:r>
        <w:rPr>
          <w:rFonts w:ascii="Times New Roman" w:hAnsi="Times New Roman" w:cs="Times New Roman"/>
          <w:color w:val="202124"/>
          <w:sz w:val="21"/>
          <w:szCs w:val="21"/>
          <w:shd w:val="clear" w:color="auto" w:fill="FFFFFF"/>
        </w:rPr>
        <w:t>Cách tiếp cận CDIO </w:t>
      </w:r>
      <w:r>
        <w:rPr>
          <w:rFonts w:ascii="Times New Roman" w:hAnsi="Times New Roman" w:cs="Times New Roman"/>
          <w:color w:val="040C28"/>
          <w:sz w:val="21"/>
          <w:szCs w:val="21"/>
        </w:rPr>
        <w:t>là cách tiếp cận phát triển, gắn phát triển chương trình với chuyển tải và đánh giá hiệu quả giáo dục đại học, góp phần nâng cao chất lượng giáo dục đại học lên một tầm cao mới.</w:t>
      </w:r>
    </w:p>
    <w:p>
      <w:pPr>
        <w:spacing w:before="40" w:after="0" w:line="240" w:lineRule="auto"/>
        <w:jc w:val="both"/>
        <w:rPr>
          <w:rFonts w:ascii="Times New Roman" w:hAnsi="Times New Roman" w:cs="Times New Roman"/>
          <w:b/>
          <w:spacing w:val="-4"/>
          <w:w w:val="98"/>
          <w:sz w:val="21"/>
          <w:szCs w:val="26"/>
        </w:rPr>
      </w:pPr>
      <w:bookmarkStart w:id="0" w:name="_Toc10839344"/>
      <w:bookmarkStart w:id="1" w:name="_Toc10838450"/>
      <w:bookmarkStart w:id="2" w:name="_Toc10839685"/>
      <w:r>
        <w:rPr>
          <w:rFonts w:ascii="Times New Roman" w:hAnsi="Times New Roman" w:cs="Times New Roman"/>
          <w:b/>
          <w:spacing w:val="-4"/>
          <w:w w:val="98"/>
          <w:sz w:val="21"/>
          <w:szCs w:val="26"/>
        </w:rPr>
        <w:t>3. Kết luận</w:t>
      </w: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3.1 Các vấn đề tồn tại</w:t>
      </w:r>
    </w:p>
    <w:p>
      <w:pPr>
        <w:spacing w:before="40" w:after="0" w:line="240" w:lineRule="auto"/>
        <w:ind w:firstLine="27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Mặc dù có nhiều bước tiến trong quá trình chuyển đổi số tại đơn vị tuy nhiên trong quá trình công tác, tác giả nhận thấy vẫn còn các hạn chế tại Khoa Động lực có thể nhận ra như sau:</w:t>
      </w:r>
    </w:p>
    <w:p>
      <w:pPr>
        <w:spacing w:before="40" w:after="0" w:line="240" w:lineRule="auto"/>
        <w:ind w:firstLine="27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Thứ nhất, khó khăng trong việc đánh giá toàn diện quá trình học tập của một sinh viên. Nhất là ở các giai đoạn cuối học kỳ, cuối năm, quá trình thực tập doanh nghiệp. Nguyên nhân đến từ sự thiếu thống nhất giữa các nguồn dữ liệu. Ví dụ, để đánh giá kết quả rèn luyện của sinh viên cần có dữ liệu của Phòng quản lý HS-SV, dữ liệu của Đoàn trường, dữ liệu học tập mà các dữ liệu này không có cơ sở chung. Hay trong quá trình thực tập của sinh viên cũng gặp nhiều khó khăng khi không có dữ liệu chung, dể thấy nhất là sự trùng lập nơi thực tập và vị trí thực tập.</w:t>
      </w:r>
    </w:p>
    <w:p>
      <w:pPr>
        <w:spacing w:before="40" w:after="0" w:line="240" w:lineRule="auto"/>
        <w:ind w:firstLine="27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Thứ hai, giáo viên không có không gian lưu trữ và tham khảo thống nhất. Phần quản lý học vụ là một bước tiến lớn. Tuy nhiên, để hoàn thành hồ sơ giảng viên mỗi năm, cần kết hợp rất nhiều nguồn tài liệu và công việc. Ví dụ, viêc tồn tại song song bảng điểm, điểm danh trên hệ thống và sổ tay giáo viên là một vấn đề gây lãng phí và tạo thêm khó khăng. Đặc biệt là sau giai đoạn nghỉ do Covid-19, các lớp học chổng chéo học kỳ, rất khó</w:t>
      </w:r>
      <w:r>
        <w:rPr>
          <w:rFonts w:ascii="Times New Roman" w:hAnsi="Times New Roman" w:cs="Times New Roman"/>
          <w:bCs/>
          <w:spacing w:val="-4"/>
          <w:w w:val="98"/>
          <w:sz w:val="21"/>
          <w:szCs w:val="26"/>
          <w:highlight w:val="yellow"/>
        </w:rPr>
        <w:t xml:space="preserve"> khăng</w:t>
      </w:r>
      <w:r>
        <w:rPr>
          <w:rFonts w:ascii="Times New Roman" w:hAnsi="Times New Roman" w:cs="Times New Roman"/>
          <w:bCs/>
          <w:spacing w:val="-4"/>
          <w:w w:val="98"/>
          <w:sz w:val="21"/>
          <w:szCs w:val="26"/>
        </w:rPr>
        <w:t xml:space="preserve"> cho việc ghi sổ tay. </w:t>
      </w:r>
    </w:p>
    <w:p>
      <w:pPr>
        <w:spacing w:before="40" w:after="0" w:line="240" w:lineRule="auto"/>
        <w:ind w:firstLine="27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Thứ ba, khó tiếp cận dữ liệu từ thư viện và chương trình đào tạo với bài giảng, bài học. Hệ thống kết nối mạng internet không đủ mạnh và rộng để đáp ứng nhu cầu kết nối, thêm vào đó là không có link liên kết trực tiếp để giáo viên và sinh viên kéo trực tiếp dữ liệu từ thư viện về bài giảng. Thư viện dùng chung hạn chế ở các tổ bộ môn trong một Khoa dẫn đến giáo án và bài giảng không có tham chiếu chung. </w:t>
      </w:r>
    </w:p>
    <w:p>
      <w:pPr>
        <w:spacing w:before="40" w:after="0" w:line="240" w:lineRule="auto"/>
        <w:ind w:firstLine="27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Một số vấn đề khác như đánh giá kết quả hiệu quả công việc, khối lượng hoạt động của giảng viên trong năm, cổng truy cập cho phụ huynh…cũng còn nhiều hạn chế và bất cập. Ví dụ, để tính khối lượng hoạt động của giảng viên trong năm học cần rất nhiều thời gian và có sự phối hợp của nhiều phòng ban. Nhiều sinh viên không cung cấp thông tin đăng nhập cho phụ huynh dẫn đến phụ huynh không theo dõi tiến độ học tập của con em mình. </w:t>
      </w: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3.2 Giải pháp</w:t>
      </w:r>
    </w:p>
    <w:p>
      <w:pPr>
        <w:spacing w:after="0" w:line="240" w:lineRule="auto"/>
        <w:ind w:firstLine="284"/>
        <w:jc w:val="both"/>
        <w:rPr>
          <w:rFonts w:ascii="Times New Roman" w:hAnsi="Times New Roman" w:cs="Times New Roman"/>
          <w:sz w:val="21"/>
          <w:szCs w:val="21"/>
        </w:rPr>
      </w:pPr>
      <w:r>
        <w:rPr>
          <w:rFonts w:ascii="Times New Roman" w:hAnsi="Times New Roman" w:cs="Times New Roman"/>
          <w:spacing w:val="-4"/>
          <w:w w:val="98"/>
          <w:sz w:val="21"/>
          <w:szCs w:val="26"/>
        </w:rPr>
        <w:t xml:space="preserve">Qua phân tích các kinh nghiệm chuyển đổi số tại các đơn vị giáo dục, nhìn chung các vấn đề khó khăn và giải pháp khắc phục gần tiệm cận với nhau. Đối với trường Cao đẳng Lý Tự Trọng thành phố Hồ Chí Minh nói chung và Khoa Động lực nói riêng, tác giả nhận thấy các vấn đề quan trọng cần được quan tâm trong giai đoạn chuyển đổi số gồm có </w:t>
      </w:r>
      <w:r>
        <w:rPr>
          <w:rFonts w:ascii="Times New Roman" w:hAnsi="Times New Roman" w:cs="Times New Roman"/>
          <w:sz w:val="21"/>
          <w:szCs w:val="21"/>
          <w:highlight w:val="green"/>
        </w:rPr>
        <w:t>phát triển hệ sinh thái Lý Tự trọng, nâng cao năng lực giáo viên</w:t>
      </w:r>
      <w:r>
        <w:rPr>
          <w:rFonts w:ascii="Times New Roman" w:hAnsi="Times New Roman" w:cs="Times New Roman"/>
          <w:spacing w:val="-4"/>
          <w:w w:val="98"/>
          <w:sz w:val="21"/>
          <w:szCs w:val="26"/>
          <w:highlight w:val="green"/>
        </w:rPr>
        <w:t xml:space="preserve"> và </w:t>
      </w:r>
      <w:r>
        <w:rPr>
          <w:rFonts w:ascii="Times New Roman" w:hAnsi="Times New Roman" w:cs="Times New Roman"/>
          <w:sz w:val="21"/>
          <w:szCs w:val="21"/>
          <w:highlight w:val="green"/>
        </w:rPr>
        <w:t>phát triển cơ sở công nghệ thông tin.</w:t>
      </w:r>
    </w:p>
    <w:p>
      <w:pPr>
        <w:spacing w:before="40" w:after="0" w:line="240" w:lineRule="auto"/>
        <w:ind w:firstLine="284"/>
        <w:jc w:val="both"/>
        <w:rPr>
          <w:rFonts w:ascii="Times New Roman" w:hAnsi="Times New Roman" w:cs="Times New Roman"/>
          <w:sz w:val="21"/>
          <w:szCs w:val="21"/>
          <w:highlight w:val="green"/>
        </w:rPr>
      </w:pPr>
      <w:r>
        <w:rPr>
          <w:rFonts w:ascii="Times New Roman" w:hAnsi="Times New Roman" w:cs="Times New Roman"/>
          <w:spacing w:val="-4"/>
          <w:w w:val="98"/>
          <w:sz w:val="21"/>
          <w:szCs w:val="26"/>
        </w:rPr>
        <w:t xml:space="preserve">Cần từng bước phát triển hệ một hệ sinh thái công nghệ số. Trong đó có sự thống nhất của Big data, điện toán đám mây, Blockchian, trí tuệ nhân tạo AI và mạng truyền thông IoT, 5G. Nơi mà toàn thể sinh viên và giáo viên có thể trao đổi thông tin, lưu trữ nội dung học tập, đánh giá điểm số, tạo giáo án…. trong một thể thống nhất. </w:t>
      </w:r>
      <w:r>
        <w:rPr>
          <w:rFonts w:ascii="Times New Roman" w:hAnsi="Times New Roman" w:cs="Times New Roman"/>
          <w:sz w:val="21"/>
          <w:szCs w:val="21"/>
          <w:highlight w:val="green"/>
        </w:rPr>
        <w:t>Hệ sinh thái chuyển đổi số trong hoạt động dạy và học có các yêu cầu như phát triển kho học liệu số dùng chung, ứng dụng các nền tảng số phục vụ dạy học, đánh giá 8 năng lực của sinh viên bao gồm kiến thức, kỹ năng nhận thức, kỹ năng thực hành, thái độ, động cơ, xúc cảm, giá trị và đạo đức làm cơ sở để tạo động lực phù hợp thúc đẩy sinh viên phát triển toàn diện.</w:t>
      </w:r>
    </w:p>
    <w:p>
      <w:pPr>
        <w:spacing w:before="40" w:after="0" w:line="240" w:lineRule="auto"/>
        <w:ind w:firstLine="284"/>
        <w:jc w:val="both"/>
        <w:rPr>
          <w:rFonts w:ascii="Times New Roman" w:hAnsi="Times New Roman" w:cs="Times New Roman"/>
          <w:color w:val="333333"/>
          <w:sz w:val="21"/>
          <w:szCs w:val="21"/>
          <w:shd w:val="clear" w:color="auto" w:fill="FFFFFF"/>
        </w:rPr>
      </w:pPr>
      <w:r>
        <w:rPr>
          <w:rFonts w:ascii="Times New Roman" w:hAnsi="Times New Roman" w:cs="Times New Roman"/>
          <w:spacing w:val="-4"/>
          <w:w w:val="98"/>
          <w:sz w:val="21"/>
          <w:szCs w:val="21"/>
        </w:rPr>
        <w:t>Bên cạnh đó cần có các chiến lượt nâng cao năng lực số cho giáo viên thông qua các chương trình cụ thể và tiêu chuẩn thống nhất</w:t>
      </w:r>
      <w:r>
        <w:rPr>
          <w:rFonts w:ascii="Times New Roman" w:hAnsi="Times New Roman" w:cs="Times New Roman"/>
          <w:sz w:val="21"/>
          <w:szCs w:val="21"/>
        </w:rPr>
        <w:t xml:space="preserve">. Thực tế là phần lớn giáo viên được đào tạo ở thời kỳ trước khi cách mạng công nghiệp 4.0 diễn ra nên chưa đáp ứng yêu cầu đổi mới, năng lực thực hiện còn hạn chế, mỗi nơi và mỗi người có nhận thức, quan niệm và cách làm khác nhau về chuyển đổi số. Nhìn chung, nhân lực chuyển đổi số còn thiếu về số lượng và yếu cả về chất lượng. </w:t>
      </w:r>
      <w:r>
        <w:rPr>
          <w:rFonts w:ascii="Times New Roman" w:hAnsi="Times New Roman" w:cs="Times New Roman"/>
          <w:color w:val="333333"/>
          <w:sz w:val="21"/>
          <w:szCs w:val="21"/>
          <w:shd w:val="clear" w:color="auto" w:fill="FFFFFF"/>
        </w:rPr>
        <w:t xml:space="preserve"> Chính vì vậy </w:t>
      </w:r>
      <w:r>
        <w:rPr>
          <w:rFonts w:ascii="Times New Roman" w:hAnsi="Times New Roman" w:cs="Times New Roman"/>
          <w:sz w:val="21"/>
          <w:szCs w:val="21"/>
        </w:rPr>
        <w:t>đội ngũ giảng viên cần được tập huấn bài bản theo đúng phương pháp sư phạm của giáo dục số đồng thời cần đổi mới toàn bộ hệ thống quản trị để đội ngũ quản lý và giáo viên của nhà trường tương thích với hệ thống này</w:t>
      </w:r>
      <w:r>
        <w:rPr>
          <w:rFonts w:ascii="Times New Roman" w:hAnsi="Times New Roman" w:cs="Times New Roman"/>
          <w:color w:val="333333"/>
          <w:sz w:val="21"/>
          <w:szCs w:val="21"/>
          <w:shd w:val="clear" w:color="auto" w:fill="FFFFFF"/>
        </w:rPr>
        <w:t>.</w:t>
      </w:r>
    </w:p>
    <w:p>
      <w:pPr>
        <w:spacing w:before="40" w:after="0" w:line="240" w:lineRule="auto"/>
        <w:ind w:firstLine="284"/>
        <w:jc w:val="both"/>
        <w:rPr>
          <w:rFonts w:ascii="Times New Roman" w:hAnsi="Times New Roman" w:cs="Times New Roman"/>
          <w:b/>
          <w:sz w:val="21"/>
          <w:szCs w:val="21"/>
        </w:rPr>
      </w:pPr>
      <w:r>
        <w:rPr>
          <w:rFonts w:ascii="Times New Roman" w:hAnsi="Times New Roman" w:cs="Times New Roman"/>
          <w:sz w:val="21"/>
          <w:szCs w:val="21"/>
        </w:rPr>
        <w:t>Tiếp tục phát triển cơ sở hạ</w:t>
      </w:r>
      <w:r>
        <w:rPr>
          <w:rFonts w:ascii="Times New Roman" w:hAnsi="Times New Roman" w:cs="Times New Roman"/>
          <w:sz w:val="21"/>
          <w:szCs w:val="21"/>
          <w:highlight w:val="yellow"/>
        </w:rPr>
        <w:t xml:space="preserve"> tần </w:t>
      </w:r>
      <w:r>
        <w:rPr>
          <w:rFonts w:ascii="Times New Roman" w:hAnsi="Times New Roman" w:cs="Times New Roman"/>
          <w:sz w:val="21"/>
          <w:szCs w:val="21"/>
        </w:rPr>
        <w:t xml:space="preserve">công nghệ thông tin, thống nhất các phương án truy cập vào hệ thống máy chủ phục vụ cho việc học tập, truyền đưa tài liệu, thu thập, xử lý, lưu trữ và trao đổi thông tin số. </w:t>
      </w:r>
      <w:r>
        <w:rPr>
          <w:rFonts w:ascii="Times New Roman" w:hAnsi="Times New Roman" w:cs="Times New Roman"/>
          <w:color w:val="333333"/>
          <w:sz w:val="21"/>
          <w:szCs w:val="21"/>
          <w:shd w:val="clear" w:color="auto" w:fill="FFFFFF"/>
        </w:rPr>
        <w:t>Đây là m</w:t>
      </w:r>
      <w:r>
        <w:rPr>
          <w:rFonts w:ascii="Times New Roman" w:hAnsi="Times New Roman" w:cs="Times New Roman"/>
          <w:color w:val="000000"/>
          <w:sz w:val="21"/>
          <w:szCs w:val="21"/>
          <w:shd w:val="clear" w:color="auto" w:fill="FFFFFF"/>
        </w:rPr>
        <w:t>ột vấn đề hết sức quan trọng. Cần đầ</w:t>
      </w:r>
      <w:bookmarkStart w:id="3" w:name="_GoBack"/>
      <w:bookmarkEnd w:id="3"/>
      <w:r>
        <w:rPr>
          <w:rFonts w:ascii="Times New Roman" w:hAnsi="Times New Roman" w:cs="Times New Roman"/>
          <w:color w:val="000000"/>
          <w:sz w:val="21"/>
          <w:szCs w:val="21"/>
          <w:shd w:val="clear" w:color="auto" w:fill="FFFFFF"/>
        </w:rPr>
        <w:t>u tư có bài bản cho hệ thống hạ tầng công nghệ thông tin nếu không quan tâm hoặc đầu tư không đồng bộ cho hệ thống hạ tầng sẽ tốn rất nhiều chi phí cho việc bảo hành, phát triển hệ thống về sau.</w:t>
      </w:r>
    </w:p>
    <w:p>
      <w:pPr>
        <w:spacing w:before="40" w:after="0" w:line="240" w:lineRule="auto"/>
        <w:jc w:val="both"/>
        <w:rPr>
          <w:rFonts w:ascii="Times New Roman" w:hAnsi="Times New Roman" w:cs="Times New Roman"/>
          <w:b/>
          <w:spacing w:val="-4"/>
          <w:w w:val="98"/>
          <w:sz w:val="21"/>
          <w:szCs w:val="26"/>
        </w:rPr>
      </w:pP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Bollier. (2000). </w:t>
      </w:r>
      <w:r>
        <w:rPr>
          <w:rFonts w:ascii="Times New Roman" w:hAnsi="Times New Roman" w:cs="Times New Roman"/>
          <w:i/>
          <w:iCs/>
          <w:sz w:val="21"/>
          <w:szCs w:val="21"/>
        </w:rPr>
        <w:t>Ecologies of innovation: The role of information and communications technologies.</w:t>
      </w:r>
      <w:r>
        <w:rPr>
          <w:rFonts w:ascii="Times New Roman" w:hAnsi="Times New Roman" w:cs="Times New Roman"/>
          <w:sz w:val="21"/>
          <w:szCs w:val="21"/>
        </w:rPr>
        <w:t xml:space="preserve"> Washington: Aspen Institute Roundtable on Information Technology.</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Education Testing. (2002). </w:t>
      </w:r>
      <w:r>
        <w:rPr>
          <w:rFonts w:ascii="Times New Roman" w:hAnsi="Times New Roman" w:cs="Times New Roman"/>
          <w:i/>
          <w:iCs/>
          <w:sz w:val="21"/>
          <w:szCs w:val="21"/>
        </w:rPr>
        <w:t>Digital Transformation A Framework for ICT Literacy.</w:t>
      </w:r>
      <w:r>
        <w:rPr>
          <w:rFonts w:ascii="Times New Roman" w:hAnsi="Times New Roman" w:cs="Times New Roman"/>
          <w:sz w:val="21"/>
          <w:szCs w:val="21"/>
        </w:rPr>
        <w:t xml:space="preserve"> Educational Testing Service. Retrieved from www.ets.org/research/ictliteracy</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Educational Testing Service . (2002). </w:t>
      </w:r>
      <w:r>
        <w:rPr>
          <w:rFonts w:ascii="Times New Roman" w:hAnsi="Times New Roman" w:cs="Times New Roman"/>
          <w:i/>
          <w:iCs/>
          <w:sz w:val="21"/>
          <w:szCs w:val="21"/>
        </w:rPr>
        <w:t>Digital Transformation A Framework for ICT Literacy.</w:t>
      </w:r>
      <w:r>
        <w:rPr>
          <w:rFonts w:ascii="Times New Roman" w:hAnsi="Times New Roman" w:cs="Times New Roman"/>
          <w:sz w:val="21"/>
          <w:szCs w:val="21"/>
        </w:rPr>
        <w:t xml:space="preserve"> iSkills ETS. Retrieved from www.ets.org/research/ictliteracy</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Hải, Đ. X. (2020). </w:t>
      </w:r>
      <w:r>
        <w:rPr>
          <w:rFonts w:ascii="Times New Roman" w:hAnsi="Times New Roman" w:cs="Times New Roman"/>
          <w:i/>
          <w:iCs/>
          <w:sz w:val="21"/>
          <w:szCs w:val="21"/>
        </w:rPr>
        <w:t>Mô hình quản trị nhà trường trong bối cảnh đổi mới giáo dục hiện nay.</w:t>
      </w:r>
      <w:r>
        <w:rPr>
          <w:rFonts w:ascii="Times New Roman" w:hAnsi="Times New Roman" w:cs="Times New Roman"/>
          <w:sz w:val="21"/>
          <w:szCs w:val="21"/>
        </w:rPr>
        <w:t xml:space="preserve"> Trường Đại học Giáo dục, Đại học Quốc gia Hà Nội.</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Hernández, D.; Abellán, M.; Ortíz, J.; Requena, P. (2021). </w:t>
      </w:r>
      <w:r>
        <w:rPr>
          <w:rFonts w:ascii="Times New Roman" w:hAnsi="Times New Roman" w:cs="Times New Roman"/>
          <w:i/>
          <w:iCs/>
          <w:sz w:val="21"/>
          <w:szCs w:val="21"/>
        </w:rPr>
        <w:t>Profile of university teachers using a student-centered approach to teaching.</w:t>
      </w:r>
      <w:r>
        <w:rPr>
          <w:rFonts w:ascii="Times New Roman" w:hAnsi="Times New Roman" w:cs="Times New Roman"/>
          <w:sz w:val="21"/>
          <w:szCs w:val="21"/>
        </w:rPr>
        <w:t xml:space="preserve"> Psychol. Soc. Educ. 2021, 11,125–135.</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Imre Petkovics. (2019). </w:t>
      </w:r>
      <w:r>
        <w:rPr>
          <w:rFonts w:ascii="Times New Roman" w:hAnsi="Times New Roman" w:cs="Times New Roman"/>
          <w:i/>
          <w:iCs/>
          <w:sz w:val="21"/>
          <w:szCs w:val="21"/>
        </w:rPr>
        <w:t>Digital Transformation in Higher Education.</w:t>
      </w:r>
      <w:r>
        <w:rPr>
          <w:rFonts w:ascii="Times New Roman" w:hAnsi="Times New Roman" w:cs="Times New Roman"/>
          <w:sz w:val="21"/>
          <w:szCs w:val="21"/>
        </w:rPr>
        <w:t xml:space="preserve"> Journal of Applied Technical and Education Sciences. doi:10.24368/jates.v8i4.55</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Jonattan Miranda, C. N. (2021). </w:t>
      </w:r>
      <w:r>
        <w:rPr>
          <w:rFonts w:ascii="Times New Roman" w:hAnsi="Times New Roman" w:cs="Times New Roman"/>
          <w:i/>
          <w:iCs/>
          <w:sz w:val="21"/>
          <w:szCs w:val="21"/>
        </w:rPr>
        <w:t>The core components of education 4.0 in higher education: Three case studies in engineering education.</w:t>
      </w:r>
      <w:r>
        <w:rPr>
          <w:rFonts w:ascii="Times New Roman" w:hAnsi="Times New Roman" w:cs="Times New Roman"/>
          <w:sz w:val="21"/>
          <w:szCs w:val="21"/>
        </w:rPr>
        <w:t xml:space="preserve"> Turkish Journal : Computers and Electrical Engineering 93 107278.</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Lubis, A. L. (2020). </w:t>
      </w:r>
      <w:r>
        <w:rPr>
          <w:rFonts w:ascii="Times New Roman" w:hAnsi="Times New Roman" w:cs="Times New Roman"/>
          <w:i/>
          <w:iCs/>
          <w:sz w:val="21"/>
          <w:szCs w:val="21"/>
        </w:rPr>
        <w:t>The Importance of Need Analysis for the Development of Co-PjBL Models on the Creative Products.</w:t>
      </w:r>
      <w:r>
        <w:rPr>
          <w:rFonts w:ascii="Times New Roman" w:hAnsi="Times New Roman" w:cs="Times New Roman"/>
          <w:sz w:val="21"/>
          <w:szCs w:val="21"/>
        </w:rPr>
        <w:t xml:space="preserve"> International Joural of Avanced Science and Technology 29, 985-993.</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Machumu, H. J. (2016). </w:t>
      </w:r>
      <w:r>
        <w:rPr>
          <w:rFonts w:ascii="Times New Roman" w:hAnsi="Times New Roman" w:cs="Times New Roman"/>
          <w:i/>
          <w:iCs/>
          <w:sz w:val="21"/>
          <w:szCs w:val="21"/>
        </w:rPr>
        <w:t>Blended Learning in the Vocational Education and Training System in Tanzania.</w:t>
      </w:r>
      <w:r>
        <w:rPr>
          <w:rFonts w:ascii="Times New Roman" w:hAnsi="Times New Roman" w:cs="Times New Roman"/>
          <w:sz w:val="21"/>
          <w:szCs w:val="21"/>
        </w:rPr>
        <w:t xml:space="preserve"> International Journal of Multicultaral and Multireligion. doi:https://doi.org/10.18415/ijmmu.v3i2.46</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María Soledad Ramírez-Montoya, M. I.-A. (2021). </w:t>
      </w:r>
      <w:r>
        <w:rPr>
          <w:rFonts w:ascii="Times New Roman" w:hAnsi="Times New Roman" w:cs="Times New Roman"/>
          <w:i/>
          <w:iCs/>
          <w:sz w:val="21"/>
          <w:szCs w:val="21"/>
        </w:rPr>
        <w:t>Characterization of the Teaching Profile within the Framework of Education 4.0.</w:t>
      </w:r>
      <w:r>
        <w:rPr>
          <w:rFonts w:ascii="Times New Roman" w:hAnsi="Times New Roman" w:cs="Times New Roman"/>
          <w:sz w:val="21"/>
          <w:szCs w:val="21"/>
        </w:rPr>
        <w:t xml:space="preserve"> Article future 2021, 13, 91. </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Mohamed-Iliasse Mahraz1, Loubna Benabbou2 et al. (2019). </w:t>
      </w:r>
      <w:r>
        <w:rPr>
          <w:rFonts w:ascii="Times New Roman" w:hAnsi="Times New Roman" w:cs="Times New Roman"/>
          <w:i/>
          <w:iCs/>
          <w:sz w:val="21"/>
          <w:szCs w:val="21"/>
        </w:rPr>
        <w:t>A Systematic literature review of Digital Tràmormtion.</w:t>
      </w:r>
      <w:r>
        <w:rPr>
          <w:rFonts w:ascii="Times New Roman" w:hAnsi="Times New Roman" w:cs="Times New Roman"/>
          <w:sz w:val="21"/>
          <w:szCs w:val="21"/>
        </w:rPr>
        <w:t xml:space="preserve"> Toronto, Canada: Proceedings of the International Conference on Industrial Engineering and Operations Management .</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Nhi Thi Nguyen, Thanh Van Thai, Huong Thi Pham, Giang Chau Thi Nguyen. (2020). </w:t>
      </w:r>
      <w:r>
        <w:rPr>
          <w:rFonts w:ascii="Times New Roman" w:hAnsi="Times New Roman" w:cs="Times New Roman"/>
          <w:i/>
          <w:iCs/>
          <w:sz w:val="21"/>
          <w:szCs w:val="21"/>
        </w:rPr>
        <w:t>CDIO Approach in Developing Teacher Training Program to Meet Requirement of the Industrial Revolution 4.0 in Vietnam.</w:t>
      </w:r>
      <w:r>
        <w:rPr>
          <w:rFonts w:ascii="Times New Roman" w:hAnsi="Times New Roman" w:cs="Times New Roman"/>
          <w:sz w:val="21"/>
          <w:szCs w:val="21"/>
        </w:rPr>
        <w:t xml:space="preserve"> doi:https://doi.org/10.3991/ijet.v15i18.15517</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Nizwardi Jalinus, U. V. (2021). </w:t>
      </w:r>
      <w:r>
        <w:rPr>
          <w:rFonts w:ascii="Times New Roman" w:hAnsi="Times New Roman" w:cs="Times New Roman"/>
          <w:i/>
          <w:iCs/>
          <w:sz w:val="21"/>
          <w:szCs w:val="21"/>
        </w:rPr>
        <w:t>Developing Blended Learning Model in Vocational Education Based On 21st Century Integrated Learning and Industrial Revolution 4.0.</w:t>
      </w:r>
      <w:r>
        <w:rPr>
          <w:rFonts w:ascii="Times New Roman" w:hAnsi="Times New Roman" w:cs="Times New Roman"/>
          <w:sz w:val="21"/>
          <w:szCs w:val="21"/>
        </w:rPr>
        <w:t xml:space="preserve"> Turkish Journal of Computer and Mathematics Education. doi:https://doi.org/10.17762/turcomat.v12i8.3035</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Nofrianto, H. J. (2020). </w:t>
      </w:r>
      <w:r>
        <w:rPr>
          <w:rFonts w:ascii="Times New Roman" w:hAnsi="Times New Roman" w:cs="Times New Roman"/>
          <w:i/>
          <w:iCs/>
          <w:sz w:val="21"/>
          <w:szCs w:val="21"/>
        </w:rPr>
        <w:t>Validity of Cooperative-Discovery Learing Model to Improve Competencies of Engineering Students.</w:t>
      </w:r>
      <w:r>
        <w:rPr>
          <w:rFonts w:ascii="Times New Roman" w:hAnsi="Times New Roman" w:cs="Times New Roman"/>
          <w:sz w:val="21"/>
          <w:szCs w:val="21"/>
        </w:rPr>
        <w:t xml:space="preserve"> Systematic Review in Pharmacy,11,1134-1138.</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Petkovics, I. (2019). </w:t>
      </w:r>
      <w:r>
        <w:rPr>
          <w:rFonts w:ascii="Times New Roman" w:hAnsi="Times New Roman" w:cs="Times New Roman"/>
          <w:i/>
          <w:iCs/>
          <w:sz w:val="21"/>
          <w:szCs w:val="21"/>
        </w:rPr>
        <w:t>Digital Transformation in Higher Education.</w:t>
      </w:r>
      <w:r>
        <w:rPr>
          <w:rFonts w:ascii="Times New Roman" w:hAnsi="Times New Roman" w:cs="Times New Roman"/>
          <w:sz w:val="21"/>
          <w:szCs w:val="21"/>
        </w:rPr>
        <w:t xml:space="preserve"> Journal of Applied Technical and Educational Sciences. doi:10.24368/jates.v8i4.55</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Sudira, P. (2018). </w:t>
      </w:r>
      <w:r>
        <w:rPr>
          <w:rFonts w:ascii="Times New Roman" w:hAnsi="Times New Roman" w:cs="Times New Roman"/>
          <w:i/>
          <w:iCs/>
          <w:sz w:val="21"/>
          <w:szCs w:val="21"/>
        </w:rPr>
        <w:t>Metodelogi Pembelajaran Vokasional abad XXI.</w:t>
      </w:r>
      <w:r>
        <w:rPr>
          <w:rFonts w:ascii="Times New Roman" w:hAnsi="Times New Roman" w:cs="Times New Roman"/>
          <w:sz w:val="21"/>
          <w:szCs w:val="21"/>
        </w:rPr>
        <w:t xml:space="preserve"> UNY Press.</w:t>
      </w:r>
    </w:p>
    <w:p>
      <w:pPr>
        <w:pStyle w:val="13"/>
        <w:spacing w:after="0" w:line="240" w:lineRule="auto"/>
        <w:ind w:left="284" w:hanging="284"/>
        <w:jc w:val="both"/>
        <w:rPr>
          <w:rFonts w:ascii="Times New Roman" w:hAnsi="Times New Roman" w:cs="Times New Roman"/>
          <w:sz w:val="21"/>
          <w:szCs w:val="21"/>
        </w:rPr>
      </w:pPr>
      <w:r>
        <w:rPr>
          <w:rFonts w:ascii="Times New Roman" w:hAnsi="Times New Roman" w:cs="Times New Roman"/>
          <w:sz w:val="21"/>
          <w:szCs w:val="21"/>
        </w:rPr>
        <w:t xml:space="preserve">Vitriani, A. G. (2020). </w:t>
      </w:r>
      <w:r>
        <w:rPr>
          <w:rFonts w:ascii="Times New Roman" w:hAnsi="Times New Roman" w:cs="Times New Roman"/>
          <w:i/>
          <w:iCs/>
          <w:sz w:val="21"/>
          <w:szCs w:val="21"/>
        </w:rPr>
        <w:t>The validity of training models based on knowledge management systems.</w:t>
      </w:r>
      <w:r>
        <w:rPr>
          <w:rFonts w:ascii="Times New Roman" w:hAnsi="Times New Roman" w:cs="Times New Roman"/>
          <w:sz w:val="21"/>
          <w:szCs w:val="21"/>
        </w:rPr>
        <w:t xml:space="preserve"> International Journal of Innovation, Creativity, and Change, 12, 726-744.</w:t>
      </w:r>
      <w:bookmarkEnd w:id="0"/>
      <w:bookmarkEnd w:id="1"/>
      <w:bookmarkEnd w:id="2"/>
    </w:p>
    <w:sectPr>
      <w:headerReference r:id="rId5" w:type="default"/>
      <w:footerReference r:id="rId6" w:type="default"/>
      <w:pgSz w:w="11907" w:h="16840"/>
      <w:pgMar w:top="1985" w:right="1418" w:bottom="2155" w:left="1418" w:header="1418" w:footer="141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URWPalladioL-Roma">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VnURWPalladioL-Bold">
    <w:altName w:val="Times New Roman"/>
    <w:panose1 w:val="00000000000000000000"/>
    <w:charset w:val="00"/>
    <w:family w:val="roman"/>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0400690"/>
      <w:docPartObj>
        <w:docPartGallery w:val="AutoText"/>
      </w:docPartObj>
    </w:sdtPr>
    <w:sdtContent>
      <w:p>
        <w:pPr>
          <w:pStyle w:val="6"/>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5000" w:type="pct"/>
      <w:tblInd w:w="0" w:type="dxa"/>
      <w:tblLayout w:type="autofit"/>
      <w:tblCellMar>
        <w:top w:w="72" w:type="dxa"/>
        <w:left w:w="115" w:type="dxa"/>
        <w:bottom w:w="72" w:type="dxa"/>
        <w:right w:w="115" w:type="dxa"/>
      </w:tblCellMar>
    </w:tblPr>
    <w:tblGrid>
      <w:gridCol w:w="680"/>
      <w:gridCol w:w="8621"/>
    </w:tblGrid>
    <w:tr>
      <w:tblPrEx>
        <w:tblCellMar>
          <w:top w:w="72" w:type="dxa"/>
          <w:left w:w="115" w:type="dxa"/>
          <w:bottom w:w="72" w:type="dxa"/>
          <w:right w:w="115" w:type="dxa"/>
        </w:tblCellMar>
      </w:tblPrEx>
      <w:tc>
        <w:tcPr>
          <w:tcW w:w="365" w:type="pct"/>
          <w:tcBorders>
            <w:top w:val="single" w:color="943634" w:sz="18" w:space="0"/>
            <w:left w:val="single" w:color="943634" w:sz="18" w:space="0"/>
            <w:bottom w:val="single" w:color="943634" w:sz="18" w:space="0"/>
            <w:right w:val="single" w:color="943634" w:sz="18" w:space="0"/>
          </w:tcBorders>
          <w:shd w:val="clear" w:color="auto" w:fill="943634"/>
          <w:vAlign w:val="bottom"/>
        </w:tcPr>
        <w:p>
          <w:pPr>
            <w:tabs>
              <w:tab w:val="center" w:pos="4680"/>
              <w:tab w:val="right" w:pos="9360"/>
            </w:tabs>
            <w:spacing w:after="0" w:line="240" w:lineRule="auto"/>
            <w:jc w:val="center"/>
            <w:rPr>
              <w:rFonts w:ascii="Arial" w:hAnsi="Arial" w:eastAsia="Times New Roman" w:cs="Arial"/>
              <w:b/>
              <w:w w:val="80"/>
              <w:sz w:val="24"/>
              <w:szCs w:val="24"/>
            </w:rPr>
          </w:pPr>
          <w:r>
            <w:rPr>
              <w:rFonts w:ascii="Arial" w:hAnsi="Arial" w:eastAsia="Times New Roman" w:cs="Arial"/>
              <w:b/>
              <w:color w:val="FFFFFF"/>
              <w:w w:val="80"/>
            </w:rPr>
            <w:t>LTTC</w:t>
          </w:r>
        </w:p>
      </w:tc>
      <w:tc>
        <w:tcPr>
          <w:tcW w:w="4635" w:type="pct"/>
          <w:tcBorders>
            <w:left w:val="single" w:color="943634" w:sz="18" w:space="0"/>
            <w:bottom w:val="single" w:color="943634" w:sz="18" w:space="0"/>
          </w:tcBorders>
          <w:vAlign w:val="bottom"/>
        </w:tcPr>
        <w:p>
          <w:pPr>
            <w:tabs>
              <w:tab w:val="center" w:pos="4680"/>
              <w:tab w:val="right" w:pos="9360"/>
            </w:tabs>
            <w:spacing w:after="0" w:line="240" w:lineRule="auto"/>
            <w:rPr>
              <w:rFonts w:ascii="Arial" w:hAnsi="Arial" w:eastAsia="Times New Roman" w:cs="Arial"/>
              <w:w w:val="85"/>
              <w:sz w:val="24"/>
              <w:szCs w:val="24"/>
            </w:rPr>
          </w:pPr>
          <w:r>
            <w:rPr>
              <w:rFonts w:ascii="Arial" w:hAnsi="Arial" w:eastAsia="Times New Roman" w:cs="Arial"/>
              <w:bCs/>
              <w:w w:val="85"/>
              <w:sz w:val="18"/>
              <w:szCs w:val="24"/>
            </w:rPr>
            <w:t>Conference on Smart School 2023</w:t>
          </w:r>
        </w:p>
      </w:tc>
    </w:tr>
  </w:tbl>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919"/>
    <w:rsid w:val="00001895"/>
    <w:rsid w:val="000259E2"/>
    <w:rsid w:val="00063B57"/>
    <w:rsid w:val="00065547"/>
    <w:rsid w:val="00066ED4"/>
    <w:rsid w:val="000C7FD0"/>
    <w:rsid w:val="000E2F43"/>
    <w:rsid w:val="001553F5"/>
    <w:rsid w:val="001B4DAA"/>
    <w:rsid w:val="001D0BF7"/>
    <w:rsid w:val="001D1A1A"/>
    <w:rsid w:val="00221432"/>
    <w:rsid w:val="0022548D"/>
    <w:rsid w:val="00236CAE"/>
    <w:rsid w:val="00241198"/>
    <w:rsid w:val="00243E4B"/>
    <w:rsid w:val="00246157"/>
    <w:rsid w:val="00246C31"/>
    <w:rsid w:val="00252DAE"/>
    <w:rsid w:val="002533AF"/>
    <w:rsid w:val="002B6F01"/>
    <w:rsid w:val="002C756C"/>
    <w:rsid w:val="00311E78"/>
    <w:rsid w:val="003230CC"/>
    <w:rsid w:val="003238D3"/>
    <w:rsid w:val="00330FA4"/>
    <w:rsid w:val="003442E2"/>
    <w:rsid w:val="00346E34"/>
    <w:rsid w:val="00347A39"/>
    <w:rsid w:val="00355830"/>
    <w:rsid w:val="00355919"/>
    <w:rsid w:val="00355C11"/>
    <w:rsid w:val="003612B8"/>
    <w:rsid w:val="003624CF"/>
    <w:rsid w:val="003664A4"/>
    <w:rsid w:val="00387046"/>
    <w:rsid w:val="003A4EDD"/>
    <w:rsid w:val="003D6AE0"/>
    <w:rsid w:val="003E0030"/>
    <w:rsid w:val="003F4405"/>
    <w:rsid w:val="0040759C"/>
    <w:rsid w:val="004502C9"/>
    <w:rsid w:val="00452B18"/>
    <w:rsid w:val="004601BF"/>
    <w:rsid w:val="00463A8A"/>
    <w:rsid w:val="004A5B05"/>
    <w:rsid w:val="004B56A8"/>
    <w:rsid w:val="004E74A8"/>
    <w:rsid w:val="0053068B"/>
    <w:rsid w:val="005368CD"/>
    <w:rsid w:val="00540111"/>
    <w:rsid w:val="005423C1"/>
    <w:rsid w:val="0055004B"/>
    <w:rsid w:val="00563F62"/>
    <w:rsid w:val="0056684F"/>
    <w:rsid w:val="005A4A20"/>
    <w:rsid w:val="005A4EA3"/>
    <w:rsid w:val="00605FE7"/>
    <w:rsid w:val="00610FC4"/>
    <w:rsid w:val="00623846"/>
    <w:rsid w:val="00633277"/>
    <w:rsid w:val="006427D7"/>
    <w:rsid w:val="0064574C"/>
    <w:rsid w:val="006727FD"/>
    <w:rsid w:val="00683884"/>
    <w:rsid w:val="00697F26"/>
    <w:rsid w:val="006C093B"/>
    <w:rsid w:val="006D0FB9"/>
    <w:rsid w:val="006E2F02"/>
    <w:rsid w:val="00716940"/>
    <w:rsid w:val="007328F4"/>
    <w:rsid w:val="00744F95"/>
    <w:rsid w:val="00751220"/>
    <w:rsid w:val="00755956"/>
    <w:rsid w:val="00765955"/>
    <w:rsid w:val="00795C94"/>
    <w:rsid w:val="00797C22"/>
    <w:rsid w:val="007B4439"/>
    <w:rsid w:val="007B4929"/>
    <w:rsid w:val="007C6667"/>
    <w:rsid w:val="007D4A77"/>
    <w:rsid w:val="007E6276"/>
    <w:rsid w:val="00800FA0"/>
    <w:rsid w:val="00854003"/>
    <w:rsid w:val="008B455E"/>
    <w:rsid w:val="008C0090"/>
    <w:rsid w:val="008E2B0F"/>
    <w:rsid w:val="008F3513"/>
    <w:rsid w:val="00920911"/>
    <w:rsid w:val="00921865"/>
    <w:rsid w:val="009252E1"/>
    <w:rsid w:val="009259E4"/>
    <w:rsid w:val="009562B5"/>
    <w:rsid w:val="00986801"/>
    <w:rsid w:val="009A7A90"/>
    <w:rsid w:val="009E6A4F"/>
    <w:rsid w:val="00A12262"/>
    <w:rsid w:val="00A13C33"/>
    <w:rsid w:val="00A16721"/>
    <w:rsid w:val="00A26A64"/>
    <w:rsid w:val="00A27C36"/>
    <w:rsid w:val="00A3320B"/>
    <w:rsid w:val="00A7639B"/>
    <w:rsid w:val="00AA592C"/>
    <w:rsid w:val="00AD4CCC"/>
    <w:rsid w:val="00AD65B3"/>
    <w:rsid w:val="00AF2163"/>
    <w:rsid w:val="00B148F4"/>
    <w:rsid w:val="00B17590"/>
    <w:rsid w:val="00B6163B"/>
    <w:rsid w:val="00B67EE8"/>
    <w:rsid w:val="00B71EE8"/>
    <w:rsid w:val="00BB1064"/>
    <w:rsid w:val="00BC0A74"/>
    <w:rsid w:val="00C36D8E"/>
    <w:rsid w:val="00C877C7"/>
    <w:rsid w:val="00CA61B9"/>
    <w:rsid w:val="00CB657B"/>
    <w:rsid w:val="00CD682A"/>
    <w:rsid w:val="00CE7652"/>
    <w:rsid w:val="00CF6E48"/>
    <w:rsid w:val="00D23629"/>
    <w:rsid w:val="00D50F13"/>
    <w:rsid w:val="00D54535"/>
    <w:rsid w:val="00D55732"/>
    <w:rsid w:val="00D914B2"/>
    <w:rsid w:val="00D95692"/>
    <w:rsid w:val="00DA302E"/>
    <w:rsid w:val="00DF3F20"/>
    <w:rsid w:val="00DF50B8"/>
    <w:rsid w:val="00DF6A71"/>
    <w:rsid w:val="00E05CC2"/>
    <w:rsid w:val="00E16860"/>
    <w:rsid w:val="00E23930"/>
    <w:rsid w:val="00E421FA"/>
    <w:rsid w:val="00E93B3F"/>
    <w:rsid w:val="00EC1CD5"/>
    <w:rsid w:val="00EC2D1D"/>
    <w:rsid w:val="00F25164"/>
    <w:rsid w:val="00F30DDC"/>
    <w:rsid w:val="00F43040"/>
    <w:rsid w:val="00F4423A"/>
    <w:rsid w:val="00F456B3"/>
    <w:rsid w:val="00F50C1D"/>
    <w:rsid w:val="00FB38EF"/>
    <w:rsid w:val="00FD768F"/>
    <w:rsid w:val="00FE0776"/>
    <w:rsid w:val="00FF3D4A"/>
    <w:rsid w:val="612B3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Emphasis"/>
    <w:basedOn w:val="3"/>
    <w:qFormat/>
    <w:uiPriority w:val="20"/>
    <w:rPr>
      <w:i/>
      <w:iCs/>
    </w:rPr>
  </w:style>
  <w:style w:type="paragraph" w:styleId="6">
    <w:name w:val="footer"/>
    <w:basedOn w:val="1"/>
    <w:link w:val="10"/>
    <w:unhideWhenUsed/>
    <w:uiPriority w:val="99"/>
    <w:pPr>
      <w:tabs>
        <w:tab w:val="center" w:pos="4680"/>
        <w:tab w:val="right" w:pos="9360"/>
      </w:tabs>
      <w:spacing w:after="0" w:line="240" w:lineRule="auto"/>
    </w:pPr>
  </w:style>
  <w:style w:type="paragraph" w:styleId="7">
    <w:name w:val="header"/>
    <w:basedOn w:val="1"/>
    <w:link w:val="11"/>
    <w:unhideWhenUsed/>
    <w:uiPriority w:val="99"/>
    <w:pPr>
      <w:tabs>
        <w:tab w:val="center" w:pos="4680"/>
        <w:tab w:val="right" w:pos="9360"/>
      </w:tabs>
      <w:spacing w:after="0" w:line="240" w:lineRule="auto"/>
    </w:pPr>
  </w:style>
  <w:style w:type="character" w:styleId="8">
    <w:name w:val="Hyperlink"/>
    <w:basedOn w:val="3"/>
    <w:unhideWhenUsed/>
    <w:uiPriority w:val="99"/>
    <w:rPr>
      <w:color w:val="0563C1" w:themeColor="hyperlink"/>
      <w:u w:val="single"/>
      <w14:textFill>
        <w14:solidFill>
          <w14:schemeClr w14:val="hlink"/>
        </w14:solidFill>
      </w14:textFill>
    </w:rPr>
  </w:style>
  <w:style w:type="table" w:styleId="9">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oter Char"/>
    <w:basedOn w:val="3"/>
    <w:link w:val="6"/>
    <w:uiPriority w:val="99"/>
  </w:style>
  <w:style w:type="character" w:customStyle="1" w:styleId="11">
    <w:name w:val="Header Char"/>
    <w:basedOn w:val="3"/>
    <w:link w:val="7"/>
    <w:uiPriority w:val="99"/>
  </w:style>
  <w:style w:type="character" w:customStyle="1" w:styleId="12">
    <w:name w:val="Heading 1 Char"/>
    <w:basedOn w:val="3"/>
    <w:link w:val="2"/>
    <w:uiPriority w:val="9"/>
    <w:rPr>
      <w:rFonts w:asciiTheme="majorHAnsi" w:hAnsiTheme="majorHAnsi" w:eastAsiaTheme="majorEastAsia" w:cstheme="majorBidi"/>
      <w:color w:val="2E75B6" w:themeColor="accent1" w:themeShade="BF"/>
      <w:sz w:val="32"/>
      <w:szCs w:val="32"/>
    </w:rPr>
  </w:style>
  <w:style w:type="paragraph" w:customStyle="1" w:styleId="13">
    <w:name w:val="Bibliography"/>
    <w:basedOn w:val="1"/>
    <w:next w:val="1"/>
    <w:unhideWhenUsed/>
    <w:uiPriority w:val="37"/>
  </w:style>
  <w:style w:type="character" w:customStyle="1" w:styleId="14">
    <w:name w:val="fontstyle01"/>
    <w:basedOn w:val="3"/>
    <w:uiPriority w:val="0"/>
    <w:rPr>
      <w:rFonts w:hint="default" w:ascii="URWPalladioL-Roma" w:hAnsi="URWPalladioL-Roma"/>
      <w:color w:val="000000"/>
      <w:sz w:val="18"/>
      <w:szCs w:val="18"/>
    </w:rPr>
  </w:style>
  <w:style w:type="character" w:customStyle="1" w:styleId="15">
    <w:name w:val="fontstyle11"/>
    <w:basedOn w:val="3"/>
    <w:uiPriority w:val="0"/>
    <w:rPr>
      <w:rFonts w:hint="default" w:ascii="VnURWPalladioL-Bold" w:hAnsi="VnURWPalladioL-Bold"/>
      <w:b/>
      <w:bCs/>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microsoft.com/office/2007/relationships/hdphoto" Target="media/image3.wdp"/><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s>
</file>

<file path=customXml/itemProps1.xml><?xml version="1.0" encoding="utf-8"?>
<ds:datastoreItem xmlns:ds="http://schemas.openxmlformats.org/officeDocument/2006/customXml" ds:itemID="{AF10AE97-2D41-43FB-BF17-08A288E2A860}">
  <ds:schemaRefs/>
</ds:datastoreItem>
</file>

<file path=docProps/app.xml><?xml version="1.0" encoding="utf-8"?>
<Properties xmlns="http://schemas.openxmlformats.org/officeDocument/2006/extended-properties" xmlns:vt="http://schemas.openxmlformats.org/officeDocument/2006/docPropsVTypes">
  <Template>Normal.dotm</Template>
  <Pages>9</Pages>
  <Words>4816</Words>
  <Characters>27457</Characters>
  <Lines>228</Lines>
  <Paragraphs>64</Paragraphs>
  <TotalTime>28</TotalTime>
  <ScaleCrop>false</ScaleCrop>
  <LinksUpToDate>false</LinksUpToDate>
  <CharactersWithSpaces>32209</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2023-08-16T08:44:00Z</dcterms:created>
  <dc:creator>HUNGDUNG</dc:creator>
  <cp:lastModifiedBy>asus</cp:lastModifiedBy>
  <dcterms:modified xsi:type="dcterms:W3CDTF">2023-10-27T15:00:52Z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3f260b88-5f1d-4bd0-8cc2-3b552b174191</vt:lpwstr>
  </property>
  <property fmtid="{D5CDD505-2E9C-101B-9397-08002B2CF9AE}" pid="3" name="KSOProductBuildVer">
    <vt:lpwstr>1033-11.2.0.11225</vt:lpwstr>
  </property>
  <property fmtid="{D5CDD505-2E9C-101B-9397-08002B2CF9AE}" pid="4" name="ICV">
    <vt:lpwstr>66FF03872FA84925ACC0D6EE4E4AC143</vt:lpwstr>
  </property>
</Properties>
</file>