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tbl>
      <w:tblPr>
        <w:tblOverlap w:val="never"/>
        <w:jc w:val="center"/>
        <w:tblLayout w:type="fixed"/>
      </w:tblPr>
      <w:tblGrid>
        <w:gridCol w:w="970"/>
        <w:gridCol w:w="2899"/>
        <w:gridCol w:w="883"/>
        <w:gridCol w:w="931"/>
        <w:gridCol w:w="965"/>
        <w:gridCol w:w="1800"/>
        <w:gridCol w:w="869"/>
      </w:tblGrid>
      <w:tr>
        <w:trPr>
          <w:trHeight w:val="384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Mã</w:t>
              <w:br/>
              <w:t>học</w:t>
              <w:br/>
              <w:t>phần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Tên học phần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Số tín</w:t>
              <w:br/>
              <w:t>chỉ</w:t>
            </w:r>
          </w:p>
        </w:tc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Thòi gian học tập (giờ)</w:t>
            </w:r>
          </w:p>
        </w:tc>
      </w:tr>
      <w:tr>
        <w:trPr>
          <w:trHeight w:val="379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Tổng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sô</w:t>
            </w:r>
          </w:p>
        </w:tc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Trong dó</w:t>
            </w:r>
          </w:p>
        </w:tc>
      </w:tr>
      <w:tr>
        <w:trPr>
          <w:trHeight w:val="1094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Lí</w:t>
              <w:br/>
              <w:t>thuyết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Thực hành/</w:t>
              <w:br/>
              <w:t>thực tập/ bài</w:t>
              <w:br/>
              <w:t>tập/ thảo luận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Kiểm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tra</w:t>
            </w:r>
          </w:p>
        </w:tc>
      </w:tr>
      <w:tr>
        <w:trPr>
          <w:trHeight w:val="3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MI 126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Biên dịch tiếng Hàn 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135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112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8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MI127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Kiến tập Dịch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135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132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</w:tr>
      <w:tr>
        <w:trPr>
          <w:trHeight w:val="37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MH28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Khóa luận tốt nghiệp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220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</w:t>
            </w:r>
          </w:p>
        </w:tc>
      </w:tr>
      <w:tr>
        <w:trPr>
          <w:trHeight w:val="7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11.3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IIọc phần thay thế khóa</w:t>
              <w:br/>
              <w:t>luận tốt nghiệp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both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84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6</w:t>
            </w:r>
          </w:p>
        </w:tc>
      </w:tr>
      <w:tr>
        <w:trPr>
          <w:trHeight w:val="37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MH29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Phiên dịch tiếng Hàn 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28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Biên dịch tiếng Hàn 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107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11.4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Học phần, mô dun tự</w:t>
              <w:br/>
              <w:t>chọn (Chọn 1 trong 2</w:t>
              <w:br/>
              <w:t>môn học)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both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7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MH31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Tiếng Hàn du lịch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7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MI132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Tiếng Hàn hành chính -</w:t>
              <w:br/>
              <w:t>văn phòng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89" w:hRule="exact"/>
        </w:trPr>
        <w:tc>
          <w:tcPr>
            <w:gridSpan w:val="2"/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Tông cộng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102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2505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663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1729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113</w:t>
            </w:r>
          </w:p>
        </w:tc>
      </w:tr>
    </w:tbl>
    <w:p>
      <w:pPr>
        <w:widowControl w:val="0"/>
        <w:spacing w:after="339" w:line="1" w:lineRule="exact"/>
      </w:pP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6. Huong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dẫn sử dụng chưoĩig trình</w:t>
      </w:r>
    </w:p>
    <w:p>
      <w:pPr>
        <w:pStyle w:val="Style8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70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llưóng dẫn các môn học chung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4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Các môn học chung bắt buộc được thực hiện theo quy định cùa Bộ Lao động -</w:t>
        <w:br/>
        <w:t>Thương binh và Xã hội phối hợp với các Bộ/ngành tồ chức xây dựng và ban hành theo</w:t>
        <w:br/>
        <w:t>Thông tư số 10/2018&lt;TT-BLĐTBXIL Thông tư sổ 11/2018/TT-BLĐTBXH, Thông tư sổ</w:t>
        <w:br/>
        <w:t>12/2018/TT-BLĐTBXH, Thông tư sổ 13/2018fTT-BLĐTBXH, Thông tư sổ 24/2018/TT-</w:t>
        <w:br/>
        <w:t>BLĐTBXH, Thông tư sổ 03/2019/TT-BLĐTBXH.</w:t>
      </w:r>
    </w:p>
    <w:p>
      <w:pPr>
        <w:pStyle w:val="Style8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74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Xác định nội dung và thời gian cho các hoạt động ngoại khóa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6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Thời gian cho hoạt động ngoại khóa được bố trí ngoài thời gian đào tạo chính khóa</w:t>
        <w:br/>
        <w:t>vào thời điềm phù hợp:</w:t>
      </w:r>
    </w:p>
    <w:tbl>
      <w:tblPr>
        <w:tblOverlap w:val="never"/>
        <w:jc w:val="center"/>
        <w:tblLayout w:type="fixed"/>
      </w:tblPr>
      <w:tblGrid>
        <w:gridCol w:w="830"/>
        <w:gridCol w:w="4459"/>
        <w:gridCol w:w="4162"/>
      </w:tblGrid>
      <w:tr>
        <w:trPr>
          <w:trHeight w:val="576" w:hRule="exact"/>
        </w:trPr>
        <w:tc>
          <w:tcPr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STT</w:t>
            </w:r>
          </w:p>
        </w:tc>
        <w:tc>
          <w:tcPr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Nội dung</w:t>
            </w:r>
          </w:p>
        </w:tc>
        <w:tc>
          <w:tcPr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Thòi gian</w:t>
            </w:r>
          </w:p>
        </w:tc>
      </w:tr>
      <w:tr>
        <w:trPr>
          <w:trHeight w:val="437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Văn hoá, văn nghệ:</w:t>
            </w:r>
          </w:p>
        </w:tc>
        <w:tc>
          <w:tcPr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03" w:hRule="exact"/>
        </w:trPr>
        <w:tc>
          <w:tcPr>
            <w:vMerge w:val="restart"/>
            <w:tcBorders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22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Qua các phương tiện thông tin đại</w:t>
            </w:r>
          </w:p>
        </w:tc>
        <w:tc>
          <w:tcPr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Ngoài giờ học hàng ngày</w:t>
            </w:r>
          </w:p>
        </w:tc>
      </w:tr>
      <w:tr>
        <w:trPr>
          <w:trHeight w:val="1171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/>
          </w:p>
        </w:tc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chúng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16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Sinh hoạt tập the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16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Hoạt động thư viện</w:t>
            </w:r>
          </w:p>
        </w:tc>
        <w:tc>
          <w:tcPr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19 giờ đến 21 giờ (một buôi/tuần)</w:t>
            </w:r>
          </w:p>
        </w:tc>
      </w:tr>
      <w:tr>
        <w:trPr>
          <w:trHeight w:val="821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4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Ngoài giờ học, sinh viên có thế đến thư</w:t>
              <w:br/>
              <w:t>viện đọc sách và tham kháo tài liệu</w:t>
            </w:r>
          </w:p>
        </w:tc>
        <w:tc>
          <w:tcPr>
            <w:tcBorders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Tất cá các ngày làm việc trong tuần</w:t>
            </w:r>
          </w:p>
        </w:tc>
      </w:tr>
    </w:tbl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43" w:left="1379" w:right="1008" w:bottom="1121" w:header="715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3859530</wp:posOffset>
              </wp:positionH>
              <wp:positionV relativeFrom="page">
                <wp:posOffset>10214610</wp:posOffset>
              </wp:positionV>
              <wp:extent cx="67310" cy="10033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67310" cy="10033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  <w:shd w:val="clear" w:color="auto" w:fill="auto"/>
                              <w:lang w:val="vi-VN" w:eastAsia="vi-VN" w:bidi="vi-VN"/>
                            </w:rPr>
                            <w:t>5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3.89999999999998pt;margin-top:804.29999999999995pt;width:5.2999999999999998pt;height:7.90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  <w:shd w:val="clear" w:color="auto" w:fill="auto"/>
                        <w:lang w:val="vi-VN" w:eastAsia="vi-VN" w:bidi="vi-VN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6.%1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其他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6">
    <w:name w:val="页眉或页脚 (2)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9">
    <w:name w:val="正文文本_"/>
    <w:basedOn w:val="DefaultParagraphFont"/>
    <w:link w:val="Styl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2">
    <w:name w:val="其他"/>
    <w:basedOn w:val="Normal"/>
    <w:link w:val="CharStyle3"/>
    <w:pPr>
      <w:widowControl w:val="0"/>
      <w:shd w:val="clear" w:color="auto" w:fill="FFFFFF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5">
    <w:name w:val="页眉或页脚 (2)"/>
    <w:basedOn w:val="Normal"/>
    <w:link w:val="CharStyle6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8">
    <w:name w:val="正文文本"/>
    <w:basedOn w:val="Normal"/>
    <w:link w:val="CharStyle9"/>
    <w:pPr>
      <w:widowControl w:val="0"/>
      <w:shd w:val="clear" w:color="auto" w:fill="FFFFFF"/>
      <w:spacing w:line="290" w:lineRule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