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đăng ký làm khóa luận tốt nghiệp hoặc chọn 02 mô-đun nâng cao thay thế.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098" w:val="left"/>
        </w:tabs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Phân công hướng dần làm chuyên đề khóa luận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tot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nghiệp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968" w:val="left"/>
        </w:tabs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Hiệu trường quyết định phân công cản bộ hướng dần sinh viên làm chuyên đề,</w:t>
        <w:br/>
        <w:t>khóa luận tốt nghiệp theo đề nghị cùa trương khoa chuyên môn.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973" w:val="left"/>
        </w:tabs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Tiêu chuân cán bộ hướng dần chuyên đe, khóa luận tốt nghiệp: tốt nghiệp đại học</w:t>
        <w:br/>
        <w:t>trờ lên, cỏ chuyên môn phù hợp với chuyên đe, khóa luận; có khá năng nghiên cứu khoa</w:t>
        <w:br/>
        <w:t>học; có trách nhiệm, nhiệt tình đối với việc hưởng dần sinh viên.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973" w:val="left"/>
        </w:tabs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Số lượng chuyên đề. khóa luận tốt nghiệp giao cho giáng viên hướng dần được</w:t>
        <w:br/>
        <w:t>giới hạn ớ mức cao nhất như sau: cử nhân/đại học: 3 khóa luận; thạc sì: 4 khóa luận; tiên</w:t>
        <w:br/>
        <w:t>sĩ: 5 khóa luận.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098" w:val="left"/>
        </w:tabs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Duyệt và giao khóa luận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Sau khi được phân công, giáo viên hướng dần làm việc với sinh viên đê xác định</w:t>
        <w:br/>
        <w:t>khóa luận và gửi cho trường khoa. Hội đồng cùa khoa họp duyệt khóa luận cho toàn</w:t>
        <w:br/>
        <w:t>khóa. Nếu khóa luận có vướng mắc, cần trao đổi với người hướng dần để sửa chừa hoặc</w:t>
        <w:br/>
        <w:t>thay khóa luận mới. Khóa luận được lưu tại khoa chuyên môn đê tránh trùng lặp trong</w:t>
        <w:br/>
        <w:t>những năm sau.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103" w:val="left"/>
        </w:tabs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Khóa luận đu tiêu chuân được bao vệ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1002" w:val="left"/>
        </w:tabs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Hình thức: Do Hiệu trướng nhà trường quy định.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973" w:val="left"/>
        </w:tabs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Nội dung: được giáo viên hướng dần xác nhận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bang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văn bán bao dam nội dung</w:t>
        <w:br/>
        <w:t xml:space="preserve">đạt yêu cầu và đe nghị cho bao vệ.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Neu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nội dung không đạt yêu cầu, cân đê nghị gia hạn</w:t>
        <w:br/>
        <w:t>cho sinh viên hoặc cho sinh viên chuyến sang học các mô-đun thay thế (nếu kịp thời gian</w:t>
        <w:br/>
        <w:t>ôn tập và thi).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973" w:val="left"/>
        </w:tabs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Văn bàn đề nghị cho sinh viên bao vệ khóa luận cùa giáo viên hướng dần và toàn</w:t>
        <w:br/>
        <w:t>văn khóa luận nộp về khoa chuyên môn trước khi báo vệ 15 ngày. Khóa luận được giao</w:t>
        <w:br/>
        <w:t>cho người phan biện trước khi bao vệ ít nhất 10 ngày.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103" w:val="left"/>
        </w:tabs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Hội đồng chắm khóa luận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tot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nghiệp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978" w:val="left"/>
        </w:tabs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Hiệu trương hoặc Phó Hiệu trương phụ trách đào tạo ký quyết định thành lập hội</w:t>
        <w:br/>
        <w:t>đồng chấm khóa luận tốt nghiệp.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973" w:val="left"/>
        </w:tabs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Thành viên của hội đồng lả giang viên, chuyên gia từ các cơ sớ sử dụng nhân lực</w:t>
        <w:br/>
        <w:t>dược sỹ (tổt nghiệp đại học trờ lên) có chuyên môn phù hợp với chuyên ngành đào tạo</w:t>
        <w:br/>
        <w:t>cùa sinh viên làm khóa luận.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973" w:val="left"/>
        </w:tabs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Hội đồng chấm một khóa luận có 5 thành viên do trướng khoa đề nghị gồm: Chù</w:t>
        <w:br/>
        <w:t>tịch, ủy viên thư ký, 02 phán biện và úy viên. Giáo viên hướng dần không tham gia hội</w:t>
        <w:br/>
        <w:t>đồng. Các thành viên hội đồng nếu vắng mặt thì cho diêm đánh giá khóa luận vào một</w:t>
        <w:br/>
        <w:t>phiếu kín và gừi cho hội đồng.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973" w:val="left"/>
        </w:tabs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Hội đồng chi họp khi có mặt từ 3 thành viên trờ lên. Chu tịch hội đồng và ùy</w:t>
        <w:br/>
        <w:t>viên thư ký nhất thiết không được vắng mặt.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973" w:val="left"/>
        </w:tabs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Hội đồng cho điểm bàng hình thức bo phiếu kin. Điểm trung bình cộng cùa các</w:t>
        <w:br/>
        <w:t xml:space="preserve">thành viên là điểm chinh thức của chuyên đề, khóa luận (điềm lé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lay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1 chữ số cùa phan</w:t>
        <w:br/>
        <w:t>thập phân, nếu chữ số thứ 2 cùa phần thập phân từ 6 trớ lên thi làm tròn đê tăng thêm 1</w:t>
        <w:br/>
        <w:t>cho chừ số thứ nhất).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982" w:val="left"/>
        </w:tabs>
        <w:bidi w:val="0"/>
        <w:spacing w:before="0" w:after="0"/>
        <w:ind w:left="0" w:right="0" w:firstLine="72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Biên bán chấm chuyên đề, khóa luận ghi theo mầu do trường quy định, được làm</w:t>
      </w:r>
    </w:p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104" w:left="1367" w:right="1005" w:bottom="924" w:header="676" w:footer="3" w:gutter="0"/>
      <w:pgNumType w:start="1"/>
      <w:cols w:space="720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3858260</wp:posOffset>
              </wp:positionH>
              <wp:positionV relativeFrom="page">
                <wp:posOffset>10208260</wp:posOffset>
              </wp:positionV>
              <wp:extent cx="67310" cy="97790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67310" cy="9779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4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2"/>
                              <w:szCs w:val="22"/>
                              <w:shd w:val="clear" w:color="auto" w:fill="auto"/>
                              <w:lang w:val="vi-VN" w:eastAsia="vi-VN" w:bidi="vi-VN"/>
                            </w:rPr>
                            <w:t>7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03.80000000000001pt;margin-top:803.79999999999995pt;width:5.2999999999999998pt;height:7.7000000000000002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4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2"/>
                        <w:szCs w:val="22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2"/>
                        <w:szCs w:val="22"/>
                        <w:shd w:val="clear" w:color="auto" w:fill="auto"/>
                        <w:lang w:val="vi-VN" w:eastAsia="vi-VN" w:bidi="vi-VN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2"/>
      <w:numFmt w:val="lowerLetter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num w:numId="1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正文文本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5">
    <w:name w:val="页眉或页脚 (2)_"/>
    <w:basedOn w:val="DefaultParagraphFont"/>
    <w:link w:val="Styl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">
    <w:name w:val="正文文本"/>
    <w:basedOn w:val="Normal"/>
    <w:link w:val="CharStyle3"/>
    <w:pPr>
      <w:widowControl w:val="0"/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4">
    <w:name w:val="页眉或页脚 (2)"/>
    <w:basedOn w:val="Normal"/>
    <w:link w:val="CharStyle5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