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thành 2 bàn, 1 bán lưu tại khoa chuyên môn, 1 bán gứi về phòng đào tạo.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- Khóa luận được lưu 1 ban tại khoa chuyên môn và gửi về thư viện trường 1 bán.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40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Công bố điêm khóa luận tốt nghiệp: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Ket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qua chấm khóa luận phai được công bố</w:t>
        <w:br/>
        <w:t>ngay sau buôi báo vệ.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78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Học viên không đu điều kiện làn khóa luận tốt nghiệp hoặc học viên đu điều</w:t>
        <w:br/>
        <w:t>kiện nhưng không đăng ký làm khóa luận thì lựa chọn 02 mô-đun trong phân tự chọn</w:t>
        <w:br/>
        <w:t>thay thế.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6.4. Hướng dẫn thi tốt nghiệp và xét công nhận tốt nghiệp: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66" w:val="left"/>
        </w:tabs>
        <w:bidi w:val="0"/>
        <w:spacing w:before="0" w:after="0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Diều kiện đe dược xét và công nhận tốt nghiệp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Tích lũy đủ số mô-đun hoặc tín chi quy định cho chương trình;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9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Điếm trung binh chung tích lũy của toàn khóa học theo thang điêm 4 đạt từ 2,00 trở</w:t>
        <w:br/>
        <w:t>lên; hoặc 5,00 trờ lên theo thang điẻm 10.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9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Thỏa mãn một số yêu cầu về kết quá học tập đối với nhóm môn học, mô đun thuộc</w:t>
        <w:br/>
        <w:t>ngành, nghe đào tạo và các điêu kiện khác do hiệu trướng quy định;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40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Không trong thời gian: bị ký luật từ mức đình chi học tập có thời hạn trờ lên, bị truy</w:t>
        <w:br/>
        <w:t>cứu trách nhiệm hình sự theo qui định hiện hành;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đ) Có đơn gừi nhà trường đe nghị được xét tốt nghiệp trong trường hợp đu điều kiện tốt</w:t>
        <w:br/>
        <w:t>nghiệp sớm hoặc muộn so với thời gian thiết kế cùa khóa học;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66" w:val="left"/>
        </w:tabs>
        <w:bidi w:val="0"/>
        <w:spacing w:before="0" w:after="0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liưóng dẫn thi tốt nghiệp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a) Điều kiện dự thi tốt nghiệp: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Sinh viên phai học hết các môn trong chương trình đào tạo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Điêm tông kết các môn học, mô-đun trong chương trình đạt yêu cầu trở lên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Không trong thời gian bị kỳ luật từ mức đình chi học tập có thời hạn trơ lên, bị</w:t>
        <w:br/>
        <w:t>truy cứu trách nhiệm hình sự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Còn số lan và trong quỹ thời gian được dự thi tốt nghiệp theo quy định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Người học không đú điều kiện dự thi tốt nghiệp thuộc trường hợp quy định tại</w:t>
        <w:br/>
        <w:t>diêm a khoan 1 Điều này, nếu vản còn quỹ thời gian đê hoàn thành các môn học, mô-đun</w:t>
        <w:br/>
        <w:t>trong chương trình theo quy định thì được hiệu trường xem xét, cho phép người học đó</w:t>
        <w:br/>
        <w:t>được hoàn thành các môn học, mô-đun chưa đạt yêu cẩu và tô chức xét điều kiện dự thi</w:t>
        <w:br/>
        <w:t>tốt nghiệp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Người học không đù điều kiện dự thi do bị kỳ luật ờ mức đình chi học tập có thời</w:t>
        <w:br/>
        <w:t xml:space="preserve">hạn,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het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thời gian bị ký luật hoặc bị truy cứu trách nhiệm hình sự theo quy định hiện hành</w:t>
        <w:br/>
        <w:t>b) Các môn thi tốt nghiệp:</w:t>
      </w:r>
    </w:p>
    <w:tbl>
      <w:tblPr>
        <w:tblOverlap w:val="never"/>
        <w:jc w:val="center"/>
        <w:tblLayout w:type="fixed"/>
      </w:tblPr>
      <w:tblGrid>
        <w:gridCol w:w="850"/>
        <w:gridCol w:w="3346"/>
        <w:gridCol w:w="2314"/>
        <w:gridCol w:w="2669"/>
      </w:tblGrid>
      <w:tr>
        <w:trPr>
          <w:trHeight w:val="4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Môn thi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Hình thức thi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Thòi gian thi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Chính trị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Viết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120 phút</w:t>
            </w:r>
          </w:p>
        </w:tc>
      </w:tr>
      <w:tr>
        <w:trPr>
          <w:trHeight w:val="3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Lý thuyết tong hợp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Viết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120 phút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 nghề nghiệp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120 phút</w:t>
            </w:r>
          </w:p>
        </w:tc>
      </w:tr>
    </w:tbl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/>
        <w:ind w:left="38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I liệu trường căn cứ vào kêt qua thi tôt nghiệp, kêt quà bảo vệ khóa luận tôt nghiệp</w:t>
        <w:br/>
        <w:t>cua sinh viên và các quy định liên quan để xét công nhận tốt nghiệp, cấp bằng và công</w:t>
        <w:br/>
        <w:t>nhận danh hiệu Cừ nhân thực hành Tiếng Hàn Quốc theo quy định cùa nhà trường.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6" w:left="1372" w:right="1010" w:bottom="832" w:header="678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3861435</wp:posOffset>
              </wp:positionH>
              <wp:positionV relativeFrom="page">
                <wp:posOffset>10212070</wp:posOffset>
              </wp:positionV>
              <wp:extent cx="64135" cy="9779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4135" cy="9779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8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4.05000000000001pt;margin-top:804.10000000000002pt;width:5.0499999999999998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6"/>
      <w:numFmt w:val="low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6.4.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lowerLetter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9">
    <w:name w:val="表格标题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1">
    <w:name w:val="其他_"/>
    <w:basedOn w:val="DefaultParagraphFont"/>
    <w:link w:val="Styl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0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8">
    <w:name w:val="表格标题"/>
    <w:basedOn w:val="Normal"/>
    <w:link w:val="CharStyle9"/>
    <w:pPr>
      <w:widowControl w:val="0"/>
      <w:shd w:val="clear" w:color="auto" w:fill="FFFFFF"/>
      <w:spacing w:line="288" w:lineRule="auto"/>
      <w:ind w:firstLine="55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0">
    <w:name w:val="其他"/>
    <w:basedOn w:val="Normal"/>
    <w:link w:val="CharStyle11"/>
    <w:pPr>
      <w:widowControl w:val="0"/>
      <w:shd w:val="clear" w:color="auto" w:fill="FFFFFF"/>
      <w:spacing w:line="290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